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93470403"/>
    <w:bookmarkStart w:id="1" w:name="_Toc393470464"/>
    <w:bookmarkStart w:id="2" w:name="_Toc393470516"/>
    <w:bookmarkStart w:id="3" w:name="_Toc393718575"/>
    <w:bookmarkStart w:id="4" w:name="_Toc393788056"/>
    <w:bookmarkStart w:id="5" w:name="_Toc393963450"/>
    <w:bookmarkStart w:id="6" w:name="_Toc394044844"/>
    <w:bookmarkStart w:id="7" w:name="_Toc394066953"/>
    <w:bookmarkStart w:id="8" w:name="_Toc394316349"/>
    <w:bookmarkStart w:id="9" w:name="_Toc394501164"/>
    <w:bookmarkStart w:id="10" w:name="_Toc394502036"/>
    <w:bookmarkStart w:id="11" w:name="_Toc394504004"/>
    <w:bookmarkStart w:id="12" w:name="_Toc394504281"/>
    <w:bookmarkStart w:id="13" w:name="_Toc394614544"/>
    <w:bookmarkStart w:id="14" w:name="_Toc394655089"/>
    <w:bookmarkStart w:id="15" w:name="_Toc394950909"/>
    <w:bookmarkStart w:id="16" w:name="_Toc395858906"/>
    <w:bookmarkStart w:id="17" w:name="_Toc396239116"/>
    <w:bookmarkStart w:id="18" w:name="_GoBack"/>
    <w:bookmarkEnd w:id="18"/>
    <w:p w:rsidR="0075400C" w:rsidRPr="009120DF" w:rsidRDefault="009120DF" w:rsidP="000F286F">
      <w:pPr>
        <w:pStyle w:val="Title"/>
        <w:jc w:val="right"/>
        <w:rPr>
          <w:color w:val="FFFFFF" w:themeColor="background1"/>
        </w:rPr>
      </w:pPr>
      <w:r w:rsidRPr="009120DF">
        <w:rPr>
          <w:noProof/>
          <w:color w:val="FFFFFF" w:themeColor="background1"/>
        </w:rPr>
        <mc:AlternateContent>
          <mc:Choice Requires="wps">
            <w:drawing>
              <wp:anchor distT="0" distB="0" distL="114300" distR="114300" simplePos="0" relativeHeight="251677696" behindDoc="1" locked="0" layoutInCell="1" allowOverlap="1" wp14:anchorId="44CA8E29" wp14:editId="29BC878C">
                <wp:simplePos x="0" y="0"/>
                <wp:positionH relativeFrom="column">
                  <wp:posOffset>-1267460</wp:posOffset>
                </wp:positionH>
                <wp:positionV relativeFrom="page">
                  <wp:posOffset>3142749</wp:posOffset>
                </wp:positionV>
                <wp:extent cx="7560310" cy="7560310"/>
                <wp:effectExtent l="38100" t="19050" r="40640" b="78740"/>
                <wp:wrapNone/>
                <wp:docPr id="1" name="Rectangle 1"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560310"/>
                        </a:xfrm>
                        <a:prstGeom prst="rect">
                          <a:avLst/>
                        </a:prstGeom>
                        <a:solidFill>
                          <a:srgbClr val="95A4C6"/>
                        </a:solidFill>
                        <a:ln w="19050">
                          <a:no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alt="decorative" style="position:absolute;margin-left:-99.8pt;margin-top:247.45pt;width:595.3pt;height:59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" fillcolor="#95a4c6" stroked="f" strokeweight="1.5pt">
                <v:shadow on="t" opacity="22938f" offset="0"/>
                <v:textbox inset=",7.2pt,,7.2pt"/>
                <w10:wrap anchory="page"/>
              </v:rect>
            </w:pict>
          </mc:Fallback>
        </mc:AlternateContent>
      </w:r>
      <w:r w:rsidR="00D767FE">
        <w:rPr>
          <w:color w:val="FFFFFF" w:themeColor="background1"/>
        </w:rPr>
        <w:t xml:space="preserve">Projections </w:t>
      </w:r>
      <w:r w:rsidR="001F2A2B" w:rsidRPr="009120DF">
        <w:rPr>
          <w:color w:val="FFFFFF" w:themeColor="background1"/>
        </w:rPr>
        <w:t xml:space="preserve">of </w:t>
      </w:r>
      <w:r w:rsidRPr="00E90605">
        <w:rPr>
          <w:i/>
          <w:iCs/>
          <w:noProof/>
          <w:color w:val="FFFFFF" w:themeColor="background1"/>
          <w:sz w:val="32"/>
          <w:szCs w:val="32"/>
        </w:rPr>
        <w:drawing>
          <wp:anchor distT="0" distB="0" distL="114300" distR="114300" simplePos="0" relativeHeight="251679744" behindDoc="1" locked="0" layoutInCell="1" allowOverlap="1" wp14:anchorId="40A8D8BB" wp14:editId="288F53BA">
            <wp:simplePos x="0" y="0"/>
            <wp:positionH relativeFrom="column">
              <wp:posOffset>2581910</wp:posOffset>
            </wp:positionH>
            <wp:positionV relativeFrom="page">
              <wp:posOffset>850265</wp:posOffset>
            </wp:positionV>
            <wp:extent cx="2827655" cy="643255"/>
            <wp:effectExtent l="0" t="0" r="0" b="0"/>
            <wp:wrapNone/>
            <wp:docPr id="6" name="Picture 6"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7655"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81D">
        <w:rPr>
          <w:color w:val="FFFFFF" w:themeColor="background1"/>
        </w:rPr>
        <w:t>Government</w:t>
      </w:r>
      <w:r w:rsidR="00A95090" w:rsidRPr="009120DF">
        <w:rPr>
          <w:color w:val="FFFFFF" w:themeColor="background1"/>
        </w:rPr>
        <w:t xml:space="preserve"> </w:t>
      </w:r>
      <w:bookmarkEnd w:id="0"/>
      <w:bookmarkEnd w:id="1"/>
      <w:bookmarkEnd w:id="2"/>
      <w:bookmarkEnd w:id="3"/>
      <w:bookmarkEnd w:id="4"/>
      <w:bookmarkEnd w:id="5"/>
      <w:bookmarkEnd w:id="6"/>
      <w:r w:rsidR="00D767FE">
        <w:rPr>
          <w:color w:val="FFFFFF" w:themeColor="background1"/>
        </w:rPr>
        <w:t>spending</w:t>
      </w:r>
      <w:r w:rsidR="00B0110C" w:rsidRPr="009120DF">
        <w:rPr>
          <w:color w:val="FFFFFF" w:themeColor="background1"/>
        </w:rPr>
        <w:t xml:space="preserve"> over the </w:t>
      </w:r>
      <w:bookmarkEnd w:id="7"/>
      <w:bookmarkEnd w:id="8"/>
      <w:bookmarkEnd w:id="9"/>
      <w:bookmarkEnd w:id="10"/>
      <w:bookmarkEnd w:id="11"/>
      <w:bookmarkEnd w:id="12"/>
      <w:bookmarkEnd w:id="13"/>
      <w:r w:rsidR="00FE0AB7" w:rsidRPr="009120DF">
        <w:rPr>
          <w:color w:val="FFFFFF" w:themeColor="background1"/>
        </w:rPr>
        <w:t>medium term</w:t>
      </w:r>
      <w:bookmarkEnd w:id="14"/>
      <w:bookmarkEnd w:id="15"/>
      <w:bookmarkEnd w:id="16"/>
      <w:bookmarkEnd w:id="17"/>
    </w:p>
    <w:p w:rsidR="000F286F" w:rsidRPr="009120DF" w:rsidRDefault="000F286F" w:rsidP="000F286F">
      <w:pPr>
        <w:pStyle w:val="Subtitle"/>
        <w:spacing w:before="480"/>
        <w:rPr>
          <w:i/>
          <w:color w:val="FFFFFF" w:themeColor="background1"/>
        </w:rPr>
      </w:pPr>
      <w:r w:rsidRPr="009120DF">
        <w:rPr>
          <w:i/>
          <w:color w:val="FFFFFF" w:themeColor="background1"/>
        </w:rPr>
        <w:t>02/2014</w:t>
      </w:r>
    </w:p>
    <w:p w:rsidR="005D0AD5" w:rsidRDefault="005D0AD5" w:rsidP="000F286F">
      <w:pPr>
        <w:pStyle w:val="PBOtext"/>
      </w:pPr>
    </w:p>
    <w:p w:rsidR="005D0AD5" w:rsidRDefault="005D0AD5" w:rsidP="000F286F">
      <w:pPr>
        <w:pStyle w:val="PBOtext"/>
        <w:sectPr w:rsidR="005D0AD5" w:rsidSect="00212EA4">
          <w:footerReference w:type="even" r:id="rId10"/>
          <w:footerReference w:type="default" r:id="rId11"/>
          <w:pgSz w:w="11900" w:h="16840"/>
          <w:pgMar w:top="1440" w:right="1797" w:bottom="1440" w:left="1985" w:header="709" w:footer="709" w:gutter="0"/>
          <w:pgNumType w:fmt="lowerRoman"/>
          <w:cols w:space="708"/>
          <w:titlePg/>
          <w:docGrid w:linePitch="326"/>
        </w:sectPr>
      </w:pPr>
    </w:p>
    <w:p w:rsidR="002A5CB9" w:rsidRDefault="002A5CB9" w:rsidP="003F420C">
      <w:pPr>
        <w:pStyle w:val="PBOtext"/>
        <w:spacing w:before="6240"/>
      </w:pPr>
      <w:bookmarkStart w:id="19" w:name="_Toc391984924"/>
      <w:bookmarkStart w:id="20" w:name="_Toc391985556"/>
      <w:bookmarkStart w:id="21" w:name="_Toc392607781"/>
      <w:bookmarkStart w:id="22" w:name="_Toc392680762"/>
      <w:bookmarkStart w:id="23" w:name="_Toc392758798"/>
      <w:bookmarkStart w:id="24" w:name="_Toc393456399"/>
      <w:bookmarkStart w:id="25" w:name="_Toc393456717"/>
      <w:bookmarkStart w:id="26" w:name="_Toc393470404"/>
      <w:bookmarkStart w:id="27" w:name="_Toc393470465"/>
      <w:bookmarkStart w:id="28" w:name="_Toc393470517"/>
      <w:bookmarkStart w:id="29" w:name="_Toc393718576"/>
      <w:bookmarkStart w:id="30" w:name="_Toc393788057"/>
      <w:bookmarkStart w:id="31" w:name="_Toc393963451"/>
      <w:bookmarkStart w:id="32" w:name="_Toc394044845"/>
      <w:bookmarkStart w:id="33" w:name="_Toc394066954"/>
      <w:bookmarkStart w:id="34" w:name="_Toc394316350"/>
      <w:bookmarkStart w:id="35" w:name="_Toc394501165"/>
      <w:bookmarkStart w:id="36" w:name="_Toc394502037"/>
      <w:bookmarkStart w:id="37" w:name="_Toc394504005"/>
      <w:bookmarkStart w:id="38" w:name="_Toc394504282"/>
      <w:bookmarkStart w:id="39" w:name="_Toc394614545"/>
      <w:bookmarkStart w:id="40" w:name="_Toc394655090"/>
      <w:bookmarkStart w:id="41" w:name="_Toc394950910"/>
      <w:r w:rsidRPr="006461A3">
        <w:lastRenderedPageBreak/>
        <w:t>© Commonwealth of Australia 201</w:t>
      </w:r>
      <w:r w:rsidR="00EF5062">
        <w:t>4</w:t>
      </w:r>
    </w:p>
    <w:p w:rsidR="002A5CB9" w:rsidRPr="005419E1" w:rsidRDefault="002A5CB9" w:rsidP="003F420C">
      <w:pPr>
        <w:pStyle w:val="PBOtext"/>
        <w:spacing w:before="0" w:after="240"/>
      </w:pPr>
      <w:r w:rsidRPr="005419E1">
        <w:t>ISBN 978-0-9925131-2-2</w:t>
      </w:r>
      <w:r w:rsidR="003F420C">
        <w:t xml:space="preserve"> </w:t>
      </w:r>
      <w:r w:rsidRPr="005419E1">
        <w:t>(</w:t>
      </w:r>
      <w:r w:rsidR="003F420C">
        <w:t>Online</w:t>
      </w:r>
      <w:r w:rsidRPr="005419E1">
        <w:t>)</w:t>
      </w:r>
    </w:p>
    <w:p w:rsidR="002A5CB9" w:rsidRDefault="002A5CB9" w:rsidP="005419E1">
      <w:pPr>
        <w:pStyle w:val="PBOtext"/>
        <w:spacing w:before="0"/>
      </w:pPr>
      <w:r w:rsidRPr="00E5279B">
        <w:t>This work is licensed under the Creative Commons Attribution-</w:t>
      </w:r>
      <w:proofErr w:type="spellStart"/>
      <w:r w:rsidRPr="00E5279B">
        <w:t>NonCommercial</w:t>
      </w:r>
      <w:proofErr w:type="spellEnd"/>
      <w:r w:rsidRPr="00E5279B">
        <w:t>-</w:t>
      </w:r>
      <w:proofErr w:type="spellStart"/>
      <w:r w:rsidRPr="00E5279B">
        <w:t>NoDerivs</w:t>
      </w:r>
      <w:proofErr w:type="spellEnd"/>
      <w:r w:rsidRPr="00E5279B">
        <w:t xml:space="preserve"> 3.0 Australia License.</w:t>
      </w:r>
    </w:p>
    <w:p w:rsidR="002A5CB9" w:rsidRDefault="002A5CB9" w:rsidP="005419E1">
      <w:pPr>
        <w:pStyle w:val="PBOtext"/>
        <w:spacing w:before="0"/>
      </w:pPr>
      <w:r>
        <w:rPr>
          <w:noProof/>
        </w:rPr>
        <w:drawing>
          <wp:inline distT="0" distB="0" distL="0" distR="0" wp14:anchorId="46BA3601" wp14:editId="70B6AD1C">
            <wp:extent cx="1110615" cy="391795"/>
            <wp:effectExtent l="0" t="0" r="0" b="8255"/>
            <wp:docPr id="13" name="Pictur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0615" cy="391795"/>
                    </a:xfrm>
                    <a:prstGeom prst="rect">
                      <a:avLst/>
                    </a:prstGeom>
                    <a:noFill/>
                    <a:ln>
                      <a:noFill/>
                    </a:ln>
                  </pic:spPr>
                </pic:pic>
              </a:graphicData>
            </a:graphic>
          </wp:inline>
        </w:drawing>
      </w:r>
    </w:p>
    <w:p w:rsidR="002A5CB9" w:rsidRDefault="002A5CB9" w:rsidP="005419E1">
      <w:pPr>
        <w:pStyle w:val="PBOtext"/>
        <w:spacing w:before="0" w:after="240"/>
      </w:pPr>
      <w:r w:rsidRPr="00E5279B">
        <w:t>The details of this licence are available o</w:t>
      </w:r>
      <w:r>
        <w:t xml:space="preserve">n the </w:t>
      </w:r>
      <w:hyperlink r:id="rId13" w:history="1">
        <w:r w:rsidRPr="00567994">
          <w:rPr>
            <w:rStyle w:val="Hyperlink"/>
          </w:rPr>
          <w:t>Creative Commons website</w:t>
        </w:r>
      </w:hyperlink>
      <w:proofErr w:type="gramStart"/>
      <w:r>
        <w:t>:</w:t>
      </w:r>
      <w:proofErr w:type="gramEnd"/>
      <w:r>
        <w:br/>
      </w:r>
      <w:r w:rsidRPr="00E5279B">
        <w:t>http://creativecommons.org/licenses/by-nc-nd/3.0/au/</w:t>
      </w:r>
    </w:p>
    <w:p w:rsidR="002A5CB9" w:rsidRPr="003A3130" w:rsidRDefault="002A5CB9" w:rsidP="005419E1">
      <w:pPr>
        <w:pStyle w:val="PBOtext"/>
        <w:spacing w:before="0" w:after="0"/>
        <w:rPr>
          <w:b/>
        </w:rPr>
      </w:pPr>
      <w:r w:rsidRPr="003A3130">
        <w:rPr>
          <w:b/>
        </w:rPr>
        <w:t>Use of the Coat of Arms</w:t>
      </w:r>
    </w:p>
    <w:p w:rsidR="002A5CB9" w:rsidRPr="001B7F59" w:rsidRDefault="002A5CB9" w:rsidP="005419E1">
      <w:pPr>
        <w:pStyle w:val="PBOtext"/>
        <w:spacing w:before="0" w:after="240"/>
      </w:pPr>
      <w:r>
        <w:t>The terms under which the Coat of Arms can be used are detailed on the following website</w:t>
      </w:r>
      <w:proofErr w:type="gramStart"/>
      <w:r>
        <w:t>:</w:t>
      </w:r>
      <w:proofErr w:type="gramEnd"/>
      <w:r>
        <w:br/>
        <w:t>www.itsanhonour.gov.au/coat-arms</w:t>
      </w:r>
    </w:p>
    <w:p w:rsidR="002A5CB9" w:rsidRDefault="002A5CB9" w:rsidP="005419E1">
      <w:pPr>
        <w:pStyle w:val="PBOtext"/>
        <w:spacing w:before="0" w:after="0"/>
      </w:pPr>
      <w:r w:rsidRPr="001F26D3">
        <w:rPr>
          <w:b/>
        </w:rPr>
        <w:t>Produced by:</w:t>
      </w:r>
      <w:r>
        <w:t xml:space="preserve"> Parliamentary Budget Office</w:t>
      </w:r>
    </w:p>
    <w:p w:rsidR="002A5CB9" w:rsidRPr="006667FF" w:rsidRDefault="002A5CB9" w:rsidP="005419E1">
      <w:pPr>
        <w:pStyle w:val="PBOtext"/>
        <w:spacing w:before="0" w:after="240"/>
        <w:rPr>
          <w:b/>
        </w:rPr>
      </w:pPr>
      <w:r w:rsidRPr="005419E1">
        <w:rPr>
          <w:b/>
        </w:rPr>
        <w:t>Design consultants:</w:t>
      </w:r>
      <w:r w:rsidRPr="005419E1">
        <w:t xml:space="preserve"> Wilton Hanford Hanover Pty Ltd</w:t>
      </w:r>
    </w:p>
    <w:p w:rsidR="002A5CB9" w:rsidRPr="003A3130" w:rsidRDefault="002A5CB9" w:rsidP="005419E1">
      <w:pPr>
        <w:pStyle w:val="PBOtext"/>
        <w:spacing w:before="0" w:after="0"/>
        <w:rPr>
          <w:b/>
        </w:rPr>
      </w:pPr>
      <w:r w:rsidRPr="003A3130">
        <w:rPr>
          <w:b/>
        </w:rPr>
        <w:t>Assistant Parliamentary Budget Officer</w:t>
      </w:r>
    </w:p>
    <w:p w:rsidR="002A5CB9" w:rsidRDefault="002A5CB9" w:rsidP="005419E1">
      <w:pPr>
        <w:pStyle w:val="PBOtext"/>
        <w:spacing w:before="0"/>
      </w:pPr>
      <w:r>
        <w:t>Fiscal Policy Analysis Division</w:t>
      </w:r>
    </w:p>
    <w:p w:rsidR="002A5CB9" w:rsidRDefault="002A5CB9" w:rsidP="005419E1">
      <w:pPr>
        <w:pStyle w:val="PBOtext"/>
        <w:spacing w:before="0" w:after="0"/>
      </w:pPr>
      <w:r>
        <w:t>Parliamentary Budget Office</w:t>
      </w:r>
    </w:p>
    <w:p w:rsidR="002A5CB9" w:rsidRDefault="002A5CB9" w:rsidP="005419E1">
      <w:pPr>
        <w:pStyle w:val="PBOtext"/>
        <w:spacing w:before="0" w:after="0"/>
      </w:pPr>
      <w:r>
        <w:t>Parliament House</w:t>
      </w:r>
    </w:p>
    <w:p w:rsidR="002A5CB9" w:rsidRDefault="002A5CB9" w:rsidP="005419E1">
      <w:pPr>
        <w:pStyle w:val="PBOtext"/>
        <w:spacing w:before="0" w:after="0"/>
      </w:pPr>
      <w:r>
        <w:t>PO Box 6010</w:t>
      </w:r>
    </w:p>
    <w:p w:rsidR="002A5CB9" w:rsidRDefault="002A5CB9" w:rsidP="005419E1">
      <w:pPr>
        <w:pStyle w:val="PBOtext"/>
        <w:spacing w:before="0"/>
      </w:pPr>
      <w:proofErr w:type="gramStart"/>
      <w:r>
        <w:t>CANBERRA  ACT</w:t>
      </w:r>
      <w:proofErr w:type="gramEnd"/>
      <w:r>
        <w:t xml:space="preserve">  2600</w:t>
      </w:r>
    </w:p>
    <w:p w:rsidR="002A5CB9" w:rsidRDefault="002A5CB9" w:rsidP="005419E1">
      <w:pPr>
        <w:pStyle w:val="PBOtext"/>
        <w:spacing w:before="0" w:after="0"/>
      </w:pPr>
      <w:r>
        <w:t>Phone: (02) 6277 9500</w:t>
      </w:r>
    </w:p>
    <w:p w:rsidR="002A5CB9" w:rsidRDefault="002A5CB9" w:rsidP="005419E1">
      <w:pPr>
        <w:pStyle w:val="PBOtext"/>
        <w:spacing w:before="0" w:after="0"/>
        <w:sectPr w:rsidR="002A5CB9" w:rsidSect="002A5CB9">
          <w:headerReference w:type="even" r:id="rId14"/>
          <w:headerReference w:type="default" r:id="rId15"/>
          <w:headerReference w:type="first" r:id="rId16"/>
          <w:pgSz w:w="11900" w:h="16840"/>
          <w:pgMar w:top="1440" w:right="1797" w:bottom="1440" w:left="1797" w:header="709" w:footer="709" w:gutter="0"/>
          <w:pgNumType w:fmt="lowerRoman" w:start="2"/>
          <w:cols w:space="708"/>
          <w:titlePg/>
          <w:docGrid w:linePitch="326"/>
        </w:sectPr>
      </w:pPr>
      <w:r>
        <w:t>Email:</w:t>
      </w:r>
      <w:r w:rsidR="003F420C">
        <w:t xml:space="preserve"> </w:t>
      </w:r>
      <w:r>
        <w:t>pbo@pbo.gov.au</w:t>
      </w:r>
    </w:p>
    <w:p w:rsidR="00823531" w:rsidRPr="0072586C" w:rsidRDefault="00A95090" w:rsidP="0072586C">
      <w:pPr>
        <w:pStyle w:val="PBOheading1"/>
        <w:rPr>
          <w:noProof/>
        </w:rPr>
      </w:pPr>
      <w:bookmarkStart w:id="42" w:name="_Toc395858907"/>
      <w:bookmarkStart w:id="43" w:name="_Toc396239117"/>
      <w:bookmarkStart w:id="44" w:name="_Toc396290207"/>
      <w:bookmarkStart w:id="45" w:name="_Toc396377801"/>
      <w:bookmarkStart w:id="46" w:name="_Toc396382626"/>
      <w:r w:rsidRPr="00DD76DE">
        <w:lastRenderedPageBreak/>
        <w:t>Contents</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A25759">
        <w:rPr>
          <w:b/>
          <w:noProof/>
        </w:rPr>
        <w:fldChar w:fldCharType="begin"/>
      </w:r>
      <w:r w:rsidR="00A25759">
        <w:instrText xml:space="preserve"> TOC \u \t "PBO heading 1,1,PBO heading 2,2" </w:instrText>
      </w:r>
      <w:r w:rsidR="00A25759">
        <w:rPr>
          <w:b/>
          <w:noProof/>
        </w:rPr>
        <w:fldChar w:fldCharType="separate"/>
      </w:r>
    </w:p>
    <w:p w:rsidR="00823531" w:rsidRDefault="00823531">
      <w:pPr>
        <w:pStyle w:val="TOC1"/>
        <w:rPr>
          <w:rFonts w:asciiTheme="minorHAnsi" w:eastAsiaTheme="minorEastAsia" w:hAnsiTheme="minorHAnsi" w:cstheme="minorBidi"/>
          <w:b w:val="0"/>
          <w:sz w:val="22"/>
          <w:szCs w:val="22"/>
        </w:rPr>
      </w:pPr>
      <w:r>
        <w:t>Foreword</w:t>
      </w:r>
      <w:r>
        <w:tab/>
      </w:r>
      <w:r>
        <w:fldChar w:fldCharType="begin"/>
      </w:r>
      <w:r>
        <w:instrText xml:space="preserve"> PAGEREF _Toc396382627 \h </w:instrText>
      </w:r>
      <w:r>
        <w:fldChar w:fldCharType="separate"/>
      </w:r>
      <w:r w:rsidR="00715F88">
        <w:t>iv</w:t>
      </w:r>
      <w:r>
        <w:fldChar w:fldCharType="end"/>
      </w:r>
    </w:p>
    <w:p w:rsidR="00823531" w:rsidRDefault="00823531">
      <w:pPr>
        <w:pStyle w:val="TOC1"/>
        <w:rPr>
          <w:rFonts w:asciiTheme="minorHAnsi" w:eastAsiaTheme="minorEastAsia" w:hAnsiTheme="minorHAnsi" w:cstheme="minorBidi"/>
          <w:b w:val="0"/>
          <w:sz w:val="22"/>
          <w:szCs w:val="22"/>
        </w:rPr>
      </w:pPr>
      <w:r>
        <w:t>Overview</w:t>
      </w:r>
      <w:r>
        <w:tab/>
      </w:r>
      <w:r>
        <w:fldChar w:fldCharType="begin"/>
      </w:r>
      <w:r>
        <w:instrText xml:space="preserve"> PAGEREF _Toc396382628 \h </w:instrText>
      </w:r>
      <w:r>
        <w:fldChar w:fldCharType="separate"/>
      </w:r>
      <w:r w:rsidR="00715F88">
        <w:t>1</w:t>
      </w:r>
      <w:r>
        <w:fldChar w:fldCharType="end"/>
      </w:r>
    </w:p>
    <w:p w:rsidR="00823531" w:rsidRDefault="00823531">
      <w:pPr>
        <w:pStyle w:val="TOC1"/>
        <w:rPr>
          <w:rFonts w:asciiTheme="minorHAnsi" w:eastAsiaTheme="minorEastAsia" w:hAnsiTheme="minorHAnsi" w:cstheme="minorBidi"/>
          <w:b w:val="0"/>
          <w:sz w:val="22"/>
          <w:szCs w:val="22"/>
        </w:rPr>
      </w:pPr>
      <w:r w:rsidRPr="00057FF6">
        <w:t>1</w:t>
      </w:r>
      <w:r>
        <w:rPr>
          <w:rFonts w:asciiTheme="minorHAnsi" w:eastAsiaTheme="minorEastAsia" w:hAnsiTheme="minorHAnsi" w:cstheme="minorBidi"/>
          <w:b w:val="0"/>
          <w:sz w:val="22"/>
          <w:szCs w:val="22"/>
        </w:rPr>
        <w:tab/>
      </w:r>
      <w:r>
        <w:t>Projections of total Australian Government payments</w:t>
      </w:r>
      <w:r>
        <w:tab/>
      </w:r>
      <w:r>
        <w:fldChar w:fldCharType="begin"/>
      </w:r>
      <w:r>
        <w:instrText xml:space="preserve"> PAGEREF _Toc396382629 \h </w:instrText>
      </w:r>
      <w:r>
        <w:fldChar w:fldCharType="separate"/>
      </w:r>
      <w:r w:rsidR="00715F88">
        <w:t>4</w:t>
      </w:r>
      <w:r>
        <w:fldChar w:fldCharType="end"/>
      </w:r>
    </w:p>
    <w:p w:rsidR="00823531" w:rsidRDefault="00823531">
      <w:pPr>
        <w:pStyle w:val="TOC1"/>
        <w:rPr>
          <w:rFonts w:asciiTheme="minorHAnsi" w:eastAsiaTheme="minorEastAsia" w:hAnsiTheme="minorHAnsi" w:cstheme="minorBidi"/>
          <w:b w:val="0"/>
          <w:sz w:val="22"/>
          <w:szCs w:val="22"/>
        </w:rPr>
      </w:pPr>
      <w:r w:rsidRPr="00057FF6">
        <w:t>2</w:t>
      </w:r>
      <w:r>
        <w:rPr>
          <w:rFonts w:asciiTheme="minorHAnsi" w:eastAsiaTheme="minorEastAsia" w:hAnsiTheme="minorHAnsi" w:cstheme="minorBidi"/>
          <w:b w:val="0"/>
          <w:sz w:val="22"/>
          <w:szCs w:val="22"/>
        </w:rPr>
        <w:tab/>
      </w:r>
      <w:r>
        <w:t>Drivers of growth in government spending</w:t>
      </w:r>
      <w:r>
        <w:tab/>
      </w:r>
      <w:r>
        <w:fldChar w:fldCharType="begin"/>
      </w:r>
      <w:r>
        <w:instrText xml:space="preserve"> PAGEREF _Toc396382630 \h </w:instrText>
      </w:r>
      <w:r>
        <w:fldChar w:fldCharType="separate"/>
      </w:r>
      <w:r w:rsidR="00715F88">
        <w:t>7</w:t>
      </w:r>
      <w:r>
        <w:fldChar w:fldCharType="end"/>
      </w:r>
    </w:p>
    <w:p w:rsidR="00823531" w:rsidRDefault="00823531" w:rsidP="0072586C">
      <w:pPr>
        <w:pStyle w:val="TOC2"/>
        <w:tabs>
          <w:tab w:val="right" w:leader="underscore" w:pos="8108"/>
        </w:tabs>
        <w:ind w:left="426"/>
        <w:rPr>
          <w:rFonts w:asciiTheme="minorHAnsi" w:eastAsiaTheme="minorEastAsia" w:hAnsiTheme="minorHAnsi" w:cstheme="minorBidi"/>
          <w:noProof/>
          <w:sz w:val="22"/>
          <w:szCs w:val="22"/>
        </w:rPr>
      </w:pPr>
      <w:r>
        <w:rPr>
          <w:noProof/>
        </w:rPr>
        <w:t>Methodology</w:t>
      </w:r>
      <w:r>
        <w:rPr>
          <w:noProof/>
        </w:rPr>
        <w:tab/>
      </w:r>
      <w:r>
        <w:rPr>
          <w:noProof/>
        </w:rPr>
        <w:fldChar w:fldCharType="begin"/>
      </w:r>
      <w:r>
        <w:rPr>
          <w:noProof/>
        </w:rPr>
        <w:instrText xml:space="preserve"> PAGEREF _Toc396382631 \h </w:instrText>
      </w:r>
      <w:r>
        <w:rPr>
          <w:noProof/>
        </w:rPr>
      </w:r>
      <w:r>
        <w:rPr>
          <w:noProof/>
        </w:rPr>
        <w:fldChar w:fldCharType="separate"/>
      </w:r>
      <w:r w:rsidR="00715F88">
        <w:rPr>
          <w:noProof/>
        </w:rPr>
        <w:t>7</w:t>
      </w:r>
      <w:r>
        <w:rPr>
          <w:noProof/>
        </w:rPr>
        <w:fldChar w:fldCharType="end"/>
      </w:r>
    </w:p>
    <w:p w:rsidR="00823531" w:rsidRDefault="00823531" w:rsidP="0072586C">
      <w:pPr>
        <w:pStyle w:val="TOC2"/>
        <w:tabs>
          <w:tab w:val="right" w:leader="underscore" w:pos="8108"/>
        </w:tabs>
        <w:ind w:left="426"/>
        <w:rPr>
          <w:rFonts w:asciiTheme="minorHAnsi" w:eastAsiaTheme="minorEastAsia" w:hAnsiTheme="minorHAnsi" w:cstheme="minorBidi"/>
          <w:noProof/>
          <w:sz w:val="22"/>
          <w:szCs w:val="22"/>
        </w:rPr>
      </w:pPr>
      <w:r>
        <w:rPr>
          <w:noProof/>
        </w:rPr>
        <w:t>Composition of Australian government spending</w:t>
      </w:r>
      <w:r>
        <w:rPr>
          <w:noProof/>
        </w:rPr>
        <w:tab/>
      </w:r>
      <w:r>
        <w:rPr>
          <w:noProof/>
        </w:rPr>
        <w:fldChar w:fldCharType="begin"/>
      </w:r>
      <w:r>
        <w:rPr>
          <w:noProof/>
        </w:rPr>
        <w:instrText xml:space="preserve"> PAGEREF _Toc396382632 \h </w:instrText>
      </w:r>
      <w:r>
        <w:rPr>
          <w:noProof/>
        </w:rPr>
      </w:r>
      <w:r>
        <w:rPr>
          <w:noProof/>
        </w:rPr>
        <w:fldChar w:fldCharType="separate"/>
      </w:r>
      <w:r w:rsidR="00715F88">
        <w:rPr>
          <w:noProof/>
        </w:rPr>
        <w:t>8</w:t>
      </w:r>
      <w:r>
        <w:rPr>
          <w:noProof/>
        </w:rPr>
        <w:fldChar w:fldCharType="end"/>
      </w:r>
    </w:p>
    <w:p w:rsidR="00823531" w:rsidRDefault="00823531" w:rsidP="0072586C">
      <w:pPr>
        <w:pStyle w:val="TOC2"/>
        <w:tabs>
          <w:tab w:val="right" w:leader="underscore" w:pos="8108"/>
        </w:tabs>
        <w:ind w:left="426"/>
        <w:rPr>
          <w:rFonts w:asciiTheme="minorHAnsi" w:eastAsiaTheme="minorEastAsia" w:hAnsiTheme="minorHAnsi" w:cstheme="minorBidi"/>
          <w:noProof/>
          <w:sz w:val="22"/>
          <w:szCs w:val="22"/>
        </w:rPr>
      </w:pPr>
      <w:r>
        <w:rPr>
          <w:noProof/>
        </w:rPr>
        <w:t>Contributions to growth in government spending</w:t>
      </w:r>
      <w:r>
        <w:rPr>
          <w:noProof/>
        </w:rPr>
        <w:tab/>
      </w:r>
      <w:r>
        <w:rPr>
          <w:noProof/>
        </w:rPr>
        <w:fldChar w:fldCharType="begin"/>
      </w:r>
      <w:r>
        <w:rPr>
          <w:noProof/>
        </w:rPr>
        <w:instrText xml:space="preserve"> PAGEREF _Toc396382633 \h </w:instrText>
      </w:r>
      <w:r>
        <w:rPr>
          <w:noProof/>
        </w:rPr>
      </w:r>
      <w:r>
        <w:rPr>
          <w:noProof/>
        </w:rPr>
        <w:fldChar w:fldCharType="separate"/>
      </w:r>
      <w:r w:rsidR="00715F88">
        <w:rPr>
          <w:noProof/>
        </w:rPr>
        <w:t>12</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Goods and Services Tax transfer to States</w:t>
      </w:r>
      <w:r>
        <w:rPr>
          <w:noProof/>
        </w:rPr>
        <w:tab/>
      </w:r>
      <w:r>
        <w:rPr>
          <w:noProof/>
        </w:rPr>
        <w:fldChar w:fldCharType="begin"/>
      </w:r>
      <w:r>
        <w:rPr>
          <w:noProof/>
        </w:rPr>
        <w:instrText xml:space="preserve"> PAGEREF _Toc396382634 \h </w:instrText>
      </w:r>
      <w:r>
        <w:rPr>
          <w:noProof/>
        </w:rPr>
      </w:r>
      <w:r>
        <w:rPr>
          <w:noProof/>
        </w:rPr>
        <w:fldChar w:fldCharType="separate"/>
      </w:r>
      <w:r w:rsidR="00715F88">
        <w:rPr>
          <w:noProof/>
        </w:rPr>
        <w:t>14</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National Disability Insurance Scheme</w:t>
      </w:r>
      <w:r>
        <w:rPr>
          <w:noProof/>
        </w:rPr>
        <w:tab/>
      </w:r>
      <w:r>
        <w:rPr>
          <w:noProof/>
        </w:rPr>
        <w:fldChar w:fldCharType="begin"/>
      </w:r>
      <w:r>
        <w:rPr>
          <w:noProof/>
        </w:rPr>
        <w:instrText xml:space="preserve"> PAGEREF _Toc396382635 \h </w:instrText>
      </w:r>
      <w:r>
        <w:rPr>
          <w:noProof/>
        </w:rPr>
      </w:r>
      <w:r>
        <w:rPr>
          <w:noProof/>
        </w:rPr>
        <w:fldChar w:fldCharType="separate"/>
      </w:r>
      <w:r w:rsidR="00715F88">
        <w:rPr>
          <w:noProof/>
        </w:rPr>
        <w:t>15</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Age Pension</w:t>
      </w:r>
      <w:r>
        <w:rPr>
          <w:noProof/>
        </w:rPr>
        <w:tab/>
      </w:r>
      <w:r>
        <w:rPr>
          <w:noProof/>
        </w:rPr>
        <w:fldChar w:fldCharType="begin"/>
      </w:r>
      <w:r>
        <w:rPr>
          <w:noProof/>
        </w:rPr>
        <w:instrText xml:space="preserve"> PAGEREF _Toc396382636 \h </w:instrText>
      </w:r>
      <w:r>
        <w:rPr>
          <w:noProof/>
        </w:rPr>
      </w:r>
      <w:r>
        <w:rPr>
          <w:noProof/>
        </w:rPr>
        <w:fldChar w:fldCharType="separate"/>
      </w:r>
      <w:r w:rsidR="00715F88">
        <w:rPr>
          <w:noProof/>
        </w:rPr>
        <w:t>16</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Defence</w:t>
      </w:r>
      <w:r>
        <w:rPr>
          <w:noProof/>
        </w:rPr>
        <w:tab/>
      </w:r>
      <w:r>
        <w:rPr>
          <w:noProof/>
        </w:rPr>
        <w:fldChar w:fldCharType="begin"/>
      </w:r>
      <w:r>
        <w:rPr>
          <w:noProof/>
        </w:rPr>
        <w:instrText xml:space="preserve"> PAGEREF _Toc396382637 \h </w:instrText>
      </w:r>
      <w:r>
        <w:rPr>
          <w:noProof/>
        </w:rPr>
      </w:r>
      <w:r>
        <w:rPr>
          <w:noProof/>
        </w:rPr>
        <w:fldChar w:fldCharType="separate"/>
      </w:r>
      <w:r w:rsidR="00715F88">
        <w:rPr>
          <w:noProof/>
        </w:rPr>
        <w:t>17</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Aged care</w:t>
      </w:r>
      <w:r>
        <w:rPr>
          <w:noProof/>
        </w:rPr>
        <w:tab/>
      </w:r>
      <w:r>
        <w:rPr>
          <w:noProof/>
        </w:rPr>
        <w:fldChar w:fldCharType="begin"/>
      </w:r>
      <w:r>
        <w:rPr>
          <w:noProof/>
        </w:rPr>
        <w:instrText xml:space="preserve"> PAGEREF _Toc396382638 \h </w:instrText>
      </w:r>
      <w:r>
        <w:rPr>
          <w:noProof/>
        </w:rPr>
      </w:r>
      <w:r>
        <w:rPr>
          <w:noProof/>
        </w:rPr>
        <w:fldChar w:fldCharType="separate"/>
      </w:r>
      <w:r w:rsidR="00715F88">
        <w:rPr>
          <w:noProof/>
        </w:rPr>
        <w:t>18</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Medicare Benefits Schedule</w:t>
      </w:r>
      <w:r>
        <w:rPr>
          <w:noProof/>
        </w:rPr>
        <w:tab/>
      </w:r>
      <w:r>
        <w:rPr>
          <w:noProof/>
        </w:rPr>
        <w:fldChar w:fldCharType="begin"/>
      </w:r>
      <w:r>
        <w:rPr>
          <w:noProof/>
        </w:rPr>
        <w:instrText xml:space="preserve"> PAGEREF _Toc396382639 \h </w:instrText>
      </w:r>
      <w:r>
        <w:rPr>
          <w:noProof/>
        </w:rPr>
      </w:r>
      <w:r>
        <w:rPr>
          <w:noProof/>
        </w:rPr>
        <w:fldChar w:fldCharType="separate"/>
      </w:r>
      <w:r w:rsidR="00715F88">
        <w:rPr>
          <w:noProof/>
        </w:rPr>
        <w:t>19</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Schools</w:t>
      </w:r>
      <w:r>
        <w:rPr>
          <w:noProof/>
        </w:rPr>
        <w:tab/>
      </w:r>
      <w:r>
        <w:rPr>
          <w:noProof/>
        </w:rPr>
        <w:fldChar w:fldCharType="begin"/>
      </w:r>
      <w:r>
        <w:rPr>
          <w:noProof/>
        </w:rPr>
        <w:instrText xml:space="preserve"> PAGEREF _Toc396382640 \h </w:instrText>
      </w:r>
      <w:r>
        <w:rPr>
          <w:noProof/>
        </w:rPr>
      </w:r>
      <w:r>
        <w:rPr>
          <w:noProof/>
        </w:rPr>
        <w:fldChar w:fldCharType="separate"/>
      </w:r>
      <w:r w:rsidR="00715F88">
        <w:rPr>
          <w:noProof/>
        </w:rPr>
        <w:t>20</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2.8</w:t>
      </w:r>
      <w:r>
        <w:rPr>
          <w:rFonts w:asciiTheme="minorHAnsi" w:eastAsiaTheme="minorEastAsia" w:hAnsiTheme="minorHAnsi" w:cstheme="minorBidi"/>
          <w:noProof/>
          <w:sz w:val="22"/>
          <w:szCs w:val="22"/>
        </w:rPr>
        <w:tab/>
      </w:r>
      <w:r>
        <w:rPr>
          <w:noProof/>
        </w:rPr>
        <w:t>Public hospitals</w:t>
      </w:r>
      <w:r>
        <w:rPr>
          <w:noProof/>
        </w:rPr>
        <w:tab/>
      </w:r>
      <w:r>
        <w:rPr>
          <w:noProof/>
        </w:rPr>
        <w:fldChar w:fldCharType="begin"/>
      </w:r>
      <w:r>
        <w:rPr>
          <w:noProof/>
        </w:rPr>
        <w:instrText xml:space="preserve"> PAGEREF _Toc396382641 \h </w:instrText>
      </w:r>
      <w:r>
        <w:rPr>
          <w:noProof/>
        </w:rPr>
      </w:r>
      <w:r>
        <w:rPr>
          <w:noProof/>
        </w:rPr>
        <w:fldChar w:fldCharType="separate"/>
      </w:r>
      <w:r w:rsidR="00715F88">
        <w:rPr>
          <w:noProof/>
        </w:rPr>
        <w:t>21</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2.9</w:t>
      </w:r>
      <w:r>
        <w:rPr>
          <w:rFonts w:asciiTheme="minorHAnsi" w:eastAsiaTheme="minorEastAsia" w:hAnsiTheme="minorHAnsi" w:cstheme="minorBidi"/>
          <w:noProof/>
          <w:sz w:val="22"/>
          <w:szCs w:val="22"/>
        </w:rPr>
        <w:tab/>
      </w:r>
      <w:r>
        <w:rPr>
          <w:noProof/>
        </w:rPr>
        <w:t>Disability Support Pension</w:t>
      </w:r>
      <w:r>
        <w:rPr>
          <w:noProof/>
        </w:rPr>
        <w:tab/>
      </w:r>
      <w:r>
        <w:rPr>
          <w:noProof/>
        </w:rPr>
        <w:fldChar w:fldCharType="begin"/>
      </w:r>
      <w:r>
        <w:rPr>
          <w:noProof/>
        </w:rPr>
        <w:instrText xml:space="preserve"> PAGEREF _Toc396382642 \h </w:instrText>
      </w:r>
      <w:r>
        <w:rPr>
          <w:noProof/>
        </w:rPr>
      </w:r>
      <w:r>
        <w:rPr>
          <w:noProof/>
        </w:rPr>
        <w:fldChar w:fldCharType="separate"/>
      </w:r>
      <w:r w:rsidR="00715F88">
        <w:rPr>
          <w:noProof/>
        </w:rPr>
        <w:t>22</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2.10</w:t>
      </w:r>
      <w:r>
        <w:rPr>
          <w:rFonts w:asciiTheme="minorHAnsi" w:eastAsiaTheme="minorEastAsia" w:hAnsiTheme="minorHAnsi" w:cstheme="minorBidi"/>
          <w:noProof/>
          <w:sz w:val="22"/>
          <w:szCs w:val="22"/>
        </w:rPr>
        <w:tab/>
      </w:r>
      <w:r>
        <w:rPr>
          <w:noProof/>
        </w:rPr>
        <w:t>Paid Parental Leave</w:t>
      </w:r>
      <w:r>
        <w:rPr>
          <w:noProof/>
        </w:rPr>
        <w:tab/>
      </w:r>
      <w:r>
        <w:rPr>
          <w:noProof/>
        </w:rPr>
        <w:fldChar w:fldCharType="begin"/>
      </w:r>
      <w:r>
        <w:rPr>
          <w:noProof/>
        </w:rPr>
        <w:instrText xml:space="preserve"> PAGEREF _Toc396382643 \h </w:instrText>
      </w:r>
      <w:r>
        <w:rPr>
          <w:noProof/>
        </w:rPr>
      </w:r>
      <w:r>
        <w:rPr>
          <w:noProof/>
        </w:rPr>
        <w:fldChar w:fldCharType="separate"/>
      </w:r>
      <w:r w:rsidR="00715F88">
        <w:rPr>
          <w:noProof/>
        </w:rPr>
        <w:t>23</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2.11</w:t>
      </w:r>
      <w:r>
        <w:rPr>
          <w:rFonts w:asciiTheme="minorHAnsi" w:eastAsiaTheme="minorEastAsia" w:hAnsiTheme="minorHAnsi" w:cstheme="minorBidi"/>
          <w:noProof/>
          <w:sz w:val="22"/>
          <w:szCs w:val="22"/>
        </w:rPr>
        <w:tab/>
      </w:r>
      <w:r>
        <w:rPr>
          <w:noProof/>
        </w:rPr>
        <w:t>Carer income support</w:t>
      </w:r>
      <w:r>
        <w:rPr>
          <w:noProof/>
        </w:rPr>
        <w:tab/>
      </w:r>
      <w:r>
        <w:rPr>
          <w:noProof/>
        </w:rPr>
        <w:fldChar w:fldCharType="begin"/>
      </w:r>
      <w:r>
        <w:rPr>
          <w:noProof/>
        </w:rPr>
        <w:instrText xml:space="preserve"> PAGEREF _Toc396382644 \h </w:instrText>
      </w:r>
      <w:r>
        <w:rPr>
          <w:noProof/>
        </w:rPr>
      </w:r>
      <w:r>
        <w:rPr>
          <w:noProof/>
        </w:rPr>
        <w:fldChar w:fldCharType="separate"/>
      </w:r>
      <w:r w:rsidR="00715F88">
        <w:rPr>
          <w:noProof/>
        </w:rPr>
        <w:t>24</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2.12</w:t>
      </w:r>
      <w:r>
        <w:rPr>
          <w:rFonts w:asciiTheme="minorHAnsi" w:eastAsiaTheme="minorEastAsia" w:hAnsiTheme="minorHAnsi" w:cstheme="minorBidi"/>
          <w:noProof/>
          <w:sz w:val="22"/>
          <w:szCs w:val="22"/>
        </w:rPr>
        <w:tab/>
      </w:r>
      <w:r>
        <w:rPr>
          <w:noProof/>
        </w:rPr>
        <w:t>Child care</w:t>
      </w:r>
      <w:r>
        <w:rPr>
          <w:noProof/>
        </w:rPr>
        <w:tab/>
      </w:r>
      <w:r>
        <w:rPr>
          <w:noProof/>
        </w:rPr>
        <w:fldChar w:fldCharType="begin"/>
      </w:r>
      <w:r>
        <w:rPr>
          <w:noProof/>
        </w:rPr>
        <w:instrText xml:space="preserve"> PAGEREF _Toc396382645 \h </w:instrText>
      </w:r>
      <w:r>
        <w:rPr>
          <w:noProof/>
        </w:rPr>
      </w:r>
      <w:r>
        <w:rPr>
          <w:noProof/>
        </w:rPr>
        <w:fldChar w:fldCharType="separate"/>
      </w:r>
      <w:r w:rsidR="00715F88">
        <w:rPr>
          <w:noProof/>
        </w:rPr>
        <w:t>25</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2.13</w:t>
      </w:r>
      <w:r>
        <w:rPr>
          <w:rFonts w:asciiTheme="minorHAnsi" w:eastAsiaTheme="minorEastAsia" w:hAnsiTheme="minorHAnsi" w:cstheme="minorBidi"/>
          <w:noProof/>
          <w:sz w:val="22"/>
          <w:szCs w:val="22"/>
        </w:rPr>
        <w:tab/>
      </w:r>
      <w:r>
        <w:rPr>
          <w:noProof/>
        </w:rPr>
        <w:t>Fuel Tax Credit Scheme</w:t>
      </w:r>
      <w:r>
        <w:rPr>
          <w:noProof/>
        </w:rPr>
        <w:tab/>
      </w:r>
      <w:r>
        <w:rPr>
          <w:noProof/>
        </w:rPr>
        <w:fldChar w:fldCharType="begin"/>
      </w:r>
      <w:r>
        <w:rPr>
          <w:noProof/>
        </w:rPr>
        <w:instrText xml:space="preserve"> PAGEREF _Toc396382646 \h </w:instrText>
      </w:r>
      <w:r>
        <w:rPr>
          <w:noProof/>
        </w:rPr>
      </w:r>
      <w:r>
        <w:rPr>
          <w:noProof/>
        </w:rPr>
        <w:fldChar w:fldCharType="separate"/>
      </w:r>
      <w:r w:rsidR="00715F88">
        <w:rPr>
          <w:noProof/>
        </w:rPr>
        <w:t>26</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2.14</w:t>
      </w:r>
      <w:r>
        <w:rPr>
          <w:rFonts w:asciiTheme="minorHAnsi" w:eastAsiaTheme="minorEastAsia" w:hAnsiTheme="minorHAnsi" w:cstheme="minorBidi"/>
          <w:noProof/>
          <w:sz w:val="22"/>
          <w:szCs w:val="22"/>
        </w:rPr>
        <w:tab/>
      </w:r>
      <w:r>
        <w:rPr>
          <w:noProof/>
        </w:rPr>
        <w:t>Government superannuation</w:t>
      </w:r>
      <w:r>
        <w:rPr>
          <w:noProof/>
        </w:rPr>
        <w:tab/>
      </w:r>
      <w:r>
        <w:rPr>
          <w:noProof/>
        </w:rPr>
        <w:fldChar w:fldCharType="begin"/>
      </w:r>
      <w:r>
        <w:rPr>
          <w:noProof/>
        </w:rPr>
        <w:instrText xml:space="preserve"> PAGEREF _Toc396382647 \h </w:instrText>
      </w:r>
      <w:r>
        <w:rPr>
          <w:noProof/>
        </w:rPr>
      </w:r>
      <w:r>
        <w:rPr>
          <w:noProof/>
        </w:rPr>
        <w:fldChar w:fldCharType="separate"/>
      </w:r>
      <w:r w:rsidR="00715F88">
        <w:rPr>
          <w:noProof/>
        </w:rPr>
        <w:t>27</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2.15</w:t>
      </w:r>
      <w:r>
        <w:rPr>
          <w:rFonts w:asciiTheme="minorHAnsi" w:eastAsiaTheme="minorEastAsia" w:hAnsiTheme="minorHAnsi" w:cstheme="minorBidi"/>
          <w:noProof/>
          <w:sz w:val="22"/>
          <w:szCs w:val="22"/>
        </w:rPr>
        <w:tab/>
      </w:r>
      <w:r>
        <w:rPr>
          <w:noProof/>
        </w:rPr>
        <w:t>Family Tax Benefit</w:t>
      </w:r>
      <w:r>
        <w:rPr>
          <w:noProof/>
        </w:rPr>
        <w:tab/>
      </w:r>
      <w:r>
        <w:rPr>
          <w:noProof/>
        </w:rPr>
        <w:fldChar w:fldCharType="begin"/>
      </w:r>
      <w:r>
        <w:rPr>
          <w:noProof/>
        </w:rPr>
        <w:instrText xml:space="preserve"> PAGEREF _Toc396382648 \h </w:instrText>
      </w:r>
      <w:r>
        <w:rPr>
          <w:noProof/>
        </w:rPr>
      </w:r>
      <w:r>
        <w:rPr>
          <w:noProof/>
        </w:rPr>
        <w:fldChar w:fldCharType="separate"/>
      </w:r>
      <w:r w:rsidR="00715F88">
        <w:rPr>
          <w:noProof/>
        </w:rPr>
        <w:t>28</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2.16</w:t>
      </w:r>
      <w:r>
        <w:rPr>
          <w:rFonts w:asciiTheme="minorHAnsi" w:eastAsiaTheme="minorEastAsia" w:hAnsiTheme="minorHAnsi" w:cstheme="minorBidi"/>
          <w:noProof/>
          <w:sz w:val="22"/>
          <w:szCs w:val="22"/>
        </w:rPr>
        <w:tab/>
      </w:r>
      <w:r>
        <w:rPr>
          <w:noProof/>
        </w:rPr>
        <w:t>Private Health Insurance Rebate</w:t>
      </w:r>
      <w:r>
        <w:rPr>
          <w:noProof/>
        </w:rPr>
        <w:tab/>
      </w:r>
      <w:r>
        <w:rPr>
          <w:noProof/>
        </w:rPr>
        <w:fldChar w:fldCharType="begin"/>
      </w:r>
      <w:r>
        <w:rPr>
          <w:noProof/>
        </w:rPr>
        <w:instrText xml:space="preserve"> PAGEREF _Toc396382649 \h </w:instrText>
      </w:r>
      <w:r>
        <w:rPr>
          <w:noProof/>
        </w:rPr>
      </w:r>
      <w:r>
        <w:rPr>
          <w:noProof/>
        </w:rPr>
        <w:fldChar w:fldCharType="separate"/>
      </w:r>
      <w:r w:rsidR="00715F88">
        <w:rPr>
          <w:noProof/>
        </w:rPr>
        <w:t>29</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2.17</w:t>
      </w:r>
      <w:r>
        <w:rPr>
          <w:rFonts w:asciiTheme="minorHAnsi" w:eastAsiaTheme="minorEastAsia" w:hAnsiTheme="minorHAnsi" w:cstheme="minorBidi"/>
          <w:noProof/>
          <w:sz w:val="22"/>
          <w:szCs w:val="22"/>
        </w:rPr>
        <w:tab/>
      </w:r>
      <w:r>
        <w:rPr>
          <w:noProof/>
        </w:rPr>
        <w:t>Higher education</w:t>
      </w:r>
      <w:r>
        <w:rPr>
          <w:noProof/>
        </w:rPr>
        <w:tab/>
      </w:r>
      <w:r>
        <w:rPr>
          <w:noProof/>
        </w:rPr>
        <w:fldChar w:fldCharType="begin"/>
      </w:r>
      <w:r>
        <w:rPr>
          <w:noProof/>
        </w:rPr>
        <w:instrText xml:space="preserve"> PAGEREF _Toc396382650 \h </w:instrText>
      </w:r>
      <w:r>
        <w:rPr>
          <w:noProof/>
        </w:rPr>
      </w:r>
      <w:r>
        <w:rPr>
          <w:noProof/>
        </w:rPr>
        <w:fldChar w:fldCharType="separate"/>
      </w:r>
      <w:r w:rsidR="00715F88">
        <w:rPr>
          <w:noProof/>
        </w:rPr>
        <w:t>30</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2.18</w:t>
      </w:r>
      <w:r>
        <w:rPr>
          <w:rFonts w:asciiTheme="minorHAnsi" w:eastAsiaTheme="minorEastAsia" w:hAnsiTheme="minorHAnsi" w:cstheme="minorBidi"/>
          <w:noProof/>
          <w:sz w:val="22"/>
          <w:szCs w:val="22"/>
        </w:rPr>
        <w:tab/>
      </w:r>
      <w:r>
        <w:rPr>
          <w:noProof/>
        </w:rPr>
        <w:t>Newstart</w:t>
      </w:r>
      <w:r>
        <w:rPr>
          <w:noProof/>
        </w:rPr>
        <w:tab/>
      </w:r>
      <w:r>
        <w:rPr>
          <w:noProof/>
        </w:rPr>
        <w:fldChar w:fldCharType="begin"/>
      </w:r>
      <w:r>
        <w:rPr>
          <w:noProof/>
        </w:rPr>
        <w:instrText xml:space="preserve"> PAGEREF _Toc396382651 \h </w:instrText>
      </w:r>
      <w:r>
        <w:rPr>
          <w:noProof/>
        </w:rPr>
      </w:r>
      <w:r>
        <w:rPr>
          <w:noProof/>
        </w:rPr>
        <w:fldChar w:fldCharType="separate"/>
      </w:r>
      <w:r w:rsidR="00715F88">
        <w:rPr>
          <w:noProof/>
        </w:rPr>
        <w:t>31</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2.19</w:t>
      </w:r>
      <w:r>
        <w:rPr>
          <w:rFonts w:asciiTheme="minorHAnsi" w:eastAsiaTheme="minorEastAsia" w:hAnsiTheme="minorHAnsi" w:cstheme="minorBidi"/>
          <w:noProof/>
          <w:sz w:val="22"/>
          <w:szCs w:val="22"/>
        </w:rPr>
        <w:tab/>
      </w:r>
      <w:r>
        <w:rPr>
          <w:noProof/>
        </w:rPr>
        <w:t>Public debt interest</w:t>
      </w:r>
      <w:r>
        <w:rPr>
          <w:noProof/>
        </w:rPr>
        <w:tab/>
      </w:r>
      <w:r>
        <w:rPr>
          <w:noProof/>
        </w:rPr>
        <w:fldChar w:fldCharType="begin"/>
      </w:r>
      <w:r>
        <w:rPr>
          <w:noProof/>
        </w:rPr>
        <w:instrText xml:space="preserve"> PAGEREF _Toc396382652 \h </w:instrText>
      </w:r>
      <w:r>
        <w:rPr>
          <w:noProof/>
        </w:rPr>
      </w:r>
      <w:r>
        <w:rPr>
          <w:noProof/>
        </w:rPr>
        <w:fldChar w:fldCharType="separate"/>
      </w:r>
      <w:r w:rsidR="00715F88">
        <w:rPr>
          <w:noProof/>
        </w:rPr>
        <w:t>32</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2.20</w:t>
      </w:r>
      <w:r>
        <w:rPr>
          <w:rFonts w:asciiTheme="minorHAnsi" w:eastAsiaTheme="minorEastAsia" w:hAnsiTheme="minorHAnsi" w:cstheme="minorBidi"/>
          <w:noProof/>
          <w:sz w:val="22"/>
          <w:szCs w:val="22"/>
        </w:rPr>
        <w:tab/>
      </w:r>
      <w:r>
        <w:rPr>
          <w:noProof/>
        </w:rPr>
        <w:t>Official Development Assistance</w:t>
      </w:r>
      <w:r>
        <w:rPr>
          <w:noProof/>
        </w:rPr>
        <w:tab/>
      </w:r>
      <w:r>
        <w:rPr>
          <w:noProof/>
        </w:rPr>
        <w:fldChar w:fldCharType="begin"/>
      </w:r>
      <w:r>
        <w:rPr>
          <w:noProof/>
        </w:rPr>
        <w:instrText xml:space="preserve"> PAGEREF _Toc396382653 \h </w:instrText>
      </w:r>
      <w:r>
        <w:rPr>
          <w:noProof/>
        </w:rPr>
      </w:r>
      <w:r>
        <w:rPr>
          <w:noProof/>
        </w:rPr>
        <w:fldChar w:fldCharType="separate"/>
      </w:r>
      <w:r w:rsidR="00715F88">
        <w:rPr>
          <w:noProof/>
        </w:rPr>
        <w:t>33</w:t>
      </w:r>
      <w:r>
        <w:rPr>
          <w:noProof/>
        </w:rPr>
        <w:fldChar w:fldCharType="end"/>
      </w:r>
    </w:p>
    <w:p w:rsidR="00823531" w:rsidRDefault="00823531" w:rsidP="0072586C">
      <w:pPr>
        <w:pStyle w:val="TOC2"/>
        <w:tabs>
          <w:tab w:val="left" w:pos="880"/>
          <w:tab w:val="right" w:leader="underscore" w:pos="8108"/>
        </w:tabs>
        <w:ind w:left="426"/>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Pharmaceutical Benefits and Services</w:t>
      </w:r>
      <w:r>
        <w:rPr>
          <w:noProof/>
        </w:rPr>
        <w:tab/>
      </w:r>
      <w:r>
        <w:rPr>
          <w:noProof/>
        </w:rPr>
        <w:fldChar w:fldCharType="begin"/>
      </w:r>
      <w:r>
        <w:rPr>
          <w:noProof/>
        </w:rPr>
        <w:instrText xml:space="preserve"> PAGEREF _Toc396382654 \h </w:instrText>
      </w:r>
      <w:r>
        <w:rPr>
          <w:noProof/>
        </w:rPr>
      </w:r>
      <w:r>
        <w:rPr>
          <w:noProof/>
        </w:rPr>
        <w:fldChar w:fldCharType="separate"/>
      </w:r>
      <w:r w:rsidR="00715F88">
        <w:rPr>
          <w:noProof/>
        </w:rPr>
        <w:t>34</w:t>
      </w:r>
      <w:r>
        <w:rPr>
          <w:noProof/>
        </w:rPr>
        <w:fldChar w:fldCharType="end"/>
      </w:r>
    </w:p>
    <w:p w:rsidR="00823531" w:rsidRPr="00823531" w:rsidRDefault="00823531" w:rsidP="00823531">
      <w:pPr>
        <w:pStyle w:val="TOC1"/>
        <w:rPr>
          <w:rFonts w:asciiTheme="minorHAnsi" w:eastAsiaTheme="minorEastAsia" w:hAnsiTheme="minorHAnsi" w:cstheme="minorBidi"/>
          <w:b w:val="0"/>
          <w:sz w:val="22"/>
          <w:szCs w:val="22"/>
        </w:rPr>
      </w:pPr>
      <w:r w:rsidRPr="00057FF6">
        <w:t>A</w:t>
      </w:r>
      <w:r>
        <w:rPr>
          <w:rFonts w:asciiTheme="minorHAnsi" w:eastAsiaTheme="minorEastAsia" w:hAnsiTheme="minorHAnsi" w:cstheme="minorBidi"/>
          <w:b w:val="0"/>
          <w:sz w:val="22"/>
          <w:szCs w:val="22"/>
        </w:rPr>
        <w:tab/>
      </w:r>
      <w:r>
        <w:t>Technical notes</w:t>
      </w:r>
      <w:r>
        <w:tab/>
      </w:r>
      <w:r>
        <w:fldChar w:fldCharType="begin"/>
      </w:r>
      <w:r>
        <w:instrText xml:space="preserve"> PAGEREF _Toc396382655 \h </w:instrText>
      </w:r>
      <w:r>
        <w:fldChar w:fldCharType="separate"/>
      </w:r>
      <w:r w:rsidR="00715F88">
        <w:t>35</w:t>
      </w:r>
      <w:r>
        <w:fldChar w:fldCharType="end"/>
      </w:r>
    </w:p>
    <w:p w:rsidR="00823531" w:rsidRDefault="00823531">
      <w:pPr>
        <w:pStyle w:val="TOC1"/>
        <w:rPr>
          <w:rFonts w:asciiTheme="minorHAnsi" w:eastAsiaTheme="minorEastAsia" w:hAnsiTheme="minorHAnsi" w:cstheme="minorBidi"/>
          <w:b w:val="0"/>
          <w:sz w:val="22"/>
          <w:szCs w:val="22"/>
        </w:rPr>
      </w:pPr>
      <w:r w:rsidRPr="00057FF6">
        <w:t>B</w:t>
      </w:r>
      <w:r>
        <w:rPr>
          <w:rFonts w:asciiTheme="minorHAnsi" w:eastAsiaTheme="minorEastAsia" w:hAnsiTheme="minorHAnsi" w:cstheme="minorBidi"/>
          <w:b w:val="0"/>
          <w:sz w:val="22"/>
          <w:szCs w:val="22"/>
        </w:rPr>
        <w:tab/>
      </w:r>
      <w:r>
        <w:t>Data used in this report</w:t>
      </w:r>
      <w:r>
        <w:tab/>
      </w:r>
      <w:r>
        <w:fldChar w:fldCharType="begin"/>
      </w:r>
      <w:r>
        <w:instrText xml:space="preserve"> PAGEREF _Toc396382660 \h </w:instrText>
      </w:r>
      <w:r>
        <w:fldChar w:fldCharType="separate"/>
      </w:r>
      <w:r w:rsidR="00715F88">
        <w:t>38</w:t>
      </w:r>
      <w:r>
        <w:fldChar w:fldCharType="end"/>
      </w:r>
    </w:p>
    <w:p w:rsidR="00A25759" w:rsidRDefault="00A25759" w:rsidP="00E26C67">
      <w:r>
        <w:fldChar w:fldCharType="end"/>
      </w:r>
    </w:p>
    <w:p w:rsidR="002A5CB9" w:rsidRDefault="002A5CB9" w:rsidP="0033546E">
      <w:pPr>
        <w:pStyle w:val="PBOheading1"/>
        <w:sectPr w:rsidR="002A5CB9" w:rsidSect="00212EA4">
          <w:headerReference w:type="even" r:id="rId17"/>
          <w:headerReference w:type="default" r:id="rId18"/>
          <w:footerReference w:type="default" r:id="rId19"/>
          <w:headerReference w:type="first" r:id="rId20"/>
          <w:footerReference w:type="first" r:id="rId21"/>
          <w:pgSz w:w="11900" w:h="16840"/>
          <w:pgMar w:top="1440" w:right="1797" w:bottom="1440" w:left="1985" w:header="709" w:footer="709" w:gutter="0"/>
          <w:pgNumType w:fmt="lowerRoman"/>
          <w:cols w:space="708"/>
          <w:titlePg/>
          <w:docGrid w:linePitch="326"/>
        </w:sectPr>
      </w:pPr>
    </w:p>
    <w:p w:rsidR="00A95090" w:rsidRPr="0033546E" w:rsidRDefault="00A95090" w:rsidP="0033546E">
      <w:pPr>
        <w:pStyle w:val="PBOheading1"/>
      </w:pPr>
      <w:bookmarkStart w:id="47" w:name="_Toc394502038"/>
      <w:bookmarkStart w:id="48" w:name="_Toc396382627"/>
      <w:r w:rsidRPr="0033546E">
        <w:lastRenderedPageBreak/>
        <w:t>Foreword</w:t>
      </w:r>
      <w:bookmarkEnd w:id="47"/>
      <w:bookmarkEnd w:id="48"/>
    </w:p>
    <w:p w:rsidR="00D767FE" w:rsidRPr="00AD47CA" w:rsidRDefault="00D767FE" w:rsidP="00D767FE">
      <w:pPr>
        <w:pStyle w:val="PBOtext"/>
      </w:pPr>
      <w:bookmarkStart w:id="49" w:name="_Toc394502039"/>
      <w:r w:rsidRPr="00456491">
        <w:t xml:space="preserve">This </w:t>
      </w:r>
      <w:r>
        <w:t xml:space="preserve">report discusses the outlook for and drivers of </w:t>
      </w:r>
      <w:r w:rsidRPr="00456491">
        <w:t xml:space="preserve">Australian Government </w:t>
      </w:r>
      <w:r>
        <w:t>s</w:t>
      </w:r>
      <w:r w:rsidRPr="00456491">
        <w:t xml:space="preserve">pending to </w:t>
      </w:r>
      <w:r>
        <w:t xml:space="preserve">help inform </w:t>
      </w:r>
      <w:r w:rsidRPr="00456491">
        <w:t xml:space="preserve">discussion about </w:t>
      </w:r>
      <w:r>
        <w:t>the sustainability of spending over the medium term.</w:t>
      </w:r>
    </w:p>
    <w:p w:rsidR="00D767FE" w:rsidRPr="00AD47CA" w:rsidRDefault="00D767FE" w:rsidP="00D767FE">
      <w:pPr>
        <w:pStyle w:val="PBOtext"/>
      </w:pPr>
      <w:r w:rsidRPr="00AD47CA">
        <w:t xml:space="preserve">As significant policies and budget measures increasingly impact beyond the short term this report </w:t>
      </w:r>
      <w:r>
        <w:t>looks at the medium term, which encompasses the Budget forward estimates and the period to 2024-25</w:t>
      </w:r>
      <w:r w:rsidRPr="00AD47CA">
        <w:t xml:space="preserve">.  Rather than an exhaustive analysis of all the components of government spending, it frames </w:t>
      </w:r>
      <w:r>
        <w:t xml:space="preserve">the </w:t>
      </w:r>
      <w:r w:rsidRPr="00AD47CA">
        <w:t xml:space="preserve">discussion around </w:t>
      </w:r>
      <w:r>
        <w:t xml:space="preserve">the significant contributors to growth in total </w:t>
      </w:r>
      <w:r w:rsidRPr="00AD47CA">
        <w:t>government spending</w:t>
      </w:r>
      <w:r>
        <w:t>, and examines trends in these programs over the medium term.</w:t>
      </w:r>
    </w:p>
    <w:p w:rsidR="00D767FE" w:rsidRPr="00AD47CA" w:rsidRDefault="00D767FE" w:rsidP="00D767FE">
      <w:pPr>
        <w:pStyle w:val="PBOtext"/>
      </w:pPr>
      <w:r w:rsidRPr="00AD47CA">
        <w:t xml:space="preserve">Estimates of spending </w:t>
      </w:r>
      <w:r>
        <w:t xml:space="preserve">up to 2017-18 </w:t>
      </w:r>
      <w:r w:rsidRPr="00AD47CA">
        <w:t>used in this analysis are consistent with published 2014</w:t>
      </w:r>
      <w:r>
        <w:noBreakHyphen/>
      </w:r>
      <w:r w:rsidRPr="00AD47CA">
        <w:t>15</w:t>
      </w:r>
      <w:r>
        <w:t> </w:t>
      </w:r>
      <w:r w:rsidRPr="00AD47CA">
        <w:t xml:space="preserve">Budget figures.  </w:t>
      </w:r>
      <w:r>
        <w:t>Official estimates of spending on major programs beyond the forward estimates period are not published. Projected levels of spending on these programs beyond 2017</w:t>
      </w:r>
      <w:r>
        <w:noBreakHyphen/>
        <w:t xml:space="preserve">18 have been prepared by the PBO based on information provided by agencies and a range of models based on current policy settings. </w:t>
      </w:r>
      <w:r w:rsidRPr="00AD47CA">
        <w:t xml:space="preserve">These estimates do not incorporate the impact of </w:t>
      </w:r>
      <w:r w:rsidRPr="00FC058B">
        <w:t>policy</w:t>
      </w:r>
      <w:r>
        <w:t xml:space="preserve"> </w:t>
      </w:r>
      <w:r w:rsidRPr="00AD47CA">
        <w:t xml:space="preserve">changes since the 2014-15 Budget although analysis of the potential </w:t>
      </w:r>
      <w:r>
        <w:t>impact</w:t>
      </w:r>
      <w:r w:rsidRPr="00AD47CA">
        <w:t xml:space="preserve"> o</w:t>
      </w:r>
      <w:r>
        <w:t>f some significant yet to be legislated Budget savings measures is highlighted</w:t>
      </w:r>
      <w:r w:rsidRPr="00AD47CA">
        <w:t>.</w:t>
      </w:r>
    </w:p>
    <w:p w:rsidR="00D767FE" w:rsidRDefault="00D767FE" w:rsidP="00D767FE">
      <w:pPr>
        <w:pStyle w:val="PBOtext"/>
      </w:pPr>
      <w:r w:rsidRPr="00AD47CA">
        <w:t>The</w:t>
      </w:r>
      <w:r w:rsidR="00887039">
        <w:t xml:space="preserve"> data</w:t>
      </w:r>
      <w:r w:rsidRPr="00AD47CA">
        <w:t xml:space="preserve"> underly</w:t>
      </w:r>
      <w:r w:rsidR="00887039">
        <w:t xml:space="preserve">ing </w:t>
      </w:r>
      <w:r>
        <w:t xml:space="preserve">this report </w:t>
      </w:r>
      <w:r w:rsidR="00887039">
        <w:t>are available from the PBO website.</w:t>
      </w:r>
    </w:p>
    <w:p w:rsidR="00D767FE" w:rsidRDefault="00D767FE" w:rsidP="00D767FE">
      <w:pPr>
        <w:pStyle w:val="PBOtext"/>
      </w:pPr>
      <w:r>
        <w:t>I would like to thank the PBO staff involved in the preparation of this report. The report was prepared by Tim Pyne, Paul Gardiner, Nutan Singh, Holly Hart, Daniel Zeaiter and Anupam Sharma</w:t>
      </w:r>
      <w:r w:rsidR="00746325">
        <w:t>, with input from Tony McDonald</w:t>
      </w:r>
      <w:r>
        <w:t xml:space="preserve">.  The report was prepared for publication by Louise Milligan and Helen Moorhouse. </w:t>
      </w:r>
    </w:p>
    <w:p w:rsidR="00D767FE" w:rsidRDefault="00D767FE" w:rsidP="00D767FE">
      <w:pPr>
        <w:pStyle w:val="PBOtext"/>
      </w:pPr>
      <w:r w:rsidRPr="00AD47CA">
        <w:t xml:space="preserve">I </w:t>
      </w:r>
      <w:r>
        <w:t xml:space="preserve">also wish </w:t>
      </w:r>
      <w:r w:rsidRPr="00AD47CA">
        <w:t xml:space="preserve">to thank </w:t>
      </w:r>
      <w:r>
        <w:t xml:space="preserve">the </w:t>
      </w:r>
      <w:r w:rsidRPr="00AD47CA">
        <w:t xml:space="preserve">external referees who provided </w:t>
      </w:r>
      <w:r w:rsidR="00746325">
        <w:t xml:space="preserve">helpful </w:t>
      </w:r>
      <w:r w:rsidRPr="00AD47CA">
        <w:t>comments and suggestions on the report</w:t>
      </w:r>
      <w:r>
        <w:t xml:space="preserve">, </w:t>
      </w:r>
      <w:r w:rsidR="00746325">
        <w:t xml:space="preserve">namely the </w:t>
      </w:r>
      <w:r>
        <w:t xml:space="preserve">Grattan Institute </w:t>
      </w:r>
      <w:r w:rsidRPr="00A761A3">
        <w:t xml:space="preserve">and Mr Geoff </w:t>
      </w:r>
      <w:proofErr w:type="spellStart"/>
      <w:r w:rsidRPr="00A761A3">
        <w:t>Carmody</w:t>
      </w:r>
      <w:proofErr w:type="spellEnd"/>
      <w:r w:rsidR="003D3E20" w:rsidRPr="00A761A3">
        <w:t>,</w:t>
      </w:r>
      <w:r w:rsidR="003D3E20">
        <w:t xml:space="preserve"> Director, Geoff </w:t>
      </w:r>
      <w:proofErr w:type="spellStart"/>
      <w:r w:rsidR="003D3E20">
        <w:t>Carmody</w:t>
      </w:r>
      <w:proofErr w:type="spellEnd"/>
      <w:r w:rsidR="003D3E20">
        <w:t xml:space="preserve"> &amp; Associates, and a co-founder of Access Economics</w:t>
      </w:r>
      <w:r>
        <w:t>.</w:t>
      </w:r>
      <w:r w:rsidRPr="00AD47CA">
        <w:t xml:space="preserve"> The assistance of external reviewers does not imply any responsibility on their part for the content of the final report, which rests solely with the PBO.</w:t>
      </w:r>
    </w:p>
    <w:p w:rsidR="003A39E1" w:rsidRDefault="003A39E1" w:rsidP="003A39E1">
      <w:pPr>
        <w:pStyle w:val="PBOtext"/>
        <w:spacing w:before="840" w:after="0"/>
      </w:pPr>
      <w:r>
        <w:t>Phil Bowen PSM FCPA</w:t>
      </w:r>
    </w:p>
    <w:p w:rsidR="003A39E1" w:rsidRDefault="003A39E1" w:rsidP="003A39E1">
      <w:pPr>
        <w:pStyle w:val="PBOtext"/>
        <w:spacing w:before="0"/>
      </w:pPr>
      <w:r>
        <w:t>Parliamentary Budget Officer</w:t>
      </w:r>
    </w:p>
    <w:p w:rsidR="003A39E1" w:rsidRDefault="00D767FE" w:rsidP="003A39E1">
      <w:pPr>
        <w:pStyle w:val="PBOtext"/>
      </w:pPr>
      <w:r>
        <w:t>2</w:t>
      </w:r>
      <w:r w:rsidR="00746325">
        <w:t>2</w:t>
      </w:r>
      <w:r w:rsidR="003A39E1">
        <w:t xml:space="preserve"> August 2014</w:t>
      </w:r>
    </w:p>
    <w:p w:rsidR="006361CC" w:rsidRDefault="006361CC">
      <w:pPr>
        <w:spacing w:before="0" w:after="0"/>
      </w:pPr>
    </w:p>
    <w:p w:rsidR="006361CC" w:rsidRDefault="006361CC" w:rsidP="00E26C67">
      <w:pPr>
        <w:pStyle w:val="PBOtext"/>
        <w:sectPr w:rsidR="006361CC" w:rsidSect="00212EA4">
          <w:footerReference w:type="first" r:id="rId22"/>
          <w:pgSz w:w="11900" w:h="16840"/>
          <w:pgMar w:top="1440" w:right="1797" w:bottom="1440" w:left="1985" w:header="709" w:footer="709" w:gutter="0"/>
          <w:pgNumType w:fmt="lowerRoman"/>
          <w:cols w:space="708"/>
          <w:titlePg/>
          <w:docGrid w:linePitch="326"/>
        </w:sectPr>
      </w:pPr>
    </w:p>
    <w:p w:rsidR="00941AC5" w:rsidRPr="000554AF" w:rsidRDefault="0098461C" w:rsidP="00401149">
      <w:pPr>
        <w:pStyle w:val="PBOheading1"/>
      </w:pPr>
      <w:bookmarkStart w:id="50" w:name="_Toc396382628"/>
      <w:bookmarkEnd w:id="49"/>
      <w:r w:rsidRPr="00401149">
        <w:lastRenderedPageBreak/>
        <w:t>Overview</w:t>
      </w:r>
      <w:bookmarkEnd w:id="50"/>
    </w:p>
    <w:p w:rsidR="00114EF6" w:rsidRPr="00B2601C" w:rsidRDefault="00114EF6" w:rsidP="00114EF6">
      <w:pPr>
        <w:pStyle w:val="PBOtext"/>
      </w:pPr>
      <w:r w:rsidRPr="00252253">
        <w:t>Comprehensive information on trends in and key drivers of government spending is important for an understanding of the level of sustainability of government spending and the future direction of fiscal policy.</w:t>
      </w:r>
    </w:p>
    <w:p w:rsidR="00114EF6" w:rsidRPr="00B2601C" w:rsidRDefault="00114EF6" w:rsidP="00114EF6">
      <w:pPr>
        <w:pStyle w:val="PBOtext"/>
      </w:pPr>
      <w:r w:rsidRPr="00B2601C">
        <w:t>This is the second PBO report on Australian Government spending.</w:t>
      </w:r>
    </w:p>
    <w:p w:rsidR="00114EF6" w:rsidRPr="00B2601C" w:rsidRDefault="00114EF6" w:rsidP="00114EF6">
      <w:pPr>
        <w:pStyle w:val="PBOtext"/>
      </w:pPr>
      <w:r w:rsidRPr="00B2601C">
        <w:t>The first rep</w:t>
      </w:r>
      <w:r>
        <w:t>ort examined historical trends i</w:t>
      </w:r>
      <w:r w:rsidRPr="00B2601C">
        <w:t>n government spending over the decade 2002-03 to 2012</w:t>
      </w:r>
      <w:r>
        <w:noBreakHyphen/>
      </w:r>
      <w:r w:rsidRPr="00B2601C">
        <w:t>13.</w:t>
      </w:r>
      <w:r w:rsidRPr="00D90CD4">
        <w:rPr>
          <w:vertAlign w:val="superscript"/>
        </w:rPr>
        <w:footnoteReference w:id="1"/>
      </w:r>
    </w:p>
    <w:p w:rsidR="00114EF6" w:rsidRPr="00B2601C" w:rsidRDefault="00114EF6" w:rsidP="00114EF6">
      <w:pPr>
        <w:pStyle w:val="PBOtext"/>
      </w:pPr>
      <w:r w:rsidRPr="00102CC2">
        <w:t xml:space="preserve">The real growth in Australian Government spending over the past decade </w:t>
      </w:r>
      <w:r>
        <w:t>(annual average 3.6 </w:t>
      </w:r>
      <w:r w:rsidRPr="00102CC2">
        <w:t>per</w:t>
      </w:r>
      <w:r>
        <w:t> </w:t>
      </w:r>
      <w:r w:rsidRPr="00102CC2">
        <w:t>cent) was significantly greater than real economic growth (annual average 3.0 per cent).</w:t>
      </w:r>
    </w:p>
    <w:p w:rsidR="00114EF6" w:rsidRDefault="00114EF6" w:rsidP="00114EF6">
      <w:pPr>
        <w:pStyle w:val="PBOtext"/>
      </w:pPr>
      <w:r w:rsidRPr="00887039">
        <w:t xml:space="preserve">The strong growth in Australia’s national income </w:t>
      </w:r>
      <w:r w:rsidR="00E65F66" w:rsidRPr="00887039">
        <w:t>(</w:t>
      </w:r>
      <w:r w:rsidRPr="00887039">
        <w:t>and nominal GDP</w:t>
      </w:r>
      <w:r w:rsidR="00E65F66" w:rsidRPr="00887039">
        <w:t>,</w:t>
      </w:r>
      <w:r w:rsidRPr="00887039">
        <w:t xml:space="preserve"> a key driver of revenue growth)</w:t>
      </w:r>
      <w:r w:rsidRPr="00B2601C">
        <w:t xml:space="preserve"> from the historic surge in Australia’s terms of trade broadly offset this spending growth, with the ratio of Australian Government spending to </w:t>
      </w:r>
      <w:r>
        <w:t xml:space="preserve">nominal </w:t>
      </w:r>
      <w:r w:rsidRPr="00B2601C">
        <w:t>GDP</w:t>
      </w:r>
      <w:r>
        <w:t xml:space="preserve"> being</w:t>
      </w:r>
      <w:r w:rsidRPr="00B2601C">
        <w:t xml:space="preserve"> about the same in 2012</w:t>
      </w:r>
      <w:r w:rsidRPr="00B2601C">
        <w:noBreakHyphen/>
        <w:t>13 as it was in 2002</w:t>
      </w:r>
      <w:r w:rsidRPr="00B2601C">
        <w:noBreakHyphen/>
        <w:t>03.</w:t>
      </w:r>
      <w:r>
        <w:t xml:space="preserve"> </w:t>
      </w:r>
    </w:p>
    <w:p w:rsidR="00114EF6" w:rsidRDefault="00114EF6" w:rsidP="00114EF6">
      <w:pPr>
        <w:pStyle w:val="PBOtext"/>
      </w:pPr>
      <w:r w:rsidRPr="00B2601C">
        <w:t xml:space="preserve">This report discusses the outlook </w:t>
      </w:r>
      <w:r>
        <w:t xml:space="preserve">for </w:t>
      </w:r>
      <w:r w:rsidRPr="00B2601C">
        <w:t xml:space="preserve">and drivers of Australian Government spending over the medium term – the period </w:t>
      </w:r>
      <w:r>
        <w:t xml:space="preserve">2012-13 </w:t>
      </w:r>
      <w:r w:rsidRPr="00B2601C">
        <w:t>to 2024</w:t>
      </w:r>
      <w:r w:rsidRPr="00B2601C">
        <w:noBreakHyphen/>
        <w:t>25.</w:t>
      </w:r>
    </w:p>
    <w:p w:rsidR="00114EF6" w:rsidRDefault="00114EF6" w:rsidP="00114EF6">
      <w:pPr>
        <w:pStyle w:val="PBOtext"/>
      </w:pPr>
      <w:r w:rsidRPr="00887039">
        <w:t>The projected continuing decline in the terms of trade from its historical highs, and the depressing impact this will have on nominal GDP, mean that if government spending as a share of the economy is not to rise over the medium term, it will require real growth in spending to be significantly slower than growth in real GDP.</w:t>
      </w:r>
    </w:p>
    <w:p w:rsidR="00114EF6" w:rsidRPr="00B2601C" w:rsidRDefault="00114EF6" w:rsidP="00114EF6">
      <w:pPr>
        <w:pStyle w:val="PBOtext"/>
      </w:pPr>
      <w:r w:rsidRPr="00B2601C">
        <w:t>The Australian Government’s medium term projections are for a substantial slowing in the real growth in Australian Governm</w:t>
      </w:r>
      <w:r>
        <w:t xml:space="preserve">ent spending </w:t>
      </w:r>
      <w:r w:rsidRPr="00B2601C">
        <w:t>compared with the past decade, with real spending growth</w:t>
      </w:r>
      <w:r>
        <w:t xml:space="preserve"> (annual average growth 2.6 per cent)</w:t>
      </w:r>
      <w:r w:rsidRPr="00B2601C">
        <w:t xml:space="preserve"> significantly lower than real economic growth </w:t>
      </w:r>
      <w:r>
        <w:t>(annual average 3.2</w:t>
      </w:r>
      <w:r w:rsidRPr="00B2601C">
        <w:t> per cent)</w:t>
      </w:r>
      <w:r>
        <w:t xml:space="preserve"> over the medium term</w:t>
      </w:r>
      <w:r w:rsidRPr="00B2601C">
        <w:t>.</w:t>
      </w:r>
    </w:p>
    <w:p w:rsidR="00114EF6" w:rsidRPr="00B2601C" w:rsidRDefault="00114EF6" w:rsidP="00114EF6">
      <w:pPr>
        <w:pStyle w:val="PBOtext"/>
      </w:pPr>
      <w:r w:rsidRPr="00B2601C">
        <w:t>Even with this reduction in the pace of spending growth, the</w:t>
      </w:r>
      <w:r>
        <w:t xml:space="preserve"> projected</w:t>
      </w:r>
      <w:r w:rsidRPr="00B2601C">
        <w:t xml:space="preserve"> ratio of Australian Government spending to </w:t>
      </w:r>
      <w:r>
        <w:t xml:space="preserve">nominal </w:t>
      </w:r>
      <w:r w:rsidRPr="00B2601C">
        <w:t>GDP over the medium term is, on average, about the same as in the past decade</w:t>
      </w:r>
      <w:r>
        <w:t xml:space="preserve">.  </w:t>
      </w:r>
    </w:p>
    <w:p w:rsidR="00114EF6" w:rsidRDefault="00114EF6" w:rsidP="00114EF6">
      <w:pPr>
        <w:pStyle w:val="PBOtext"/>
      </w:pPr>
      <w:r w:rsidRPr="00B2601C">
        <w:t>This report analyses what is driving the reduction in</w:t>
      </w:r>
      <w:r>
        <w:t xml:space="preserve"> growth in</w:t>
      </w:r>
      <w:r w:rsidRPr="00B2601C">
        <w:t xml:space="preserve"> Australian Government spending over the medium term by a detailed assessment of twenty</w:t>
      </w:r>
      <w:r w:rsidRPr="00B2601C">
        <w:noBreakHyphen/>
        <w:t>one programs that account for around three</w:t>
      </w:r>
      <w:r>
        <w:noBreakHyphen/>
      </w:r>
      <w:r w:rsidRPr="00B2601C">
        <w:t>quarters of projected govern</w:t>
      </w:r>
      <w:r>
        <w:t>ment spending and nearly all (95</w:t>
      </w:r>
      <w:r w:rsidRPr="00B2601C">
        <w:t xml:space="preserve"> per cent) of the growth in total spending over the medium term.</w:t>
      </w:r>
      <w:r>
        <w:t xml:space="preserve"> </w:t>
      </w:r>
    </w:p>
    <w:p w:rsidR="00114EF6" w:rsidRDefault="00114EF6" w:rsidP="00114EF6">
      <w:pPr>
        <w:pStyle w:val="PBOtext"/>
      </w:pPr>
      <w:r>
        <w:t>Sheer arithmetic dictates that it is very difficult to reduce overall growth in Australian Government spending without reducing the pace of spending in these programs.</w:t>
      </w:r>
    </w:p>
    <w:p w:rsidR="00114EF6" w:rsidRPr="00B2601C" w:rsidRDefault="00114EF6" w:rsidP="00114EF6">
      <w:pPr>
        <w:pStyle w:val="PBOtext"/>
      </w:pPr>
      <w:r>
        <w:t xml:space="preserve">Based on current policy settings, the PBO’s </w:t>
      </w:r>
      <w:r w:rsidRPr="00B2601C">
        <w:t xml:space="preserve">medium term projections </w:t>
      </w:r>
      <w:r>
        <w:t xml:space="preserve">show </w:t>
      </w:r>
      <w:r w:rsidR="00A761A3">
        <w:t>that growth in spending on ten</w:t>
      </w:r>
      <w:r>
        <w:t xml:space="preserve"> </w:t>
      </w:r>
      <w:r w:rsidRPr="00B2601C">
        <w:t>programs that grew rapidly over the past decade will be constrained to less than real GDP growth over the next decade</w:t>
      </w:r>
      <w:r w:rsidR="00887039">
        <w:t>.  These programs are</w:t>
      </w:r>
      <w:r>
        <w:t xml:space="preserve"> Family Tax Benefit, higher education, Medicare, public hospitals,</w:t>
      </w:r>
      <w:r w:rsidRPr="00B2601C">
        <w:t xml:space="preserve"> </w:t>
      </w:r>
      <w:r>
        <w:t>A</w:t>
      </w:r>
      <w:r w:rsidRPr="00B2601C">
        <w:t xml:space="preserve">ge </w:t>
      </w:r>
      <w:r>
        <w:t>Pension, Private Health Insurance Reba</w:t>
      </w:r>
      <w:r w:rsidR="00887039">
        <w:t xml:space="preserve">te, </w:t>
      </w:r>
      <w:r>
        <w:t>D</w:t>
      </w:r>
      <w:r w:rsidRPr="00B2601C">
        <w:t xml:space="preserve">isability </w:t>
      </w:r>
      <w:r>
        <w:t>S</w:t>
      </w:r>
      <w:r w:rsidRPr="00B2601C">
        <w:t xml:space="preserve">upport </w:t>
      </w:r>
      <w:r>
        <w:t>Pension</w:t>
      </w:r>
      <w:r w:rsidR="00887039">
        <w:t xml:space="preserve">, </w:t>
      </w:r>
      <w:r w:rsidR="008472BD">
        <w:t>g</w:t>
      </w:r>
      <w:r w:rsidR="00887039">
        <w:t>overnment superannuation, public debt interest and Official Development Assistance.</w:t>
      </w:r>
    </w:p>
    <w:p w:rsidR="00114EF6" w:rsidRPr="00B2601C" w:rsidRDefault="00114EF6" w:rsidP="00114EF6">
      <w:pPr>
        <w:pStyle w:val="PBOtext"/>
      </w:pPr>
      <w:r>
        <w:lastRenderedPageBreak/>
        <w:t xml:space="preserve">However, there are </w:t>
      </w:r>
      <w:r w:rsidRPr="00B2601C">
        <w:t xml:space="preserve">a number of challenges to achieving these </w:t>
      </w:r>
      <w:r w:rsidR="00887039">
        <w:t>lower growth spending outcomes.</w:t>
      </w:r>
    </w:p>
    <w:p w:rsidR="00114EF6" w:rsidRDefault="00887039" w:rsidP="00114EF6">
      <w:pPr>
        <w:pStyle w:val="PBOtext"/>
      </w:pPr>
      <w:r>
        <w:t>The</w:t>
      </w:r>
      <w:r w:rsidR="00114EF6" w:rsidRPr="00B2601C">
        <w:t xml:space="preserve"> sustained period </w:t>
      </w:r>
      <w:r w:rsidR="005265F2">
        <w:t>of strong growth in Australian G</w:t>
      </w:r>
      <w:r w:rsidR="00114EF6" w:rsidRPr="00B2601C">
        <w:t xml:space="preserve">overnment spending </w:t>
      </w:r>
      <w:r w:rsidR="00114EF6">
        <w:t xml:space="preserve">over the past decade </w:t>
      </w:r>
      <w:r w:rsidR="005D2206">
        <w:t>can</w:t>
      </w:r>
      <w:r w:rsidR="00114EF6" w:rsidRPr="00B2601C">
        <w:t xml:space="preserve"> reasonably be expected to have lifted the Australian community’s expectations</w:t>
      </w:r>
      <w:r w:rsidR="00DB68F1">
        <w:t xml:space="preserve"> of continuing higher</w:t>
      </w:r>
      <w:r w:rsidR="00114EF6" w:rsidRPr="00B2601C">
        <w:t xml:space="preserve"> level</w:t>
      </w:r>
      <w:r w:rsidR="00DB68F1">
        <w:t>s</w:t>
      </w:r>
      <w:r w:rsidR="00114EF6" w:rsidRPr="00B2601C">
        <w:t xml:space="preserve"> of government services and benefits over the medium term.  Realising the projected slowing in the pace of growth of </w:t>
      </w:r>
      <w:r w:rsidR="005265F2">
        <w:t>Australian Government</w:t>
      </w:r>
      <w:r w:rsidR="00114EF6" w:rsidRPr="00B2601C">
        <w:t xml:space="preserve"> spending implies successfully adjusting these expectations.</w:t>
      </w:r>
    </w:p>
    <w:p w:rsidR="00114EF6" w:rsidRPr="00B2601C" w:rsidRDefault="00114EF6" w:rsidP="00114EF6">
      <w:pPr>
        <w:pStyle w:val="PBOtext"/>
      </w:pPr>
      <w:r>
        <w:t xml:space="preserve">The PBO’s </w:t>
      </w:r>
      <w:r w:rsidRPr="00B2601C">
        <w:t>projections are based on current government policy and assume no</w:t>
      </w:r>
      <w:r>
        <w:t xml:space="preserve"> new policy decisions in the future to expand or enhance Australian Government payments</w:t>
      </w:r>
      <w:r w:rsidRPr="00B2601C">
        <w:t>.</w:t>
      </w:r>
      <w:r>
        <w:t xml:space="preserve">  However, t</w:t>
      </w:r>
      <w:r w:rsidRPr="00B2601C">
        <w:t xml:space="preserve">his runs </w:t>
      </w:r>
      <w:r>
        <w:t>counter to experience over the p</w:t>
      </w:r>
      <w:r w:rsidRPr="00B2601C">
        <w:t xml:space="preserve">ast decade where there were significant discretionary increases in spending on </w:t>
      </w:r>
      <w:r>
        <w:t>a range of programs</w:t>
      </w:r>
      <w:r w:rsidR="00A4712A">
        <w:t xml:space="preserve">, </w:t>
      </w:r>
      <w:r>
        <w:t xml:space="preserve">including </w:t>
      </w:r>
      <w:r w:rsidRPr="00B2601C">
        <w:t xml:space="preserve">Age Pension, Family Tax Benefit, Disability Support Pension, </w:t>
      </w:r>
      <w:r>
        <w:t>carer i</w:t>
      </w:r>
      <w:r w:rsidRPr="00B2601C">
        <w:t xml:space="preserve">ncome </w:t>
      </w:r>
      <w:r>
        <w:t>s</w:t>
      </w:r>
      <w:r w:rsidRPr="00B2601C">
        <w:t xml:space="preserve">upport, </w:t>
      </w:r>
      <w:r w:rsidR="00E65F66">
        <w:t xml:space="preserve">child care, </w:t>
      </w:r>
      <w:r w:rsidRPr="00B2601C">
        <w:t>Medicare and higher education.</w:t>
      </w:r>
    </w:p>
    <w:p w:rsidR="00114EF6" w:rsidRPr="00B2601C" w:rsidRDefault="00114EF6" w:rsidP="00114EF6">
      <w:pPr>
        <w:pStyle w:val="PBOtext"/>
      </w:pPr>
      <w:r>
        <w:t>Additionally</w:t>
      </w:r>
      <w:r w:rsidRPr="00B2601C">
        <w:t>, the projected slower spending growth over the medium term is dependent on 2014</w:t>
      </w:r>
      <w:r>
        <w:noBreakHyphen/>
      </w:r>
      <w:r w:rsidRPr="00B2601C">
        <w:t>15</w:t>
      </w:r>
      <w:r>
        <w:t> </w:t>
      </w:r>
      <w:r w:rsidRPr="00B2601C">
        <w:t>Budget savings measures, most of which are yet to be legislated.  Nearly all of the programs that are projected to grow at a slower pace over the medium term assume the implementation of savings measures</w:t>
      </w:r>
      <w:r w:rsidR="00D820F3">
        <w:t xml:space="preserve"> that are yet to be legislated.</w:t>
      </w:r>
      <w:r w:rsidRPr="00B2601C">
        <w:t xml:space="preserve"> </w:t>
      </w:r>
      <w:r w:rsidR="00D820F3">
        <w:t>Savings measures in these programs are projected to reduce spending over the medium term, with an impact of $19 billion or 0.7 per cent of GDP in 2024</w:t>
      </w:r>
      <w:r w:rsidR="00D820F3">
        <w:noBreakHyphen/>
        <w:t>25</w:t>
      </w:r>
      <w:r w:rsidRPr="00D820F3">
        <w:t>.</w:t>
      </w:r>
      <w:r w:rsidRPr="00D820F3">
        <w:rPr>
          <w:rStyle w:val="FootnoteReference"/>
        </w:rPr>
        <w:footnoteReference w:id="2"/>
      </w:r>
    </w:p>
    <w:p w:rsidR="00114EF6" w:rsidRDefault="00114EF6" w:rsidP="00114EF6">
      <w:pPr>
        <w:pStyle w:val="PBOtext"/>
      </w:pPr>
      <w:r>
        <w:t xml:space="preserve">The slower growth in Australian Government spending over the medium term also </w:t>
      </w:r>
      <w:r w:rsidRPr="00904B4E">
        <w:t>reflects significantly reduce</w:t>
      </w:r>
      <w:r>
        <w:t>d</w:t>
      </w:r>
      <w:r w:rsidRPr="00904B4E">
        <w:t xml:space="preserve"> growth in Commonwealth funding for </w:t>
      </w:r>
      <w:r>
        <w:t>schools and hospitals from 2017</w:t>
      </w:r>
      <w:r>
        <w:noBreakHyphen/>
      </w:r>
      <w:r w:rsidRPr="00904B4E">
        <w:t>18.</w:t>
      </w:r>
      <w:r>
        <w:t xml:space="preserve">  In practice, this may result in a </w:t>
      </w:r>
      <w:r w:rsidRPr="00904B4E">
        <w:t>shift in the funding responsibility for these programs from the Commonwealth to the States</w:t>
      </w:r>
      <w:r>
        <w:t xml:space="preserve"> rather than an overall reduction in the growth of government spending in these areas</w:t>
      </w:r>
      <w:r w:rsidRPr="00904B4E">
        <w:t xml:space="preserve">.  In particular, the expected growth in demand for hospital services over the medium term </w:t>
      </w:r>
      <w:r>
        <w:t>is likely to place increasing pressure on S</w:t>
      </w:r>
      <w:r w:rsidRPr="00904B4E">
        <w:t>tate budgets.</w:t>
      </w:r>
    </w:p>
    <w:p w:rsidR="00114EF6" w:rsidRPr="00B24549" w:rsidRDefault="00114EF6" w:rsidP="00114EF6">
      <w:pPr>
        <w:pStyle w:val="PBOtext"/>
      </w:pPr>
      <w:r w:rsidRPr="00B24549">
        <w:t>Programs</w:t>
      </w:r>
      <w:r>
        <w:t xml:space="preserve"> projected to</w:t>
      </w:r>
      <w:r w:rsidRPr="00B24549">
        <w:t xml:space="preserve"> grow faster over the medium term than</w:t>
      </w:r>
      <w:r>
        <w:t xml:space="preserve"> over</w:t>
      </w:r>
      <w:r w:rsidRPr="00B24549">
        <w:t xml:space="preserve"> the past decade include defence, GST transfers to States, the National Disability Insurance Scheme and the expanded </w:t>
      </w:r>
      <w:r>
        <w:t>Paid P</w:t>
      </w:r>
      <w:r w:rsidRPr="00B24549">
        <w:t xml:space="preserve">arental </w:t>
      </w:r>
      <w:r>
        <w:t>L</w:t>
      </w:r>
      <w:r w:rsidRPr="00B24549">
        <w:t>eave scheme. However, reducing spending in so</w:t>
      </w:r>
      <w:r w:rsidR="00BD083C">
        <w:t xml:space="preserve">me of these programs would not </w:t>
      </w:r>
      <w:r w:rsidRPr="00B24549">
        <w:t>result in a net saving to the budget, due to related, broadly offsetting revenue items and/or other spending offsets.  In particular, the largest contribution to Australian Government spending over the medium term is GST transfers to the States, which in e</w:t>
      </w:r>
      <w:r w:rsidR="00770CF8">
        <w:t>ffect mirrors GST collections.</w:t>
      </w:r>
    </w:p>
    <w:p w:rsidR="00114EF6" w:rsidRDefault="00114EF6" w:rsidP="00114EF6">
      <w:pPr>
        <w:pStyle w:val="PBOtext"/>
      </w:pPr>
      <w:r>
        <w:t xml:space="preserve">While the National Disability Insurance Scheme </w:t>
      </w:r>
      <w:r w:rsidRPr="00B24549">
        <w:t>and expa</w:t>
      </w:r>
      <w:r>
        <w:t>nded P</w:t>
      </w:r>
      <w:r w:rsidRPr="00B24549">
        <w:t xml:space="preserve">aid </w:t>
      </w:r>
      <w:r>
        <w:t>P</w:t>
      </w:r>
      <w:r w:rsidRPr="00B24549">
        <w:t xml:space="preserve">arental </w:t>
      </w:r>
      <w:r>
        <w:t>L</w:t>
      </w:r>
      <w:r w:rsidRPr="00B24549">
        <w:t xml:space="preserve">eave scheme are significant contributors to </w:t>
      </w:r>
      <w:r>
        <w:t xml:space="preserve">spending </w:t>
      </w:r>
      <w:r w:rsidRPr="00B24549">
        <w:t>growth over the medium term,</w:t>
      </w:r>
      <w:r w:rsidR="00757DC8">
        <w:t xml:space="preserve"> together accounting for 19 per </w:t>
      </w:r>
      <w:r w:rsidRPr="00B24549">
        <w:t xml:space="preserve">cent of the growth in total spending, the net impact of this spending on the budget is reduced by levies, contributions from State and Territory Governments, and reductions in other </w:t>
      </w:r>
      <w:r w:rsidR="005265F2">
        <w:t>Australian Government</w:t>
      </w:r>
      <w:r w:rsidRPr="00B24549">
        <w:t xml:space="preserve"> programs.</w:t>
      </w:r>
    </w:p>
    <w:p w:rsidR="00522FD5" w:rsidRPr="003D3075" w:rsidRDefault="00522FD5" w:rsidP="00522FD5">
      <w:pPr>
        <w:pStyle w:val="PBOtext"/>
      </w:pPr>
      <w:r w:rsidRPr="003D3075">
        <w:t>Th</w:t>
      </w:r>
      <w:r w:rsidR="00414352">
        <w:t>e above challenges</w:t>
      </w:r>
      <w:r w:rsidR="00D304CE">
        <w:t xml:space="preserve"> to achieving lower spending growth</w:t>
      </w:r>
      <w:r w:rsidR="00414352">
        <w:t xml:space="preserve"> mean that</w:t>
      </w:r>
      <w:r w:rsidRPr="003D3075">
        <w:t xml:space="preserve"> actual spending outcomes could exceed the projec</w:t>
      </w:r>
      <w:r w:rsidR="008C39AA">
        <w:t>tions contained in this report which, given current revenue projections, could place</w:t>
      </w:r>
      <w:r w:rsidRPr="003D3075">
        <w:t xml:space="preserve"> fiscal sustainability at risk.</w:t>
      </w:r>
    </w:p>
    <w:p w:rsidR="00770CF8" w:rsidRDefault="00114EF6" w:rsidP="00770CF8">
      <w:pPr>
        <w:pStyle w:val="PBOtext"/>
      </w:pPr>
      <w:r>
        <w:t>To the extent that the projected reduction in Australian Government spending growth is not achieved over the medium term, an even greater share of the burden of fiscal consolidation would need to fall on the revenue side of the budget.</w:t>
      </w:r>
      <w:r w:rsidR="00D304CE">
        <w:t xml:space="preserve">  That said, the</w:t>
      </w:r>
      <w:r>
        <w:t xml:space="preserve"> Australian Government’s medium term </w:t>
      </w:r>
      <w:r w:rsidR="00F86E7B">
        <w:t xml:space="preserve">budget </w:t>
      </w:r>
      <w:r>
        <w:t xml:space="preserve">projections </w:t>
      </w:r>
      <w:r w:rsidR="00F86E7B">
        <w:t xml:space="preserve">already assume a significant increase in revenue with </w:t>
      </w:r>
      <w:r w:rsidRPr="00904B4E">
        <w:t>tax receipts</w:t>
      </w:r>
      <w:r w:rsidR="003E77C6">
        <w:t xml:space="preserve"> projected</w:t>
      </w:r>
      <w:r w:rsidRPr="00904B4E">
        <w:t xml:space="preserve"> to </w:t>
      </w:r>
      <w:r w:rsidRPr="00904B4E">
        <w:lastRenderedPageBreak/>
        <w:t xml:space="preserve">rise from 21.4 per cent of GDP in 2012-13 to </w:t>
      </w:r>
      <w:r>
        <w:t xml:space="preserve">23.9 per cent of GDP in 2019-20, </w:t>
      </w:r>
      <w:r w:rsidR="00B558B1">
        <w:t xml:space="preserve">and </w:t>
      </w:r>
      <w:r>
        <w:t>remaining at that level over the medium term.</w:t>
      </w:r>
    </w:p>
    <w:p w:rsidR="000554AF" w:rsidRDefault="00B558B1" w:rsidP="00770CF8">
      <w:pPr>
        <w:pStyle w:val="PBOtext"/>
      </w:pPr>
      <w:r>
        <w:t xml:space="preserve">Moreover, there </w:t>
      </w:r>
      <w:r w:rsidR="00114EF6">
        <w:t>are risks to the economic outlook over the medium term</w:t>
      </w:r>
      <w:r>
        <w:t xml:space="preserve"> due to uncertainties in the international outlook and</w:t>
      </w:r>
      <w:r w:rsidR="00114EF6">
        <w:t xml:space="preserve"> as the Australian economy transitions out of the resources investment boom to broader based growth in the non-resources sectors.  </w:t>
      </w:r>
      <w:r>
        <w:t>T</w:t>
      </w:r>
      <w:r w:rsidR="00114EF6">
        <w:t>hese risks reinforce the need for fiscal consolidation in order to establish a fiscal buffer against the possibility of adverse economic shocks.</w:t>
      </w:r>
    </w:p>
    <w:p w:rsidR="00770CF8" w:rsidRDefault="00770CF8" w:rsidP="00770CF8">
      <w:pPr>
        <w:pStyle w:val="PBOtext"/>
      </w:pPr>
    </w:p>
    <w:p w:rsidR="000554AF" w:rsidRDefault="000554AF">
      <w:pPr>
        <w:spacing w:before="0" w:after="0"/>
        <w:sectPr w:rsidR="000554AF" w:rsidSect="00040E69">
          <w:headerReference w:type="even" r:id="rId23"/>
          <w:headerReference w:type="default" r:id="rId24"/>
          <w:footerReference w:type="default" r:id="rId25"/>
          <w:headerReference w:type="first" r:id="rId26"/>
          <w:footerReference w:type="first" r:id="rId27"/>
          <w:pgSz w:w="11900" w:h="16840"/>
          <w:pgMar w:top="1440" w:right="1797" w:bottom="1440" w:left="1843" w:header="709" w:footer="709" w:gutter="0"/>
          <w:pgNumType w:start="1"/>
          <w:cols w:space="708"/>
          <w:titlePg/>
          <w:docGrid w:linePitch="326"/>
        </w:sectPr>
      </w:pPr>
    </w:p>
    <w:p w:rsidR="00233097" w:rsidRPr="009862F8" w:rsidRDefault="00A3199A" w:rsidP="009C4E9F">
      <w:pPr>
        <w:pStyle w:val="PBOheading1"/>
        <w:numPr>
          <w:ilvl w:val="0"/>
          <w:numId w:val="26"/>
        </w:numPr>
        <w:ind w:left="720" w:hanging="720"/>
      </w:pPr>
      <w:bookmarkStart w:id="51" w:name="_Toc394502040"/>
      <w:bookmarkStart w:id="52" w:name="_Toc396382629"/>
      <w:r>
        <w:lastRenderedPageBreak/>
        <w:t xml:space="preserve">Projections of </w:t>
      </w:r>
      <w:r w:rsidR="000108BC">
        <w:t>t</w:t>
      </w:r>
      <w:r w:rsidR="002A5EA6">
        <w:t xml:space="preserve">otal </w:t>
      </w:r>
      <w:r w:rsidR="00AF7F30" w:rsidRPr="009862F8">
        <w:t>A</w:t>
      </w:r>
      <w:r>
        <w:t xml:space="preserve">ustralian Government </w:t>
      </w:r>
      <w:r w:rsidR="001A171F">
        <w:t>payments</w:t>
      </w:r>
      <w:bookmarkEnd w:id="51"/>
      <w:bookmarkEnd w:id="52"/>
    </w:p>
    <w:p w:rsidR="005410EB" w:rsidRPr="001960FC" w:rsidRDefault="005410EB" w:rsidP="001960FC">
      <w:pPr>
        <w:pStyle w:val="PBOtext"/>
      </w:pPr>
      <w:r w:rsidRPr="001960FC">
        <w:t>Based on current policy settings, the Budget papers show total Australian Government payments are projec</w:t>
      </w:r>
      <w:r w:rsidR="00D90CD4">
        <w:t>ted to grow in real terms by 2.6</w:t>
      </w:r>
      <w:r w:rsidRPr="001960FC">
        <w:t xml:space="preserve"> per cent annually over the medium term</w:t>
      </w:r>
      <w:r w:rsidR="00302714">
        <w:t xml:space="preserve"> (2012-13 to 2024-25)</w:t>
      </w:r>
      <w:r w:rsidRPr="001960FC">
        <w:t xml:space="preserve">.  </w:t>
      </w:r>
      <w:proofErr w:type="gramStart"/>
      <w:r w:rsidRPr="001960FC">
        <w:t>This is slower than projected real GDP growth of 3.2 per cent annually over the same period, and significantly below the 3.6 per cent annual rate of growth in payments over the ten years to 2012-13 (see</w:t>
      </w:r>
      <w:proofErr w:type="gramEnd"/>
      <w:r w:rsidRPr="001960FC">
        <w:t xml:space="preserve"> Figure 1.1).</w:t>
      </w:r>
      <w:r w:rsidRPr="00D90CD4">
        <w:rPr>
          <w:vertAlign w:val="superscript"/>
        </w:rPr>
        <w:footnoteReference w:id="3"/>
      </w:r>
    </w:p>
    <w:p w:rsidR="006815EB" w:rsidRDefault="00A757B8" w:rsidP="00E26C67">
      <w:pPr>
        <w:pStyle w:val="PBOfiguretableheading"/>
        <w:spacing w:before="100" w:beforeAutospacing="1" w:after="100" w:afterAutospacing="1"/>
      </w:pPr>
      <w:r w:rsidRPr="00036C32">
        <w:rPr>
          <w:noProof/>
          <w:color w:val="auto"/>
          <w:lang w:eastAsia="en-AU"/>
        </w:rPr>
        <w:drawing>
          <wp:anchor distT="0" distB="0" distL="114300" distR="114300" simplePos="0" relativeHeight="251689984" behindDoc="0" locked="0" layoutInCell="1" allowOverlap="1" wp14:anchorId="2B1C08D4" wp14:editId="6D8B7804">
            <wp:simplePos x="0" y="0"/>
            <wp:positionH relativeFrom="column">
              <wp:posOffset>-28575</wp:posOffset>
            </wp:positionH>
            <wp:positionV relativeFrom="paragraph">
              <wp:posOffset>298323</wp:posOffset>
            </wp:positionV>
            <wp:extent cx="5395595" cy="36029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5595" cy="3602990"/>
                    </a:xfrm>
                    <a:prstGeom prst="rect">
                      <a:avLst/>
                    </a:prstGeom>
                    <a:noFill/>
                  </pic:spPr>
                </pic:pic>
              </a:graphicData>
            </a:graphic>
            <wp14:sizeRelH relativeFrom="page">
              <wp14:pctWidth>0</wp14:pctWidth>
            </wp14:sizeRelH>
            <wp14:sizeRelV relativeFrom="page">
              <wp14:pctHeight>0</wp14:pctHeight>
            </wp14:sizeRelV>
          </wp:anchor>
        </w:drawing>
      </w:r>
      <w:r w:rsidR="006815EB">
        <w:t xml:space="preserve">Figure 1.1: Annual real growth in total Australian Government </w:t>
      </w:r>
      <w:r w:rsidR="00BA6A32">
        <w:t>payments</w:t>
      </w:r>
      <w:r w:rsidR="006815EB">
        <w:t xml:space="preserve"> and real GDP</w:t>
      </w:r>
    </w:p>
    <w:tbl>
      <w:tblPr>
        <w:tblW w:w="7938" w:type="dxa"/>
        <w:jc w:val="center"/>
        <w:tblLayout w:type="fixed"/>
        <w:tblLook w:val="04A0" w:firstRow="1" w:lastRow="0" w:firstColumn="1" w:lastColumn="0" w:noHBand="0" w:noVBand="1"/>
      </w:tblPr>
      <w:tblGrid>
        <w:gridCol w:w="2674"/>
        <w:gridCol w:w="2618"/>
        <w:gridCol w:w="2646"/>
      </w:tblGrid>
      <w:tr w:rsidR="00A757B8" w:rsidRPr="00A757B8" w:rsidTr="00A757B8">
        <w:trPr>
          <w:trHeight w:hRule="exact" w:val="1814"/>
          <w:jc w:val="center"/>
        </w:trPr>
        <w:tc>
          <w:tcPr>
            <w:tcW w:w="2674" w:type="dxa"/>
            <w:shd w:val="clear" w:color="auto" w:fill="auto"/>
            <w:noWrap/>
            <w:vAlign w:val="center"/>
            <w:hideMark/>
          </w:tcPr>
          <w:p w:rsidR="00643096" w:rsidRPr="00A757B8" w:rsidRDefault="00643096" w:rsidP="00891443">
            <w:pPr>
              <w:spacing w:before="0" w:after="0"/>
              <w:jc w:val="center"/>
              <w:rPr>
                <w:rFonts w:ascii="Arial" w:eastAsia="Times New Roman" w:hAnsi="Arial" w:cs="Arial"/>
                <w:b/>
                <w:bCs/>
                <w:color w:val="FFFFFF" w:themeColor="background1"/>
                <w:sz w:val="16"/>
                <w:szCs w:val="16"/>
              </w:rPr>
            </w:pPr>
            <w:r w:rsidRPr="00A757B8">
              <w:rPr>
                <w:rFonts w:ascii="Arial" w:eastAsia="Times New Roman" w:hAnsi="Arial" w:cs="Arial"/>
                <w:b/>
                <w:bCs/>
                <w:color w:val="FFFFFF" w:themeColor="background1"/>
                <w:sz w:val="16"/>
                <w:szCs w:val="16"/>
              </w:rPr>
              <w:t>Annual real growth</w:t>
            </w:r>
          </w:p>
        </w:tc>
        <w:tc>
          <w:tcPr>
            <w:tcW w:w="2618" w:type="dxa"/>
            <w:shd w:val="clear" w:color="auto" w:fill="auto"/>
            <w:vAlign w:val="center"/>
            <w:hideMark/>
          </w:tcPr>
          <w:p w:rsidR="00643096" w:rsidRPr="00A757B8" w:rsidRDefault="00643096" w:rsidP="00891443">
            <w:pPr>
              <w:spacing w:before="0" w:after="0"/>
              <w:jc w:val="center"/>
              <w:rPr>
                <w:rFonts w:ascii="Arial" w:eastAsia="Times New Roman" w:hAnsi="Arial" w:cs="Arial"/>
                <w:b/>
                <w:bCs/>
                <w:color w:val="FFFFFF" w:themeColor="background1"/>
                <w:sz w:val="16"/>
                <w:szCs w:val="16"/>
              </w:rPr>
            </w:pPr>
            <w:r w:rsidRPr="00A757B8">
              <w:rPr>
                <w:rFonts w:ascii="Arial" w:eastAsia="Times New Roman" w:hAnsi="Arial" w:cs="Arial"/>
                <w:b/>
                <w:bCs/>
                <w:color w:val="FFFFFF" w:themeColor="background1"/>
                <w:sz w:val="16"/>
                <w:szCs w:val="16"/>
              </w:rPr>
              <w:t>Historical</w:t>
            </w:r>
          </w:p>
        </w:tc>
        <w:tc>
          <w:tcPr>
            <w:tcW w:w="2646" w:type="dxa"/>
            <w:shd w:val="clear" w:color="auto" w:fill="auto"/>
            <w:vAlign w:val="center"/>
            <w:hideMark/>
          </w:tcPr>
          <w:p w:rsidR="00643096" w:rsidRPr="00A757B8" w:rsidRDefault="00643096" w:rsidP="00891443">
            <w:pPr>
              <w:spacing w:before="0" w:after="0"/>
              <w:jc w:val="center"/>
              <w:rPr>
                <w:rFonts w:ascii="Arial" w:eastAsia="Times New Roman" w:hAnsi="Arial" w:cs="Arial"/>
                <w:b/>
                <w:bCs/>
                <w:color w:val="FFFFFF" w:themeColor="background1"/>
                <w:sz w:val="16"/>
                <w:szCs w:val="16"/>
              </w:rPr>
            </w:pPr>
            <w:r w:rsidRPr="00A757B8">
              <w:rPr>
                <w:rFonts w:ascii="Arial" w:eastAsia="Times New Roman" w:hAnsi="Arial" w:cs="Arial"/>
                <w:b/>
                <w:bCs/>
                <w:color w:val="FFFFFF" w:themeColor="background1"/>
                <w:sz w:val="16"/>
                <w:szCs w:val="16"/>
              </w:rPr>
              <w:t>Medium term</w:t>
            </w:r>
          </w:p>
        </w:tc>
      </w:tr>
      <w:tr w:rsidR="00A757B8" w:rsidRPr="00A757B8" w:rsidTr="00A757B8">
        <w:trPr>
          <w:trHeight w:hRule="exact" w:val="1814"/>
          <w:jc w:val="center"/>
        </w:trPr>
        <w:tc>
          <w:tcPr>
            <w:tcW w:w="2674" w:type="dxa"/>
            <w:shd w:val="clear" w:color="auto" w:fill="auto"/>
            <w:noWrap/>
            <w:vAlign w:val="center"/>
            <w:hideMark/>
          </w:tcPr>
          <w:p w:rsidR="00643096" w:rsidRPr="00A757B8" w:rsidRDefault="00643096" w:rsidP="00891443">
            <w:pPr>
              <w:spacing w:before="0" w:after="0"/>
              <w:jc w:val="center"/>
              <w:rPr>
                <w:rFonts w:ascii="Arial" w:eastAsia="Times New Roman" w:hAnsi="Arial" w:cs="Arial"/>
                <w:b/>
                <w:bCs/>
                <w:color w:val="FFFFFF" w:themeColor="background1"/>
                <w:sz w:val="16"/>
                <w:szCs w:val="16"/>
              </w:rPr>
            </w:pPr>
            <w:r w:rsidRPr="00A757B8">
              <w:rPr>
                <w:rFonts w:ascii="Arial" w:eastAsia="Times New Roman" w:hAnsi="Arial" w:cs="Arial"/>
                <w:b/>
                <w:bCs/>
                <w:color w:val="FFFFFF" w:themeColor="background1"/>
                <w:sz w:val="16"/>
                <w:szCs w:val="16"/>
              </w:rPr>
              <w:t>Australian government payments</w:t>
            </w:r>
          </w:p>
        </w:tc>
        <w:tc>
          <w:tcPr>
            <w:tcW w:w="2618" w:type="dxa"/>
            <w:shd w:val="clear" w:color="auto" w:fill="auto"/>
            <w:noWrap/>
            <w:vAlign w:val="center"/>
            <w:hideMark/>
          </w:tcPr>
          <w:p w:rsidR="00643096" w:rsidRPr="00A757B8" w:rsidRDefault="00643096" w:rsidP="00891443">
            <w:pPr>
              <w:spacing w:before="0" w:after="0"/>
              <w:jc w:val="center"/>
              <w:rPr>
                <w:rFonts w:ascii="Arial" w:eastAsia="Times New Roman" w:hAnsi="Arial" w:cs="Arial"/>
                <w:color w:val="FFFFFF" w:themeColor="background1"/>
                <w:sz w:val="16"/>
                <w:szCs w:val="16"/>
              </w:rPr>
            </w:pPr>
            <w:r w:rsidRPr="00A757B8">
              <w:rPr>
                <w:rFonts w:ascii="Arial" w:eastAsia="Times New Roman" w:hAnsi="Arial" w:cs="Arial"/>
                <w:color w:val="FFFFFF" w:themeColor="background1"/>
                <w:sz w:val="16"/>
                <w:szCs w:val="16"/>
              </w:rPr>
              <w:t>3.6</w:t>
            </w:r>
            <w:r w:rsidR="00DD58E6" w:rsidRPr="00A757B8">
              <w:rPr>
                <w:rFonts w:ascii="Arial" w:eastAsia="Times New Roman" w:hAnsi="Arial" w:cs="Arial"/>
                <w:color w:val="FFFFFF" w:themeColor="background1"/>
                <w:sz w:val="16"/>
                <w:szCs w:val="16"/>
              </w:rPr>
              <w:t xml:space="preserve"> per cent</w:t>
            </w:r>
          </w:p>
        </w:tc>
        <w:tc>
          <w:tcPr>
            <w:tcW w:w="2646" w:type="dxa"/>
            <w:shd w:val="clear" w:color="auto" w:fill="auto"/>
            <w:noWrap/>
            <w:vAlign w:val="center"/>
            <w:hideMark/>
          </w:tcPr>
          <w:p w:rsidR="00643096" w:rsidRPr="00A757B8" w:rsidRDefault="00643096" w:rsidP="00891443">
            <w:pPr>
              <w:spacing w:before="0" w:after="0"/>
              <w:jc w:val="center"/>
              <w:rPr>
                <w:rFonts w:ascii="Arial" w:eastAsia="Times New Roman" w:hAnsi="Arial" w:cs="Arial"/>
                <w:color w:val="FFFFFF" w:themeColor="background1"/>
                <w:sz w:val="16"/>
                <w:szCs w:val="16"/>
              </w:rPr>
            </w:pPr>
            <w:r w:rsidRPr="00A757B8">
              <w:rPr>
                <w:rFonts w:ascii="Arial" w:eastAsia="Times New Roman" w:hAnsi="Arial" w:cs="Arial"/>
                <w:color w:val="FFFFFF" w:themeColor="background1"/>
                <w:sz w:val="16"/>
                <w:szCs w:val="16"/>
              </w:rPr>
              <w:t>2.6</w:t>
            </w:r>
            <w:r w:rsidR="00DD58E6" w:rsidRPr="00A757B8">
              <w:rPr>
                <w:rFonts w:ascii="Arial" w:eastAsia="Times New Roman" w:hAnsi="Arial" w:cs="Arial"/>
                <w:color w:val="FFFFFF" w:themeColor="background1"/>
                <w:sz w:val="16"/>
                <w:szCs w:val="16"/>
              </w:rPr>
              <w:t xml:space="preserve"> per cent</w:t>
            </w:r>
          </w:p>
        </w:tc>
      </w:tr>
      <w:tr w:rsidR="00A757B8" w:rsidRPr="00A757B8" w:rsidTr="00A757B8">
        <w:trPr>
          <w:trHeight w:hRule="exact" w:val="1814"/>
          <w:jc w:val="center"/>
        </w:trPr>
        <w:tc>
          <w:tcPr>
            <w:tcW w:w="2674" w:type="dxa"/>
            <w:shd w:val="clear" w:color="auto" w:fill="auto"/>
            <w:noWrap/>
            <w:vAlign w:val="center"/>
            <w:hideMark/>
          </w:tcPr>
          <w:p w:rsidR="00643096" w:rsidRPr="00A757B8" w:rsidRDefault="00643096" w:rsidP="00891443">
            <w:pPr>
              <w:spacing w:before="0" w:after="0"/>
              <w:jc w:val="center"/>
              <w:rPr>
                <w:rFonts w:ascii="Arial" w:eastAsia="Times New Roman" w:hAnsi="Arial" w:cs="Arial"/>
                <w:b/>
                <w:bCs/>
                <w:color w:val="FFFFFF" w:themeColor="background1"/>
                <w:sz w:val="16"/>
                <w:szCs w:val="16"/>
              </w:rPr>
            </w:pPr>
            <w:r w:rsidRPr="00A757B8">
              <w:rPr>
                <w:rFonts w:ascii="Arial" w:eastAsia="Times New Roman" w:hAnsi="Arial" w:cs="Arial"/>
                <w:b/>
                <w:bCs/>
                <w:color w:val="FFFFFF" w:themeColor="background1"/>
                <w:sz w:val="16"/>
                <w:szCs w:val="16"/>
              </w:rPr>
              <w:t>Real GDP</w:t>
            </w:r>
          </w:p>
        </w:tc>
        <w:tc>
          <w:tcPr>
            <w:tcW w:w="2618" w:type="dxa"/>
            <w:shd w:val="clear" w:color="auto" w:fill="auto"/>
            <w:noWrap/>
            <w:vAlign w:val="center"/>
            <w:hideMark/>
          </w:tcPr>
          <w:p w:rsidR="00643096" w:rsidRPr="00A757B8" w:rsidRDefault="00643096" w:rsidP="00891443">
            <w:pPr>
              <w:spacing w:before="0" w:after="0"/>
              <w:jc w:val="center"/>
              <w:rPr>
                <w:rFonts w:ascii="Arial" w:eastAsia="Times New Roman" w:hAnsi="Arial" w:cs="Arial"/>
                <w:color w:val="FFFFFF" w:themeColor="background1"/>
                <w:sz w:val="16"/>
                <w:szCs w:val="16"/>
              </w:rPr>
            </w:pPr>
            <w:r w:rsidRPr="00A757B8">
              <w:rPr>
                <w:rFonts w:ascii="Arial" w:eastAsia="Times New Roman" w:hAnsi="Arial" w:cs="Arial"/>
                <w:color w:val="FFFFFF" w:themeColor="background1"/>
                <w:sz w:val="16"/>
                <w:szCs w:val="16"/>
              </w:rPr>
              <w:t>3.0</w:t>
            </w:r>
            <w:r w:rsidR="00DD58E6" w:rsidRPr="00A757B8">
              <w:rPr>
                <w:rFonts w:ascii="Arial" w:eastAsia="Times New Roman" w:hAnsi="Arial" w:cs="Arial"/>
                <w:color w:val="FFFFFF" w:themeColor="background1"/>
                <w:sz w:val="16"/>
                <w:szCs w:val="16"/>
              </w:rPr>
              <w:t xml:space="preserve"> per  cent</w:t>
            </w:r>
          </w:p>
        </w:tc>
        <w:tc>
          <w:tcPr>
            <w:tcW w:w="2646" w:type="dxa"/>
            <w:shd w:val="clear" w:color="auto" w:fill="auto"/>
            <w:noWrap/>
            <w:vAlign w:val="center"/>
            <w:hideMark/>
          </w:tcPr>
          <w:p w:rsidR="00643096" w:rsidRPr="00A757B8" w:rsidRDefault="00643096" w:rsidP="00891443">
            <w:pPr>
              <w:spacing w:before="0" w:after="0"/>
              <w:jc w:val="center"/>
              <w:rPr>
                <w:rFonts w:ascii="Arial" w:eastAsia="Times New Roman" w:hAnsi="Arial" w:cs="Arial"/>
                <w:color w:val="FFFFFF" w:themeColor="background1"/>
                <w:sz w:val="16"/>
                <w:szCs w:val="16"/>
              </w:rPr>
            </w:pPr>
            <w:r w:rsidRPr="00A757B8">
              <w:rPr>
                <w:rFonts w:ascii="Arial" w:eastAsia="Times New Roman" w:hAnsi="Arial" w:cs="Arial"/>
                <w:color w:val="FFFFFF" w:themeColor="background1"/>
                <w:sz w:val="16"/>
                <w:szCs w:val="16"/>
              </w:rPr>
              <w:t>3.2</w:t>
            </w:r>
            <w:r w:rsidR="00DD58E6" w:rsidRPr="00A757B8">
              <w:rPr>
                <w:rFonts w:ascii="Arial" w:eastAsia="Times New Roman" w:hAnsi="Arial" w:cs="Arial"/>
                <w:color w:val="FFFFFF" w:themeColor="background1"/>
                <w:sz w:val="16"/>
                <w:szCs w:val="16"/>
              </w:rPr>
              <w:t xml:space="preserve"> per cent</w:t>
            </w:r>
          </w:p>
        </w:tc>
      </w:tr>
    </w:tbl>
    <w:p w:rsidR="004361A9" w:rsidRPr="00891443" w:rsidRDefault="006815EB" w:rsidP="00891443">
      <w:pPr>
        <w:pStyle w:val="PBOsource"/>
      </w:pPr>
      <w:r w:rsidRPr="00891443">
        <w:t xml:space="preserve">Source: </w:t>
      </w:r>
      <w:r w:rsidR="005265F2">
        <w:t>Australian Government</w:t>
      </w:r>
      <w:r w:rsidRPr="00891443">
        <w:t xml:space="preserve"> Budgets and Final Budget Outcomes and ABS Cat No. 5204</w:t>
      </w:r>
    </w:p>
    <w:p w:rsidR="005410EB" w:rsidRDefault="005410EB" w:rsidP="005410EB">
      <w:pPr>
        <w:pStyle w:val="PBOtext"/>
      </w:pPr>
      <w:r>
        <w:t>The projected reduction in the pace of Australian Government payments is even greater when GST transfers to the States are excluded – falling from annual growth of 3.9 per cent historically to 2.5</w:t>
      </w:r>
      <w:r w:rsidR="00D90CD4">
        <w:t> </w:t>
      </w:r>
      <w:r>
        <w:t>per</w:t>
      </w:r>
      <w:r w:rsidR="00D90CD4">
        <w:t> </w:t>
      </w:r>
      <w:r w:rsidR="00770CF8">
        <w:t>cent over the medium term.</w:t>
      </w:r>
    </w:p>
    <w:p w:rsidR="005410EB" w:rsidRDefault="005410EB" w:rsidP="005410EB">
      <w:pPr>
        <w:pStyle w:val="PBOtext"/>
      </w:pPr>
      <w:r>
        <w:t>As GST transfers to the States in effect mirror GST collections they have no net impact on the Australian Government budget. While GST transfers grew significantly less than real GDP over the past decade,</w:t>
      </w:r>
      <w:r>
        <w:rPr>
          <w:rStyle w:val="FootnoteReference"/>
        </w:rPr>
        <w:footnoteReference w:id="4"/>
      </w:r>
      <w:r>
        <w:t xml:space="preserve"> they are projected to grow in line with</w:t>
      </w:r>
      <w:r w:rsidR="00770CF8">
        <w:t xml:space="preserve"> real GDP over the medium term.</w:t>
      </w:r>
    </w:p>
    <w:p w:rsidR="005410EB" w:rsidRDefault="005410EB" w:rsidP="005410EB">
      <w:pPr>
        <w:pStyle w:val="PBOtext"/>
      </w:pPr>
      <w:r>
        <w:lastRenderedPageBreak/>
        <w:t>The previous PBO report on historical expenditure trends discussed the reasons for comparing real growth in spending with real growth in GDP.</w:t>
      </w:r>
      <w:r w:rsidR="002103D4" w:rsidRPr="002103D4">
        <w:rPr>
          <w:rStyle w:val="FootnoteReference"/>
        </w:rPr>
        <w:t xml:space="preserve"> </w:t>
      </w:r>
      <w:r w:rsidR="002103D4">
        <w:rPr>
          <w:rStyle w:val="FootnoteReference"/>
        </w:rPr>
        <w:footnoteReference w:id="5"/>
      </w:r>
    </w:p>
    <w:p w:rsidR="005410EB" w:rsidRDefault="005410EB" w:rsidP="005410EB">
      <w:pPr>
        <w:pStyle w:val="PBOtext"/>
      </w:pPr>
      <w:r>
        <w:t xml:space="preserve">The terms of trade increased very strongly over the historical period and significantly boosted nominal GDP.  This increase is expected to be temporary and the terms of trade are projected to decline over the medium term.  Examining spending as a proportion of nominal GDP over the historical period when the terms of trade were rising has the effect of masking the underlying </w:t>
      </w:r>
      <w:r w:rsidR="00302714">
        <w:t xml:space="preserve">real </w:t>
      </w:r>
      <w:r>
        <w:t>growth in spending.</w:t>
      </w:r>
    </w:p>
    <w:p w:rsidR="005410EB" w:rsidRDefault="005410EB" w:rsidP="005410EB">
      <w:pPr>
        <w:pStyle w:val="PBOtext"/>
      </w:pPr>
      <w:r>
        <w:t>Annual real spending growth over the historical period of 3.6 per cent was stronger than the rate of growth in real GDP of 3.0 per cent.  Despite this strong spending growth, the spending to GDP ratio fell slightly from 24.6 per cent in 2002-03 to 24.1 per cent in 2012-13 (see Figure 1.2).</w:t>
      </w:r>
    </w:p>
    <w:p w:rsidR="00E27C5A" w:rsidRDefault="006A2DAF" w:rsidP="00E27C5A">
      <w:pPr>
        <w:pStyle w:val="PBOfiguretableheading"/>
      </w:pPr>
      <w:r>
        <w:rPr>
          <w:noProof/>
          <w:lang w:eastAsia="en-AU"/>
        </w:rPr>
        <w:drawing>
          <wp:anchor distT="0" distB="0" distL="114300" distR="114300" simplePos="0" relativeHeight="251742208" behindDoc="0" locked="0" layoutInCell="1" allowOverlap="1" wp14:anchorId="1A882AD7" wp14:editId="74E03778">
            <wp:simplePos x="0" y="0"/>
            <wp:positionH relativeFrom="column">
              <wp:posOffset>21590</wp:posOffset>
            </wp:positionH>
            <wp:positionV relativeFrom="paragraph">
              <wp:posOffset>464439</wp:posOffset>
            </wp:positionV>
            <wp:extent cx="5261610" cy="3066415"/>
            <wp:effectExtent l="0" t="0" r="0" b="63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1610" cy="3066415"/>
                    </a:xfrm>
                    <a:prstGeom prst="rect">
                      <a:avLst/>
                    </a:prstGeom>
                    <a:noFill/>
                  </pic:spPr>
                </pic:pic>
              </a:graphicData>
            </a:graphic>
            <wp14:sizeRelH relativeFrom="page">
              <wp14:pctWidth>0</wp14:pctWidth>
            </wp14:sizeRelH>
            <wp14:sizeRelV relativeFrom="page">
              <wp14:pctHeight>0</wp14:pctHeight>
            </wp14:sizeRelV>
          </wp:anchor>
        </w:drawing>
      </w:r>
      <w:r w:rsidR="00E27C5A">
        <w:t xml:space="preserve">Figure </w:t>
      </w:r>
      <w:r w:rsidR="003F0B22">
        <w:fldChar w:fldCharType="begin"/>
      </w:r>
      <w:r w:rsidR="003F0B22">
        <w:instrText xml:space="preserve"> SEQ Figure \* ARABIC </w:instrText>
      </w:r>
      <w:r w:rsidR="003F0B22">
        <w:fldChar w:fldCharType="separate"/>
      </w:r>
      <w:r w:rsidR="00266BAD">
        <w:rPr>
          <w:noProof/>
        </w:rPr>
        <w:t>1</w:t>
      </w:r>
      <w:r w:rsidR="003F0B22">
        <w:rPr>
          <w:noProof/>
        </w:rPr>
        <w:fldChar w:fldCharType="end"/>
      </w:r>
      <w:r w:rsidR="00E27C5A">
        <w:t>.2: Nominal historical and projected Australian Government payments as a proportion of nominal GDP</w:t>
      </w:r>
    </w:p>
    <w:tbl>
      <w:tblPr>
        <w:tblW w:w="7938" w:type="dxa"/>
        <w:jc w:val="center"/>
        <w:tblLayout w:type="fixed"/>
        <w:tblLook w:val="04A0" w:firstRow="1" w:lastRow="0" w:firstColumn="1" w:lastColumn="0" w:noHBand="0" w:noVBand="1"/>
      </w:tblPr>
      <w:tblGrid>
        <w:gridCol w:w="1706"/>
        <w:gridCol w:w="3116"/>
        <w:gridCol w:w="3116"/>
      </w:tblGrid>
      <w:tr w:rsidR="006A2DAF" w:rsidRPr="006A2DAF" w:rsidTr="006A2DAF">
        <w:trPr>
          <w:trHeight w:hRule="exact" w:val="738"/>
          <w:jc w:val="center"/>
        </w:trPr>
        <w:tc>
          <w:tcPr>
            <w:tcW w:w="1706" w:type="dxa"/>
            <w:shd w:val="clear" w:color="auto" w:fill="auto"/>
            <w:noWrap/>
            <w:vAlign w:val="center"/>
            <w:hideMark/>
          </w:tcPr>
          <w:p w:rsidR="00E27C5A" w:rsidRPr="006A2DAF" w:rsidRDefault="00E27C5A" w:rsidP="00891443">
            <w:pPr>
              <w:pStyle w:val="PBOsource"/>
              <w:rPr>
                <w:color w:val="FFFFFF" w:themeColor="background1"/>
                <w:sz w:val="14"/>
              </w:rPr>
            </w:pPr>
          </w:p>
          <w:p w:rsidR="00B81BFF" w:rsidRPr="006A2DAF" w:rsidRDefault="00B81BFF" w:rsidP="00B81BFF">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Year</w:t>
            </w:r>
          </w:p>
        </w:tc>
        <w:tc>
          <w:tcPr>
            <w:tcW w:w="3116" w:type="dxa"/>
            <w:shd w:val="clear" w:color="auto" w:fill="auto"/>
            <w:vAlign w:val="center"/>
            <w:hideMark/>
          </w:tcPr>
          <w:p w:rsidR="00B81BFF" w:rsidRPr="006A2DAF" w:rsidRDefault="00B81BFF" w:rsidP="00B81BFF">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Payments as a proportion of nominal GDP</w:t>
            </w:r>
          </w:p>
        </w:tc>
        <w:tc>
          <w:tcPr>
            <w:tcW w:w="3116" w:type="dxa"/>
            <w:shd w:val="clear" w:color="auto" w:fill="auto"/>
            <w:vAlign w:val="center"/>
            <w:hideMark/>
          </w:tcPr>
          <w:p w:rsidR="00B81BFF" w:rsidRPr="006A2DAF" w:rsidRDefault="00B81BFF" w:rsidP="00B81BFF">
            <w:pPr>
              <w:spacing w:before="0" w:after="0"/>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Payments grown in line with real GDP</w:t>
            </w:r>
          </w:p>
        </w:tc>
      </w:tr>
      <w:tr w:rsidR="006A2DAF" w:rsidRPr="006A2DAF" w:rsidTr="006A2DAF">
        <w:trPr>
          <w:trHeight w:hRule="exact" w:val="170"/>
          <w:jc w:val="center"/>
        </w:trPr>
        <w:tc>
          <w:tcPr>
            <w:tcW w:w="1706" w:type="dxa"/>
            <w:shd w:val="clear" w:color="auto" w:fill="auto"/>
            <w:noWrap/>
            <w:hideMark/>
          </w:tcPr>
          <w:p w:rsidR="00B81BFF" w:rsidRPr="006A2DAF" w:rsidRDefault="00B81BF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2002-03</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24.6 per cent</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p>
        </w:tc>
      </w:tr>
      <w:tr w:rsidR="006A2DAF" w:rsidRPr="006A2DAF" w:rsidTr="006A2DAF">
        <w:trPr>
          <w:trHeight w:hRule="exact" w:val="170"/>
          <w:jc w:val="center"/>
        </w:trPr>
        <w:tc>
          <w:tcPr>
            <w:tcW w:w="1706" w:type="dxa"/>
            <w:shd w:val="clear" w:color="auto" w:fill="auto"/>
            <w:noWrap/>
            <w:hideMark/>
          </w:tcPr>
          <w:p w:rsidR="00B81BFF" w:rsidRPr="006A2DAF" w:rsidRDefault="00B81BF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2003-04</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24.3 per cent</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p>
        </w:tc>
      </w:tr>
      <w:tr w:rsidR="006A2DAF" w:rsidRPr="006A2DAF" w:rsidTr="006A2DAF">
        <w:trPr>
          <w:trHeight w:hRule="exact" w:val="170"/>
          <w:jc w:val="center"/>
        </w:trPr>
        <w:tc>
          <w:tcPr>
            <w:tcW w:w="1706" w:type="dxa"/>
            <w:shd w:val="clear" w:color="auto" w:fill="auto"/>
            <w:noWrap/>
            <w:hideMark/>
          </w:tcPr>
          <w:p w:rsidR="00B81BFF" w:rsidRPr="006A2DAF" w:rsidRDefault="00B81BF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2004-05</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24.1 per cent</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p>
        </w:tc>
      </w:tr>
      <w:tr w:rsidR="006A2DAF" w:rsidRPr="006A2DAF" w:rsidTr="006A2DAF">
        <w:trPr>
          <w:trHeight w:hRule="exact" w:val="170"/>
          <w:jc w:val="center"/>
        </w:trPr>
        <w:tc>
          <w:tcPr>
            <w:tcW w:w="1706" w:type="dxa"/>
            <w:shd w:val="clear" w:color="auto" w:fill="auto"/>
            <w:noWrap/>
            <w:hideMark/>
          </w:tcPr>
          <w:p w:rsidR="00B81BFF" w:rsidRPr="006A2DAF" w:rsidRDefault="00B81BF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2005-06</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24.1 per cent</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p>
        </w:tc>
      </w:tr>
      <w:tr w:rsidR="006A2DAF" w:rsidRPr="006A2DAF" w:rsidTr="006A2DAF">
        <w:trPr>
          <w:trHeight w:hRule="exact" w:val="170"/>
          <w:jc w:val="center"/>
        </w:trPr>
        <w:tc>
          <w:tcPr>
            <w:tcW w:w="1706" w:type="dxa"/>
            <w:shd w:val="clear" w:color="auto" w:fill="auto"/>
            <w:noWrap/>
            <w:hideMark/>
          </w:tcPr>
          <w:p w:rsidR="00B81BFF" w:rsidRPr="006A2DAF" w:rsidRDefault="00B81BF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2006-07</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23.3 per cent</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p>
        </w:tc>
      </w:tr>
      <w:tr w:rsidR="006A2DAF" w:rsidRPr="006A2DAF" w:rsidTr="006A2DAF">
        <w:trPr>
          <w:trHeight w:hRule="exact" w:val="170"/>
          <w:jc w:val="center"/>
        </w:trPr>
        <w:tc>
          <w:tcPr>
            <w:tcW w:w="1706" w:type="dxa"/>
            <w:shd w:val="clear" w:color="auto" w:fill="auto"/>
            <w:noWrap/>
            <w:hideMark/>
          </w:tcPr>
          <w:p w:rsidR="00B81BFF" w:rsidRPr="006A2DAF" w:rsidRDefault="00B81BF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2007-08</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23.1 per cent</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p>
        </w:tc>
      </w:tr>
      <w:tr w:rsidR="006A2DAF" w:rsidRPr="006A2DAF" w:rsidTr="006A2DAF">
        <w:trPr>
          <w:trHeight w:hRule="exact" w:val="170"/>
          <w:jc w:val="center"/>
        </w:trPr>
        <w:tc>
          <w:tcPr>
            <w:tcW w:w="1706" w:type="dxa"/>
            <w:shd w:val="clear" w:color="auto" w:fill="auto"/>
            <w:noWrap/>
            <w:hideMark/>
          </w:tcPr>
          <w:p w:rsidR="00B81BFF" w:rsidRPr="006A2DAF" w:rsidRDefault="00B81BF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2008-09</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25.1 per cent</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p>
        </w:tc>
      </w:tr>
      <w:tr w:rsidR="006A2DAF" w:rsidRPr="006A2DAF" w:rsidTr="006A2DAF">
        <w:trPr>
          <w:trHeight w:hRule="exact" w:val="170"/>
          <w:jc w:val="center"/>
        </w:trPr>
        <w:tc>
          <w:tcPr>
            <w:tcW w:w="1706" w:type="dxa"/>
            <w:shd w:val="clear" w:color="auto" w:fill="auto"/>
            <w:noWrap/>
            <w:hideMark/>
          </w:tcPr>
          <w:p w:rsidR="00B81BFF" w:rsidRPr="006A2DAF" w:rsidRDefault="00B81BF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2009-10</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26</w:t>
            </w:r>
            <w:r w:rsidR="006A2DAF" w:rsidRPr="006A2DAF">
              <w:rPr>
                <w:rFonts w:ascii="Arial" w:eastAsia="Times New Roman" w:hAnsi="Arial" w:cs="Arial"/>
                <w:color w:val="FFFFFF" w:themeColor="background1"/>
                <w:sz w:val="14"/>
                <w:szCs w:val="12"/>
              </w:rPr>
              <w:t>.0</w:t>
            </w:r>
            <w:r w:rsidRPr="006A2DAF">
              <w:rPr>
                <w:rFonts w:ascii="Arial" w:eastAsia="Times New Roman" w:hAnsi="Arial" w:cs="Arial"/>
                <w:color w:val="FFFFFF" w:themeColor="background1"/>
                <w:sz w:val="14"/>
                <w:szCs w:val="12"/>
              </w:rPr>
              <w:t xml:space="preserve"> per cent</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p>
        </w:tc>
      </w:tr>
      <w:tr w:rsidR="006A2DAF" w:rsidRPr="006A2DAF" w:rsidTr="006A2DAF">
        <w:trPr>
          <w:trHeight w:hRule="exact" w:val="170"/>
          <w:jc w:val="center"/>
        </w:trPr>
        <w:tc>
          <w:tcPr>
            <w:tcW w:w="1706" w:type="dxa"/>
            <w:shd w:val="clear" w:color="auto" w:fill="auto"/>
            <w:noWrap/>
            <w:hideMark/>
          </w:tcPr>
          <w:p w:rsidR="00B81BFF" w:rsidRPr="006A2DAF" w:rsidRDefault="00B81BF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2010-11</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24.6 per cent</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p>
        </w:tc>
      </w:tr>
      <w:tr w:rsidR="006A2DAF" w:rsidRPr="006A2DAF" w:rsidTr="006A2DAF">
        <w:trPr>
          <w:trHeight w:hRule="exact" w:val="170"/>
          <w:jc w:val="center"/>
        </w:trPr>
        <w:tc>
          <w:tcPr>
            <w:tcW w:w="1706" w:type="dxa"/>
            <w:shd w:val="clear" w:color="auto" w:fill="auto"/>
            <w:noWrap/>
            <w:hideMark/>
          </w:tcPr>
          <w:p w:rsidR="00B81BFF" w:rsidRPr="006A2DAF" w:rsidRDefault="00B81BF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2011-12</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25</w:t>
            </w:r>
            <w:r w:rsidR="006A2DAF" w:rsidRPr="006A2DAF">
              <w:rPr>
                <w:rFonts w:ascii="Arial" w:eastAsia="Times New Roman" w:hAnsi="Arial" w:cs="Arial"/>
                <w:color w:val="FFFFFF" w:themeColor="background1"/>
                <w:sz w:val="14"/>
                <w:szCs w:val="12"/>
              </w:rPr>
              <w:t>.0</w:t>
            </w:r>
            <w:r w:rsidRPr="006A2DAF">
              <w:rPr>
                <w:rFonts w:ascii="Arial" w:eastAsia="Times New Roman" w:hAnsi="Arial" w:cs="Arial"/>
                <w:color w:val="FFFFFF" w:themeColor="background1"/>
                <w:sz w:val="14"/>
                <w:szCs w:val="12"/>
              </w:rPr>
              <w:t xml:space="preserve"> per cent</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p>
        </w:tc>
      </w:tr>
      <w:tr w:rsidR="006A2DAF" w:rsidRPr="006A2DAF" w:rsidTr="006A2DAF">
        <w:trPr>
          <w:trHeight w:hRule="exact" w:val="170"/>
          <w:jc w:val="center"/>
        </w:trPr>
        <w:tc>
          <w:tcPr>
            <w:tcW w:w="1706" w:type="dxa"/>
            <w:shd w:val="clear" w:color="auto" w:fill="auto"/>
            <w:noWrap/>
            <w:hideMark/>
          </w:tcPr>
          <w:p w:rsidR="00B81BFF" w:rsidRPr="006A2DAF" w:rsidRDefault="00B81BF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2012-13</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24.1 per cent</w:t>
            </w:r>
          </w:p>
        </w:tc>
        <w:tc>
          <w:tcPr>
            <w:tcW w:w="3116" w:type="dxa"/>
            <w:shd w:val="clear" w:color="auto" w:fill="auto"/>
            <w:noWrap/>
            <w:hideMark/>
          </w:tcPr>
          <w:p w:rsidR="00B81BF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24.1 per cent</w:t>
            </w:r>
          </w:p>
        </w:tc>
      </w:tr>
      <w:tr w:rsidR="006A2DAF" w:rsidRPr="006A2DAF" w:rsidTr="006A2DAF">
        <w:trPr>
          <w:trHeight w:hRule="exact" w:val="170"/>
          <w:jc w:val="center"/>
        </w:trPr>
        <w:tc>
          <w:tcPr>
            <w:tcW w:w="1706" w:type="dxa"/>
            <w:shd w:val="clear" w:color="auto" w:fill="auto"/>
            <w:noWrap/>
            <w:hideMark/>
          </w:tcPr>
          <w:p w:rsidR="00B81BFF" w:rsidRPr="006A2DAF" w:rsidRDefault="00B81BF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2013-14</w:t>
            </w:r>
          </w:p>
        </w:tc>
        <w:tc>
          <w:tcPr>
            <w:tcW w:w="3116" w:type="dxa"/>
            <w:shd w:val="clear" w:color="auto" w:fill="auto"/>
            <w:noWrap/>
            <w:hideMark/>
          </w:tcPr>
          <w:p w:rsidR="00B81BFF" w:rsidRPr="006A2DAF" w:rsidRDefault="00B81BF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25.9 per cent</w:t>
            </w:r>
          </w:p>
        </w:tc>
        <w:tc>
          <w:tcPr>
            <w:tcW w:w="3116" w:type="dxa"/>
            <w:shd w:val="clear" w:color="auto" w:fill="auto"/>
            <w:noWrap/>
            <w:hideMark/>
          </w:tcPr>
          <w:p w:rsidR="00B81BF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24.5</w:t>
            </w:r>
            <w:r w:rsidR="00B81BFF" w:rsidRPr="006A2DAF">
              <w:rPr>
                <w:rFonts w:ascii="Arial" w:eastAsia="Times New Roman" w:hAnsi="Arial" w:cs="Arial"/>
                <w:color w:val="FFFFFF" w:themeColor="background1"/>
                <w:sz w:val="14"/>
                <w:szCs w:val="12"/>
              </w:rPr>
              <w:t xml:space="preserve"> per cent</w:t>
            </w:r>
          </w:p>
        </w:tc>
      </w:tr>
      <w:tr w:rsidR="006A2DAF" w:rsidRPr="006A2DAF" w:rsidTr="006A2DAF">
        <w:trPr>
          <w:trHeight w:hRule="exact" w:val="170"/>
          <w:jc w:val="center"/>
        </w:trPr>
        <w:tc>
          <w:tcPr>
            <w:tcW w:w="1706" w:type="dxa"/>
            <w:shd w:val="clear" w:color="auto" w:fill="auto"/>
            <w:noWrap/>
            <w:hideMark/>
          </w:tcPr>
          <w:p w:rsidR="006A2DAF" w:rsidRPr="006A2DAF" w:rsidRDefault="006A2DA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2014-15</w:t>
            </w:r>
          </w:p>
        </w:tc>
        <w:tc>
          <w:tcPr>
            <w:tcW w:w="3116" w:type="dxa"/>
            <w:shd w:val="clear" w:color="auto" w:fill="auto"/>
            <w:noWrap/>
            <w:hideMark/>
          </w:tcPr>
          <w:p w:rsidR="006A2DA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25.3 per cent</w:t>
            </w:r>
          </w:p>
        </w:tc>
        <w:tc>
          <w:tcPr>
            <w:tcW w:w="3116" w:type="dxa"/>
            <w:shd w:val="clear" w:color="auto" w:fill="auto"/>
            <w:noWrap/>
            <w:hideMark/>
          </w:tcPr>
          <w:p w:rsidR="006A2DAF" w:rsidRPr="006A2DAF" w:rsidRDefault="006A2DAF" w:rsidP="00746325">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24.9 per cent</w:t>
            </w:r>
          </w:p>
        </w:tc>
      </w:tr>
      <w:tr w:rsidR="006A2DAF" w:rsidRPr="006A2DAF" w:rsidTr="006A2DAF">
        <w:trPr>
          <w:trHeight w:hRule="exact" w:val="170"/>
          <w:jc w:val="center"/>
        </w:trPr>
        <w:tc>
          <w:tcPr>
            <w:tcW w:w="1706" w:type="dxa"/>
            <w:shd w:val="clear" w:color="auto" w:fill="auto"/>
            <w:noWrap/>
            <w:hideMark/>
          </w:tcPr>
          <w:p w:rsidR="006A2DAF" w:rsidRPr="006A2DAF" w:rsidRDefault="006A2DA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2015-16</w:t>
            </w:r>
          </w:p>
        </w:tc>
        <w:tc>
          <w:tcPr>
            <w:tcW w:w="3116" w:type="dxa"/>
            <w:shd w:val="clear" w:color="auto" w:fill="auto"/>
            <w:noWrap/>
            <w:hideMark/>
          </w:tcPr>
          <w:p w:rsidR="006A2DA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24.8 per cent</w:t>
            </w:r>
          </w:p>
        </w:tc>
        <w:tc>
          <w:tcPr>
            <w:tcW w:w="3116" w:type="dxa"/>
            <w:shd w:val="clear" w:color="auto" w:fill="auto"/>
            <w:noWrap/>
          </w:tcPr>
          <w:p w:rsidR="006A2DAF" w:rsidRPr="006A2DAF" w:rsidRDefault="006A2DAF" w:rsidP="00746325">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25.1 per cent</w:t>
            </w:r>
          </w:p>
        </w:tc>
      </w:tr>
      <w:tr w:rsidR="006A2DAF" w:rsidRPr="006A2DAF" w:rsidTr="006A2DAF">
        <w:trPr>
          <w:trHeight w:hRule="exact" w:val="170"/>
          <w:jc w:val="center"/>
        </w:trPr>
        <w:tc>
          <w:tcPr>
            <w:tcW w:w="1706" w:type="dxa"/>
            <w:shd w:val="clear" w:color="auto" w:fill="auto"/>
            <w:noWrap/>
            <w:hideMark/>
          </w:tcPr>
          <w:p w:rsidR="006A2DAF" w:rsidRPr="006A2DAF" w:rsidRDefault="006A2DA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2016-17</w:t>
            </w:r>
          </w:p>
        </w:tc>
        <w:tc>
          <w:tcPr>
            <w:tcW w:w="3116" w:type="dxa"/>
            <w:shd w:val="clear" w:color="auto" w:fill="auto"/>
            <w:noWrap/>
            <w:hideMark/>
          </w:tcPr>
          <w:p w:rsidR="006A2DA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24.7 per cent</w:t>
            </w:r>
          </w:p>
        </w:tc>
        <w:tc>
          <w:tcPr>
            <w:tcW w:w="3116" w:type="dxa"/>
            <w:shd w:val="clear" w:color="auto" w:fill="auto"/>
            <w:noWrap/>
          </w:tcPr>
          <w:p w:rsidR="006A2DAF" w:rsidRPr="006A2DAF" w:rsidRDefault="006A2DAF" w:rsidP="00746325">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25.3 per cent</w:t>
            </w:r>
          </w:p>
        </w:tc>
      </w:tr>
      <w:tr w:rsidR="006A2DAF" w:rsidRPr="006A2DAF" w:rsidTr="006A2DAF">
        <w:trPr>
          <w:trHeight w:hRule="exact" w:val="170"/>
          <w:jc w:val="center"/>
        </w:trPr>
        <w:tc>
          <w:tcPr>
            <w:tcW w:w="1706" w:type="dxa"/>
            <w:shd w:val="clear" w:color="auto" w:fill="auto"/>
            <w:noWrap/>
            <w:hideMark/>
          </w:tcPr>
          <w:p w:rsidR="006A2DAF" w:rsidRPr="006A2DAF" w:rsidRDefault="006A2DA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2017-18</w:t>
            </w:r>
          </w:p>
        </w:tc>
        <w:tc>
          <w:tcPr>
            <w:tcW w:w="3116" w:type="dxa"/>
            <w:shd w:val="clear" w:color="auto" w:fill="auto"/>
            <w:noWrap/>
            <w:hideMark/>
          </w:tcPr>
          <w:p w:rsidR="006A2DA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24.8 per cent</w:t>
            </w:r>
          </w:p>
        </w:tc>
        <w:tc>
          <w:tcPr>
            <w:tcW w:w="3116" w:type="dxa"/>
            <w:shd w:val="clear" w:color="auto" w:fill="auto"/>
            <w:noWrap/>
          </w:tcPr>
          <w:p w:rsidR="006A2DAF" w:rsidRPr="006A2DAF" w:rsidRDefault="006A2DAF" w:rsidP="00746325">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25.6 per cent</w:t>
            </w:r>
          </w:p>
        </w:tc>
      </w:tr>
      <w:tr w:rsidR="006A2DAF" w:rsidRPr="006A2DAF" w:rsidTr="006A2DAF">
        <w:trPr>
          <w:trHeight w:hRule="exact" w:val="170"/>
          <w:jc w:val="center"/>
        </w:trPr>
        <w:tc>
          <w:tcPr>
            <w:tcW w:w="1706" w:type="dxa"/>
            <w:shd w:val="clear" w:color="auto" w:fill="auto"/>
            <w:noWrap/>
            <w:hideMark/>
          </w:tcPr>
          <w:p w:rsidR="006A2DAF" w:rsidRPr="006A2DAF" w:rsidRDefault="006A2DA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2018-19</w:t>
            </w:r>
          </w:p>
        </w:tc>
        <w:tc>
          <w:tcPr>
            <w:tcW w:w="3116" w:type="dxa"/>
            <w:shd w:val="clear" w:color="auto" w:fill="auto"/>
            <w:noWrap/>
            <w:hideMark/>
          </w:tcPr>
          <w:p w:rsidR="006A2DA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25.1 per cent</w:t>
            </w:r>
          </w:p>
        </w:tc>
        <w:tc>
          <w:tcPr>
            <w:tcW w:w="3116" w:type="dxa"/>
            <w:shd w:val="clear" w:color="auto" w:fill="auto"/>
            <w:noWrap/>
          </w:tcPr>
          <w:p w:rsidR="006A2DAF" w:rsidRPr="006A2DAF" w:rsidRDefault="006A2DAF" w:rsidP="00746325">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25.8 per cent</w:t>
            </w:r>
          </w:p>
        </w:tc>
      </w:tr>
      <w:tr w:rsidR="006A2DAF" w:rsidRPr="006A2DAF" w:rsidTr="006A2DAF">
        <w:trPr>
          <w:trHeight w:hRule="exact" w:val="170"/>
          <w:jc w:val="center"/>
        </w:trPr>
        <w:tc>
          <w:tcPr>
            <w:tcW w:w="1706" w:type="dxa"/>
            <w:shd w:val="clear" w:color="auto" w:fill="auto"/>
            <w:noWrap/>
            <w:hideMark/>
          </w:tcPr>
          <w:p w:rsidR="006A2DAF" w:rsidRPr="006A2DAF" w:rsidRDefault="006A2DA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2019-20</w:t>
            </w:r>
          </w:p>
        </w:tc>
        <w:tc>
          <w:tcPr>
            <w:tcW w:w="3116" w:type="dxa"/>
            <w:shd w:val="clear" w:color="auto" w:fill="auto"/>
            <w:noWrap/>
            <w:hideMark/>
          </w:tcPr>
          <w:p w:rsidR="006A2DA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24.8 per cent</w:t>
            </w:r>
          </w:p>
        </w:tc>
        <w:tc>
          <w:tcPr>
            <w:tcW w:w="3116" w:type="dxa"/>
            <w:shd w:val="clear" w:color="auto" w:fill="auto"/>
            <w:noWrap/>
          </w:tcPr>
          <w:p w:rsidR="006A2DAF" w:rsidRPr="006A2DAF" w:rsidRDefault="006A2DAF" w:rsidP="00746325">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25.9 per cent</w:t>
            </w:r>
          </w:p>
        </w:tc>
      </w:tr>
      <w:tr w:rsidR="006A2DAF" w:rsidRPr="006A2DAF" w:rsidTr="006A2DAF">
        <w:trPr>
          <w:trHeight w:hRule="exact" w:val="170"/>
          <w:jc w:val="center"/>
        </w:trPr>
        <w:tc>
          <w:tcPr>
            <w:tcW w:w="1706" w:type="dxa"/>
            <w:shd w:val="clear" w:color="auto" w:fill="auto"/>
            <w:noWrap/>
            <w:hideMark/>
          </w:tcPr>
          <w:p w:rsidR="006A2DAF" w:rsidRPr="006A2DAF" w:rsidRDefault="006A2DA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2020-21</w:t>
            </w:r>
          </w:p>
        </w:tc>
        <w:tc>
          <w:tcPr>
            <w:tcW w:w="3116" w:type="dxa"/>
            <w:shd w:val="clear" w:color="auto" w:fill="auto"/>
            <w:noWrap/>
            <w:hideMark/>
          </w:tcPr>
          <w:p w:rsidR="006A2DA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24.7 per cent</w:t>
            </w:r>
          </w:p>
        </w:tc>
        <w:tc>
          <w:tcPr>
            <w:tcW w:w="3116" w:type="dxa"/>
            <w:shd w:val="clear" w:color="auto" w:fill="auto"/>
            <w:noWrap/>
          </w:tcPr>
          <w:p w:rsidR="006A2DA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26.0 per cent</w:t>
            </w:r>
          </w:p>
        </w:tc>
      </w:tr>
      <w:tr w:rsidR="006A2DAF" w:rsidRPr="006A2DAF" w:rsidTr="006A2DAF">
        <w:trPr>
          <w:trHeight w:hRule="exact" w:val="170"/>
          <w:jc w:val="center"/>
        </w:trPr>
        <w:tc>
          <w:tcPr>
            <w:tcW w:w="1706" w:type="dxa"/>
            <w:shd w:val="clear" w:color="auto" w:fill="auto"/>
            <w:noWrap/>
            <w:hideMark/>
          </w:tcPr>
          <w:p w:rsidR="006A2DAF" w:rsidRPr="006A2DAF" w:rsidRDefault="006A2DA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2021-22</w:t>
            </w:r>
          </w:p>
        </w:tc>
        <w:tc>
          <w:tcPr>
            <w:tcW w:w="3116" w:type="dxa"/>
            <w:shd w:val="clear" w:color="auto" w:fill="auto"/>
            <w:noWrap/>
            <w:hideMark/>
          </w:tcPr>
          <w:p w:rsidR="006A2DA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24.6 per cent</w:t>
            </w:r>
          </w:p>
        </w:tc>
        <w:tc>
          <w:tcPr>
            <w:tcW w:w="3116" w:type="dxa"/>
            <w:shd w:val="clear" w:color="auto" w:fill="auto"/>
            <w:noWrap/>
            <w:hideMark/>
          </w:tcPr>
          <w:p w:rsidR="006A2DA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26.0 per cent</w:t>
            </w:r>
          </w:p>
        </w:tc>
      </w:tr>
      <w:tr w:rsidR="006A2DAF" w:rsidRPr="006A2DAF" w:rsidTr="006A2DAF">
        <w:trPr>
          <w:trHeight w:hRule="exact" w:val="170"/>
          <w:jc w:val="center"/>
        </w:trPr>
        <w:tc>
          <w:tcPr>
            <w:tcW w:w="1706" w:type="dxa"/>
            <w:shd w:val="clear" w:color="auto" w:fill="auto"/>
            <w:noWrap/>
            <w:hideMark/>
          </w:tcPr>
          <w:p w:rsidR="006A2DAF" w:rsidRPr="006A2DAF" w:rsidRDefault="006A2DA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2022-23</w:t>
            </w:r>
          </w:p>
        </w:tc>
        <w:tc>
          <w:tcPr>
            <w:tcW w:w="3116" w:type="dxa"/>
            <w:shd w:val="clear" w:color="auto" w:fill="auto"/>
            <w:noWrap/>
            <w:hideMark/>
          </w:tcPr>
          <w:p w:rsidR="006A2DA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24.5 per cent</w:t>
            </w:r>
          </w:p>
        </w:tc>
        <w:tc>
          <w:tcPr>
            <w:tcW w:w="3116" w:type="dxa"/>
            <w:shd w:val="clear" w:color="auto" w:fill="auto"/>
            <w:noWrap/>
            <w:hideMark/>
          </w:tcPr>
          <w:p w:rsidR="006A2DA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26.0 per cent</w:t>
            </w:r>
          </w:p>
        </w:tc>
      </w:tr>
      <w:tr w:rsidR="006A2DAF" w:rsidRPr="006A2DAF" w:rsidTr="006A2DAF">
        <w:trPr>
          <w:trHeight w:hRule="exact" w:val="170"/>
          <w:jc w:val="center"/>
        </w:trPr>
        <w:tc>
          <w:tcPr>
            <w:tcW w:w="1706" w:type="dxa"/>
            <w:shd w:val="clear" w:color="auto" w:fill="auto"/>
            <w:noWrap/>
            <w:hideMark/>
          </w:tcPr>
          <w:p w:rsidR="006A2DAF" w:rsidRPr="006A2DAF" w:rsidRDefault="006A2DA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2023-24</w:t>
            </w:r>
          </w:p>
        </w:tc>
        <w:tc>
          <w:tcPr>
            <w:tcW w:w="3116" w:type="dxa"/>
            <w:shd w:val="clear" w:color="auto" w:fill="auto"/>
            <w:noWrap/>
            <w:hideMark/>
          </w:tcPr>
          <w:p w:rsidR="006A2DA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24.4 per cent</w:t>
            </w:r>
          </w:p>
        </w:tc>
        <w:tc>
          <w:tcPr>
            <w:tcW w:w="3116" w:type="dxa"/>
            <w:shd w:val="clear" w:color="auto" w:fill="auto"/>
            <w:noWrap/>
            <w:hideMark/>
          </w:tcPr>
          <w:p w:rsidR="006A2DA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26.0 per cent</w:t>
            </w:r>
          </w:p>
        </w:tc>
      </w:tr>
      <w:tr w:rsidR="006A2DAF" w:rsidRPr="006A2DAF" w:rsidTr="006A2DAF">
        <w:trPr>
          <w:trHeight w:hRule="exact" w:val="170"/>
          <w:jc w:val="center"/>
        </w:trPr>
        <w:tc>
          <w:tcPr>
            <w:tcW w:w="1706" w:type="dxa"/>
            <w:shd w:val="clear" w:color="auto" w:fill="auto"/>
            <w:noWrap/>
            <w:hideMark/>
          </w:tcPr>
          <w:p w:rsidR="006A2DAF" w:rsidRPr="006A2DAF" w:rsidRDefault="006A2DAF" w:rsidP="001D7F8C">
            <w:pPr>
              <w:spacing w:before="0" w:after="0"/>
              <w:jc w:val="center"/>
              <w:rPr>
                <w:rFonts w:ascii="Arial" w:eastAsia="Times New Roman" w:hAnsi="Arial" w:cs="Arial"/>
                <w:b/>
                <w:bCs/>
                <w:color w:val="FFFFFF" w:themeColor="background1"/>
                <w:sz w:val="14"/>
                <w:szCs w:val="12"/>
              </w:rPr>
            </w:pPr>
            <w:r w:rsidRPr="006A2DAF">
              <w:rPr>
                <w:rFonts w:ascii="Arial" w:eastAsia="Times New Roman" w:hAnsi="Arial" w:cs="Arial"/>
                <w:b/>
                <w:bCs/>
                <w:color w:val="FFFFFF" w:themeColor="background1"/>
                <w:sz w:val="14"/>
                <w:szCs w:val="12"/>
              </w:rPr>
              <w:t>2024-25</w:t>
            </w:r>
          </w:p>
        </w:tc>
        <w:tc>
          <w:tcPr>
            <w:tcW w:w="3116" w:type="dxa"/>
            <w:shd w:val="clear" w:color="auto" w:fill="auto"/>
            <w:noWrap/>
            <w:hideMark/>
          </w:tcPr>
          <w:p w:rsidR="006A2DA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24.2 per cent</w:t>
            </w:r>
          </w:p>
        </w:tc>
        <w:tc>
          <w:tcPr>
            <w:tcW w:w="3116" w:type="dxa"/>
            <w:shd w:val="clear" w:color="auto" w:fill="auto"/>
            <w:noWrap/>
            <w:hideMark/>
          </w:tcPr>
          <w:p w:rsidR="006A2DAF" w:rsidRPr="006A2DAF" w:rsidRDefault="006A2DAF" w:rsidP="001D7F8C">
            <w:pPr>
              <w:spacing w:before="0" w:after="0"/>
              <w:jc w:val="center"/>
              <w:rPr>
                <w:rFonts w:ascii="Arial" w:eastAsia="Times New Roman" w:hAnsi="Arial" w:cs="Arial"/>
                <w:color w:val="FFFFFF" w:themeColor="background1"/>
                <w:sz w:val="14"/>
                <w:szCs w:val="12"/>
              </w:rPr>
            </w:pPr>
            <w:r w:rsidRPr="006A2DAF">
              <w:rPr>
                <w:rFonts w:ascii="Arial" w:eastAsia="Times New Roman" w:hAnsi="Arial" w:cs="Arial"/>
                <w:color w:val="FFFFFF" w:themeColor="background1"/>
                <w:sz w:val="14"/>
                <w:szCs w:val="12"/>
              </w:rPr>
              <w:t>26.0 per cent</w:t>
            </w:r>
          </w:p>
        </w:tc>
      </w:tr>
    </w:tbl>
    <w:p w:rsidR="00C44BF1" w:rsidRPr="005419E1" w:rsidRDefault="00C44BF1" w:rsidP="00891443">
      <w:pPr>
        <w:pStyle w:val="PBOsource"/>
      </w:pPr>
      <w:r w:rsidRPr="005419E1">
        <w:t>Source: Australian Government Budgets and Final Budget Outcomes</w:t>
      </w:r>
    </w:p>
    <w:p w:rsidR="005410EB" w:rsidRDefault="005410EB" w:rsidP="005410EB">
      <w:pPr>
        <w:pStyle w:val="PBOtext"/>
      </w:pPr>
      <w:r>
        <w:t>As the temporary increase in the terms of trade reverses, growth in nominal GDP is expected to be weak</w:t>
      </w:r>
      <w:r w:rsidR="00302714">
        <w:t>er</w:t>
      </w:r>
      <w:r>
        <w:t xml:space="preserve">.  In the absence of slower spending growth, the spending to GDP ratio would </w:t>
      </w:r>
      <w:proofErr w:type="gramStart"/>
      <w:r>
        <w:t>rise</w:t>
      </w:r>
      <w:proofErr w:type="gramEnd"/>
      <w:r>
        <w:t xml:space="preserve">.  By way of illustration, the dotted line in Figure 1.2 represents the ratio of spending to GDP that would result if real spending is projected to grow at the same rate as real GDP (3.2 per cent annual growth).  In this illustrative example, the spending to GDP ratio </w:t>
      </w:r>
      <w:proofErr w:type="gramStart"/>
      <w:r>
        <w:t>rises</w:t>
      </w:r>
      <w:proofErr w:type="gramEnd"/>
      <w:r>
        <w:t xml:space="preserve"> over the period to 26 per cent, flattening towards the end of the medium term as the terms of trade is projected to stop declining.</w:t>
      </w:r>
    </w:p>
    <w:p w:rsidR="00770CF8" w:rsidRDefault="005410EB" w:rsidP="00770CF8">
      <w:pPr>
        <w:pStyle w:val="PBOtext"/>
      </w:pPr>
      <w:r>
        <w:t xml:space="preserve">Spending growth over the medium </w:t>
      </w:r>
      <w:r w:rsidR="000C2544">
        <w:t xml:space="preserve">term </w:t>
      </w:r>
      <w:r>
        <w:t>is project</w:t>
      </w:r>
      <w:r w:rsidR="00D90CD4">
        <w:t>ed to grow at a real rate of 2.6</w:t>
      </w:r>
      <w:r>
        <w:t xml:space="preserve"> per cent in the 2014-15 Budget.  This results in a gradual decline in spending as a proportion of GDP, with </w:t>
      </w:r>
      <w:r w:rsidR="004635B9">
        <w:t xml:space="preserve">the </w:t>
      </w:r>
      <w:r>
        <w:t>ratio of Australian Government spending to GDP over the medium term, on average, about the same as the past decade.</w:t>
      </w:r>
    </w:p>
    <w:p w:rsidR="005410EB" w:rsidRDefault="005410EB" w:rsidP="005410EB">
      <w:pPr>
        <w:pStyle w:val="PBOtext"/>
      </w:pPr>
      <w:r>
        <w:t xml:space="preserve">To the extent that the projected reduction in Australian Government spending growth is not achieved over the medium term, an even greater share of the burden of fiscal consolidation would </w:t>
      </w:r>
      <w:r w:rsidR="00302714">
        <w:t xml:space="preserve">need to </w:t>
      </w:r>
      <w:r>
        <w:t xml:space="preserve">fall on the revenue side of the budget. </w:t>
      </w:r>
      <w:r w:rsidR="000C2544">
        <w:t xml:space="preserve">That said, the Australian Government’s medium term </w:t>
      </w:r>
      <w:r w:rsidR="000C2544">
        <w:lastRenderedPageBreak/>
        <w:t xml:space="preserve">budget projections already assume a significant increase in revenue with </w:t>
      </w:r>
      <w:r w:rsidR="000C2544" w:rsidRPr="00904B4E">
        <w:t>tax receipts</w:t>
      </w:r>
      <w:r w:rsidR="000C2544">
        <w:t xml:space="preserve"> projected</w:t>
      </w:r>
      <w:r w:rsidR="000C2544" w:rsidRPr="00904B4E">
        <w:t xml:space="preserve"> to rise from 21.4 per cent of GDP in 2012-13 to </w:t>
      </w:r>
      <w:r w:rsidR="000C2544">
        <w:t>23.9 per cent of GDP in 2019-20, and remaining at that level over the medium term.</w:t>
      </w:r>
    </w:p>
    <w:p w:rsidR="005410EB" w:rsidRDefault="005410EB" w:rsidP="005410EB">
      <w:pPr>
        <w:pStyle w:val="PBOtext"/>
      </w:pPr>
      <w:r>
        <w:t>The projected growth in real GDP over the medium term is</w:t>
      </w:r>
      <w:r w:rsidR="003B5EB1">
        <w:t xml:space="preserve"> stronger than growth over the p</w:t>
      </w:r>
      <w:r>
        <w:t>ast decade.  This strong projected real GDP growth reflects Treasury estimates that by 2015-16 the economy will be operating significantly below its potential.  To close this gap, real GDP is projected to grow above trend growth for a period over the medium term as the economy moves back to its potential which is projected to occur by 2020</w:t>
      </w:r>
      <w:r>
        <w:noBreakHyphen/>
        <w:t>21.</w:t>
      </w:r>
    </w:p>
    <w:p w:rsidR="005410EB" w:rsidRDefault="005410EB" w:rsidP="005410EB">
      <w:pPr>
        <w:pStyle w:val="PBOtext"/>
      </w:pPr>
      <w:r>
        <w:t xml:space="preserve">Economic projections are based on judgements and assumptions which are subject to uncertainty.  As the Budget papers note, there are risks to the economic outlook.  Weaker real GDP growth than projected is a possibility given continued uncertainty around global growth following the financial crisis, the substantial slowing in growth in China following a period of rapid expansion, and the rise of geopolitical tensions.  </w:t>
      </w:r>
    </w:p>
    <w:p w:rsidR="005410EB" w:rsidRDefault="005410EB" w:rsidP="005410EB">
      <w:pPr>
        <w:pStyle w:val="PBOtext"/>
      </w:pPr>
      <w:r>
        <w:t xml:space="preserve">These risks are in addition to the uncertainty about the Australian economy’s transition out of the resources investment boom, and rapidly rising terms of trade, to a more balanced growth path but with uncertainty about the prospects for a recovery in productivity growth.  </w:t>
      </w:r>
    </w:p>
    <w:p w:rsidR="005410EB" w:rsidRDefault="005410EB" w:rsidP="005410EB">
      <w:pPr>
        <w:pStyle w:val="PBOtext"/>
      </w:pPr>
      <w:r>
        <w:t xml:space="preserve">Economic growth drives revenue growth and hence one side of the budget equation.  Downside risks to the economic outlook imply downside risk to the revenue projections. This reinforces the need for fiscal consolidation in order to establish a fiscal buffer against the possibility of adverse economic shocks.  </w:t>
      </w:r>
    </w:p>
    <w:p w:rsidR="005410EB" w:rsidRDefault="005410EB" w:rsidP="005410EB">
      <w:pPr>
        <w:pStyle w:val="PBOtext"/>
      </w:pPr>
      <w:r w:rsidRPr="006D3F41">
        <w:t xml:space="preserve">Australian Government payments </w:t>
      </w:r>
      <w:r w:rsidR="002C27DA">
        <w:t xml:space="preserve">in nominal terms are shown in </w:t>
      </w:r>
      <w:r w:rsidRPr="006D3F41">
        <w:t>Figure 1.3.</w:t>
      </w:r>
    </w:p>
    <w:p w:rsidR="00C44BF1" w:rsidRDefault="00894BAB" w:rsidP="00C44BF1">
      <w:pPr>
        <w:pStyle w:val="PBOfiguretableheading"/>
      </w:pPr>
      <w:r>
        <w:rPr>
          <w:noProof/>
          <w:lang w:eastAsia="en-AU"/>
        </w:rPr>
        <w:drawing>
          <wp:anchor distT="0" distB="0" distL="114300" distR="114300" simplePos="0" relativeHeight="251758592" behindDoc="0" locked="0" layoutInCell="1" allowOverlap="1" wp14:anchorId="58BCEDBB" wp14:editId="62F8F16E">
            <wp:simplePos x="0" y="0"/>
            <wp:positionH relativeFrom="column">
              <wp:posOffset>-726</wp:posOffset>
            </wp:positionH>
            <wp:positionV relativeFrom="paragraph">
              <wp:posOffset>266700</wp:posOffset>
            </wp:positionV>
            <wp:extent cx="5255260" cy="3060700"/>
            <wp:effectExtent l="0" t="0" r="254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5260" cy="3060700"/>
                    </a:xfrm>
                    <a:prstGeom prst="rect">
                      <a:avLst/>
                    </a:prstGeom>
                    <a:noFill/>
                  </pic:spPr>
                </pic:pic>
              </a:graphicData>
            </a:graphic>
            <wp14:sizeRelH relativeFrom="page">
              <wp14:pctWidth>0</wp14:pctWidth>
            </wp14:sizeRelH>
            <wp14:sizeRelV relativeFrom="page">
              <wp14:pctHeight>0</wp14:pctHeight>
            </wp14:sizeRelV>
          </wp:anchor>
        </w:drawing>
      </w:r>
      <w:r w:rsidR="00C44BF1">
        <w:t>Figure 1.3: Nominal historical and projected Australian Government payments</w:t>
      </w:r>
    </w:p>
    <w:tbl>
      <w:tblPr>
        <w:tblW w:w="7938" w:type="dxa"/>
        <w:jc w:val="center"/>
        <w:tblLook w:val="04A0" w:firstRow="1" w:lastRow="0" w:firstColumn="1" w:lastColumn="0" w:noHBand="0" w:noVBand="1"/>
      </w:tblPr>
      <w:tblGrid>
        <w:gridCol w:w="3955"/>
        <w:gridCol w:w="3983"/>
      </w:tblGrid>
      <w:tr w:rsidR="00894BAB" w:rsidRPr="00894BAB" w:rsidTr="00894BAB">
        <w:trPr>
          <w:cantSplit/>
          <w:trHeight w:hRule="exact" w:val="704"/>
          <w:jc w:val="center"/>
        </w:trPr>
        <w:tc>
          <w:tcPr>
            <w:tcW w:w="2860" w:type="dxa"/>
            <w:shd w:val="clear" w:color="auto" w:fill="auto"/>
            <w:noWrap/>
            <w:vAlign w:val="center"/>
            <w:hideMark/>
          </w:tcPr>
          <w:p w:rsidR="007D07A3" w:rsidRPr="00894BAB" w:rsidRDefault="007D07A3"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Year</w:t>
            </w:r>
          </w:p>
        </w:tc>
        <w:tc>
          <w:tcPr>
            <w:tcW w:w="2880" w:type="dxa"/>
            <w:shd w:val="clear" w:color="auto" w:fill="auto"/>
            <w:noWrap/>
            <w:vAlign w:val="center"/>
            <w:hideMark/>
          </w:tcPr>
          <w:p w:rsidR="007D07A3" w:rsidRPr="00894BAB" w:rsidRDefault="007D07A3"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Nominal government payments ($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2002-03</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197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2003-04</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210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2004-05</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222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2005-06</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240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2006-07</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253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2007-08</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272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2008-09</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316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2009-10</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222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2010-11</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346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2011-12</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371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2012-13</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367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2013-14</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411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2014-15</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412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2015-16</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424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2016-17</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444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2017-18</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467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2018-19</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498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2019-20</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520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2020-21</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548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2021-22</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576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2022-23</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606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2023-24</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637 billion</w:t>
            </w:r>
          </w:p>
        </w:tc>
      </w:tr>
      <w:tr w:rsidR="00894BAB" w:rsidRPr="00894BAB" w:rsidTr="00894BAB">
        <w:trPr>
          <w:cantSplit/>
          <w:trHeight w:hRule="exact" w:val="170"/>
          <w:jc w:val="center"/>
        </w:trPr>
        <w:tc>
          <w:tcPr>
            <w:tcW w:w="2860" w:type="dxa"/>
            <w:shd w:val="clear" w:color="auto" w:fill="auto"/>
            <w:noWrap/>
            <w:vAlign w:val="center"/>
            <w:hideMark/>
          </w:tcPr>
          <w:p w:rsidR="00B53425" w:rsidRPr="00894BAB" w:rsidRDefault="00B53425" w:rsidP="007D07A3">
            <w:pPr>
              <w:spacing w:before="0" w:after="0"/>
              <w:jc w:val="center"/>
              <w:rPr>
                <w:rFonts w:ascii="Arial" w:eastAsia="Times New Roman" w:hAnsi="Arial" w:cs="Arial"/>
                <w:b/>
                <w:bCs/>
                <w:color w:val="FFFFFF" w:themeColor="background1"/>
                <w:sz w:val="12"/>
                <w:szCs w:val="12"/>
              </w:rPr>
            </w:pPr>
            <w:r w:rsidRPr="00894BAB">
              <w:rPr>
                <w:rFonts w:ascii="Arial" w:eastAsia="Times New Roman" w:hAnsi="Arial" w:cs="Arial"/>
                <w:b/>
                <w:bCs/>
                <w:color w:val="FFFFFF" w:themeColor="background1"/>
                <w:sz w:val="12"/>
                <w:szCs w:val="12"/>
              </w:rPr>
              <w:t>2024-25</w:t>
            </w:r>
          </w:p>
        </w:tc>
        <w:tc>
          <w:tcPr>
            <w:tcW w:w="2880" w:type="dxa"/>
            <w:shd w:val="clear" w:color="auto" w:fill="auto"/>
            <w:noWrap/>
            <w:hideMark/>
          </w:tcPr>
          <w:p w:rsidR="00B53425" w:rsidRPr="00894BAB" w:rsidRDefault="00B53425" w:rsidP="00B53425">
            <w:pPr>
              <w:spacing w:before="0" w:after="0"/>
              <w:jc w:val="center"/>
              <w:rPr>
                <w:rFonts w:ascii="Arial" w:hAnsi="Arial" w:cs="Arial"/>
                <w:color w:val="FFFFFF" w:themeColor="background1"/>
                <w:sz w:val="12"/>
                <w:szCs w:val="12"/>
              </w:rPr>
            </w:pPr>
            <w:r w:rsidRPr="00894BAB">
              <w:rPr>
                <w:rFonts w:ascii="Arial" w:hAnsi="Arial" w:cs="Arial"/>
                <w:color w:val="FFFFFF" w:themeColor="background1"/>
                <w:sz w:val="12"/>
                <w:szCs w:val="12"/>
              </w:rPr>
              <w:t>668 billion</w:t>
            </w:r>
          </w:p>
        </w:tc>
      </w:tr>
    </w:tbl>
    <w:p w:rsidR="00ED29C0" w:rsidRDefault="00C44BF1" w:rsidP="00891443">
      <w:pPr>
        <w:pStyle w:val="PBOsource"/>
      </w:pPr>
      <w:r>
        <w:t>Source: Australian Government Budgets and Final Budget Outcomes</w:t>
      </w:r>
    </w:p>
    <w:p w:rsidR="00401149" w:rsidRDefault="00BB347A" w:rsidP="00E26C67">
      <w:pPr>
        <w:pStyle w:val="PBOtext"/>
      </w:pPr>
      <w:r w:rsidRPr="005410EB">
        <w:t xml:space="preserve">The key drivers </w:t>
      </w:r>
      <w:r w:rsidR="005C4992" w:rsidRPr="005410EB">
        <w:t>of</w:t>
      </w:r>
      <w:r w:rsidRPr="005410EB">
        <w:t xml:space="preserve"> the projected growth in spending </w:t>
      </w:r>
      <w:r w:rsidR="005C4992" w:rsidRPr="005410EB">
        <w:t>are</w:t>
      </w:r>
      <w:r w:rsidRPr="005410EB">
        <w:t xml:space="preserve"> discu</w:t>
      </w:r>
      <w:r w:rsidR="00837920" w:rsidRPr="005410EB">
        <w:t>ssed in the following section</w:t>
      </w:r>
      <w:r w:rsidR="00280720" w:rsidRPr="005410EB">
        <w:t>.</w:t>
      </w:r>
    </w:p>
    <w:p w:rsidR="00C42EDE" w:rsidRDefault="00C42EDE" w:rsidP="00E26C67">
      <w:pPr>
        <w:pStyle w:val="PBOtext"/>
        <w:sectPr w:rsidR="00C42EDE" w:rsidSect="00040E69">
          <w:footerReference w:type="even" r:id="rId31"/>
          <w:footerReference w:type="default" r:id="rId32"/>
          <w:headerReference w:type="first" r:id="rId33"/>
          <w:pgSz w:w="11900" w:h="16840"/>
          <w:pgMar w:top="1440" w:right="1797" w:bottom="1440" w:left="1843" w:header="709" w:footer="709" w:gutter="0"/>
          <w:cols w:space="708"/>
          <w:titlePg/>
          <w:docGrid w:linePitch="326"/>
        </w:sectPr>
      </w:pPr>
    </w:p>
    <w:p w:rsidR="00850C9E" w:rsidRDefault="00850C9E" w:rsidP="009C4E9F">
      <w:pPr>
        <w:pStyle w:val="PBOheading1"/>
        <w:numPr>
          <w:ilvl w:val="0"/>
          <w:numId w:val="26"/>
        </w:numPr>
        <w:ind w:left="720" w:hanging="720"/>
      </w:pPr>
      <w:bookmarkStart w:id="53" w:name="_Toc394502041"/>
      <w:bookmarkStart w:id="54" w:name="_Toc396382630"/>
      <w:r>
        <w:lastRenderedPageBreak/>
        <w:t>Drivers of growth in government spending</w:t>
      </w:r>
      <w:bookmarkEnd w:id="53"/>
      <w:bookmarkEnd w:id="54"/>
    </w:p>
    <w:p w:rsidR="005410EB" w:rsidRDefault="005410EB" w:rsidP="005410EB">
      <w:pPr>
        <w:pStyle w:val="PBOtext"/>
      </w:pPr>
      <w:r>
        <w:t xml:space="preserve">This section examines the main programs driving growth in </w:t>
      </w:r>
      <w:r w:rsidR="005265F2">
        <w:t>Australian Government</w:t>
      </w:r>
      <w:r>
        <w:t xml:space="preserve"> spending over the medium term. The spending projections for each program are based on the announced policy settings contained in the 2014-15 </w:t>
      </w:r>
      <w:proofErr w:type="gramStart"/>
      <w:r>
        <w:t>Budget</w:t>
      </w:r>
      <w:proofErr w:type="gramEnd"/>
      <w:r>
        <w:t xml:space="preserve"> and make no allowance for new future spending initiatives in the respective programs.</w:t>
      </w:r>
      <w:r w:rsidRPr="000818F8">
        <w:t xml:space="preserve"> </w:t>
      </w:r>
    </w:p>
    <w:p w:rsidR="005410EB" w:rsidRDefault="005410EB" w:rsidP="005410EB">
      <w:pPr>
        <w:pStyle w:val="PBOtext"/>
      </w:pPr>
      <w:r>
        <w:t xml:space="preserve">Section 1 highlighted the </w:t>
      </w:r>
      <w:r w:rsidRPr="00351FB8">
        <w:t>s</w:t>
      </w:r>
      <w:r>
        <w:t xml:space="preserve">trong </w:t>
      </w:r>
      <w:r w:rsidRPr="00351FB8">
        <w:t xml:space="preserve">spending </w:t>
      </w:r>
      <w:r>
        <w:t>growth that accompanied strong n</w:t>
      </w:r>
      <w:r w:rsidR="003B5EB1">
        <w:t>ational income growth over the p</w:t>
      </w:r>
      <w:r>
        <w:t>ast decade.  A by-product of this historical spending growth has</w:t>
      </w:r>
      <w:r w:rsidRPr="00351FB8">
        <w:t xml:space="preserve"> been an increase in community expectations about what government can provide now and in the future.  </w:t>
      </w:r>
    </w:p>
    <w:p w:rsidR="005410EB" w:rsidRDefault="005410EB" w:rsidP="005410EB">
      <w:pPr>
        <w:pStyle w:val="PBOtext"/>
      </w:pPr>
      <w:r w:rsidRPr="00351FB8">
        <w:t xml:space="preserve">Elevated community expectations </w:t>
      </w:r>
      <w:r>
        <w:t xml:space="preserve">are likely to </w:t>
      </w:r>
      <w:r w:rsidRPr="00351FB8">
        <w:t xml:space="preserve">put ongoing pressure on governments to increase discretionary spending on </w:t>
      </w:r>
      <w:r>
        <w:t xml:space="preserve">major programs over the medium term. It is difficult to see how governments could continue to meet these expectations while containing spending growth to the level currently projected. </w:t>
      </w:r>
    </w:p>
    <w:p w:rsidR="005410EB" w:rsidRDefault="005410EB" w:rsidP="005410EB">
      <w:pPr>
        <w:pStyle w:val="PBOtext"/>
      </w:pPr>
      <w:r>
        <w:t>Historical experience suggests that new spending initiatives are likely to be forthcoming over the next decade</w:t>
      </w:r>
      <w:r w:rsidRPr="00605A9D">
        <w:t xml:space="preserve"> </w:t>
      </w:r>
      <w:r>
        <w:t>and affect the baseline projections presented.</w:t>
      </w:r>
      <w:r w:rsidRPr="00605A9D">
        <w:t xml:space="preserve"> </w:t>
      </w:r>
      <w:r>
        <w:t xml:space="preserve"> As such, actual spending outcomes over the medium term could exceed the projections contained in this section. </w:t>
      </w:r>
    </w:p>
    <w:p w:rsidR="00BE6119" w:rsidRPr="002872B7" w:rsidRDefault="00BE6119" w:rsidP="002872B7">
      <w:pPr>
        <w:pStyle w:val="PBOheading2"/>
      </w:pPr>
      <w:bookmarkStart w:id="55" w:name="_Toc396382631"/>
      <w:r w:rsidRPr="002872B7">
        <w:t>Methodology</w:t>
      </w:r>
      <w:bookmarkEnd w:id="55"/>
      <w:r w:rsidRPr="002872B7">
        <w:t xml:space="preserve"> </w:t>
      </w:r>
    </w:p>
    <w:p w:rsidR="005410EB" w:rsidRDefault="005410EB" w:rsidP="005410EB">
      <w:pPr>
        <w:pStyle w:val="PBOtext"/>
      </w:pPr>
      <w:r w:rsidRPr="000D2B5C">
        <w:t>Section 2 refers to spending on an accrual basis as detailed information on programs is only available in accrual terms. Total spending comprises expenses and net capital investment. As with Section 1, the ‘historical’ period of analysis commences in 2002-03 as there is greater data consistency from this year onwards and concludes in 2012-13, the last year for which actual spending data is available. The ‘medium term’ analysis commences from the last year of the historical period and concludes in 2024</w:t>
      </w:r>
      <w:r>
        <w:noBreakHyphen/>
      </w:r>
      <w:r w:rsidRPr="000D2B5C">
        <w:t>25.</w:t>
      </w:r>
    </w:p>
    <w:p w:rsidR="005410EB" w:rsidRDefault="005410EB" w:rsidP="005410EB">
      <w:pPr>
        <w:pStyle w:val="PBOtext"/>
      </w:pPr>
      <w:r w:rsidRPr="00AD47CA">
        <w:t xml:space="preserve">Estimates of spending </w:t>
      </w:r>
      <w:r>
        <w:t xml:space="preserve">up to 2017-18 </w:t>
      </w:r>
      <w:r w:rsidRPr="00AD47CA">
        <w:t>are consistent with published 2014</w:t>
      </w:r>
      <w:r>
        <w:noBreakHyphen/>
      </w:r>
      <w:r w:rsidRPr="00AD47CA">
        <w:t>15</w:t>
      </w:r>
      <w:r>
        <w:t> </w:t>
      </w:r>
      <w:r w:rsidRPr="00AD47CA">
        <w:t xml:space="preserve">Budget figures.  </w:t>
      </w:r>
      <w:r>
        <w:t>Official estimates of spending on major programs beyond the forward estimates period are not published. Projected levels of spending on these programs beyond 2017</w:t>
      </w:r>
      <w:r>
        <w:noBreakHyphen/>
        <w:t>18 have been prepared by the PBO based on information provided by agencies and a range of models which take account of program indexation arrangements and demographic changes.</w:t>
      </w:r>
    </w:p>
    <w:p w:rsidR="005410EB" w:rsidRDefault="005410EB" w:rsidP="005410EB">
      <w:pPr>
        <w:pStyle w:val="PBOtext"/>
      </w:pPr>
      <w:r>
        <w:t xml:space="preserve">The impact of significant 2014-15 budget savings measures that are yet to be legislated is highlighted. This includes </w:t>
      </w:r>
      <w:r w:rsidRPr="002B09D1">
        <w:t xml:space="preserve">those measures currently before Parliament and those </w:t>
      </w:r>
      <w:r>
        <w:t xml:space="preserve">still </w:t>
      </w:r>
      <w:r w:rsidRPr="002B09D1">
        <w:t>to be introduced into the Parliament.</w:t>
      </w:r>
    </w:p>
    <w:p w:rsidR="005410EB" w:rsidRDefault="005410EB" w:rsidP="005410EB">
      <w:pPr>
        <w:pStyle w:val="PBOtext"/>
      </w:pPr>
      <w:r>
        <w:t xml:space="preserve">The tables and figures in this section only show the </w:t>
      </w:r>
      <w:r w:rsidRPr="00F95A0E">
        <w:t>spending</w:t>
      </w:r>
      <w:r>
        <w:t xml:space="preserve"> on particular programs – any associated revenue impacts are not included. This is particularly relevant for GST transfers to States, the National Disability Insurance Scheme (NDIS), the Paid Parental Leave (PPL) scheme and the Fuel Tax Credit Scheme. For </w:t>
      </w:r>
      <w:r w:rsidR="0029227E">
        <w:t>example, the GST transfer</w:t>
      </w:r>
      <w:r>
        <w:t xml:space="preserve"> to the State</w:t>
      </w:r>
      <w:r w:rsidRPr="00F95A0E">
        <w:t>s is equivalent to the GST revenue collected, meaning there is no net impact on the Commonwealth budget.</w:t>
      </w:r>
    </w:p>
    <w:p w:rsidR="005410EB" w:rsidRDefault="00515166" w:rsidP="00EC78E4">
      <w:pPr>
        <w:pStyle w:val="PBOtext"/>
      </w:pPr>
      <w:r>
        <w:t xml:space="preserve">Spending projections for individual programs exclude departmental funding.  The exceptions to this are the NDIS </w:t>
      </w:r>
      <w:r w:rsidR="00306AB9">
        <w:t>and d</w:t>
      </w:r>
      <w:r>
        <w:t>efence where departmental costs are integrally linked to the programs.</w:t>
      </w:r>
    </w:p>
    <w:p w:rsidR="00BE6119" w:rsidRPr="00BA54DE" w:rsidRDefault="00BE6119" w:rsidP="0033546E">
      <w:pPr>
        <w:pStyle w:val="PBOheading2"/>
      </w:pPr>
      <w:bookmarkStart w:id="56" w:name="_Toc396382632"/>
      <w:r w:rsidRPr="002F0C95">
        <w:lastRenderedPageBreak/>
        <w:t xml:space="preserve">Composition of </w:t>
      </w:r>
      <w:r w:rsidR="005265F2">
        <w:t>Australian Government</w:t>
      </w:r>
      <w:r w:rsidRPr="002F0C95">
        <w:t xml:space="preserve"> spending</w:t>
      </w:r>
      <w:bookmarkEnd w:id="56"/>
    </w:p>
    <w:p w:rsidR="005410EB" w:rsidRDefault="005410EB" w:rsidP="005410EB">
      <w:pPr>
        <w:pStyle w:val="PBOtext"/>
      </w:pPr>
      <w:r>
        <w:t>Seventy-eight per cent</w:t>
      </w:r>
      <w:r w:rsidRPr="00550C8E">
        <w:t xml:space="preserve"> of the projected </w:t>
      </w:r>
      <w:r w:rsidRPr="00B26187">
        <w:t>$682 billion</w:t>
      </w:r>
      <w:r w:rsidRPr="00550C8E">
        <w:t xml:space="preserve"> in government spending in 2024-25 is accounted for by twenty</w:t>
      </w:r>
      <w:r>
        <w:t>-one</w:t>
      </w:r>
      <w:r w:rsidRPr="00550C8E">
        <w:t xml:space="preserve"> programs (see Figure 2.1</w:t>
      </w:r>
      <w:r>
        <w:t xml:space="preserve"> and Table 2.1</w:t>
      </w:r>
      <w:r w:rsidRPr="00550C8E">
        <w:t>).</w:t>
      </w:r>
    </w:p>
    <w:p w:rsidR="00BB7052" w:rsidRDefault="00BB7052" w:rsidP="00E26C67">
      <w:pPr>
        <w:pStyle w:val="PBOfiguretableheading"/>
        <w:spacing w:before="120" w:after="0"/>
      </w:pPr>
      <w:r>
        <w:t xml:space="preserve">Figure </w:t>
      </w:r>
      <w:r w:rsidR="00F00F15">
        <w:t>2.1</w:t>
      </w:r>
      <w:r w:rsidR="00CF0724">
        <w:t xml:space="preserve">: </w:t>
      </w:r>
      <w:r w:rsidR="005545AB">
        <w:t>S</w:t>
      </w:r>
      <w:r w:rsidR="00262201">
        <w:t xml:space="preserve">hares </w:t>
      </w:r>
      <w:r w:rsidR="00CB7A99">
        <w:t>of</w:t>
      </w:r>
      <w:r w:rsidR="00262201">
        <w:t xml:space="preserve"> </w:t>
      </w:r>
      <w:r w:rsidR="001B4E32">
        <w:t>projected government</w:t>
      </w:r>
      <w:r w:rsidR="00CB7A99">
        <w:t xml:space="preserve"> spending in 2024-25</w:t>
      </w:r>
    </w:p>
    <w:tbl>
      <w:tblPr>
        <w:tblW w:w="7938" w:type="dxa"/>
        <w:jc w:val="center"/>
        <w:tblLook w:val="04A0" w:firstRow="1" w:lastRow="0" w:firstColumn="1" w:lastColumn="0" w:noHBand="0" w:noVBand="1"/>
      </w:tblPr>
      <w:tblGrid>
        <w:gridCol w:w="5722"/>
        <w:gridCol w:w="2216"/>
      </w:tblGrid>
      <w:tr w:rsidR="00FD1DC8" w:rsidRPr="00FD1DC8" w:rsidTr="00FD1DC8">
        <w:trPr>
          <w:trHeight w:val="1709"/>
          <w:jc w:val="center"/>
        </w:trPr>
        <w:tc>
          <w:tcPr>
            <w:tcW w:w="3316" w:type="dxa"/>
            <w:shd w:val="clear" w:color="auto" w:fill="auto"/>
            <w:noWrap/>
            <w:vAlign w:val="center"/>
            <w:hideMark/>
          </w:tcPr>
          <w:p w:rsidR="00C93847" w:rsidRPr="00FD1DC8" w:rsidRDefault="00FD1DC8" w:rsidP="00C93847">
            <w:pPr>
              <w:spacing w:before="0" w:after="0"/>
              <w:jc w:val="center"/>
              <w:rPr>
                <w:rFonts w:ascii="Arial" w:eastAsia="Times New Roman" w:hAnsi="Arial" w:cs="Arial"/>
                <w:b/>
                <w:bCs/>
                <w:color w:val="FFFFFF" w:themeColor="background1"/>
                <w:sz w:val="12"/>
                <w:szCs w:val="12"/>
              </w:rPr>
            </w:pPr>
            <w:r>
              <w:rPr>
                <w:rFonts w:ascii="Arial" w:eastAsia="Times New Roman" w:hAnsi="Arial" w:cs="Arial"/>
                <w:b/>
                <w:bCs/>
                <w:noProof/>
                <w:color w:val="FFFFFF" w:themeColor="background1"/>
                <w:sz w:val="12"/>
                <w:szCs w:val="12"/>
              </w:rPr>
              <w:drawing>
                <wp:anchor distT="0" distB="0" distL="114300" distR="114300" simplePos="0" relativeHeight="251725824" behindDoc="0" locked="0" layoutInCell="1" allowOverlap="1" wp14:anchorId="0352E248" wp14:editId="1DBF850D">
                  <wp:simplePos x="0" y="0"/>
                  <wp:positionH relativeFrom="column">
                    <wp:posOffset>-366395</wp:posOffset>
                  </wp:positionH>
                  <wp:positionV relativeFrom="paragraph">
                    <wp:posOffset>36195</wp:posOffset>
                  </wp:positionV>
                  <wp:extent cx="5760720" cy="41052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b="10314"/>
                          <a:stretch/>
                        </pic:blipFill>
                        <pic:spPr bwMode="auto">
                          <a:xfrm>
                            <a:off x="0" y="0"/>
                            <a:ext cx="5760720" cy="410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3847" w:rsidRPr="00FD1DC8">
              <w:rPr>
                <w:rFonts w:ascii="Arial" w:eastAsia="Times New Roman" w:hAnsi="Arial" w:cs="Arial"/>
                <w:b/>
                <w:bCs/>
                <w:color w:val="FFFFFF" w:themeColor="background1"/>
                <w:sz w:val="12"/>
                <w:szCs w:val="12"/>
              </w:rPr>
              <w:t>Driver</w:t>
            </w:r>
          </w:p>
        </w:tc>
        <w:tc>
          <w:tcPr>
            <w:tcW w:w="1284" w:type="dxa"/>
            <w:shd w:val="clear" w:color="auto" w:fill="auto"/>
            <w:vAlign w:val="center"/>
            <w:hideMark/>
          </w:tcPr>
          <w:p w:rsidR="00C93847" w:rsidRPr="00FD1DC8" w:rsidRDefault="00C93847" w:rsidP="00C93847">
            <w:pPr>
              <w:spacing w:before="0" w:after="0"/>
              <w:jc w:val="center"/>
              <w:rPr>
                <w:rFonts w:ascii="Arial" w:eastAsia="Times New Roman" w:hAnsi="Arial" w:cs="Arial"/>
                <w:b/>
                <w:bCs/>
                <w:color w:val="FFFFFF" w:themeColor="background1"/>
                <w:sz w:val="12"/>
                <w:szCs w:val="12"/>
              </w:rPr>
            </w:pPr>
            <w:r w:rsidRPr="00FD1DC8">
              <w:rPr>
                <w:rFonts w:ascii="Arial" w:eastAsia="Times New Roman" w:hAnsi="Arial" w:cs="Arial"/>
                <w:b/>
                <w:bCs/>
                <w:color w:val="FFFFFF" w:themeColor="background1"/>
                <w:sz w:val="12"/>
                <w:szCs w:val="12"/>
              </w:rPr>
              <w:t>2024-25</w:t>
            </w:r>
            <w:r w:rsidRPr="00FD1DC8">
              <w:rPr>
                <w:rFonts w:ascii="Arial" w:eastAsia="Times New Roman" w:hAnsi="Arial" w:cs="Arial"/>
                <w:b/>
                <w:bCs/>
                <w:color w:val="FFFFFF" w:themeColor="background1"/>
                <w:sz w:val="12"/>
                <w:szCs w:val="12"/>
              </w:rPr>
              <w:br/>
              <w:t>Share of total spending</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GST transfers to States</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14</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National Disability Insurance Scheme</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4</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Age Pension</w:t>
            </w:r>
          </w:p>
        </w:tc>
        <w:tc>
          <w:tcPr>
            <w:tcW w:w="1284" w:type="dxa"/>
            <w:shd w:val="clear" w:color="auto" w:fill="auto"/>
            <w:noWrap/>
            <w:vAlign w:val="bottom"/>
            <w:hideMark/>
          </w:tcPr>
          <w:p w:rsidR="009D46B3" w:rsidRPr="00FD1DC8" w:rsidRDefault="00C93847" w:rsidP="009D46B3">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10</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Defence spending</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7</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Aged care</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5</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Medicare Benefits Schedule</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5</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Schools</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4</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Public Hospitals</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4</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Paid Parental Leave</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1</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Disability Support Pension</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4</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Family Tax Benefit</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3</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Child care</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2</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Carer income support</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2</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Fuel Tax Credit Scheme</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2</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Pharmaceutical benefits and services</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2</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Government superannuation</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2</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Higher Education</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2</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Private Health Insurance Rebate</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1</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proofErr w:type="spellStart"/>
            <w:r w:rsidRPr="00FD1DC8">
              <w:rPr>
                <w:rFonts w:ascii="Arial" w:eastAsia="Times New Roman" w:hAnsi="Arial" w:cs="Arial"/>
                <w:b/>
                <w:color w:val="FFFFFF" w:themeColor="background1"/>
                <w:sz w:val="12"/>
                <w:szCs w:val="12"/>
              </w:rPr>
              <w:t>Newstart</w:t>
            </w:r>
            <w:proofErr w:type="spellEnd"/>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2</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Public debt interest</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3</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Official Development Assistance</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1</w:t>
            </w:r>
            <w:r w:rsidR="009D46B3" w:rsidRPr="00FD1DC8">
              <w:rPr>
                <w:rFonts w:ascii="Arial" w:eastAsia="Times New Roman" w:hAnsi="Arial" w:cs="Arial"/>
                <w:color w:val="FFFFFF" w:themeColor="background1"/>
                <w:sz w:val="12"/>
                <w:szCs w:val="12"/>
              </w:rPr>
              <w:t xml:space="preserve"> per cent</w:t>
            </w:r>
          </w:p>
        </w:tc>
      </w:tr>
      <w:tr w:rsidR="00FD1DC8" w:rsidRPr="00FD1DC8" w:rsidTr="00FD1DC8">
        <w:trPr>
          <w:trHeight w:val="227"/>
          <w:jc w:val="center"/>
        </w:trPr>
        <w:tc>
          <w:tcPr>
            <w:tcW w:w="3316" w:type="dxa"/>
            <w:shd w:val="clear" w:color="auto" w:fill="auto"/>
            <w:noWrap/>
            <w:vAlign w:val="bottom"/>
            <w:hideMark/>
          </w:tcPr>
          <w:p w:rsidR="00C93847" w:rsidRPr="00FD1DC8" w:rsidRDefault="00C93847" w:rsidP="00C93847">
            <w:pPr>
              <w:spacing w:before="0" w:after="0"/>
              <w:rPr>
                <w:rFonts w:ascii="Arial" w:eastAsia="Times New Roman" w:hAnsi="Arial" w:cs="Arial"/>
                <w:b/>
                <w:color w:val="FFFFFF" w:themeColor="background1"/>
                <w:sz w:val="12"/>
                <w:szCs w:val="12"/>
              </w:rPr>
            </w:pPr>
            <w:r w:rsidRPr="00FD1DC8">
              <w:rPr>
                <w:rFonts w:ascii="Arial" w:eastAsia="Times New Roman" w:hAnsi="Arial" w:cs="Arial"/>
                <w:b/>
                <w:color w:val="FFFFFF" w:themeColor="background1"/>
                <w:sz w:val="12"/>
                <w:szCs w:val="12"/>
              </w:rPr>
              <w:t>Remaining spending</w:t>
            </w:r>
          </w:p>
        </w:tc>
        <w:tc>
          <w:tcPr>
            <w:tcW w:w="1284" w:type="dxa"/>
            <w:shd w:val="clear" w:color="auto" w:fill="auto"/>
            <w:noWrap/>
            <w:vAlign w:val="bottom"/>
            <w:hideMark/>
          </w:tcPr>
          <w:p w:rsidR="00C93847" w:rsidRPr="00FD1DC8" w:rsidRDefault="00C93847" w:rsidP="00C93847">
            <w:pPr>
              <w:spacing w:before="0" w:after="0"/>
              <w:jc w:val="center"/>
              <w:rPr>
                <w:rFonts w:ascii="Arial" w:eastAsia="Times New Roman" w:hAnsi="Arial" w:cs="Arial"/>
                <w:color w:val="FFFFFF" w:themeColor="background1"/>
                <w:sz w:val="12"/>
                <w:szCs w:val="12"/>
              </w:rPr>
            </w:pPr>
            <w:r w:rsidRPr="00FD1DC8">
              <w:rPr>
                <w:rFonts w:ascii="Arial" w:eastAsia="Times New Roman" w:hAnsi="Arial" w:cs="Arial"/>
                <w:color w:val="FFFFFF" w:themeColor="background1"/>
                <w:sz w:val="12"/>
                <w:szCs w:val="12"/>
              </w:rPr>
              <w:t>22</w:t>
            </w:r>
            <w:r w:rsidR="009D46B3" w:rsidRPr="00FD1DC8">
              <w:rPr>
                <w:rFonts w:ascii="Arial" w:eastAsia="Times New Roman" w:hAnsi="Arial" w:cs="Arial"/>
                <w:color w:val="FFFFFF" w:themeColor="background1"/>
                <w:sz w:val="12"/>
                <w:szCs w:val="12"/>
              </w:rPr>
              <w:t xml:space="preserve"> per cent</w:t>
            </w:r>
          </w:p>
        </w:tc>
      </w:tr>
    </w:tbl>
    <w:p w:rsidR="00BB7052" w:rsidRDefault="00CB7A99" w:rsidP="00415237">
      <w:pPr>
        <w:pStyle w:val="PBOsource"/>
        <w:spacing w:before="0"/>
      </w:pPr>
      <w:r>
        <w:t xml:space="preserve">Source: Australian Government Budgets and PBO Analysis </w:t>
      </w:r>
    </w:p>
    <w:p w:rsidR="00040BD5" w:rsidRPr="000E081F" w:rsidRDefault="005410EB" w:rsidP="000E081F">
      <w:pPr>
        <w:pStyle w:val="PBOtext"/>
      </w:pPr>
      <w:r>
        <w:t>In 2012-13 these same twenty-one programs accounted for 72 per cent of government spending.  The increase in the major programs’ share of total spending from 2012-13 to 2024-25, has reduced the amount allocated to other spending areas (i.e. ‘remaining spen</w:t>
      </w:r>
      <w:r w:rsidR="000E081F">
        <w:t>ding’).</w:t>
      </w:r>
      <w:r w:rsidR="00040BD5" w:rsidRPr="000E081F">
        <w:br w:type="page"/>
      </w:r>
    </w:p>
    <w:p w:rsidR="0025504C" w:rsidRDefault="00F0291D" w:rsidP="0025504C">
      <w:pPr>
        <w:pStyle w:val="PBOfiguretableheading"/>
      </w:pPr>
      <w:r>
        <w:lastRenderedPageBreak/>
        <w:t xml:space="preserve">Table 2.1: Real growth and contributions to growth in </w:t>
      </w:r>
      <w:r w:rsidR="005265F2">
        <w:t>Australian Government</w:t>
      </w:r>
      <w:r>
        <w:t xml:space="preserve"> spending</w:t>
      </w:r>
    </w:p>
    <w:tbl>
      <w:tblPr>
        <w:tblW w:w="8840" w:type="dxa"/>
        <w:tblInd w:w="108" w:type="dxa"/>
        <w:tblLook w:val="04A0" w:firstRow="1" w:lastRow="0" w:firstColumn="1" w:lastColumn="0" w:noHBand="0" w:noVBand="1"/>
      </w:tblPr>
      <w:tblGrid>
        <w:gridCol w:w="1790"/>
        <w:gridCol w:w="875"/>
        <w:gridCol w:w="874"/>
        <w:gridCol w:w="874"/>
        <w:gridCol w:w="874"/>
        <w:gridCol w:w="874"/>
        <w:gridCol w:w="874"/>
        <w:gridCol w:w="877"/>
        <w:gridCol w:w="928"/>
      </w:tblGrid>
      <w:tr w:rsidR="006C67F3" w:rsidRPr="006C67F3" w:rsidTr="00CC6BB4">
        <w:trPr>
          <w:trHeight w:val="900"/>
        </w:trPr>
        <w:tc>
          <w:tcPr>
            <w:tcW w:w="1790" w:type="dxa"/>
            <w:vMerge w:val="restart"/>
            <w:tcBorders>
              <w:top w:val="single" w:sz="4" w:space="0" w:color="auto"/>
              <w:left w:val="single" w:sz="4" w:space="0" w:color="auto"/>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Driver</w:t>
            </w:r>
          </w:p>
        </w:tc>
        <w:tc>
          <w:tcPr>
            <w:tcW w:w="1749" w:type="dxa"/>
            <w:gridSpan w:val="2"/>
            <w:tcBorders>
              <w:top w:val="single" w:sz="4" w:space="0" w:color="auto"/>
              <w:left w:val="single" w:sz="4" w:space="0" w:color="auto"/>
              <w:bottom w:val="single" w:sz="4" w:space="0" w:color="auto"/>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Nominal spending</w:t>
            </w:r>
          </w:p>
        </w:tc>
        <w:tc>
          <w:tcPr>
            <w:tcW w:w="1748" w:type="dxa"/>
            <w:gridSpan w:val="2"/>
            <w:tcBorders>
              <w:top w:val="single" w:sz="4" w:space="0" w:color="auto"/>
              <w:left w:val="single" w:sz="4" w:space="0" w:color="auto"/>
              <w:bottom w:val="single" w:sz="4" w:space="0" w:color="auto"/>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Annual real growth</w:t>
            </w:r>
          </w:p>
        </w:tc>
        <w:tc>
          <w:tcPr>
            <w:tcW w:w="1748" w:type="dxa"/>
            <w:gridSpan w:val="2"/>
            <w:tcBorders>
              <w:top w:val="single" w:sz="4" w:space="0" w:color="auto"/>
              <w:left w:val="single" w:sz="4" w:space="0" w:color="auto"/>
              <w:bottom w:val="single" w:sz="4" w:space="0" w:color="auto"/>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 xml:space="preserve">Contributions to growth </w:t>
            </w:r>
            <w:r w:rsidRPr="006C67F3">
              <w:rPr>
                <w:rFonts w:ascii="Arial" w:eastAsia="Times New Roman" w:hAnsi="Arial" w:cs="Arial"/>
                <w:b/>
                <w:bCs/>
                <w:color w:val="FFFFFF"/>
                <w:sz w:val="16"/>
                <w:szCs w:val="16"/>
                <w:vertAlign w:val="superscript"/>
              </w:rPr>
              <w:t>(a)</w:t>
            </w:r>
          </w:p>
        </w:tc>
        <w:tc>
          <w:tcPr>
            <w:tcW w:w="877" w:type="dxa"/>
            <w:tcBorders>
              <w:top w:val="single" w:sz="4" w:space="0" w:color="auto"/>
              <w:left w:val="single" w:sz="4" w:space="0" w:color="auto"/>
              <w:bottom w:val="single" w:sz="4" w:space="0" w:color="auto"/>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Share of total growth</w:t>
            </w:r>
          </w:p>
        </w:tc>
        <w:tc>
          <w:tcPr>
            <w:tcW w:w="928" w:type="dxa"/>
            <w:tcBorders>
              <w:top w:val="single" w:sz="4" w:space="0" w:color="auto"/>
              <w:left w:val="single" w:sz="4" w:space="0" w:color="auto"/>
              <w:bottom w:val="single" w:sz="4" w:space="0" w:color="auto"/>
              <w:right w:val="single" w:sz="4" w:space="0" w:color="auto"/>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Share of total spending</w:t>
            </w:r>
          </w:p>
        </w:tc>
      </w:tr>
      <w:tr w:rsidR="006C67F3" w:rsidRPr="006C67F3" w:rsidTr="00CC6BB4">
        <w:trPr>
          <w:trHeight w:val="300"/>
        </w:trPr>
        <w:tc>
          <w:tcPr>
            <w:tcW w:w="1790" w:type="dxa"/>
            <w:vMerge/>
            <w:tcBorders>
              <w:top w:val="nil"/>
              <w:left w:val="single" w:sz="4" w:space="0" w:color="auto"/>
              <w:bottom w:val="nil"/>
              <w:right w:val="nil"/>
            </w:tcBorders>
            <w:vAlign w:val="center"/>
            <w:hideMark/>
          </w:tcPr>
          <w:p w:rsidR="006C67F3" w:rsidRPr="006C67F3" w:rsidRDefault="006C67F3" w:rsidP="006C67F3">
            <w:pPr>
              <w:spacing w:before="0" w:after="0"/>
              <w:rPr>
                <w:rFonts w:ascii="Arial" w:eastAsia="Times New Roman" w:hAnsi="Arial" w:cs="Arial"/>
                <w:b/>
                <w:bCs/>
                <w:color w:val="FFFFFF"/>
                <w:sz w:val="16"/>
                <w:szCs w:val="16"/>
              </w:rPr>
            </w:pPr>
          </w:p>
        </w:tc>
        <w:tc>
          <w:tcPr>
            <w:tcW w:w="875" w:type="dxa"/>
            <w:vMerge w:val="restart"/>
            <w:tcBorders>
              <w:top w:val="nil"/>
              <w:left w:val="single" w:sz="4" w:space="0" w:color="auto"/>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2012-13</w:t>
            </w:r>
          </w:p>
        </w:tc>
        <w:tc>
          <w:tcPr>
            <w:tcW w:w="874" w:type="dxa"/>
            <w:vMerge w:val="restart"/>
            <w:tcBorders>
              <w:top w:val="nil"/>
              <w:left w:val="nil"/>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2024-25</w:t>
            </w:r>
          </w:p>
        </w:tc>
        <w:tc>
          <w:tcPr>
            <w:tcW w:w="874" w:type="dxa"/>
            <w:tcBorders>
              <w:top w:val="nil"/>
              <w:left w:val="single" w:sz="4" w:space="0" w:color="auto"/>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2002-03</w:t>
            </w:r>
          </w:p>
        </w:tc>
        <w:tc>
          <w:tcPr>
            <w:tcW w:w="874" w:type="dxa"/>
            <w:tcBorders>
              <w:top w:val="nil"/>
              <w:left w:val="nil"/>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2012-13</w:t>
            </w:r>
          </w:p>
        </w:tc>
        <w:tc>
          <w:tcPr>
            <w:tcW w:w="874" w:type="dxa"/>
            <w:tcBorders>
              <w:top w:val="nil"/>
              <w:left w:val="single" w:sz="4" w:space="0" w:color="auto"/>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2002-03</w:t>
            </w:r>
          </w:p>
        </w:tc>
        <w:tc>
          <w:tcPr>
            <w:tcW w:w="874" w:type="dxa"/>
            <w:tcBorders>
              <w:top w:val="nil"/>
              <w:left w:val="nil"/>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2012-13</w:t>
            </w:r>
          </w:p>
        </w:tc>
        <w:tc>
          <w:tcPr>
            <w:tcW w:w="877" w:type="dxa"/>
            <w:tcBorders>
              <w:top w:val="nil"/>
              <w:left w:val="single" w:sz="4" w:space="0" w:color="auto"/>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2012-13</w:t>
            </w:r>
          </w:p>
        </w:tc>
        <w:tc>
          <w:tcPr>
            <w:tcW w:w="928" w:type="dxa"/>
            <w:vMerge w:val="restart"/>
            <w:tcBorders>
              <w:top w:val="nil"/>
              <w:left w:val="single" w:sz="4" w:space="0" w:color="auto"/>
              <w:bottom w:val="nil"/>
              <w:right w:val="single" w:sz="4" w:space="0" w:color="auto"/>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2024-25</w:t>
            </w:r>
          </w:p>
        </w:tc>
      </w:tr>
      <w:tr w:rsidR="006C67F3" w:rsidRPr="006C67F3" w:rsidTr="00CC6BB4">
        <w:trPr>
          <w:trHeight w:val="300"/>
        </w:trPr>
        <w:tc>
          <w:tcPr>
            <w:tcW w:w="1790" w:type="dxa"/>
            <w:vMerge/>
            <w:tcBorders>
              <w:top w:val="nil"/>
              <w:left w:val="single" w:sz="4" w:space="0" w:color="auto"/>
              <w:bottom w:val="nil"/>
              <w:right w:val="nil"/>
            </w:tcBorders>
            <w:vAlign w:val="center"/>
            <w:hideMark/>
          </w:tcPr>
          <w:p w:rsidR="006C67F3" w:rsidRPr="006C67F3" w:rsidRDefault="006C67F3" w:rsidP="006C67F3">
            <w:pPr>
              <w:spacing w:before="0" w:after="0"/>
              <w:rPr>
                <w:rFonts w:ascii="Arial" w:eastAsia="Times New Roman" w:hAnsi="Arial" w:cs="Arial"/>
                <w:b/>
                <w:bCs/>
                <w:color w:val="FFFFFF"/>
                <w:sz w:val="16"/>
                <w:szCs w:val="16"/>
              </w:rPr>
            </w:pPr>
          </w:p>
        </w:tc>
        <w:tc>
          <w:tcPr>
            <w:tcW w:w="875" w:type="dxa"/>
            <w:vMerge/>
            <w:tcBorders>
              <w:top w:val="nil"/>
              <w:left w:val="single" w:sz="4" w:space="0" w:color="auto"/>
              <w:bottom w:val="nil"/>
              <w:right w:val="nil"/>
            </w:tcBorders>
            <w:vAlign w:val="center"/>
            <w:hideMark/>
          </w:tcPr>
          <w:p w:rsidR="006C67F3" w:rsidRPr="006C67F3" w:rsidRDefault="006C67F3" w:rsidP="006C67F3">
            <w:pPr>
              <w:spacing w:before="0" w:after="0"/>
              <w:rPr>
                <w:rFonts w:ascii="Arial" w:eastAsia="Times New Roman" w:hAnsi="Arial" w:cs="Arial"/>
                <w:b/>
                <w:bCs/>
                <w:color w:val="FFFFFF"/>
                <w:sz w:val="16"/>
                <w:szCs w:val="16"/>
              </w:rPr>
            </w:pPr>
          </w:p>
        </w:tc>
        <w:tc>
          <w:tcPr>
            <w:tcW w:w="874" w:type="dxa"/>
            <w:vMerge/>
            <w:tcBorders>
              <w:top w:val="nil"/>
              <w:left w:val="nil"/>
              <w:bottom w:val="nil"/>
              <w:right w:val="nil"/>
            </w:tcBorders>
            <w:vAlign w:val="center"/>
            <w:hideMark/>
          </w:tcPr>
          <w:p w:rsidR="006C67F3" w:rsidRPr="006C67F3" w:rsidRDefault="006C67F3" w:rsidP="006C67F3">
            <w:pPr>
              <w:spacing w:before="0" w:after="0"/>
              <w:rPr>
                <w:rFonts w:ascii="Arial" w:eastAsia="Times New Roman" w:hAnsi="Arial" w:cs="Arial"/>
                <w:b/>
                <w:bCs/>
                <w:color w:val="FFFFFF"/>
                <w:sz w:val="16"/>
                <w:szCs w:val="16"/>
              </w:rPr>
            </w:pPr>
          </w:p>
        </w:tc>
        <w:tc>
          <w:tcPr>
            <w:tcW w:w="874" w:type="dxa"/>
            <w:tcBorders>
              <w:top w:val="nil"/>
              <w:left w:val="single" w:sz="4" w:space="0" w:color="auto"/>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to</w:t>
            </w:r>
          </w:p>
        </w:tc>
        <w:tc>
          <w:tcPr>
            <w:tcW w:w="874" w:type="dxa"/>
            <w:tcBorders>
              <w:top w:val="nil"/>
              <w:left w:val="nil"/>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to</w:t>
            </w:r>
          </w:p>
        </w:tc>
        <w:tc>
          <w:tcPr>
            <w:tcW w:w="874" w:type="dxa"/>
            <w:tcBorders>
              <w:top w:val="nil"/>
              <w:left w:val="single" w:sz="4" w:space="0" w:color="auto"/>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to</w:t>
            </w:r>
          </w:p>
        </w:tc>
        <w:tc>
          <w:tcPr>
            <w:tcW w:w="874" w:type="dxa"/>
            <w:tcBorders>
              <w:top w:val="nil"/>
              <w:left w:val="nil"/>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to</w:t>
            </w:r>
          </w:p>
        </w:tc>
        <w:tc>
          <w:tcPr>
            <w:tcW w:w="877" w:type="dxa"/>
            <w:tcBorders>
              <w:top w:val="nil"/>
              <w:left w:val="single" w:sz="4" w:space="0" w:color="auto"/>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to</w:t>
            </w:r>
          </w:p>
        </w:tc>
        <w:tc>
          <w:tcPr>
            <w:tcW w:w="928" w:type="dxa"/>
            <w:vMerge/>
            <w:tcBorders>
              <w:top w:val="nil"/>
              <w:left w:val="single" w:sz="4" w:space="0" w:color="auto"/>
              <w:bottom w:val="nil"/>
              <w:right w:val="single" w:sz="4" w:space="0" w:color="auto"/>
            </w:tcBorders>
            <w:vAlign w:val="center"/>
            <w:hideMark/>
          </w:tcPr>
          <w:p w:rsidR="006C67F3" w:rsidRPr="006C67F3" w:rsidRDefault="006C67F3" w:rsidP="006C67F3">
            <w:pPr>
              <w:spacing w:before="0" w:after="0"/>
              <w:rPr>
                <w:rFonts w:ascii="Arial" w:eastAsia="Times New Roman" w:hAnsi="Arial" w:cs="Arial"/>
                <w:b/>
                <w:bCs/>
                <w:color w:val="FFFFFF"/>
                <w:sz w:val="16"/>
                <w:szCs w:val="16"/>
              </w:rPr>
            </w:pPr>
          </w:p>
        </w:tc>
      </w:tr>
      <w:tr w:rsidR="006C67F3" w:rsidRPr="006C67F3" w:rsidTr="00CC6BB4">
        <w:trPr>
          <w:trHeight w:val="300"/>
        </w:trPr>
        <w:tc>
          <w:tcPr>
            <w:tcW w:w="1790" w:type="dxa"/>
            <w:vMerge/>
            <w:tcBorders>
              <w:top w:val="nil"/>
              <w:left w:val="single" w:sz="4" w:space="0" w:color="auto"/>
              <w:bottom w:val="nil"/>
              <w:right w:val="nil"/>
            </w:tcBorders>
            <w:vAlign w:val="center"/>
            <w:hideMark/>
          </w:tcPr>
          <w:p w:rsidR="006C67F3" w:rsidRPr="006C67F3" w:rsidRDefault="006C67F3" w:rsidP="006C67F3">
            <w:pPr>
              <w:spacing w:before="0" w:after="0"/>
              <w:rPr>
                <w:rFonts w:ascii="Arial" w:eastAsia="Times New Roman" w:hAnsi="Arial" w:cs="Arial"/>
                <w:b/>
                <w:bCs/>
                <w:color w:val="FFFFFF"/>
                <w:sz w:val="16"/>
                <w:szCs w:val="16"/>
              </w:rPr>
            </w:pPr>
          </w:p>
        </w:tc>
        <w:tc>
          <w:tcPr>
            <w:tcW w:w="875" w:type="dxa"/>
            <w:vMerge/>
            <w:tcBorders>
              <w:top w:val="nil"/>
              <w:left w:val="single" w:sz="4" w:space="0" w:color="auto"/>
              <w:bottom w:val="nil"/>
              <w:right w:val="nil"/>
            </w:tcBorders>
            <w:vAlign w:val="center"/>
            <w:hideMark/>
          </w:tcPr>
          <w:p w:rsidR="006C67F3" w:rsidRPr="006C67F3" w:rsidRDefault="006C67F3" w:rsidP="006C67F3">
            <w:pPr>
              <w:spacing w:before="0" w:after="0"/>
              <w:rPr>
                <w:rFonts w:ascii="Arial" w:eastAsia="Times New Roman" w:hAnsi="Arial" w:cs="Arial"/>
                <w:b/>
                <w:bCs/>
                <w:color w:val="FFFFFF"/>
                <w:sz w:val="16"/>
                <w:szCs w:val="16"/>
              </w:rPr>
            </w:pPr>
          </w:p>
        </w:tc>
        <w:tc>
          <w:tcPr>
            <w:tcW w:w="874" w:type="dxa"/>
            <w:vMerge/>
            <w:tcBorders>
              <w:top w:val="nil"/>
              <w:left w:val="nil"/>
              <w:bottom w:val="nil"/>
              <w:right w:val="nil"/>
            </w:tcBorders>
            <w:vAlign w:val="center"/>
            <w:hideMark/>
          </w:tcPr>
          <w:p w:rsidR="006C67F3" w:rsidRPr="006C67F3" w:rsidRDefault="006C67F3" w:rsidP="006C67F3">
            <w:pPr>
              <w:spacing w:before="0" w:after="0"/>
              <w:rPr>
                <w:rFonts w:ascii="Arial" w:eastAsia="Times New Roman" w:hAnsi="Arial" w:cs="Arial"/>
                <w:b/>
                <w:bCs/>
                <w:color w:val="FFFFFF"/>
                <w:sz w:val="16"/>
                <w:szCs w:val="16"/>
              </w:rPr>
            </w:pPr>
          </w:p>
        </w:tc>
        <w:tc>
          <w:tcPr>
            <w:tcW w:w="874" w:type="dxa"/>
            <w:tcBorders>
              <w:top w:val="nil"/>
              <w:left w:val="single" w:sz="4" w:space="0" w:color="auto"/>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2012-13</w:t>
            </w:r>
          </w:p>
        </w:tc>
        <w:tc>
          <w:tcPr>
            <w:tcW w:w="874" w:type="dxa"/>
            <w:tcBorders>
              <w:top w:val="nil"/>
              <w:left w:val="nil"/>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2024-25</w:t>
            </w:r>
          </w:p>
        </w:tc>
        <w:tc>
          <w:tcPr>
            <w:tcW w:w="874" w:type="dxa"/>
            <w:tcBorders>
              <w:top w:val="nil"/>
              <w:left w:val="single" w:sz="4" w:space="0" w:color="auto"/>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2012-13</w:t>
            </w:r>
          </w:p>
        </w:tc>
        <w:tc>
          <w:tcPr>
            <w:tcW w:w="874" w:type="dxa"/>
            <w:tcBorders>
              <w:top w:val="nil"/>
              <w:left w:val="nil"/>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2024-25</w:t>
            </w:r>
          </w:p>
        </w:tc>
        <w:tc>
          <w:tcPr>
            <w:tcW w:w="877" w:type="dxa"/>
            <w:tcBorders>
              <w:top w:val="nil"/>
              <w:left w:val="single" w:sz="4" w:space="0" w:color="auto"/>
              <w:bottom w:val="nil"/>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2024-25</w:t>
            </w:r>
          </w:p>
        </w:tc>
        <w:tc>
          <w:tcPr>
            <w:tcW w:w="928" w:type="dxa"/>
            <w:vMerge/>
            <w:tcBorders>
              <w:top w:val="nil"/>
              <w:left w:val="single" w:sz="4" w:space="0" w:color="auto"/>
              <w:bottom w:val="nil"/>
              <w:right w:val="single" w:sz="4" w:space="0" w:color="auto"/>
            </w:tcBorders>
            <w:vAlign w:val="center"/>
            <w:hideMark/>
          </w:tcPr>
          <w:p w:rsidR="006C67F3" w:rsidRPr="006C67F3" w:rsidRDefault="006C67F3" w:rsidP="006C67F3">
            <w:pPr>
              <w:spacing w:before="0" w:after="0"/>
              <w:rPr>
                <w:rFonts w:ascii="Arial" w:eastAsia="Times New Roman" w:hAnsi="Arial" w:cs="Arial"/>
                <w:b/>
                <w:bCs/>
                <w:color w:val="FFFFFF"/>
                <w:sz w:val="16"/>
                <w:szCs w:val="16"/>
              </w:rPr>
            </w:pPr>
          </w:p>
        </w:tc>
      </w:tr>
      <w:tr w:rsidR="006C67F3" w:rsidRPr="006C67F3" w:rsidTr="00CC6BB4">
        <w:trPr>
          <w:trHeight w:val="300"/>
        </w:trPr>
        <w:tc>
          <w:tcPr>
            <w:tcW w:w="1790" w:type="dxa"/>
            <w:tcBorders>
              <w:top w:val="nil"/>
              <w:left w:val="single" w:sz="4" w:space="0" w:color="auto"/>
              <w:bottom w:val="nil"/>
              <w:right w:val="nil"/>
            </w:tcBorders>
            <w:shd w:val="clear" w:color="000000" w:fill="D7DDE9"/>
            <w:vAlign w:val="bottom"/>
            <w:hideMark/>
          </w:tcPr>
          <w:p w:rsidR="006C67F3" w:rsidRPr="006C67F3" w:rsidRDefault="006C67F3" w:rsidP="006C67F3">
            <w:pPr>
              <w:spacing w:before="0" w:after="0"/>
              <w:rPr>
                <w:rFonts w:eastAsia="Times New Roman"/>
              </w:rPr>
            </w:pPr>
            <w:r w:rsidRPr="006C67F3">
              <w:rPr>
                <w:rFonts w:eastAsia="Times New Roman"/>
              </w:rPr>
              <w:t> </w:t>
            </w:r>
          </w:p>
        </w:tc>
        <w:tc>
          <w:tcPr>
            <w:tcW w:w="1749" w:type="dxa"/>
            <w:gridSpan w:val="2"/>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b/>
                <w:bCs/>
                <w:sz w:val="16"/>
                <w:szCs w:val="16"/>
              </w:rPr>
            </w:pPr>
            <w:r w:rsidRPr="006C67F3">
              <w:rPr>
                <w:rFonts w:ascii="Arial" w:eastAsia="Times New Roman" w:hAnsi="Arial" w:cs="Arial"/>
                <w:b/>
                <w:bCs/>
                <w:sz w:val="16"/>
                <w:szCs w:val="16"/>
              </w:rPr>
              <w:t>$b</w:t>
            </w:r>
          </w:p>
        </w:tc>
        <w:tc>
          <w:tcPr>
            <w:tcW w:w="1748" w:type="dxa"/>
            <w:gridSpan w:val="2"/>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b/>
                <w:bCs/>
                <w:sz w:val="16"/>
                <w:szCs w:val="16"/>
              </w:rPr>
            </w:pPr>
            <w:r w:rsidRPr="006C67F3">
              <w:rPr>
                <w:rFonts w:ascii="Arial" w:eastAsia="Times New Roman" w:hAnsi="Arial" w:cs="Arial"/>
                <w:b/>
                <w:bCs/>
                <w:sz w:val="16"/>
                <w:szCs w:val="16"/>
              </w:rPr>
              <w:t>%</w:t>
            </w:r>
          </w:p>
        </w:tc>
        <w:tc>
          <w:tcPr>
            <w:tcW w:w="1748" w:type="dxa"/>
            <w:gridSpan w:val="2"/>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b/>
                <w:bCs/>
                <w:sz w:val="16"/>
                <w:szCs w:val="16"/>
              </w:rPr>
            </w:pPr>
            <w:r w:rsidRPr="006C67F3">
              <w:rPr>
                <w:rFonts w:ascii="Arial" w:eastAsia="Times New Roman" w:hAnsi="Arial" w:cs="Arial"/>
                <w:b/>
                <w:bCs/>
                <w:sz w:val="16"/>
                <w:szCs w:val="16"/>
              </w:rPr>
              <w:t>Percentage points</w:t>
            </w:r>
          </w:p>
        </w:tc>
        <w:tc>
          <w:tcPr>
            <w:tcW w:w="877"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b/>
                <w:bCs/>
                <w:sz w:val="16"/>
                <w:szCs w:val="16"/>
              </w:rPr>
            </w:pPr>
            <w:r w:rsidRPr="006C67F3">
              <w:rPr>
                <w:rFonts w:ascii="Arial" w:eastAsia="Times New Roman" w:hAnsi="Arial" w:cs="Arial"/>
                <w:b/>
                <w:bCs/>
                <w:sz w:val="16"/>
                <w:szCs w:val="16"/>
              </w:rPr>
              <w:t>%</w:t>
            </w:r>
          </w:p>
        </w:tc>
        <w:tc>
          <w:tcPr>
            <w:tcW w:w="928" w:type="dxa"/>
            <w:tcBorders>
              <w:top w:val="nil"/>
              <w:left w:val="single" w:sz="4" w:space="0" w:color="auto"/>
              <w:bottom w:val="nil"/>
              <w:right w:val="single" w:sz="4" w:space="0" w:color="auto"/>
            </w:tcBorders>
            <w:shd w:val="clear" w:color="000000" w:fill="D7DDE9"/>
            <w:vAlign w:val="center"/>
            <w:hideMark/>
          </w:tcPr>
          <w:p w:rsidR="006C67F3" w:rsidRPr="006C67F3" w:rsidRDefault="006C67F3" w:rsidP="006C67F3">
            <w:pPr>
              <w:spacing w:before="0" w:after="0"/>
              <w:jc w:val="center"/>
              <w:rPr>
                <w:rFonts w:ascii="Arial" w:eastAsia="Times New Roman" w:hAnsi="Arial" w:cs="Arial"/>
                <w:b/>
                <w:bCs/>
                <w:sz w:val="16"/>
                <w:szCs w:val="16"/>
              </w:rPr>
            </w:pPr>
            <w:r w:rsidRPr="006C67F3">
              <w:rPr>
                <w:rFonts w:ascii="Arial" w:eastAsia="Times New Roman" w:hAnsi="Arial" w:cs="Arial"/>
                <w:b/>
                <w:bCs/>
                <w:sz w:val="16"/>
                <w:szCs w:val="16"/>
              </w:rPr>
              <w:t>%</w:t>
            </w:r>
          </w:p>
        </w:tc>
      </w:tr>
      <w:tr w:rsidR="006C67F3" w:rsidRPr="006C67F3" w:rsidTr="00CC6BB4">
        <w:trPr>
          <w:trHeight w:val="450"/>
        </w:trPr>
        <w:tc>
          <w:tcPr>
            <w:tcW w:w="1790"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GST transfers to States</w:t>
            </w:r>
          </w:p>
        </w:tc>
        <w:tc>
          <w:tcPr>
            <w:tcW w:w="875"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48</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94</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1.8</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3.2</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3.0</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5.8</w:t>
            </w:r>
          </w:p>
        </w:tc>
        <w:tc>
          <w:tcPr>
            <w:tcW w:w="877"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18</w:t>
            </w:r>
          </w:p>
        </w:tc>
        <w:tc>
          <w:tcPr>
            <w:tcW w:w="928" w:type="dxa"/>
            <w:tcBorders>
              <w:top w:val="nil"/>
              <w:left w:val="single" w:sz="4" w:space="0" w:color="auto"/>
              <w:bottom w:val="nil"/>
              <w:right w:val="single" w:sz="4" w:space="0" w:color="auto"/>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14</w:t>
            </w:r>
          </w:p>
        </w:tc>
      </w:tr>
      <w:tr w:rsidR="006C67F3" w:rsidRPr="006C67F3" w:rsidTr="00CC6BB4">
        <w:trPr>
          <w:trHeight w:val="450"/>
        </w:trPr>
        <w:tc>
          <w:tcPr>
            <w:tcW w:w="1790"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rPr>
                <w:rFonts w:ascii="Arial" w:eastAsia="Times New Roman" w:hAnsi="Arial" w:cs="Arial"/>
                <w:sz w:val="16"/>
                <w:szCs w:val="16"/>
                <w:vertAlign w:val="superscript"/>
              </w:rPr>
            </w:pPr>
            <w:r w:rsidRPr="006C67F3">
              <w:rPr>
                <w:rFonts w:ascii="Arial" w:eastAsia="Times New Roman" w:hAnsi="Arial" w:cs="Arial"/>
                <w:sz w:val="16"/>
                <w:szCs w:val="16"/>
              </w:rPr>
              <w:t>National Disability Insurance Scheme</w:t>
            </w:r>
            <w:r w:rsidR="00F60424">
              <w:rPr>
                <w:rFonts w:ascii="Arial" w:eastAsia="Times New Roman" w:hAnsi="Arial" w:cs="Arial"/>
                <w:sz w:val="16"/>
                <w:szCs w:val="16"/>
              </w:rPr>
              <w:t xml:space="preserve"> </w:t>
            </w:r>
            <w:r w:rsidR="00F60424">
              <w:rPr>
                <w:rFonts w:ascii="Arial" w:eastAsia="Times New Roman" w:hAnsi="Arial" w:cs="Arial"/>
                <w:sz w:val="16"/>
                <w:szCs w:val="16"/>
                <w:vertAlign w:val="superscript"/>
              </w:rPr>
              <w:t>(b)</w:t>
            </w:r>
          </w:p>
        </w:tc>
        <w:tc>
          <w:tcPr>
            <w:tcW w:w="875"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26</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0.0</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5.1</w:t>
            </w:r>
          </w:p>
        </w:tc>
        <w:tc>
          <w:tcPr>
            <w:tcW w:w="877"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16</w:t>
            </w:r>
          </w:p>
        </w:tc>
        <w:tc>
          <w:tcPr>
            <w:tcW w:w="928" w:type="dxa"/>
            <w:tcBorders>
              <w:top w:val="nil"/>
              <w:left w:val="single" w:sz="4" w:space="0" w:color="auto"/>
              <w:bottom w:val="nil"/>
              <w:right w:val="single" w:sz="4" w:space="0" w:color="auto"/>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4</w:t>
            </w:r>
          </w:p>
        </w:tc>
      </w:tr>
      <w:tr w:rsidR="006C67F3" w:rsidRPr="006C67F3" w:rsidTr="00CC6BB4">
        <w:trPr>
          <w:trHeight w:val="300"/>
        </w:trPr>
        <w:tc>
          <w:tcPr>
            <w:tcW w:w="1790"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Age pension</w:t>
            </w:r>
          </w:p>
        </w:tc>
        <w:tc>
          <w:tcPr>
            <w:tcW w:w="875"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36</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68</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4.5</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2.8</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4.9</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3.7</w:t>
            </w:r>
          </w:p>
        </w:tc>
        <w:tc>
          <w:tcPr>
            <w:tcW w:w="877"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12</w:t>
            </w:r>
          </w:p>
        </w:tc>
        <w:tc>
          <w:tcPr>
            <w:tcW w:w="928" w:type="dxa"/>
            <w:tcBorders>
              <w:top w:val="nil"/>
              <w:left w:val="single" w:sz="4" w:space="0" w:color="auto"/>
              <w:bottom w:val="nil"/>
              <w:right w:val="single" w:sz="4" w:space="0" w:color="auto"/>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10</w:t>
            </w:r>
          </w:p>
        </w:tc>
      </w:tr>
      <w:tr w:rsidR="00CC6BB4" w:rsidRPr="006C67F3" w:rsidTr="00CC6BB4">
        <w:trPr>
          <w:trHeight w:val="300"/>
        </w:trPr>
        <w:tc>
          <w:tcPr>
            <w:tcW w:w="1790" w:type="dxa"/>
            <w:tcBorders>
              <w:top w:val="nil"/>
              <w:left w:val="single" w:sz="4" w:space="0" w:color="auto"/>
              <w:bottom w:val="nil"/>
              <w:right w:val="nil"/>
            </w:tcBorders>
            <w:shd w:val="clear" w:color="000000" w:fill="D7DDE9"/>
            <w:vAlign w:val="center"/>
            <w:hideMark/>
          </w:tcPr>
          <w:p w:rsidR="00CC6BB4" w:rsidRPr="006C67F3" w:rsidRDefault="00CC6BB4" w:rsidP="006C67F3">
            <w:pPr>
              <w:spacing w:before="0" w:after="0"/>
              <w:rPr>
                <w:rFonts w:ascii="Arial" w:eastAsia="Times New Roman" w:hAnsi="Arial" w:cs="Arial"/>
                <w:sz w:val="16"/>
                <w:szCs w:val="16"/>
              </w:rPr>
            </w:pPr>
            <w:r w:rsidRPr="006C67F3">
              <w:rPr>
                <w:rFonts w:ascii="Arial" w:eastAsia="Times New Roman" w:hAnsi="Arial" w:cs="Arial"/>
                <w:sz w:val="16"/>
                <w:szCs w:val="16"/>
              </w:rPr>
              <w:t xml:space="preserve">Defence spending </w:t>
            </w:r>
            <w:r>
              <w:rPr>
                <w:rFonts w:ascii="Arial" w:eastAsia="Times New Roman" w:hAnsi="Arial" w:cs="Arial"/>
                <w:sz w:val="16"/>
                <w:szCs w:val="16"/>
                <w:vertAlign w:val="superscript"/>
              </w:rPr>
              <w:t>(c</w:t>
            </w:r>
            <w:r w:rsidRPr="006C67F3">
              <w:rPr>
                <w:rFonts w:ascii="Arial" w:eastAsia="Times New Roman" w:hAnsi="Arial" w:cs="Arial"/>
                <w:sz w:val="16"/>
                <w:szCs w:val="16"/>
                <w:vertAlign w:val="superscript"/>
              </w:rPr>
              <w:t>)</w:t>
            </w:r>
          </w:p>
        </w:tc>
        <w:tc>
          <w:tcPr>
            <w:tcW w:w="875" w:type="dxa"/>
            <w:tcBorders>
              <w:top w:val="nil"/>
              <w:left w:val="single" w:sz="4" w:space="0" w:color="auto"/>
              <w:bottom w:val="nil"/>
              <w:right w:val="nil"/>
            </w:tcBorders>
            <w:shd w:val="clear" w:color="000000" w:fill="D7DDE9"/>
            <w:vAlign w:val="center"/>
            <w:hideMark/>
          </w:tcPr>
          <w:p w:rsidR="00CC6BB4" w:rsidRPr="00CC6BB4" w:rsidRDefault="00CC6BB4" w:rsidP="00CC6BB4">
            <w:pPr>
              <w:spacing w:before="0" w:after="0"/>
              <w:jc w:val="center"/>
              <w:rPr>
                <w:rFonts w:ascii="Arial" w:eastAsia="Times New Roman" w:hAnsi="Arial" w:cs="Arial"/>
                <w:sz w:val="16"/>
                <w:szCs w:val="16"/>
              </w:rPr>
            </w:pPr>
            <w:r w:rsidRPr="00CC6BB4">
              <w:rPr>
                <w:rFonts w:ascii="Arial" w:eastAsia="Times New Roman" w:hAnsi="Arial" w:cs="Arial"/>
                <w:sz w:val="16"/>
                <w:szCs w:val="16"/>
              </w:rPr>
              <w:t>23</w:t>
            </w:r>
          </w:p>
        </w:tc>
        <w:tc>
          <w:tcPr>
            <w:tcW w:w="874" w:type="dxa"/>
            <w:tcBorders>
              <w:top w:val="nil"/>
              <w:left w:val="nil"/>
              <w:bottom w:val="nil"/>
              <w:right w:val="nil"/>
            </w:tcBorders>
            <w:shd w:val="clear" w:color="000000" w:fill="D7DDE9"/>
            <w:vAlign w:val="center"/>
            <w:hideMark/>
          </w:tcPr>
          <w:p w:rsidR="00CC6BB4" w:rsidRPr="00CC6BB4" w:rsidRDefault="00CC6BB4" w:rsidP="00CC6BB4">
            <w:pPr>
              <w:spacing w:before="0" w:after="0"/>
              <w:jc w:val="center"/>
              <w:rPr>
                <w:rFonts w:ascii="Arial" w:eastAsia="Times New Roman" w:hAnsi="Arial" w:cs="Arial"/>
                <w:sz w:val="16"/>
                <w:szCs w:val="16"/>
              </w:rPr>
            </w:pPr>
            <w:r w:rsidRPr="00CC6BB4">
              <w:rPr>
                <w:rFonts w:ascii="Arial" w:eastAsia="Times New Roman" w:hAnsi="Arial" w:cs="Arial"/>
                <w:sz w:val="16"/>
                <w:szCs w:val="16"/>
              </w:rPr>
              <w:t>47</w:t>
            </w:r>
          </w:p>
        </w:tc>
        <w:tc>
          <w:tcPr>
            <w:tcW w:w="874" w:type="dxa"/>
            <w:tcBorders>
              <w:top w:val="nil"/>
              <w:left w:val="single" w:sz="4" w:space="0" w:color="auto"/>
              <w:bottom w:val="nil"/>
              <w:right w:val="nil"/>
            </w:tcBorders>
            <w:shd w:val="clear" w:color="000000" w:fill="D7DDE9"/>
            <w:vAlign w:val="center"/>
            <w:hideMark/>
          </w:tcPr>
          <w:p w:rsidR="00CC6BB4" w:rsidRPr="00CC6BB4" w:rsidRDefault="00CC6BB4" w:rsidP="00CC6BB4">
            <w:pPr>
              <w:spacing w:before="0" w:after="0"/>
              <w:jc w:val="center"/>
              <w:rPr>
                <w:rFonts w:ascii="Arial" w:eastAsia="Times New Roman" w:hAnsi="Arial" w:cs="Arial"/>
                <w:sz w:val="16"/>
                <w:szCs w:val="16"/>
              </w:rPr>
            </w:pPr>
            <w:r w:rsidRPr="00CC6BB4">
              <w:rPr>
                <w:rFonts w:ascii="Arial" w:eastAsia="Times New Roman" w:hAnsi="Arial" w:cs="Arial"/>
                <w:sz w:val="16"/>
                <w:szCs w:val="16"/>
              </w:rPr>
              <w:t>2.1</w:t>
            </w:r>
          </w:p>
        </w:tc>
        <w:tc>
          <w:tcPr>
            <w:tcW w:w="874" w:type="dxa"/>
            <w:tcBorders>
              <w:top w:val="nil"/>
              <w:left w:val="nil"/>
              <w:bottom w:val="nil"/>
              <w:right w:val="nil"/>
            </w:tcBorders>
            <w:shd w:val="clear" w:color="000000" w:fill="D7DDE9"/>
            <w:vAlign w:val="center"/>
            <w:hideMark/>
          </w:tcPr>
          <w:p w:rsidR="00CC6BB4" w:rsidRPr="00CC6BB4" w:rsidRDefault="00CC6BB4" w:rsidP="00CC6BB4">
            <w:pPr>
              <w:spacing w:before="0" w:after="0"/>
              <w:jc w:val="center"/>
              <w:rPr>
                <w:rFonts w:ascii="Arial" w:eastAsia="Times New Roman" w:hAnsi="Arial" w:cs="Arial"/>
                <w:sz w:val="16"/>
                <w:szCs w:val="16"/>
              </w:rPr>
            </w:pPr>
            <w:r w:rsidRPr="00CC6BB4">
              <w:rPr>
                <w:rFonts w:ascii="Arial" w:eastAsia="Times New Roman" w:hAnsi="Arial" w:cs="Arial"/>
                <w:sz w:val="16"/>
                <w:szCs w:val="16"/>
              </w:rPr>
              <w:t>3.6</w:t>
            </w:r>
          </w:p>
        </w:tc>
        <w:tc>
          <w:tcPr>
            <w:tcW w:w="874" w:type="dxa"/>
            <w:tcBorders>
              <w:top w:val="nil"/>
              <w:left w:val="single" w:sz="4" w:space="0" w:color="auto"/>
              <w:bottom w:val="nil"/>
              <w:right w:val="nil"/>
            </w:tcBorders>
            <w:shd w:val="clear" w:color="000000" w:fill="D7DDE9"/>
            <w:vAlign w:val="center"/>
            <w:hideMark/>
          </w:tcPr>
          <w:p w:rsidR="00CC6BB4" w:rsidRPr="00CC6BB4" w:rsidRDefault="00CC6BB4" w:rsidP="00CC6BB4">
            <w:pPr>
              <w:spacing w:before="0" w:after="0"/>
              <w:jc w:val="center"/>
              <w:rPr>
                <w:rFonts w:ascii="Arial" w:eastAsia="Times New Roman" w:hAnsi="Arial" w:cs="Arial"/>
                <w:sz w:val="16"/>
                <w:szCs w:val="16"/>
              </w:rPr>
            </w:pPr>
            <w:r w:rsidRPr="00CC6BB4">
              <w:rPr>
                <w:rFonts w:ascii="Arial" w:eastAsia="Times New Roman" w:hAnsi="Arial" w:cs="Arial"/>
                <w:sz w:val="16"/>
                <w:szCs w:val="16"/>
              </w:rPr>
              <w:t>1.6</w:t>
            </w:r>
          </w:p>
        </w:tc>
        <w:tc>
          <w:tcPr>
            <w:tcW w:w="874" w:type="dxa"/>
            <w:tcBorders>
              <w:top w:val="nil"/>
              <w:left w:val="nil"/>
              <w:bottom w:val="nil"/>
              <w:right w:val="nil"/>
            </w:tcBorders>
            <w:shd w:val="clear" w:color="000000" w:fill="D7DDE9"/>
            <w:vAlign w:val="center"/>
            <w:hideMark/>
          </w:tcPr>
          <w:p w:rsidR="00CC6BB4" w:rsidRPr="00CC6BB4" w:rsidRDefault="00CC6BB4" w:rsidP="00CC6BB4">
            <w:pPr>
              <w:spacing w:before="0" w:after="0"/>
              <w:jc w:val="center"/>
              <w:rPr>
                <w:rFonts w:ascii="Arial" w:eastAsia="Times New Roman" w:hAnsi="Arial" w:cs="Arial"/>
                <w:sz w:val="16"/>
                <w:szCs w:val="16"/>
              </w:rPr>
            </w:pPr>
            <w:r w:rsidRPr="00CC6BB4">
              <w:rPr>
                <w:rFonts w:ascii="Arial" w:eastAsia="Times New Roman" w:hAnsi="Arial" w:cs="Arial"/>
                <w:sz w:val="16"/>
                <w:szCs w:val="16"/>
              </w:rPr>
              <w:t>3.2</w:t>
            </w:r>
          </w:p>
        </w:tc>
        <w:tc>
          <w:tcPr>
            <w:tcW w:w="877" w:type="dxa"/>
            <w:tcBorders>
              <w:top w:val="nil"/>
              <w:left w:val="single" w:sz="4" w:space="0" w:color="auto"/>
              <w:bottom w:val="nil"/>
              <w:right w:val="nil"/>
            </w:tcBorders>
            <w:shd w:val="clear" w:color="000000" w:fill="D7DDE9"/>
            <w:vAlign w:val="center"/>
            <w:hideMark/>
          </w:tcPr>
          <w:p w:rsidR="00CC6BB4" w:rsidRPr="00CC6BB4" w:rsidRDefault="00CC6BB4" w:rsidP="00CC6BB4">
            <w:pPr>
              <w:spacing w:before="0" w:after="0"/>
              <w:jc w:val="center"/>
              <w:rPr>
                <w:rFonts w:ascii="Arial" w:eastAsia="Times New Roman" w:hAnsi="Arial" w:cs="Arial"/>
                <w:sz w:val="16"/>
                <w:szCs w:val="16"/>
              </w:rPr>
            </w:pPr>
            <w:r w:rsidRPr="00CC6BB4">
              <w:rPr>
                <w:rFonts w:ascii="Arial" w:eastAsia="Times New Roman" w:hAnsi="Arial" w:cs="Arial"/>
                <w:sz w:val="16"/>
                <w:szCs w:val="16"/>
              </w:rPr>
              <w:t>10</w:t>
            </w:r>
          </w:p>
        </w:tc>
        <w:tc>
          <w:tcPr>
            <w:tcW w:w="928" w:type="dxa"/>
            <w:tcBorders>
              <w:top w:val="nil"/>
              <w:left w:val="single" w:sz="4" w:space="0" w:color="auto"/>
              <w:bottom w:val="nil"/>
              <w:right w:val="single" w:sz="4" w:space="0" w:color="auto"/>
            </w:tcBorders>
            <w:shd w:val="clear" w:color="000000" w:fill="D7DDE9"/>
            <w:vAlign w:val="center"/>
            <w:hideMark/>
          </w:tcPr>
          <w:p w:rsidR="00CC6BB4" w:rsidRPr="00CC6BB4" w:rsidRDefault="00CC6BB4" w:rsidP="00CC6BB4">
            <w:pPr>
              <w:spacing w:before="0" w:after="0"/>
              <w:jc w:val="center"/>
              <w:rPr>
                <w:rFonts w:ascii="Arial" w:eastAsia="Times New Roman" w:hAnsi="Arial" w:cs="Arial"/>
                <w:sz w:val="16"/>
                <w:szCs w:val="16"/>
              </w:rPr>
            </w:pPr>
            <w:r w:rsidRPr="00CC6BB4">
              <w:rPr>
                <w:rFonts w:ascii="Arial" w:eastAsia="Times New Roman" w:hAnsi="Arial" w:cs="Arial"/>
                <w:sz w:val="16"/>
                <w:szCs w:val="16"/>
              </w:rPr>
              <w:t>7</w:t>
            </w:r>
          </w:p>
        </w:tc>
      </w:tr>
      <w:tr w:rsidR="006C67F3" w:rsidRPr="006C67F3" w:rsidTr="00CC6BB4">
        <w:trPr>
          <w:trHeight w:val="300"/>
        </w:trPr>
        <w:tc>
          <w:tcPr>
            <w:tcW w:w="1790"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Aged care</w:t>
            </w:r>
          </w:p>
        </w:tc>
        <w:tc>
          <w:tcPr>
            <w:tcW w:w="875"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13</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32</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6.8</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5.4</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2.3</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2.9</w:t>
            </w:r>
          </w:p>
        </w:tc>
        <w:tc>
          <w:tcPr>
            <w:tcW w:w="877"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9</w:t>
            </w:r>
          </w:p>
        </w:tc>
        <w:tc>
          <w:tcPr>
            <w:tcW w:w="928" w:type="dxa"/>
            <w:tcBorders>
              <w:top w:val="nil"/>
              <w:left w:val="single" w:sz="4" w:space="0" w:color="auto"/>
              <w:bottom w:val="nil"/>
              <w:right w:val="single" w:sz="4" w:space="0" w:color="auto"/>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5</w:t>
            </w:r>
          </w:p>
        </w:tc>
      </w:tr>
      <w:tr w:rsidR="006C67F3" w:rsidRPr="006C67F3" w:rsidTr="00CC6BB4">
        <w:trPr>
          <w:trHeight w:val="450"/>
        </w:trPr>
        <w:tc>
          <w:tcPr>
            <w:tcW w:w="1790"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Medicare Benefits Schedule</w:t>
            </w:r>
          </w:p>
        </w:tc>
        <w:tc>
          <w:tcPr>
            <w:tcW w:w="875"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19</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34</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5.8</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2.7</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3.0</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1.8</w:t>
            </w:r>
          </w:p>
        </w:tc>
        <w:tc>
          <w:tcPr>
            <w:tcW w:w="877"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6</w:t>
            </w:r>
          </w:p>
        </w:tc>
        <w:tc>
          <w:tcPr>
            <w:tcW w:w="928" w:type="dxa"/>
            <w:tcBorders>
              <w:top w:val="nil"/>
              <w:left w:val="single" w:sz="4" w:space="0" w:color="auto"/>
              <w:bottom w:val="nil"/>
              <w:right w:val="single" w:sz="4" w:space="0" w:color="auto"/>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5</w:t>
            </w:r>
          </w:p>
        </w:tc>
      </w:tr>
      <w:tr w:rsidR="006C67F3" w:rsidRPr="006C67F3" w:rsidTr="00CC6BB4">
        <w:trPr>
          <w:trHeight w:val="300"/>
        </w:trPr>
        <w:tc>
          <w:tcPr>
            <w:tcW w:w="1790"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Schools</w:t>
            </w:r>
          </w:p>
        </w:tc>
        <w:tc>
          <w:tcPr>
            <w:tcW w:w="875"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12</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25</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5.5</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3.7</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1.9</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1.7</w:t>
            </w:r>
          </w:p>
        </w:tc>
        <w:tc>
          <w:tcPr>
            <w:tcW w:w="877"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5</w:t>
            </w:r>
          </w:p>
        </w:tc>
        <w:tc>
          <w:tcPr>
            <w:tcW w:w="928" w:type="dxa"/>
            <w:tcBorders>
              <w:top w:val="nil"/>
              <w:left w:val="single" w:sz="4" w:space="0" w:color="auto"/>
              <w:bottom w:val="nil"/>
              <w:right w:val="single" w:sz="4" w:space="0" w:color="auto"/>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4</w:t>
            </w:r>
          </w:p>
        </w:tc>
      </w:tr>
      <w:tr w:rsidR="006C67F3" w:rsidRPr="006C67F3" w:rsidTr="00CC6BB4">
        <w:trPr>
          <w:trHeight w:val="300"/>
        </w:trPr>
        <w:tc>
          <w:tcPr>
            <w:tcW w:w="1790"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Public hospitals</w:t>
            </w:r>
          </w:p>
        </w:tc>
        <w:tc>
          <w:tcPr>
            <w:tcW w:w="875"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13</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25</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3.6</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2.9</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1.5</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1.4</w:t>
            </w:r>
          </w:p>
        </w:tc>
        <w:tc>
          <w:tcPr>
            <w:tcW w:w="877"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4</w:t>
            </w:r>
          </w:p>
        </w:tc>
        <w:tc>
          <w:tcPr>
            <w:tcW w:w="928" w:type="dxa"/>
            <w:tcBorders>
              <w:top w:val="nil"/>
              <w:left w:val="single" w:sz="4" w:space="0" w:color="auto"/>
              <w:bottom w:val="nil"/>
              <w:right w:val="single" w:sz="4" w:space="0" w:color="auto"/>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4</w:t>
            </w:r>
          </w:p>
        </w:tc>
      </w:tr>
      <w:tr w:rsidR="006C67F3" w:rsidRPr="006C67F3" w:rsidTr="00CC6BB4">
        <w:trPr>
          <w:trHeight w:val="450"/>
        </w:trPr>
        <w:tc>
          <w:tcPr>
            <w:tcW w:w="1790"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Disability Support Pension</w:t>
            </w:r>
          </w:p>
        </w:tc>
        <w:tc>
          <w:tcPr>
            <w:tcW w:w="875"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15</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26</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5.3</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2.1</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2.3</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1.1</w:t>
            </w:r>
          </w:p>
        </w:tc>
        <w:tc>
          <w:tcPr>
            <w:tcW w:w="877"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w:t>
            </w:r>
          </w:p>
        </w:tc>
        <w:tc>
          <w:tcPr>
            <w:tcW w:w="928" w:type="dxa"/>
            <w:tcBorders>
              <w:top w:val="nil"/>
              <w:left w:val="single" w:sz="4" w:space="0" w:color="auto"/>
              <w:bottom w:val="nil"/>
              <w:right w:val="single" w:sz="4" w:space="0" w:color="auto"/>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4</w:t>
            </w:r>
          </w:p>
        </w:tc>
      </w:tr>
      <w:tr w:rsidR="006C67F3" w:rsidRPr="006C67F3" w:rsidTr="00CC6BB4">
        <w:trPr>
          <w:trHeight w:val="315"/>
        </w:trPr>
        <w:tc>
          <w:tcPr>
            <w:tcW w:w="1790"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Paid Parental Leave</w:t>
            </w:r>
            <w:r w:rsidR="001A50F6">
              <w:rPr>
                <w:rFonts w:ascii="Arial" w:eastAsia="Times New Roman" w:hAnsi="Arial" w:cs="Arial"/>
                <w:sz w:val="16"/>
                <w:szCs w:val="16"/>
              </w:rPr>
              <w:t> </w:t>
            </w:r>
            <w:r w:rsidR="001A50F6">
              <w:rPr>
                <w:rFonts w:ascii="Arial" w:eastAsia="Times New Roman" w:hAnsi="Arial" w:cs="Arial"/>
                <w:sz w:val="16"/>
                <w:szCs w:val="16"/>
                <w:vertAlign w:val="superscript"/>
              </w:rPr>
              <w:t>(d</w:t>
            </w:r>
            <w:r w:rsidRPr="006C67F3">
              <w:rPr>
                <w:rFonts w:ascii="Arial" w:eastAsia="Times New Roman" w:hAnsi="Arial" w:cs="Arial"/>
                <w:sz w:val="16"/>
                <w:szCs w:val="16"/>
                <w:vertAlign w:val="superscript"/>
              </w:rPr>
              <w:t>)</w:t>
            </w:r>
          </w:p>
        </w:tc>
        <w:tc>
          <w:tcPr>
            <w:tcW w:w="875"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7</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12.0</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0.5</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1.1</w:t>
            </w:r>
          </w:p>
        </w:tc>
        <w:tc>
          <w:tcPr>
            <w:tcW w:w="877"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w:t>
            </w:r>
          </w:p>
        </w:tc>
        <w:tc>
          <w:tcPr>
            <w:tcW w:w="928" w:type="dxa"/>
            <w:tcBorders>
              <w:top w:val="nil"/>
              <w:left w:val="single" w:sz="4" w:space="0" w:color="auto"/>
              <w:bottom w:val="nil"/>
              <w:right w:val="single" w:sz="4" w:space="0" w:color="auto"/>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w:t>
            </w:r>
          </w:p>
        </w:tc>
      </w:tr>
      <w:tr w:rsidR="006C67F3" w:rsidRPr="006C67F3" w:rsidTr="00CC6BB4">
        <w:trPr>
          <w:trHeight w:val="300"/>
        </w:trPr>
        <w:tc>
          <w:tcPr>
            <w:tcW w:w="1790"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Carer income support</w:t>
            </w:r>
          </w:p>
        </w:tc>
        <w:tc>
          <w:tcPr>
            <w:tcW w:w="875"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6</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14</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10.2</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4.0</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1.5</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1.0</w:t>
            </w:r>
          </w:p>
        </w:tc>
        <w:tc>
          <w:tcPr>
            <w:tcW w:w="877"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w:t>
            </w:r>
          </w:p>
        </w:tc>
        <w:tc>
          <w:tcPr>
            <w:tcW w:w="928" w:type="dxa"/>
            <w:tcBorders>
              <w:top w:val="nil"/>
              <w:left w:val="single" w:sz="4" w:space="0" w:color="auto"/>
              <w:bottom w:val="nil"/>
              <w:right w:val="single" w:sz="4" w:space="0" w:color="auto"/>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w:t>
            </w:r>
          </w:p>
        </w:tc>
      </w:tr>
      <w:tr w:rsidR="006C67F3" w:rsidRPr="006C67F3" w:rsidTr="00CC6BB4">
        <w:trPr>
          <w:trHeight w:val="300"/>
        </w:trPr>
        <w:tc>
          <w:tcPr>
            <w:tcW w:w="1790"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Child care</w:t>
            </w:r>
          </w:p>
        </w:tc>
        <w:tc>
          <w:tcPr>
            <w:tcW w:w="875"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5</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11</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10.3</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4.9</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1.1</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1.0</w:t>
            </w:r>
          </w:p>
        </w:tc>
        <w:tc>
          <w:tcPr>
            <w:tcW w:w="877"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w:t>
            </w:r>
          </w:p>
        </w:tc>
        <w:tc>
          <w:tcPr>
            <w:tcW w:w="928" w:type="dxa"/>
            <w:tcBorders>
              <w:top w:val="nil"/>
              <w:left w:val="single" w:sz="4" w:space="0" w:color="auto"/>
              <w:bottom w:val="nil"/>
              <w:right w:val="single" w:sz="4" w:space="0" w:color="auto"/>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w:t>
            </w:r>
          </w:p>
        </w:tc>
      </w:tr>
      <w:tr w:rsidR="006C67F3" w:rsidRPr="006C67F3" w:rsidTr="00CC6BB4">
        <w:trPr>
          <w:trHeight w:val="300"/>
        </w:trPr>
        <w:tc>
          <w:tcPr>
            <w:tcW w:w="1790"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 xml:space="preserve">Fuel Tax Credits  </w:t>
            </w:r>
          </w:p>
        </w:tc>
        <w:tc>
          <w:tcPr>
            <w:tcW w:w="875"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5</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12</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3.0</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4.0</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0.5</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0.9</w:t>
            </w:r>
          </w:p>
        </w:tc>
        <w:tc>
          <w:tcPr>
            <w:tcW w:w="877"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w:t>
            </w:r>
          </w:p>
        </w:tc>
        <w:tc>
          <w:tcPr>
            <w:tcW w:w="928" w:type="dxa"/>
            <w:tcBorders>
              <w:top w:val="nil"/>
              <w:left w:val="single" w:sz="4" w:space="0" w:color="auto"/>
              <w:bottom w:val="nil"/>
              <w:right w:val="single" w:sz="4" w:space="0" w:color="auto"/>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w:t>
            </w:r>
          </w:p>
        </w:tc>
      </w:tr>
      <w:tr w:rsidR="006C67F3" w:rsidRPr="006C67F3" w:rsidTr="00CC6BB4">
        <w:trPr>
          <w:trHeight w:val="450"/>
        </w:trPr>
        <w:tc>
          <w:tcPr>
            <w:tcW w:w="1790"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Government superannuation</w:t>
            </w:r>
          </w:p>
        </w:tc>
        <w:tc>
          <w:tcPr>
            <w:tcW w:w="875"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14</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15</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3.7</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-1.7</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1.6</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-0.7</w:t>
            </w:r>
          </w:p>
        </w:tc>
        <w:tc>
          <w:tcPr>
            <w:tcW w:w="877"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w:t>
            </w:r>
          </w:p>
        </w:tc>
        <w:tc>
          <w:tcPr>
            <w:tcW w:w="928" w:type="dxa"/>
            <w:tcBorders>
              <w:top w:val="nil"/>
              <w:left w:val="single" w:sz="4" w:space="0" w:color="auto"/>
              <w:bottom w:val="nil"/>
              <w:right w:val="single" w:sz="4" w:space="0" w:color="auto"/>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w:t>
            </w:r>
          </w:p>
        </w:tc>
      </w:tr>
      <w:tr w:rsidR="006C67F3" w:rsidRPr="006C67F3" w:rsidTr="00CC6BB4">
        <w:trPr>
          <w:trHeight w:val="300"/>
        </w:trPr>
        <w:tc>
          <w:tcPr>
            <w:tcW w:w="1790"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Family Tax Benefit</w:t>
            </w:r>
          </w:p>
        </w:tc>
        <w:tc>
          <w:tcPr>
            <w:tcW w:w="875"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19</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23</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3.3</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-1.0</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2.0</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-0.6</w:t>
            </w:r>
          </w:p>
        </w:tc>
        <w:tc>
          <w:tcPr>
            <w:tcW w:w="877"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w:t>
            </w:r>
          </w:p>
        </w:tc>
        <w:tc>
          <w:tcPr>
            <w:tcW w:w="928" w:type="dxa"/>
            <w:tcBorders>
              <w:top w:val="nil"/>
              <w:left w:val="single" w:sz="4" w:space="0" w:color="auto"/>
              <w:bottom w:val="nil"/>
              <w:right w:val="single" w:sz="4" w:space="0" w:color="auto"/>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w:t>
            </w:r>
          </w:p>
        </w:tc>
      </w:tr>
      <w:tr w:rsidR="006C67F3" w:rsidRPr="006C67F3" w:rsidTr="00CC6BB4">
        <w:trPr>
          <w:trHeight w:val="450"/>
        </w:trPr>
        <w:tc>
          <w:tcPr>
            <w:tcW w:w="1790"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Private Health Insurance rebate</w:t>
            </w:r>
          </w:p>
        </w:tc>
        <w:tc>
          <w:tcPr>
            <w:tcW w:w="875"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5</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10</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5.9</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2.3</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0.9</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0.4</w:t>
            </w:r>
          </w:p>
        </w:tc>
        <w:tc>
          <w:tcPr>
            <w:tcW w:w="877"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w:t>
            </w:r>
          </w:p>
        </w:tc>
        <w:tc>
          <w:tcPr>
            <w:tcW w:w="928" w:type="dxa"/>
            <w:tcBorders>
              <w:top w:val="nil"/>
              <w:left w:val="single" w:sz="4" w:space="0" w:color="auto"/>
              <w:bottom w:val="nil"/>
              <w:right w:val="single" w:sz="4" w:space="0" w:color="auto"/>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w:t>
            </w:r>
          </w:p>
        </w:tc>
      </w:tr>
      <w:tr w:rsidR="006C67F3" w:rsidRPr="006C67F3" w:rsidTr="00CC6BB4">
        <w:trPr>
          <w:trHeight w:val="300"/>
        </w:trPr>
        <w:tc>
          <w:tcPr>
            <w:tcW w:w="1790"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Higher education</w:t>
            </w:r>
          </w:p>
        </w:tc>
        <w:tc>
          <w:tcPr>
            <w:tcW w:w="875"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9</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14</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5.2</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1.2</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1.3</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0.4</w:t>
            </w:r>
          </w:p>
        </w:tc>
        <w:tc>
          <w:tcPr>
            <w:tcW w:w="877"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w:t>
            </w:r>
          </w:p>
        </w:tc>
        <w:tc>
          <w:tcPr>
            <w:tcW w:w="928" w:type="dxa"/>
            <w:tcBorders>
              <w:top w:val="nil"/>
              <w:left w:val="single" w:sz="4" w:space="0" w:color="auto"/>
              <w:bottom w:val="nil"/>
              <w:right w:val="single" w:sz="4" w:space="0" w:color="auto"/>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w:t>
            </w:r>
          </w:p>
        </w:tc>
      </w:tr>
      <w:tr w:rsidR="006C67F3" w:rsidRPr="006C67F3" w:rsidTr="00CC6BB4">
        <w:trPr>
          <w:trHeight w:val="300"/>
        </w:trPr>
        <w:tc>
          <w:tcPr>
            <w:tcW w:w="1790"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rPr>
                <w:rFonts w:ascii="Arial" w:eastAsia="Times New Roman" w:hAnsi="Arial" w:cs="Arial"/>
                <w:sz w:val="16"/>
                <w:szCs w:val="16"/>
              </w:rPr>
            </w:pPr>
            <w:proofErr w:type="spellStart"/>
            <w:r w:rsidRPr="006C67F3">
              <w:rPr>
                <w:rFonts w:ascii="Arial" w:eastAsia="Times New Roman" w:hAnsi="Arial" w:cs="Arial"/>
                <w:sz w:val="16"/>
                <w:szCs w:val="16"/>
              </w:rPr>
              <w:t>Newstart</w:t>
            </w:r>
            <w:proofErr w:type="spellEnd"/>
          </w:p>
        </w:tc>
        <w:tc>
          <w:tcPr>
            <w:tcW w:w="875"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7</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12</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1.7</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1.1</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0.4</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0.3</w:t>
            </w:r>
          </w:p>
        </w:tc>
        <w:tc>
          <w:tcPr>
            <w:tcW w:w="877"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w:t>
            </w:r>
          </w:p>
        </w:tc>
        <w:tc>
          <w:tcPr>
            <w:tcW w:w="928" w:type="dxa"/>
            <w:tcBorders>
              <w:top w:val="nil"/>
              <w:left w:val="single" w:sz="4" w:space="0" w:color="auto"/>
              <w:bottom w:val="nil"/>
              <w:right w:val="single" w:sz="4" w:space="0" w:color="auto"/>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w:t>
            </w:r>
          </w:p>
        </w:tc>
      </w:tr>
      <w:tr w:rsidR="006C67F3" w:rsidRPr="006C67F3" w:rsidTr="00CC6BB4">
        <w:trPr>
          <w:trHeight w:val="300"/>
        </w:trPr>
        <w:tc>
          <w:tcPr>
            <w:tcW w:w="1790"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Public debt interest</w:t>
            </w:r>
          </w:p>
        </w:tc>
        <w:tc>
          <w:tcPr>
            <w:tcW w:w="875"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13</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18</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7.5</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0.4</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2.4</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0.2</w:t>
            </w:r>
          </w:p>
        </w:tc>
        <w:tc>
          <w:tcPr>
            <w:tcW w:w="877"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w:t>
            </w:r>
          </w:p>
        </w:tc>
        <w:tc>
          <w:tcPr>
            <w:tcW w:w="928" w:type="dxa"/>
            <w:tcBorders>
              <w:top w:val="nil"/>
              <w:left w:val="single" w:sz="4" w:space="0" w:color="auto"/>
              <w:bottom w:val="nil"/>
              <w:right w:val="single" w:sz="4" w:space="0" w:color="auto"/>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3</w:t>
            </w:r>
          </w:p>
        </w:tc>
      </w:tr>
      <w:tr w:rsidR="006C67F3" w:rsidRPr="006C67F3" w:rsidTr="00CC6BB4">
        <w:trPr>
          <w:trHeight w:val="450"/>
        </w:trPr>
        <w:tc>
          <w:tcPr>
            <w:tcW w:w="1790"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Official Development Assistance</w:t>
            </w:r>
          </w:p>
        </w:tc>
        <w:tc>
          <w:tcPr>
            <w:tcW w:w="875"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5</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6</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8.0</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-0.8</w:t>
            </w:r>
          </w:p>
        </w:tc>
        <w:tc>
          <w:tcPr>
            <w:tcW w:w="874"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1.0</w:t>
            </w:r>
          </w:p>
        </w:tc>
        <w:tc>
          <w:tcPr>
            <w:tcW w:w="874" w:type="dxa"/>
            <w:tcBorders>
              <w:top w:val="nil"/>
              <w:left w:val="nil"/>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-0.1</w:t>
            </w:r>
          </w:p>
        </w:tc>
        <w:tc>
          <w:tcPr>
            <w:tcW w:w="877" w:type="dxa"/>
            <w:tcBorders>
              <w:top w:val="nil"/>
              <w:left w:val="single" w:sz="4" w:space="0" w:color="auto"/>
              <w:bottom w:val="nil"/>
              <w:right w:val="nil"/>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w:t>
            </w:r>
          </w:p>
        </w:tc>
        <w:tc>
          <w:tcPr>
            <w:tcW w:w="928" w:type="dxa"/>
            <w:tcBorders>
              <w:top w:val="nil"/>
              <w:left w:val="single" w:sz="4" w:space="0" w:color="auto"/>
              <w:bottom w:val="nil"/>
              <w:right w:val="single" w:sz="4" w:space="0" w:color="auto"/>
            </w:tcBorders>
            <w:shd w:val="clear" w:color="000000" w:fill="D7DDE9"/>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w:t>
            </w:r>
          </w:p>
        </w:tc>
      </w:tr>
      <w:tr w:rsidR="006C67F3" w:rsidRPr="006C67F3" w:rsidTr="00CC6BB4">
        <w:trPr>
          <w:trHeight w:val="450"/>
        </w:trPr>
        <w:tc>
          <w:tcPr>
            <w:tcW w:w="1790"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rPr>
                <w:rFonts w:ascii="Arial" w:eastAsia="Times New Roman" w:hAnsi="Arial" w:cs="Arial"/>
                <w:sz w:val="16"/>
                <w:szCs w:val="16"/>
              </w:rPr>
            </w:pPr>
            <w:r w:rsidRPr="006C67F3">
              <w:rPr>
                <w:rFonts w:ascii="Arial" w:eastAsia="Times New Roman" w:hAnsi="Arial" w:cs="Arial"/>
                <w:sz w:val="16"/>
                <w:szCs w:val="16"/>
              </w:rPr>
              <w:t>Pharmaceutical benefits and services</w:t>
            </w:r>
          </w:p>
        </w:tc>
        <w:tc>
          <w:tcPr>
            <w:tcW w:w="875"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9</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13</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2.4</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0.3</w:t>
            </w:r>
          </w:p>
        </w:tc>
        <w:tc>
          <w:tcPr>
            <w:tcW w:w="874"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0.7</w:t>
            </w:r>
          </w:p>
        </w:tc>
        <w:tc>
          <w:tcPr>
            <w:tcW w:w="874" w:type="dxa"/>
            <w:tcBorders>
              <w:top w:val="nil"/>
              <w:left w:val="nil"/>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0.1</w:t>
            </w:r>
          </w:p>
        </w:tc>
        <w:tc>
          <w:tcPr>
            <w:tcW w:w="877" w:type="dxa"/>
            <w:tcBorders>
              <w:top w:val="nil"/>
              <w:left w:val="single" w:sz="4" w:space="0" w:color="auto"/>
              <w:bottom w:val="nil"/>
              <w:right w:val="nil"/>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0</w:t>
            </w:r>
          </w:p>
        </w:tc>
        <w:tc>
          <w:tcPr>
            <w:tcW w:w="928" w:type="dxa"/>
            <w:tcBorders>
              <w:top w:val="nil"/>
              <w:left w:val="single" w:sz="4" w:space="0" w:color="auto"/>
              <w:bottom w:val="nil"/>
              <w:right w:val="single" w:sz="4" w:space="0" w:color="auto"/>
            </w:tcBorders>
            <w:shd w:val="clear" w:color="auto" w:fill="auto"/>
            <w:vAlign w:val="center"/>
            <w:hideMark/>
          </w:tcPr>
          <w:p w:rsidR="006C67F3" w:rsidRPr="006C67F3" w:rsidRDefault="006C67F3" w:rsidP="006C67F3">
            <w:pPr>
              <w:spacing w:before="0" w:after="0"/>
              <w:jc w:val="center"/>
              <w:rPr>
                <w:rFonts w:ascii="Arial" w:eastAsia="Times New Roman" w:hAnsi="Arial" w:cs="Arial"/>
                <w:sz w:val="16"/>
                <w:szCs w:val="16"/>
              </w:rPr>
            </w:pPr>
            <w:r w:rsidRPr="006C67F3">
              <w:rPr>
                <w:rFonts w:ascii="Arial" w:eastAsia="Times New Roman" w:hAnsi="Arial" w:cs="Arial"/>
                <w:sz w:val="16"/>
                <w:szCs w:val="16"/>
              </w:rPr>
              <w:t>2</w:t>
            </w:r>
          </w:p>
        </w:tc>
      </w:tr>
      <w:tr w:rsidR="00CD1D93" w:rsidRPr="006C67F3" w:rsidTr="00CC6BB4">
        <w:trPr>
          <w:trHeight w:val="450"/>
        </w:trPr>
        <w:tc>
          <w:tcPr>
            <w:tcW w:w="1790" w:type="dxa"/>
            <w:tcBorders>
              <w:top w:val="nil"/>
              <w:left w:val="single" w:sz="4" w:space="0" w:color="auto"/>
              <w:bottom w:val="nil"/>
              <w:right w:val="nil"/>
            </w:tcBorders>
            <w:shd w:val="clear" w:color="000000" w:fill="D7DDE9"/>
            <w:vAlign w:val="center"/>
            <w:hideMark/>
          </w:tcPr>
          <w:p w:rsidR="00CD1D93" w:rsidRPr="006C67F3" w:rsidRDefault="00CD1D93" w:rsidP="006C67F3">
            <w:pPr>
              <w:spacing w:before="0" w:after="0"/>
              <w:rPr>
                <w:rFonts w:ascii="Arial" w:eastAsia="Times New Roman" w:hAnsi="Arial" w:cs="Arial"/>
                <w:b/>
                <w:bCs/>
                <w:sz w:val="16"/>
                <w:szCs w:val="16"/>
              </w:rPr>
            </w:pPr>
            <w:r w:rsidRPr="006C67F3">
              <w:rPr>
                <w:rFonts w:ascii="Arial" w:eastAsia="Times New Roman" w:hAnsi="Arial" w:cs="Arial"/>
                <w:b/>
                <w:bCs/>
                <w:sz w:val="16"/>
                <w:szCs w:val="16"/>
              </w:rPr>
              <w:t>Totals for above programs only</w:t>
            </w:r>
          </w:p>
        </w:tc>
        <w:tc>
          <w:tcPr>
            <w:tcW w:w="875" w:type="dxa"/>
            <w:tcBorders>
              <w:top w:val="nil"/>
              <w:left w:val="single" w:sz="4" w:space="0" w:color="auto"/>
              <w:bottom w:val="nil"/>
              <w:right w:val="nil"/>
            </w:tcBorders>
            <w:shd w:val="clear" w:color="000000" w:fill="D7DDE9"/>
            <w:vAlign w:val="center"/>
            <w:hideMark/>
          </w:tcPr>
          <w:p w:rsidR="00CD1D93" w:rsidRDefault="00CD1D93">
            <w:pPr>
              <w:jc w:val="center"/>
              <w:rPr>
                <w:rFonts w:ascii="Arial" w:hAnsi="Arial" w:cs="Arial"/>
                <w:b/>
                <w:bCs/>
                <w:sz w:val="16"/>
                <w:szCs w:val="16"/>
              </w:rPr>
            </w:pPr>
            <w:r>
              <w:rPr>
                <w:rFonts w:ascii="Arial" w:hAnsi="Arial" w:cs="Arial"/>
                <w:b/>
                <w:bCs/>
                <w:sz w:val="16"/>
                <w:szCs w:val="16"/>
              </w:rPr>
              <w:t>278</w:t>
            </w:r>
          </w:p>
        </w:tc>
        <w:tc>
          <w:tcPr>
            <w:tcW w:w="874" w:type="dxa"/>
            <w:tcBorders>
              <w:top w:val="nil"/>
              <w:left w:val="nil"/>
              <w:bottom w:val="nil"/>
              <w:right w:val="nil"/>
            </w:tcBorders>
            <w:shd w:val="clear" w:color="000000" w:fill="D7DDE9"/>
            <w:vAlign w:val="center"/>
            <w:hideMark/>
          </w:tcPr>
          <w:p w:rsidR="00CD1D93" w:rsidRDefault="00CD1D93">
            <w:pPr>
              <w:jc w:val="center"/>
              <w:rPr>
                <w:rFonts w:ascii="Arial" w:hAnsi="Arial" w:cs="Arial"/>
                <w:b/>
                <w:bCs/>
                <w:sz w:val="16"/>
                <w:szCs w:val="16"/>
              </w:rPr>
            </w:pPr>
            <w:r>
              <w:rPr>
                <w:rFonts w:ascii="Arial" w:hAnsi="Arial" w:cs="Arial"/>
                <w:b/>
                <w:bCs/>
                <w:sz w:val="16"/>
                <w:szCs w:val="16"/>
              </w:rPr>
              <w:t>531</w:t>
            </w:r>
          </w:p>
        </w:tc>
        <w:tc>
          <w:tcPr>
            <w:tcW w:w="874" w:type="dxa"/>
            <w:tcBorders>
              <w:top w:val="nil"/>
              <w:left w:val="single" w:sz="4" w:space="0" w:color="auto"/>
              <w:bottom w:val="nil"/>
              <w:right w:val="nil"/>
            </w:tcBorders>
            <w:shd w:val="clear" w:color="000000" w:fill="D7DDE9"/>
            <w:vAlign w:val="center"/>
            <w:hideMark/>
          </w:tcPr>
          <w:p w:rsidR="00CD1D93" w:rsidRDefault="00CD1D93">
            <w:pPr>
              <w:jc w:val="center"/>
              <w:rPr>
                <w:rFonts w:ascii="Arial" w:hAnsi="Arial" w:cs="Arial"/>
                <w:b/>
                <w:bCs/>
                <w:sz w:val="16"/>
                <w:szCs w:val="16"/>
              </w:rPr>
            </w:pPr>
            <w:r>
              <w:rPr>
                <w:rFonts w:ascii="Arial" w:hAnsi="Arial" w:cs="Arial"/>
                <w:b/>
                <w:bCs/>
                <w:sz w:val="16"/>
                <w:szCs w:val="16"/>
              </w:rPr>
              <w:t>4.1</w:t>
            </w:r>
          </w:p>
        </w:tc>
        <w:tc>
          <w:tcPr>
            <w:tcW w:w="874" w:type="dxa"/>
            <w:tcBorders>
              <w:top w:val="nil"/>
              <w:left w:val="nil"/>
              <w:bottom w:val="nil"/>
              <w:right w:val="nil"/>
            </w:tcBorders>
            <w:shd w:val="clear" w:color="000000" w:fill="D7DDE9"/>
            <w:vAlign w:val="center"/>
            <w:hideMark/>
          </w:tcPr>
          <w:p w:rsidR="00CD1D93" w:rsidRDefault="00CD1D93">
            <w:pPr>
              <w:jc w:val="center"/>
              <w:rPr>
                <w:rFonts w:ascii="Arial" w:hAnsi="Arial" w:cs="Arial"/>
                <w:b/>
                <w:bCs/>
                <w:sz w:val="16"/>
                <w:szCs w:val="16"/>
              </w:rPr>
            </w:pPr>
            <w:r>
              <w:rPr>
                <w:rFonts w:ascii="Arial" w:hAnsi="Arial" w:cs="Arial"/>
                <w:b/>
                <w:bCs/>
                <w:sz w:val="16"/>
                <w:szCs w:val="16"/>
              </w:rPr>
              <w:t>3.0</w:t>
            </w:r>
          </w:p>
        </w:tc>
        <w:tc>
          <w:tcPr>
            <w:tcW w:w="874" w:type="dxa"/>
            <w:tcBorders>
              <w:top w:val="nil"/>
              <w:left w:val="single" w:sz="4" w:space="0" w:color="auto"/>
              <w:bottom w:val="nil"/>
              <w:right w:val="nil"/>
            </w:tcBorders>
            <w:shd w:val="clear" w:color="000000" w:fill="D7DDE9"/>
            <w:vAlign w:val="center"/>
            <w:hideMark/>
          </w:tcPr>
          <w:p w:rsidR="00CD1D93" w:rsidRDefault="00CD1D93">
            <w:pPr>
              <w:jc w:val="center"/>
              <w:rPr>
                <w:rFonts w:ascii="Arial" w:hAnsi="Arial" w:cs="Arial"/>
                <w:b/>
                <w:bCs/>
                <w:sz w:val="16"/>
                <w:szCs w:val="16"/>
              </w:rPr>
            </w:pPr>
            <w:r>
              <w:rPr>
                <w:rFonts w:ascii="Arial" w:hAnsi="Arial" w:cs="Arial"/>
                <w:b/>
                <w:bCs/>
                <w:sz w:val="16"/>
                <w:szCs w:val="16"/>
              </w:rPr>
              <w:t>34.5</w:t>
            </w:r>
          </w:p>
        </w:tc>
        <w:tc>
          <w:tcPr>
            <w:tcW w:w="874" w:type="dxa"/>
            <w:tcBorders>
              <w:top w:val="nil"/>
              <w:left w:val="nil"/>
              <w:bottom w:val="nil"/>
              <w:right w:val="nil"/>
            </w:tcBorders>
            <w:shd w:val="clear" w:color="000000" w:fill="D7DDE9"/>
            <w:vAlign w:val="center"/>
            <w:hideMark/>
          </w:tcPr>
          <w:p w:rsidR="00CD1D93" w:rsidRDefault="00CD1D93">
            <w:pPr>
              <w:jc w:val="center"/>
              <w:rPr>
                <w:rFonts w:ascii="Arial" w:hAnsi="Arial" w:cs="Arial"/>
                <w:b/>
                <w:bCs/>
                <w:sz w:val="16"/>
                <w:szCs w:val="16"/>
              </w:rPr>
            </w:pPr>
            <w:r>
              <w:rPr>
                <w:rFonts w:ascii="Arial" w:hAnsi="Arial" w:cs="Arial"/>
                <w:b/>
                <w:bCs/>
                <w:sz w:val="16"/>
                <w:szCs w:val="16"/>
              </w:rPr>
              <w:t>30.6</w:t>
            </w:r>
          </w:p>
        </w:tc>
        <w:tc>
          <w:tcPr>
            <w:tcW w:w="877" w:type="dxa"/>
            <w:tcBorders>
              <w:top w:val="nil"/>
              <w:left w:val="single" w:sz="4" w:space="0" w:color="auto"/>
              <w:bottom w:val="nil"/>
              <w:right w:val="nil"/>
            </w:tcBorders>
            <w:shd w:val="clear" w:color="000000" w:fill="D7DDE9"/>
            <w:vAlign w:val="center"/>
            <w:hideMark/>
          </w:tcPr>
          <w:p w:rsidR="00CD1D93" w:rsidRDefault="00CD1D93">
            <w:pPr>
              <w:jc w:val="center"/>
              <w:rPr>
                <w:rFonts w:ascii="Arial" w:hAnsi="Arial" w:cs="Arial"/>
                <w:b/>
                <w:bCs/>
                <w:sz w:val="16"/>
                <w:szCs w:val="16"/>
              </w:rPr>
            </w:pPr>
            <w:r>
              <w:rPr>
                <w:rFonts w:ascii="Arial" w:hAnsi="Arial" w:cs="Arial"/>
                <w:b/>
                <w:bCs/>
                <w:sz w:val="16"/>
                <w:szCs w:val="16"/>
              </w:rPr>
              <w:t>95</w:t>
            </w:r>
          </w:p>
        </w:tc>
        <w:tc>
          <w:tcPr>
            <w:tcW w:w="928" w:type="dxa"/>
            <w:tcBorders>
              <w:top w:val="nil"/>
              <w:left w:val="single" w:sz="4" w:space="0" w:color="auto"/>
              <w:bottom w:val="nil"/>
              <w:right w:val="single" w:sz="4" w:space="0" w:color="auto"/>
            </w:tcBorders>
            <w:shd w:val="clear" w:color="000000" w:fill="D7DDE9"/>
            <w:vAlign w:val="center"/>
            <w:hideMark/>
          </w:tcPr>
          <w:p w:rsidR="00CD1D93" w:rsidRDefault="00CD1D93">
            <w:pPr>
              <w:jc w:val="center"/>
              <w:rPr>
                <w:rFonts w:ascii="Arial" w:hAnsi="Arial" w:cs="Arial"/>
                <w:b/>
                <w:bCs/>
                <w:sz w:val="16"/>
                <w:szCs w:val="16"/>
              </w:rPr>
            </w:pPr>
            <w:r>
              <w:rPr>
                <w:rFonts w:ascii="Arial" w:hAnsi="Arial" w:cs="Arial"/>
                <w:b/>
                <w:bCs/>
                <w:sz w:val="16"/>
                <w:szCs w:val="16"/>
              </w:rPr>
              <w:t>78</w:t>
            </w:r>
          </w:p>
        </w:tc>
      </w:tr>
      <w:tr w:rsidR="006C67F3" w:rsidRPr="006C67F3" w:rsidTr="00CC6BB4">
        <w:trPr>
          <w:trHeight w:val="300"/>
        </w:trPr>
        <w:tc>
          <w:tcPr>
            <w:tcW w:w="1790" w:type="dxa"/>
            <w:tcBorders>
              <w:top w:val="nil"/>
              <w:left w:val="single" w:sz="4" w:space="0" w:color="auto"/>
              <w:bottom w:val="single" w:sz="4" w:space="0" w:color="FFFFFF"/>
              <w:right w:val="nil"/>
            </w:tcBorders>
            <w:shd w:val="clear" w:color="000000" w:fill="2D6BB5"/>
            <w:vAlign w:val="center"/>
            <w:hideMark/>
          </w:tcPr>
          <w:p w:rsidR="006C67F3" w:rsidRPr="006C67F3" w:rsidRDefault="006C67F3" w:rsidP="006C67F3">
            <w:pPr>
              <w:spacing w:before="0" w:after="0"/>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 xml:space="preserve">Total </w:t>
            </w:r>
            <w:r w:rsidR="001A50F6">
              <w:rPr>
                <w:rFonts w:ascii="Arial" w:eastAsia="Times New Roman" w:hAnsi="Arial" w:cs="Arial"/>
                <w:b/>
                <w:bCs/>
                <w:color w:val="FFFFFF"/>
                <w:sz w:val="16"/>
                <w:szCs w:val="16"/>
                <w:vertAlign w:val="superscript"/>
              </w:rPr>
              <w:t>(e</w:t>
            </w:r>
            <w:r w:rsidRPr="006C67F3">
              <w:rPr>
                <w:rFonts w:ascii="Arial" w:eastAsia="Times New Roman" w:hAnsi="Arial" w:cs="Arial"/>
                <w:b/>
                <w:bCs/>
                <w:color w:val="FFFFFF"/>
                <w:sz w:val="16"/>
                <w:szCs w:val="16"/>
                <w:vertAlign w:val="superscript"/>
              </w:rPr>
              <w:t>)</w:t>
            </w:r>
          </w:p>
        </w:tc>
        <w:tc>
          <w:tcPr>
            <w:tcW w:w="875" w:type="dxa"/>
            <w:tcBorders>
              <w:top w:val="nil"/>
              <w:left w:val="single" w:sz="4" w:space="0" w:color="auto"/>
              <w:bottom w:val="single" w:sz="4" w:space="0" w:color="FFFFFF"/>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384</w:t>
            </w:r>
          </w:p>
        </w:tc>
        <w:tc>
          <w:tcPr>
            <w:tcW w:w="874" w:type="dxa"/>
            <w:tcBorders>
              <w:top w:val="nil"/>
              <w:left w:val="nil"/>
              <w:bottom w:val="single" w:sz="4" w:space="0" w:color="FFFFFF"/>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682</w:t>
            </w:r>
          </w:p>
        </w:tc>
        <w:tc>
          <w:tcPr>
            <w:tcW w:w="874" w:type="dxa"/>
            <w:tcBorders>
              <w:top w:val="nil"/>
              <w:left w:val="single" w:sz="4" w:space="0" w:color="auto"/>
              <w:bottom w:val="single" w:sz="4" w:space="0" w:color="FFFFFF"/>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3.8</w:t>
            </w:r>
          </w:p>
        </w:tc>
        <w:tc>
          <w:tcPr>
            <w:tcW w:w="874" w:type="dxa"/>
            <w:tcBorders>
              <w:top w:val="nil"/>
              <w:left w:val="nil"/>
              <w:bottom w:val="single" w:sz="4" w:space="0" w:color="FFFFFF"/>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2.4</w:t>
            </w:r>
          </w:p>
        </w:tc>
        <w:tc>
          <w:tcPr>
            <w:tcW w:w="874" w:type="dxa"/>
            <w:tcBorders>
              <w:top w:val="nil"/>
              <w:left w:val="single" w:sz="4" w:space="0" w:color="auto"/>
              <w:bottom w:val="single" w:sz="4" w:space="0" w:color="FFFFFF"/>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45.2</w:t>
            </w:r>
          </w:p>
        </w:tc>
        <w:tc>
          <w:tcPr>
            <w:tcW w:w="874" w:type="dxa"/>
            <w:tcBorders>
              <w:top w:val="nil"/>
              <w:left w:val="nil"/>
              <w:bottom w:val="single" w:sz="4" w:space="0" w:color="FFFFFF"/>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32.3</w:t>
            </w:r>
          </w:p>
        </w:tc>
        <w:tc>
          <w:tcPr>
            <w:tcW w:w="877" w:type="dxa"/>
            <w:tcBorders>
              <w:top w:val="nil"/>
              <w:left w:val="single" w:sz="4" w:space="0" w:color="auto"/>
              <w:bottom w:val="single" w:sz="4" w:space="0" w:color="FFFFFF"/>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100</w:t>
            </w:r>
          </w:p>
        </w:tc>
        <w:tc>
          <w:tcPr>
            <w:tcW w:w="928" w:type="dxa"/>
            <w:tcBorders>
              <w:top w:val="nil"/>
              <w:left w:val="single" w:sz="4" w:space="0" w:color="auto"/>
              <w:bottom w:val="single" w:sz="4" w:space="0" w:color="FFFFFF"/>
              <w:right w:val="single" w:sz="4" w:space="0" w:color="auto"/>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color w:val="FFFFFF"/>
                <w:sz w:val="16"/>
                <w:szCs w:val="16"/>
              </w:rPr>
            </w:pPr>
            <w:r w:rsidRPr="006C67F3">
              <w:rPr>
                <w:rFonts w:ascii="Arial" w:eastAsia="Times New Roman" w:hAnsi="Arial" w:cs="Arial"/>
                <w:b/>
                <w:bCs/>
                <w:color w:val="FFFFFF"/>
                <w:sz w:val="16"/>
                <w:szCs w:val="16"/>
              </w:rPr>
              <w:t>100</w:t>
            </w:r>
          </w:p>
        </w:tc>
      </w:tr>
      <w:tr w:rsidR="006C67F3" w:rsidRPr="006C67F3" w:rsidTr="00CC6BB4">
        <w:trPr>
          <w:trHeight w:val="300"/>
        </w:trPr>
        <w:tc>
          <w:tcPr>
            <w:tcW w:w="1790" w:type="dxa"/>
            <w:tcBorders>
              <w:top w:val="nil"/>
              <w:left w:val="single" w:sz="4" w:space="0" w:color="auto"/>
              <w:bottom w:val="single" w:sz="4" w:space="0" w:color="auto"/>
              <w:right w:val="nil"/>
            </w:tcBorders>
            <w:shd w:val="clear" w:color="000000" w:fill="2D6BB5"/>
            <w:vAlign w:val="center"/>
            <w:hideMark/>
          </w:tcPr>
          <w:p w:rsidR="006C67F3" w:rsidRPr="006C67F3" w:rsidRDefault="006C67F3" w:rsidP="006C67F3">
            <w:pPr>
              <w:spacing w:before="0" w:after="0"/>
              <w:rPr>
                <w:rFonts w:ascii="Arial" w:eastAsia="Times New Roman" w:hAnsi="Arial" w:cs="Arial"/>
                <w:b/>
                <w:bCs/>
                <w:i/>
                <w:iCs/>
                <w:color w:val="FFFFFF"/>
                <w:sz w:val="16"/>
                <w:szCs w:val="16"/>
              </w:rPr>
            </w:pPr>
            <w:r w:rsidRPr="006C67F3">
              <w:rPr>
                <w:rFonts w:ascii="Arial" w:eastAsia="Times New Roman" w:hAnsi="Arial" w:cs="Arial"/>
                <w:b/>
                <w:bCs/>
                <w:i/>
                <w:iCs/>
                <w:color w:val="FFFFFF"/>
                <w:sz w:val="16"/>
                <w:szCs w:val="16"/>
              </w:rPr>
              <w:t>Real GDP</w:t>
            </w:r>
          </w:p>
        </w:tc>
        <w:tc>
          <w:tcPr>
            <w:tcW w:w="875" w:type="dxa"/>
            <w:tcBorders>
              <w:top w:val="nil"/>
              <w:left w:val="single" w:sz="4" w:space="0" w:color="auto"/>
              <w:bottom w:val="single" w:sz="4" w:space="0" w:color="auto"/>
              <w:right w:val="nil"/>
            </w:tcBorders>
            <w:shd w:val="clear" w:color="000000" w:fill="2D6BB5"/>
            <w:vAlign w:val="bottom"/>
            <w:hideMark/>
          </w:tcPr>
          <w:p w:rsidR="006C67F3" w:rsidRPr="006C67F3" w:rsidRDefault="006C67F3" w:rsidP="006C67F3">
            <w:pPr>
              <w:spacing w:before="0" w:after="0"/>
              <w:rPr>
                <w:rFonts w:eastAsia="Times New Roman"/>
                <w:color w:val="FFFFFF"/>
              </w:rPr>
            </w:pPr>
            <w:r w:rsidRPr="006C67F3">
              <w:rPr>
                <w:rFonts w:eastAsia="Times New Roman"/>
                <w:color w:val="FFFFFF"/>
              </w:rPr>
              <w:t> </w:t>
            </w:r>
          </w:p>
        </w:tc>
        <w:tc>
          <w:tcPr>
            <w:tcW w:w="874" w:type="dxa"/>
            <w:tcBorders>
              <w:top w:val="nil"/>
              <w:left w:val="nil"/>
              <w:bottom w:val="single" w:sz="4" w:space="0" w:color="auto"/>
              <w:right w:val="nil"/>
            </w:tcBorders>
            <w:shd w:val="clear" w:color="000000" w:fill="2D6BB5"/>
            <w:vAlign w:val="bottom"/>
            <w:hideMark/>
          </w:tcPr>
          <w:p w:rsidR="006C67F3" w:rsidRPr="006C67F3" w:rsidRDefault="006C67F3" w:rsidP="006C67F3">
            <w:pPr>
              <w:spacing w:before="0" w:after="0"/>
              <w:rPr>
                <w:rFonts w:eastAsia="Times New Roman"/>
                <w:color w:val="FFFFFF"/>
              </w:rPr>
            </w:pPr>
            <w:r w:rsidRPr="006C67F3">
              <w:rPr>
                <w:rFonts w:eastAsia="Times New Roman"/>
                <w:color w:val="FFFFFF"/>
              </w:rPr>
              <w:t> </w:t>
            </w:r>
          </w:p>
        </w:tc>
        <w:tc>
          <w:tcPr>
            <w:tcW w:w="874" w:type="dxa"/>
            <w:tcBorders>
              <w:top w:val="nil"/>
              <w:left w:val="single" w:sz="4" w:space="0" w:color="auto"/>
              <w:bottom w:val="single" w:sz="4" w:space="0" w:color="auto"/>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i/>
                <w:iCs/>
                <w:color w:val="FFFFFF"/>
                <w:sz w:val="16"/>
                <w:szCs w:val="16"/>
              </w:rPr>
            </w:pPr>
            <w:r w:rsidRPr="006C67F3">
              <w:rPr>
                <w:rFonts w:ascii="Arial" w:eastAsia="Times New Roman" w:hAnsi="Arial" w:cs="Arial"/>
                <w:b/>
                <w:bCs/>
                <w:i/>
                <w:iCs/>
                <w:color w:val="FFFFFF"/>
                <w:sz w:val="16"/>
                <w:szCs w:val="16"/>
              </w:rPr>
              <w:t>3.0</w:t>
            </w:r>
          </w:p>
        </w:tc>
        <w:tc>
          <w:tcPr>
            <w:tcW w:w="874" w:type="dxa"/>
            <w:tcBorders>
              <w:top w:val="nil"/>
              <w:left w:val="nil"/>
              <w:bottom w:val="single" w:sz="4" w:space="0" w:color="auto"/>
              <w:right w:val="nil"/>
            </w:tcBorders>
            <w:shd w:val="clear" w:color="000000" w:fill="2D6BB5"/>
            <w:vAlign w:val="center"/>
            <w:hideMark/>
          </w:tcPr>
          <w:p w:rsidR="006C67F3" w:rsidRPr="006C67F3" w:rsidRDefault="006C67F3" w:rsidP="006C67F3">
            <w:pPr>
              <w:spacing w:before="0" w:after="0"/>
              <w:jc w:val="center"/>
              <w:rPr>
                <w:rFonts w:ascii="Arial" w:eastAsia="Times New Roman" w:hAnsi="Arial" w:cs="Arial"/>
                <w:b/>
                <w:bCs/>
                <w:i/>
                <w:iCs/>
                <w:color w:val="FFFFFF"/>
                <w:sz w:val="16"/>
                <w:szCs w:val="16"/>
              </w:rPr>
            </w:pPr>
            <w:r w:rsidRPr="006C67F3">
              <w:rPr>
                <w:rFonts w:ascii="Arial" w:eastAsia="Times New Roman" w:hAnsi="Arial" w:cs="Arial"/>
                <w:b/>
                <w:bCs/>
                <w:i/>
                <w:iCs/>
                <w:color w:val="FFFFFF"/>
                <w:sz w:val="16"/>
                <w:szCs w:val="16"/>
              </w:rPr>
              <w:t>3.2</w:t>
            </w:r>
          </w:p>
        </w:tc>
        <w:tc>
          <w:tcPr>
            <w:tcW w:w="874" w:type="dxa"/>
            <w:tcBorders>
              <w:top w:val="nil"/>
              <w:left w:val="single" w:sz="4" w:space="0" w:color="auto"/>
              <w:bottom w:val="single" w:sz="4" w:space="0" w:color="auto"/>
              <w:right w:val="nil"/>
            </w:tcBorders>
            <w:shd w:val="clear" w:color="000000" w:fill="2D6BB5"/>
            <w:vAlign w:val="bottom"/>
            <w:hideMark/>
          </w:tcPr>
          <w:p w:rsidR="006C67F3" w:rsidRPr="006C67F3" w:rsidRDefault="006C67F3" w:rsidP="006C67F3">
            <w:pPr>
              <w:spacing w:before="0" w:after="0"/>
              <w:rPr>
                <w:rFonts w:eastAsia="Times New Roman"/>
                <w:color w:val="FFFFFF"/>
              </w:rPr>
            </w:pPr>
            <w:r w:rsidRPr="006C67F3">
              <w:rPr>
                <w:rFonts w:eastAsia="Times New Roman"/>
                <w:color w:val="FFFFFF"/>
              </w:rPr>
              <w:t> </w:t>
            </w:r>
          </w:p>
        </w:tc>
        <w:tc>
          <w:tcPr>
            <w:tcW w:w="874" w:type="dxa"/>
            <w:tcBorders>
              <w:top w:val="nil"/>
              <w:left w:val="nil"/>
              <w:bottom w:val="single" w:sz="4" w:space="0" w:color="auto"/>
              <w:right w:val="nil"/>
            </w:tcBorders>
            <w:shd w:val="clear" w:color="000000" w:fill="2D6BB5"/>
            <w:vAlign w:val="bottom"/>
            <w:hideMark/>
          </w:tcPr>
          <w:p w:rsidR="006C67F3" w:rsidRPr="006C67F3" w:rsidRDefault="006C67F3" w:rsidP="006C67F3">
            <w:pPr>
              <w:spacing w:before="0" w:after="0"/>
              <w:rPr>
                <w:rFonts w:eastAsia="Times New Roman"/>
                <w:color w:val="FFFFFF"/>
              </w:rPr>
            </w:pPr>
            <w:r w:rsidRPr="006C67F3">
              <w:rPr>
                <w:rFonts w:eastAsia="Times New Roman"/>
                <w:color w:val="FFFFFF"/>
              </w:rPr>
              <w:t> </w:t>
            </w:r>
          </w:p>
        </w:tc>
        <w:tc>
          <w:tcPr>
            <w:tcW w:w="877" w:type="dxa"/>
            <w:tcBorders>
              <w:top w:val="nil"/>
              <w:left w:val="single" w:sz="4" w:space="0" w:color="auto"/>
              <w:bottom w:val="single" w:sz="4" w:space="0" w:color="auto"/>
              <w:right w:val="nil"/>
            </w:tcBorders>
            <w:shd w:val="clear" w:color="000000" w:fill="2D6BB5"/>
            <w:vAlign w:val="bottom"/>
            <w:hideMark/>
          </w:tcPr>
          <w:p w:rsidR="006C67F3" w:rsidRPr="006C67F3" w:rsidRDefault="006C67F3" w:rsidP="006C67F3">
            <w:pPr>
              <w:spacing w:before="0" w:after="0"/>
              <w:rPr>
                <w:rFonts w:eastAsia="Times New Roman"/>
                <w:color w:val="FFFFFF"/>
              </w:rPr>
            </w:pPr>
            <w:r w:rsidRPr="006C67F3">
              <w:rPr>
                <w:rFonts w:eastAsia="Times New Roman"/>
                <w:color w:val="FFFFFF"/>
              </w:rPr>
              <w:t> </w:t>
            </w:r>
          </w:p>
        </w:tc>
        <w:tc>
          <w:tcPr>
            <w:tcW w:w="928" w:type="dxa"/>
            <w:tcBorders>
              <w:top w:val="nil"/>
              <w:left w:val="single" w:sz="4" w:space="0" w:color="auto"/>
              <w:bottom w:val="single" w:sz="4" w:space="0" w:color="auto"/>
              <w:right w:val="single" w:sz="4" w:space="0" w:color="auto"/>
            </w:tcBorders>
            <w:shd w:val="clear" w:color="000000" w:fill="2D6BB5"/>
            <w:vAlign w:val="bottom"/>
            <w:hideMark/>
          </w:tcPr>
          <w:p w:rsidR="006C67F3" w:rsidRPr="006C67F3" w:rsidRDefault="006C67F3" w:rsidP="006C67F3">
            <w:pPr>
              <w:spacing w:before="0" w:after="0"/>
              <w:rPr>
                <w:rFonts w:eastAsia="Times New Roman"/>
                <w:color w:val="FFFFFF"/>
              </w:rPr>
            </w:pPr>
            <w:r w:rsidRPr="006C67F3">
              <w:rPr>
                <w:rFonts w:eastAsia="Times New Roman"/>
                <w:color w:val="FFFFFF"/>
              </w:rPr>
              <w:t> </w:t>
            </w:r>
          </w:p>
        </w:tc>
      </w:tr>
    </w:tbl>
    <w:p w:rsidR="00F0291D" w:rsidRDefault="00F0291D" w:rsidP="00763D87">
      <w:pPr>
        <w:pStyle w:val="PBOsource"/>
        <w:numPr>
          <w:ilvl w:val="0"/>
          <w:numId w:val="22"/>
        </w:numPr>
        <w:spacing w:before="40" w:after="40"/>
      </w:pPr>
      <w:r w:rsidRPr="009C2541">
        <w:t>This is the percentage point contribution to total cumulative real growth over each period.</w:t>
      </w:r>
    </w:p>
    <w:p w:rsidR="00D90CD4" w:rsidRDefault="001A50F6" w:rsidP="00763D87">
      <w:pPr>
        <w:pStyle w:val="PBOsource"/>
        <w:numPr>
          <w:ilvl w:val="0"/>
          <w:numId w:val="22"/>
        </w:numPr>
        <w:spacing w:before="40" w:after="40"/>
      </w:pPr>
      <w:r>
        <w:t>This program commences in 2013-14 and consequently does not record an annual average growth rate over either of the period</w:t>
      </w:r>
      <w:r w:rsidR="00464B01">
        <w:t>s</w:t>
      </w:r>
      <w:r>
        <w:t xml:space="preserve"> of analysis.</w:t>
      </w:r>
      <w:r w:rsidR="0023786D">
        <w:t xml:space="preserve">  </w:t>
      </w:r>
    </w:p>
    <w:p w:rsidR="00F0291D" w:rsidRPr="009C2541" w:rsidRDefault="00F0291D" w:rsidP="00763D87">
      <w:pPr>
        <w:pStyle w:val="PBOsource"/>
        <w:numPr>
          <w:ilvl w:val="0"/>
          <w:numId w:val="22"/>
        </w:numPr>
        <w:spacing w:before="40" w:after="40"/>
      </w:pPr>
      <w:r w:rsidRPr="009C2541">
        <w:t>Defence spending comprises exp</w:t>
      </w:r>
      <w:r w:rsidR="006C67F3">
        <w:t>enses and capital investment</w:t>
      </w:r>
      <w:r w:rsidRPr="009C2541">
        <w:t>.</w:t>
      </w:r>
    </w:p>
    <w:p w:rsidR="00F0291D" w:rsidRDefault="00F0291D" w:rsidP="00763D87">
      <w:pPr>
        <w:pStyle w:val="PBOsource"/>
        <w:numPr>
          <w:ilvl w:val="0"/>
          <w:numId w:val="22"/>
        </w:numPr>
        <w:spacing w:before="40" w:after="40"/>
      </w:pPr>
      <w:r>
        <w:t xml:space="preserve">This includes only </w:t>
      </w:r>
      <w:r w:rsidRPr="00CA5B47">
        <w:t>the gross cost</w:t>
      </w:r>
      <w:r>
        <w:t xml:space="preserve"> of the expanded Paid Parental Leave Scheme for 26 weeks at the income of the</w:t>
      </w:r>
      <w:r w:rsidR="00DF5CEB">
        <w:t xml:space="preserve"> recipient capped at $100,000. </w:t>
      </w:r>
    </w:p>
    <w:p w:rsidR="00F0291D" w:rsidRPr="009C2541" w:rsidRDefault="00F0291D" w:rsidP="00763D87">
      <w:pPr>
        <w:pStyle w:val="PBOsource"/>
        <w:numPr>
          <w:ilvl w:val="0"/>
          <w:numId w:val="22"/>
        </w:numPr>
        <w:spacing w:before="40" w:after="40"/>
      </w:pPr>
      <w:r w:rsidRPr="009C2541">
        <w:t>Total government spending comprises expenses and net capital investment.</w:t>
      </w:r>
    </w:p>
    <w:p w:rsidR="00F0291D" w:rsidRDefault="00F0291D" w:rsidP="00763D87">
      <w:pPr>
        <w:pStyle w:val="PBOsource"/>
        <w:spacing w:before="40" w:after="40"/>
      </w:pPr>
      <w:r w:rsidRPr="0095174B">
        <w:t xml:space="preserve">Source: Australian </w:t>
      </w:r>
      <w:r>
        <w:t>G</w:t>
      </w:r>
      <w:r w:rsidRPr="0095174B">
        <w:t>overnment B</w:t>
      </w:r>
      <w:r>
        <w:t>udgets and PBO Analysis</w:t>
      </w:r>
    </w:p>
    <w:p w:rsidR="005410EB" w:rsidRPr="00102693" w:rsidRDefault="005410EB" w:rsidP="005410EB">
      <w:pPr>
        <w:pStyle w:val="PBOtext"/>
      </w:pPr>
      <w:r w:rsidRPr="00102693">
        <w:lastRenderedPageBreak/>
        <w:t>Figure 2.2 shows historical real spending growth and projected medium-term spending growth of the twenty</w:t>
      </w:r>
      <w:r w:rsidRPr="00102693">
        <w:noBreakHyphen/>
        <w:t>one programs. The horizontal line in the figure indicates historical real GDP growth, with those programs above the line growing faster than real GDP historically and those programs below the line growing slower than real GDP historically.  The vertical line in the figure indicates projected real GDP growth over the medium term, with those programs to the right of the line projected to grow faster than real GDP over the medium term and those programs to the left of the line projected to grow slower than</w:t>
      </w:r>
      <w:r w:rsidR="00FF2A5E">
        <w:t xml:space="preserve"> real GDP over the medium term.</w:t>
      </w:r>
    </w:p>
    <w:p w:rsidR="00CA4386" w:rsidRDefault="009D4F6D" w:rsidP="00CA4386">
      <w:pPr>
        <w:pStyle w:val="PBOfiguretableheading"/>
      </w:pPr>
      <w:r>
        <w:rPr>
          <w:noProof/>
          <w:lang w:eastAsia="en-AU"/>
        </w:rPr>
        <w:drawing>
          <wp:anchor distT="0" distB="0" distL="114300" distR="114300" simplePos="0" relativeHeight="251759616" behindDoc="0" locked="0" layoutInCell="1" allowOverlap="1" wp14:anchorId="57601399" wp14:editId="1BDCB731">
            <wp:simplePos x="0" y="0"/>
            <wp:positionH relativeFrom="column">
              <wp:posOffset>-16510</wp:posOffset>
            </wp:positionH>
            <wp:positionV relativeFrom="paragraph">
              <wp:posOffset>267335</wp:posOffset>
            </wp:positionV>
            <wp:extent cx="5468620" cy="5785485"/>
            <wp:effectExtent l="0" t="0" r="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8620" cy="5785485"/>
                    </a:xfrm>
                    <a:prstGeom prst="rect">
                      <a:avLst/>
                    </a:prstGeom>
                    <a:noFill/>
                  </pic:spPr>
                </pic:pic>
              </a:graphicData>
            </a:graphic>
            <wp14:sizeRelH relativeFrom="page">
              <wp14:pctWidth>0</wp14:pctWidth>
            </wp14:sizeRelH>
            <wp14:sizeRelV relativeFrom="page">
              <wp14:pctHeight>0</wp14:pctHeight>
            </wp14:sizeRelV>
          </wp:anchor>
        </w:drawing>
      </w:r>
      <w:r w:rsidR="00CA4386" w:rsidRPr="00516023">
        <w:t>Figure 2.</w:t>
      </w:r>
      <w:r w:rsidR="007D2E5C">
        <w:t>2</w:t>
      </w:r>
      <w:r w:rsidR="00CA4386">
        <w:t xml:space="preserve">: Annual real growth in </w:t>
      </w:r>
      <w:r w:rsidR="006717DC">
        <w:t>spending programs</w:t>
      </w:r>
      <w:r w:rsidR="00DF5CEB">
        <w:t xml:space="preserve"> and real GDP</w:t>
      </w:r>
      <w:r w:rsidR="001B49B1">
        <w:rPr>
          <w:rStyle w:val="FootnoteReference"/>
        </w:rPr>
        <w:footnoteReference w:id="6"/>
      </w:r>
    </w:p>
    <w:tbl>
      <w:tblPr>
        <w:tblW w:w="8053" w:type="dxa"/>
        <w:jc w:val="center"/>
        <w:tblInd w:w="108" w:type="dxa"/>
        <w:tblLook w:val="04A0" w:firstRow="1" w:lastRow="0" w:firstColumn="1" w:lastColumn="0" w:noHBand="0" w:noVBand="1"/>
      </w:tblPr>
      <w:tblGrid>
        <w:gridCol w:w="3129"/>
        <w:gridCol w:w="2462"/>
        <w:gridCol w:w="2462"/>
      </w:tblGrid>
      <w:tr w:rsidR="009D4F6D" w:rsidRPr="009D4F6D" w:rsidTr="009D4F6D">
        <w:trPr>
          <w:trHeight w:hRule="exact" w:val="1739"/>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b/>
                <w:bCs/>
                <w:color w:val="FFFFFF" w:themeColor="background1"/>
                <w:sz w:val="16"/>
                <w:szCs w:val="16"/>
              </w:rPr>
            </w:pPr>
            <w:r w:rsidRPr="009D4F6D">
              <w:rPr>
                <w:rFonts w:ascii="Arial" w:eastAsia="Times New Roman" w:hAnsi="Arial" w:cs="Arial"/>
                <w:b/>
                <w:bCs/>
                <w:color w:val="FFFFFF" w:themeColor="background1"/>
                <w:sz w:val="16"/>
                <w:szCs w:val="16"/>
              </w:rPr>
              <w:t>Real GDP growth</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b/>
                <w:bCs/>
                <w:color w:val="FFFFFF" w:themeColor="background1"/>
                <w:sz w:val="16"/>
                <w:szCs w:val="16"/>
              </w:rPr>
            </w:pPr>
            <w:r w:rsidRPr="009D4F6D">
              <w:rPr>
                <w:rFonts w:ascii="Arial" w:eastAsia="Times New Roman" w:hAnsi="Arial" w:cs="Arial"/>
                <w:b/>
                <w:bCs/>
                <w:color w:val="FFFFFF" w:themeColor="background1"/>
                <w:sz w:val="16"/>
                <w:szCs w:val="16"/>
              </w:rPr>
              <w:t>3.0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b/>
                <w:bCs/>
                <w:color w:val="FFFFFF" w:themeColor="background1"/>
                <w:sz w:val="16"/>
                <w:szCs w:val="16"/>
              </w:rPr>
            </w:pPr>
            <w:r w:rsidRPr="009D4F6D">
              <w:rPr>
                <w:rFonts w:ascii="Arial" w:eastAsia="Times New Roman" w:hAnsi="Arial" w:cs="Arial"/>
                <w:b/>
                <w:bCs/>
                <w:color w:val="FFFFFF" w:themeColor="background1"/>
                <w:sz w:val="16"/>
                <w:szCs w:val="16"/>
              </w:rPr>
              <w:t>3.2 per cent medium term</w:t>
            </w:r>
          </w:p>
        </w:tc>
      </w:tr>
      <w:tr w:rsidR="009D4F6D" w:rsidRPr="009D4F6D" w:rsidTr="009D4F6D">
        <w:trPr>
          <w:trHeight w:hRule="exact" w:val="284"/>
          <w:jc w:val="center"/>
        </w:trPr>
        <w:tc>
          <w:tcPr>
            <w:tcW w:w="8053" w:type="dxa"/>
            <w:gridSpan w:val="3"/>
            <w:shd w:val="clear" w:color="auto" w:fill="auto"/>
            <w:noWrap/>
            <w:vAlign w:val="bottom"/>
            <w:hideMark/>
          </w:tcPr>
          <w:p w:rsidR="00A960BB" w:rsidRPr="009D4F6D" w:rsidRDefault="00A960BB" w:rsidP="00A960BB">
            <w:pPr>
              <w:spacing w:before="0" w:after="0"/>
              <w:jc w:val="center"/>
              <w:rPr>
                <w:rFonts w:ascii="Arial" w:eastAsia="Times New Roman" w:hAnsi="Arial" w:cs="Arial"/>
                <w:b/>
                <w:bCs/>
                <w:color w:val="FFFFFF" w:themeColor="background1"/>
                <w:sz w:val="16"/>
                <w:szCs w:val="16"/>
              </w:rPr>
            </w:pPr>
            <w:r w:rsidRPr="009D4F6D">
              <w:rPr>
                <w:rFonts w:ascii="Arial" w:eastAsia="Times New Roman" w:hAnsi="Arial" w:cs="Arial"/>
                <w:b/>
                <w:bCs/>
                <w:color w:val="FFFFFF" w:themeColor="background1"/>
                <w:sz w:val="16"/>
                <w:szCs w:val="16"/>
              </w:rPr>
              <w:t>Programs growing faster than real GDP historically and slower than it over the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Official Development Assistance</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8.0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-0.8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Public debt interest</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7.5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0.4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Private Health Insurance Rebate</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5.9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2.3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Medicare</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5.8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2.7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E0005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Disability</w:t>
            </w:r>
            <w:r w:rsidR="00A960BB" w:rsidRPr="009D4F6D">
              <w:rPr>
                <w:rFonts w:ascii="Arial" w:eastAsia="Times New Roman" w:hAnsi="Arial" w:cs="Arial"/>
                <w:color w:val="FFFFFF" w:themeColor="background1"/>
                <w:sz w:val="16"/>
                <w:szCs w:val="16"/>
              </w:rPr>
              <w:t xml:space="preserve"> Pension</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5.3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2.1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Higher Education</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5.2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1.2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Age Pension</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4.5 per cent historically</w:t>
            </w:r>
          </w:p>
        </w:tc>
        <w:tc>
          <w:tcPr>
            <w:tcW w:w="2462" w:type="dxa"/>
            <w:shd w:val="clear" w:color="auto" w:fill="auto"/>
            <w:noWrap/>
            <w:vAlign w:val="bottom"/>
            <w:hideMark/>
          </w:tcPr>
          <w:p w:rsidR="00A960BB" w:rsidRPr="009D4F6D" w:rsidRDefault="00A960BB" w:rsidP="00E0005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2.</w:t>
            </w:r>
            <w:r w:rsidR="00E0005B" w:rsidRPr="009D4F6D">
              <w:rPr>
                <w:rFonts w:ascii="Arial" w:eastAsia="Times New Roman" w:hAnsi="Arial" w:cs="Arial"/>
                <w:color w:val="FFFFFF" w:themeColor="background1"/>
                <w:sz w:val="16"/>
                <w:szCs w:val="16"/>
              </w:rPr>
              <w:t>8</w:t>
            </w:r>
            <w:r w:rsidRPr="009D4F6D">
              <w:rPr>
                <w:rFonts w:ascii="Arial" w:eastAsia="Times New Roman" w:hAnsi="Arial" w:cs="Arial"/>
                <w:color w:val="FFFFFF" w:themeColor="background1"/>
                <w:sz w:val="16"/>
                <w:szCs w:val="16"/>
              </w:rPr>
              <w:t xml:space="preserve">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Government superannuation</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3.7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-1.7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Public Hospitals</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3.6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2.9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Family Tax Benefit</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3.3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-1.0 per cent medium term</w:t>
            </w:r>
          </w:p>
        </w:tc>
      </w:tr>
      <w:tr w:rsidR="009D4F6D" w:rsidRPr="009D4F6D" w:rsidTr="009D4F6D">
        <w:trPr>
          <w:trHeight w:hRule="exact" w:val="284"/>
          <w:jc w:val="center"/>
        </w:trPr>
        <w:tc>
          <w:tcPr>
            <w:tcW w:w="8053" w:type="dxa"/>
            <w:gridSpan w:val="3"/>
            <w:shd w:val="clear" w:color="auto" w:fill="auto"/>
            <w:noWrap/>
            <w:vAlign w:val="bottom"/>
            <w:hideMark/>
          </w:tcPr>
          <w:p w:rsidR="00A960BB" w:rsidRPr="009D4F6D" w:rsidRDefault="00A960BB" w:rsidP="00A960BB">
            <w:pPr>
              <w:spacing w:before="0" w:after="0"/>
              <w:jc w:val="center"/>
              <w:rPr>
                <w:rFonts w:ascii="Arial" w:eastAsia="Times New Roman" w:hAnsi="Arial" w:cs="Arial"/>
                <w:b/>
                <w:bCs/>
                <w:color w:val="FFFFFF" w:themeColor="background1"/>
                <w:sz w:val="16"/>
                <w:szCs w:val="16"/>
              </w:rPr>
            </w:pPr>
            <w:r w:rsidRPr="009D4F6D">
              <w:rPr>
                <w:rFonts w:ascii="Arial" w:eastAsia="Times New Roman" w:hAnsi="Arial" w:cs="Arial"/>
                <w:b/>
                <w:bCs/>
                <w:color w:val="FFFFFF" w:themeColor="background1"/>
                <w:sz w:val="16"/>
                <w:szCs w:val="16"/>
              </w:rPr>
              <w:t>Programs growing faster than real GDP both historically and over the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Child care</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10.3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4.9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Carer income support</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10.2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4.0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Aged care</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6.8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5.4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Schools</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5.5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3.7 per cent medium term</w:t>
            </w:r>
          </w:p>
        </w:tc>
      </w:tr>
      <w:tr w:rsidR="009D4F6D" w:rsidRPr="009D4F6D" w:rsidTr="009D4F6D">
        <w:trPr>
          <w:trHeight w:hRule="exact" w:val="284"/>
          <w:jc w:val="center"/>
        </w:trPr>
        <w:tc>
          <w:tcPr>
            <w:tcW w:w="8053" w:type="dxa"/>
            <w:gridSpan w:val="3"/>
            <w:shd w:val="clear" w:color="auto" w:fill="auto"/>
            <w:noWrap/>
            <w:vAlign w:val="bottom"/>
            <w:hideMark/>
          </w:tcPr>
          <w:p w:rsidR="00A960BB" w:rsidRPr="009D4F6D" w:rsidRDefault="00A960BB" w:rsidP="00A960BB">
            <w:pPr>
              <w:spacing w:before="0" w:after="0"/>
              <w:jc w:val="center"/>
              <w:rPr>
                <w:rFonts w:ascii="Arial" w:eastAsia="Times New Roman" w:hAnsi="Arial" w:cs="Arial"/>
                <w:b/>
                <w:bCs/>
                <w:color w:val="FFFFFF" w:themeColor="background1"/>
                <w:sz w:val="16"/>
                <w:szCs w:val="16"/>
              </w:rPr>
            </w:pPr>
            <w:r w:rsidRPr="009D4F6D">
              <w:rPr>
                <w:rFonts w:ascii="Arial" w:eastAsia="Times New Roman" w:hAnsi="Arial" w:cs="Arial"/>
                <w:b/>
                <w:bCs/>
                <w:color w:val="FFFFFF" w:themeColor="background1"/>
                <w:sz w:val="16"/>
                <w:szCs w:val="16"/>
              </w:rPr>
              <w:t>New programs and programs growing slower than real GDP historically and faster over the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Fuel Tax Credits</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3.0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4.0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Defence</w:t>
            </w:r>
          </w:p>
        </w:tc>
        <w:tc>
          <w:tcPr>
            <w:tcW w:w="2462" w:type="dxa"/>
            <w:shd w:val="clear" w:color="auto" w:fill="auto"/>
            <w:noWrap/>
            <w:vAlign w:val="bottom"/>
            <w:hideMark/>
          </w:tcPr>
          <w:p w:rsidR="00A960BB" w:rsidRPr="009D4F6D" w:rsidRDefault="009D4F6D"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2.1</w:t>
            </w:r>
            <w:r w:rsidR="00A960BB" w:rsidRPr="009D4F6D">
              <w:rPr>
                <w:rFonts w:ascii="Arial" w:eastAsia="Times New Roman" w:hAnsi="Arial" w:cs="Arial"/>
                <w:color w:val="FFFFFF" w:themeColor="background1"/>
                <w:sz w:val="16"/>
                <w:szCs w:val="16"/>
              </w:rPr>
              <w:t xml:space="preserve"> per cent historically</w:t>
            </w:r>
          </w:p>
        </w:tc>
        <w:tc>
          <w:tcPr>
            <w:tcW w:w="2462" w:type="dxa"/>
            <w:shd w:val="clear" w:color="auto" w:fill="auto"/>
            <w:noWrap/>
            <w:vAlign w:val="bottom"/>
            <w:hideMark/>
          </w:tcPr>
          <w:p w:rsidR="00A960BB" w:rsidRPr="009D4F6D" w:rsidRDefault="009D4F6D"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3.6</w:t>
            </w:r>
            <w:r w:rsidR="00A960BB" w:rsidRPr="009D4F6D">
              <w:rPr>
                <w:rFonts w:ascii="Arial" w:eastAsia="Times New Roman" w:hAnsi="Arial" w:cs="Arial"/>
                <w:color w:val="FFFFFF" w:themeColor="background1"/>
                <w:sz w:val="16"/>
                <w:szCs w:val="16"/>
              </w:rPr>
              <w:t xml:space="preserve">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GST transfers to States</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1.8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3.2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Paid Parental Leave</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Not commenced</w:t>
            </w:r>
          </w:p>
        </w:tc>
        <w:tc>
          <w:tcPr>
            <w:tcW w:w="2462" w:type="dxa"/>
            <w:shd w:val="clear" w:color="auto" w:fill="auto"/>
            <w:noWrap/>
            <w:vAlign w:val="bottom"/>
            <w:hideMark/>
          </w:tcPr>
          <w:p w:rsidR="00A960BB" w:rsidRPr="009D4F6D" w:rsidRDefault="00E0005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12.0</w:t>
            </w:r>
            <w:r w:rsidR="00A960BB" w:rsidRPr="009D4F6D">
              <w:rPr>
                <w:rFonts w:ascii="Arial" w:eastAsia="Times New Roman" w:hAnsi="Arial" w:cs="Arial"/>
                <w:color w:val="FFFFFF" w:themeColor="background1"/>
                <w:sz w:val="16"/>
                <w:szCs w:val="16"/>
              </w:rPr>
              <w:t xml:space="preserve">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National Disability Insurance Scheme</w:t>
            </w:r>
          </w:p>
        </w:tc>
        <w:tc>
          <w:tcPr>
            <w:tcW w:w="4924" w:type="dxa"/>
            <w:gridSpan w:val="2"/>
            <w:shd w:val="clear" w:color="auto" w:fill="auto"/>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Significant growth from 2013-14 commencement</w:t>
            </w:r>
          </w:p>
        </w:tc>
      </w:tr>
      <w:tr w:rsidR="009D4F6D" w:rsidRPr="009D4F6D" w:rsidTr="009D4F6D">
        <w:trPr>
          <w:trHeight w:hRule="exact" w:val="284"/>
          <w:jc w:val="center"/>
        </w:trPr>
        <w:tc>
          <w:tcPr>
            <w:tcW w:w="8053" w:type="dxa"/>
            <w:gridSpan w:val="3"/>
            <w:shd w:val="clear" w:color="auto" w:fill="auto"/>
            <w:noWrap/>
            <w:vAlign w:val="bottom"/>
            <w:hideMark/>
          </w:tcPr>
          <w:p w:rsidR="00A960BB" w:rsidRPr="009D4F6D" w:rsidRDefault="00A960BB" w:rsidP="00A960BB">
            <w:pPr>
              <w:spacing w:before="0" w:after="0"/>
              <w:jc w:val="center"/>
              <w:rPr>
                <w:rFonts w:ascii="Arial" w:eastAsia="Times New Roman" w:hAnsi="Arial" w:cs="Arial"/>
                <w:b/>
                <w:bCs/>
                <w:color w:val="FFFFFF" w:themeColor="background1"/>
                <w:sz w:val="16"/>
                <w:szCs w:val="16"/>
              </w:rPr>
            </w:pPr>
            <w:r w:rsidRPr="009D4F6D">
              <w:rPr>
                <w:rFonts w:ascii="Arial" w:eastAsia="Times New Roman" w:hAnsi="Arial" w:cs="Arial"/>
                <w:b/>
                <w:bCs/>
                <w:color w:val="FFFFFF" w:themeColor="background1"/>
                <w:sz w:val="16"/>
                <w:szCs w:val="16"/>
              </w:rPr>
              <w:t>Programs growing slower than real GDP both historically and over the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Pharmaceutical benefits</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2.4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0.3 per cent medium term</w:t>
            </w:r>
          </w:p>
        </w:tc>
      </w:tr>
      <w:tr w:rsidR="009D4F6D" w:rsidRPr="009D4F6D" w:rsidTr="009D4F6D">
        <w:trPr>
          <w:trHeight w:hRule="exact" w:val="284"/>
          <w:jc w:val="center"/>
        </w:trPr>
        <w:tc>
          <w:tcPr>
            <w:tcW w:w="3129" w:type="dxa"/>
            <w:shd w:val="clear" w:color="auto" w:fill="auto"/>
            <w:noWrap/>
            <w:vAlign w:val="bottom"/>
            <w:hideMark/>
          </w:tcPr>
          <w:p w:rsidR="00A960BB" w:rsidRPr="009D4F6D" w:rsidRDefault="00A960BB" w:rsidP="00A960BB">
            <w:pPr>
              <w:spacing w:before="0" w:after="0"/>
              <w:rPr>
                <w:rFonts w:ascii="Arial" w:eastAsia="Times New Roman" w:hAnsi="Arial" w:cs="Arial"/>
                <w:color w:val="FFFFFF" w:themeColor="background1"/>
                <w:sz w:val="16"/>
                <w:szCs w:val="16"/>
              </w:rPr>
            </w:pPr>
            <w:proofErr w:type="spellStart"/>
            <w:r w:rsidRPr="009D4F6D">
              <w:rPr>
                <w:rFonts w:ascii="Arial" w:eastAsia="Times New Roman" w:hAnsi="Arial" w:cs="Arial"/>
                <w:color w:val="FFFFFF" w:themeColor="background1"/>
                <w:sz w:val="16"/>
                <w:szCs w:val="16"/>
              </w:rPr>
              <w:t>Newstart</w:t>
            </w:r>
            <w:proofErr w:type="spellEnd"/>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1.7 per cent historically</w:t>
            </w:r>
          </w:p>
        </w:tc>
        <w:tc>
          <w:tcPr>
            <w:tcW w:w="2462" w:type="dxa"/>
            <w:shd w:val="clear" w:color="auto" w:fill="auto"/>
            <w:noWrap/>
            <w:vAlign w:val="bottom"/>
            <w:hideMark/>
          </w:tcPr>
          <w:p w:rsidR="00A960BB" w:rsidRPr="009D4F6D" w:rsidRDefault="00A960BB" w:rsidP="00A960BB">
            <w:pPr>
              <w:spacing w:before="0" w:after="0"/>
              <w:jc w:val="center"/>
              <w:rPr>
                <w:rFonts w:ascii="Arial" w:eastAsia="Times New Roman" w:hAnsi="Arial" w:cs="Arial"/>
                <w:color w:val="FFFFFF" w:themeColor="background1"/>
                <w:sz w:val="16"/>
                <w:szCs w:val="16"/>
              </w:rPr>
            </w:pPr>
            <w:r w:rsidRPr="009D4F6D">
              <w:rPr>
                <w:rFonts w:ascii="Arial" w:eastAsia="Times New Roman" w:hAnsi="Arial" w:cs="Arial"/>
                <w:color w:val="FFFFFF" w:themeColor="background1"/>
                <w:sz w:val="16"/>
                <w:szCs w:val="16"/>
              </w:rPr>
              <w:t>1.1 per cent medium term</w:t>
            </w:r>
          </w:p>
        </w:tc>
      </w:tr>
    </w:tbl>
    <w:p w:rsidR="00CA4386" w:rsidRDefault="00CA4386" w:rsidP="009C71A0">
      <w:pPr>
        <w:pStyle w:val="PBOsource"/>
        <w:spacing w:before="240"/>
      </w:pPr>
      <w:r>
        <w:t>Source: Australian Gover</w:t>
      </w:r>
      <w:r w:rsidR="00DF5CEB">
        <w:t>nment Budgets and PBO Analysis</w:t>
      </w:r>
    </w:p>
    <w:p w:rsidR="005410EB" w:rsidRDefault="005410EB" w:rsidP="005410EB">
      <w:pPr>
        <w:pStyle w:val="PBOtext"/>
      </w:pPr>
      <w:r>
        <w:t xml:space="preserve">A notable aspect of Figure 2.2 is the significant slowing in projected growth of most programs. </w:t>
      </w:r>
      <w:r w:rsidR="00FF2A5E">
        <w:t xml:space="preserve"> </w:t>
      </w:r>
      <w:r>
        <w:t xml:space="preserve">There is a significant clustering of programs that grew more strongly than real GDP historically but are projected to slow below real GDP growth over the medium term (i.e. the top left hand </w:t>
      </w:r>
      <w:r w:rsidR="00323D0B">
        <w:t xml:space="preserve">quadrant </w:t>
      </w:r>
      <w:r>
        <w:t xml:space="preserve">of </w:t>
      </w:r>
      <w:r>
        <w:lastRenderedPageBreak/>
        <w:t>the figure</w:t>
      </w:r>
      <w:r w:rsidRPr="00C74CEA">
        <w:t xml:space="preserve">). A </w:t>
      </w:r>
      <w:r w:rsidR="002F4012" w:rsidRPr="00C74CEA">
        <w:t>number</w:t>
      </w:r>
      <w:r w:rsidR="002F4012">
        <w:t xml:space="preserve"> of other programs, while continuing to grow faster than GDP, are projected to slow significantly.  These include child care and carer income support.</w:t>
      </w:r>
    </w:p>
    <w:p w:rsidR="005410EB" w:rsidRDefault="005410EB" w:rsidP="005410EB">
      <w:pPr>
        <w:pStyle w:val="PBOtext"/>
      </w:pPr>
      <w:r>
        <w:t>Overall, around three-quarters of the programs are expected to grow more slowly over the medium term. These programs include the Age Pension, Family Tax Benefit, higher education, Medicare and the Disability Support Pension, all of which are affected by 2014-15 Budget savings measures that are ye</w:t>
      </w:r>
      <w:r w:rsidR="00FF2A5E">
        <w:t>t to be legislated.</w:t>
      </w:r>
    </w:p>
    <w:p w:rsidR="005410EB" w:rsidRDefault="005410EB" w:rsidP="005410EB">
      <w:pPr>
        <w:pStyle w:val="PBOtext"/>
      </w:pPr>
      <w:r>
        <w:t>As noted at the beginning of this section, the growth rates in Figure 2.2 assume no further new spending initiatives beyond that contained in the 2014</w:t>
      </w:r>
      <w:r>
        <w:noBreakHyphen/>
        <w:t xml:space="preserve">15 Budget. However, strong historical spending growth has raised community expectations about what government should provide and is likely to </w:t>
      </w:r>
      <w:r w:rsidRPr="00351FB8">
        <w:t xml:space="preserve">put ongoing pressure on governments to </w:t>
      </w:r>
      <w:r>
        <w:t xml:space="preserve">continue to take discrete decisions to </w:t>
      </w:r>
      <w:r w:rsidRPr="00351FB8">
        <w:t xml:space="preserve">increase spending on </w:t>
      </w:r>
      <w:r>
        <w:t>major programs over the medium term. This is supported by the experience over the past decade which suggests that containing spending growth to the rates currently projected will prove difficult for governments.</w:t>
      </w:r>
    </w:p>
    <w:p w:rsidR="005410EB" w:rsidRPr="00351FB8" w:rsidRDefault="005410EB" w:rsidP="005410EB">
      <w:pPr>
        <w:pStyle w:val="PBOtext"/>
      </w:pPr>
      <w:r>
        <w:t xml:space="preserve">As historical examples, </w:t>
      </w:r>
      <w:r w:rsidRPr="00351FB8">
        <w:t xml:space="preserve">spending on the Age Pension was increased in 2007 (as part of the </w:t>
      </w:r>
      <w:r w:rsidRPr="00351FB8">
        <w:rPr>
          <w:i/>
        </w:rPr>
        <w:t>Simpler Superannuation</w:t>
      </w:r>
      <w:r w:rsidRPr="00351FB8">
        <w:t xml:space="preserve"> changes), the 2008-09 Budget, the 2009-10 Budget, and late 2011 (as part of the carbon pricing compensation package)</w:t>
      </w:r>
      <w:r w:rsidRPr="00C870E8">
        <w:t>.  Similarly</w:t>
      </w:r>
      <w:r>
        <w:t>,</w:t>
      </w:r>
      <w:r w:rsidRPr="00C870E8">
        <w:t xml:space="preserve"> spending on Medicare has been affected by a series of policy decisions over the past decade including the introduction of the Bulk Billing Incentive and Extended Medicare Safety Net in 2004, increasing the benefit for most services provided by a GP in 2005, and the inclusion of dental services items in 2007.</w:t>
      </w:r>
      <w:r>
        <w:t xml:space="preserve">  Further, the </w:t>
      </w:r>
      <w:r w:rsidRPr="00C50B44">
        <w:rPr>
          <w:i/>
        </w:rPr>
        <w:t>More Help for Families</w:t>
      </w:r>
      <w:r>
        <w:t xml:space="preserve"> package announced in the 2004-05 Budget, increased Family Tax Benefit Part A by $600 per year, reduced the taper rate on this payment, and relaxed the income test for Family Tax Benefit Part B.  There were also discretionary increases in payment rates for the</w:t>
      </w:r>
      <w:r w:rsidR="00224FAE">
        <w:t xml:space="preserve"> Disability Support Pension, </w:t>
      </w:r>
      <w:r>
        <w:t>Carer Income Support</w:t>
      </w:r>
      <w:r w:rsidR="00224FAE">
        <w:t xml:space="preserve"> and child care</w:t>
      </w:r>
      <w:r>
        <w:t>, and an expansion in higher education spending over the past decade.</w:t>
      </w:r>
    </w:p>
    <w:p w:rsidR="00CA4E07" w:rsidRPr="00FF2A5E" w:rsidRDefault="00CA4E07" w:rsidP="00FF2A5E">
      <w:pPr>
        <w:pStyle w:val="PBOtext"/>
      </w:pPr>
      <w:r w:rsidRPr="00FF2A5E">
        <w:br w:type="page"/>
      </w:r>
    </w:p>
    <w:p w:rsidR="00BE6119" w:rsidRPr="00BA54DE" w:rsidRDefault="00BE6119" w:rsidP="00E734DE">
      <w:pPr>
        <w:pStyle w:val="PBOheading2"/>
      </w:pPr>
      <w:bookmarkStart w:id="57" w:name="_Toc396382633"/>
      <w:r w:rsidRPr="00BA54DE">
        <w:lastRenderedPageBreak/>
        <w:t>Contributions to growth in government spending</w:t>
      </w:r>
      <w:bookmarkEnd w:id="57"/>
    </w:p>
    <w:p w:rsidR="007A3729" w:rsidRDefault="00BE6119" w:rsidP="007A41DA">
      <w:pPr>
        <w:pStyle w:val="PBOtext"/>
      </w:pPr>
      <w:r w:rsidRPr="005410EB">
        <w:t>A program’s contribution to growth is dependent on both its size and rate of growth.</w:t>
      </w:r>
      <w:r w:rsidR="007A41DA" w:rsidRPr="005410EB">
        <w:t xml:space="preserve"> </w:t>
      </w:r>
      <w:r w:rsidRPr="005410EB">
        <w:t xml:space="preserve"> Figure 2.3 shows the percentage point contributions of the main contributors to projected growth in total government spending</w:t>
      </w:r>
      <w:r w:rsidR="00323D0B">
        <w:t xml:space="preserve"> over the medium term</w:t>
      </w:r>
      <w:r w:rsidRPr="005410EB">
        <w:t>.</w:t>
      </w:r>
    </w:p>
    <w:p w:rsidR="006717DC" w:rsidRDefault="00CA552A" w:rsidP="006717DC">
      <w:pPr>
        <w:pStyle w:val="PBOfiguretableheading"/>
      </w:pPr>
      <w:r>
        <w:rPr>
          <w:noProof/>
          <w:lang w:eastAsia="en-AU"/>
        </w:rPr>
        <w:drawing>
          <wp:anchor distT="0" distB="0" distL="114300" distR="114300" simplePos="0" relativeHeight="251760640" behindDoc="0" locked="0" layoutInCell="1" allowOverlap="1" wp14:anchorId="7D6C87C6" wp14:editId="47A1A0E1">
            <wp:simplePos x="0" y="0"/>
            <wp:positionH relativeFrom="column">
              <wp:posOffset>-17145</wp:posOffset>
            </wp:positionH>
            <wp:positionV relativeFrom="paragraph">
              <wp:posOffset>284480</wp:posOffset>
            </wp:positionV>
            <wp:extent cx="5401310" cy="5401310"/>
            <wp:effectExtent l="0" t="0" r="889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1310" cy="5401310"/>
                    </a:xfrm>
                    <a:prstGeom prst="rect">
                      <a:avLst/>
                    </a:prstGeom>
                    <a:noFill/>
                  </pic:spPr>
                </pic:pic>
              </a:graphicData>
            </a:graphic>
            <wp14:sizeRelH relativeFrom="page">
              <wp14:pctWidth>0</wp14:pctWidth>
            </wp14:sizeRelH>
            <wp14:sizeRelV relativeFrom="page">
              <wp14:pctHeight>0</wp14:pctHeight>
            </wp14:sizeRelV>
          </wp:anchor>
        </w:drawing>
      </w:r>
      <w:r w:rsidR="006717DC">
        <w:t>Figure 2.3</w:t>
      </w:r>
      <w:r w:rsidR="006717DC" w:rsidRPr="00516023">
        <w:t>: Contributions to projected</w:t>
      </w:r>
      <w:r w:rsidR="006717DC">
        <w:t xml:space="preserve"> real</w:t>
      </w:r>
      <w:r w:rsidR="006717DC" w:rsidRPr="00516023">
        <w:t xml:space="preserve"> growth in governmen</w:t>
      </w:r>
      <w:r w:rsidR="00DF5CEB">
        <w:t>t spending over the medium term</w:t>
      </w:r>
    </w:p>
    <w:tbl>
      <w:tblPr>
        <w:tblW w:w="6804" w:type="dxa"/>
        <w:jc w:val="center"/>
        <w:tblLook w:val="04A0" w:firstRow="1" w:lastRow="0" w:firstColumn="1" w:lastColumn="0" w:noHBand="0" w:noVBand="1"/>
      </w:tblPr>
      <w:tblGrid>
        <w:gridCol w:w="4355"/>
        <w:gridCol w:w="2449"/>
      </w:tblGrid>
      <w:tr w:rsidR="00CA552A" w:rsidRPr="00CA552A" w:rsidTr="00CA552A">
        <w:trPr>
          <w:trHeight w:hRule="exact" w:val="1220"/>
          <w:jc w:val="center"/>
        </w:trPr>
        <w:tc>
          <w:tcPr>
            <w:tcW w:w="4355" w:type="dxa"/>
            <w:shd w:val="clear" w:color="auto" w:fill="auto"/>
            <w:noWrap/>
            <w:vAlign w:val="center"/>
            <w:hideMark/>
          </w:tcPr>
          <w:p w:rsidR="000373D3" w:rsidRPr="00CA552A" w:rsidRDefault="000373D3" w:rsidP="000373D3">
            <w:pPr>
              <w:spacing w:before="0" w:after="0"/>
              <w:jc w:val="center"/>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Driver</w:t>
            </w:r>
          </w:p>
        </w:tc>
        <w:tc>
          <w:tcPr>
            <w:tcW w:w="2449" w:type="dxa"/>
            <w:shd w:val="clear" w:color="auto" w:fill="auto"/>
            <w:vAlign w:val="center"/>
            <w:hideMark/>
          </w:tcPr>
          <w:p w:rsidR="000373D3" w:rsidRPr="00CA552A" w:rsidRDefault="000373D3" w:rsidP="000373D3">
            <w:pPr>
              <w:spacing w:before="0" w:after="0"/>
              <w:jc w:val="center"/>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Contribution to medium term growth</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GST transfers to States</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5.8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National Disability Insurance Scheme</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5.1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Age Pension</w:t>
            </w:r>
          </w:p>
        </w:tc>
        <w:tc>
          <w:tcPr>
            <w:tcW w:w="2449" w:type="dxa"/>
            <w:shd w:val="clear" w:color="auto" w:fill="auto"/>
            <w:noWrap/>
            <w:vAlign w:val="bottom"/>
            <w:hideMark/>
          </w:tcPr>
          <w:p w:rsidR="000373D3" w:rsidRPr="00CA552A" w:rsidRDefault="00CA552A"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3.7</w:t>
            </w:r>
            <w:r w:rsidR="000373D3" w:rsidRPr="00CA552A">
              <w:rPr>
                <w:rFonts w:ascii="Arial" w:eastAsia="Times New Roman" w:hAnsi="Arial" w:cs="Arial"/>
                <w:color w:val="FFFFFF" w:themeColor="background1"/>
                <w:sz w:val="14"/>
                <w:szCs w:val="12"/>
              </w:rPr>
              <w:t xml:space="preserve"> percentage points</w:t>
            </w:r>
          </w:p>
        </w:tc>
      </w:tr>
      <w:tr w:rsidR="00CA552A" w:rsidRPr="00CA552A" w:rsidTr="00CA552A">
        <w:trPr>
          <w:trHeight w:hRule="exact" w:val="340"/>
          <w:jc w:val="center"/>
        </w:trPr>
        <w:tc>
          <w:tcPr>
            <w:tcW w:w="4355" w:type="dxa"/>
            <w:shd w:val="clear" w:color="auto" w:fill="auto"/>
            <w:noWrap/>
            <w:vAlign w:val="bottom"/>
            <w:hideMark/>
          </w:tcPr>
          <w:p w:rsidR="00CA552A" w:rsidRPr="00CA552A" w:rsidRDefault="00CA552A" w:rsidP="00746325">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Defence spending</w:t>
            </w:r>
          </w:p>
        </w:tc>
        <w:tc>
          <w:tcPr>
            <w:tcW w:w="2449" w:type="dxa"/>
            <w:shd w:val="clear" w:color="auto" w:fill="auto"/>
            <w:noWrap/>
            <w:vAlign w:val="bottom"/>
            <w:hideMark/>
          </w:tcPr>
          <w:p w:rsidR="00CA552A" w:rsidRPr="00CA552A" w:rsidRDefault="00CA552A" w:rsidP="00746325">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3.3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Aged care</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2.9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Medicare Benefits Schedule</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1.8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Schools</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1.7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Public Hospitals</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1.4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Disability Support Pension</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1.1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Paid Parental Leave</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1.1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Carer income support</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1.0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Child care</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1.0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Fuel Tax Credit Scheme</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0.9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Government superannuation</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-0.7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Family Tax Benefit</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-0.6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Private Health Insurance Rebate</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0.4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Higher Education</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0.4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proofErr w:type="spellStart"/>
            <w:r w:rsidRPr="00CA552A">
              <w:rPr>
                <w:rFonts w:ascii="Arial" w:eastAsia="Times New Roman" w:hAnsi="Arial" w:cs="Arial"/>
                <w:b/>
                <w:bCs/>
                <w:color w:val="FFFFFF" w:themeColor="background1"/>
                <w:sz w:val="14"/>
                <w:szCs w:val="12"/>
              </w:rPr>
              <w:t>Newstart</w:t>
            </w:r>
            <w:proofErr w:type="spellEnd"/>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0.3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Public debt interest</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0.2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Official Development Assistance</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-0.1 percentage points</w:t>
            </w:r>
          </w:p>
        </w:tc>
      </w:tr>
      <w:tr w:rsidR="00CA552A" w:rsidRPr="00CA552A" w:rsidTr="00CA552A">
        <w:trPr>
          <w:trHeight w:hRule="exact" w:val="340"/>
          <w:jc w:val="center"/>
        </w:trPr>
        <w:tc>
          <w:tcPr>
            <w:tcW w:w="4355" w:type="dxa"/>
            <w:shd w:val="clear" w:color="auto" w:fill="auto"/>
            <w:noWrap/>
            <w:vAlign w:val="bottom"/>
            <w:hideMark/>
          </w:tcPr>
          <w:p w:rsidR="000373D3" w:rsidRPr="00CA552A" w:rsidRDefault="000373D3" w:rsidP="000373D3">
            <w:pPr>
              <w:spacing w:before="0" w:after="0"/>
              <w:rPr>
                <w:rFonts w:ascii="Arial" w:eastAsia="Times New Roman" w:hAnsi="Arial" w:cs="Arial"/>
                <w:b/>
                <w:bCs/>
                <w:color w:val="FFFFFF" w:themeColor="background1"/>
                <w:sz w:val="14"/>
                <w:szCs w:val="12"/>
              </w:rPr>
            </w:pPr>
            <w:r w:rsidRPr="00CA552A">
              <w:rPr>
                <w:rFonts w:ascii="Arial" w:eastAsia="Times New Roman" w:hAnsi="Arial" w:cs="Arial"/>
                <w:b/>
                <w:bCs/>
                <w:color w:val="FFFFFF" w:themeColor="background1"/>
                <w:sz w:val="14"/>
                <w:szCs w:val="12"/>
              </w:rPr>
              <w:t>Pharmaceutical benefits and services</w:t>
            </w:r>
          </w:p>
        </w:tc>
        <w:tc>
          <w:tcPr>
            <w:tcW w:w="2449" w:type="dxa"/>
            <w:shd w:val="clear" w:color="auto" w:fill="auto"/>
            <w:noWrap/>
            <w:vAlign w:val="bottom"/>
            <w:hideMark/>
          </w:tcPr>
          <w:p w:rsidR="000373D3" w:rsidRPr="00CA552A" w:rsidRDefault="000373D3" w:rsidP="000373D3">
            <w:pPr>
              <w:spacing w:before="0" w:after="0"/>
              <w:jc w:val="center"/>
              <w:rPr>
                <w:rFonts w:ascii="Arial" w:eastAsia="Times New Roman" w:hAnsi="Arial" w:cs="Arial"/>
                <w:color w:val="FFFFFF" w:themeColor="background1"/>
                <w:sz w:val="14"/>
                <w:szCs w:val="12"/>
              </w:rPr>
            </w:pPr>
            <w:r w:rsidRPr="00CA552A">
              <w:rPr>
                <w:rFonts w:ascii="Arial" w:eastAsia="Times New Roman" w:hAnsi="Arial" w:cs="Arial"/>
                <w:color w:val="FFFFFF" w:themeColor="background1"/>
                <w:sz w:val="14"/>
                <w:szCs w:val="12"/>
              </w:rPr>
              <w:t>0.1 percentage points</w:t>
            </w:r>
          </w:p>
        </w:tc>
      </w:tr>
    </w:tbl>
    <w:p w:rsidR="006717DC" w:rsidRDefault="006717DC" w:rsidP="00CA552A">
      <w:pPr>
        <w:pStyle w:val="PBOsource"/>
        <w:tabs>
          <w:tab w:val="left" w:pos="2694"/>
        </w:tabs>
      </w:pPr>
      <w:r>
        <w:t>Source: Australian Gover</w:t>
      </w:r>
      <w:r w:rsidR="00DF5CEB">
        <w:t>nment Budgets and PBO Analysis</w:t>
      </w:r>
    </w:p>
    <w:p w:rsidR="005410EB" w:rsidRDefault="005410EB" w:rsidP="005410EB">
      <w:pPr>
        <w:pStyle w:val="PBOtext"/>
      </w:pPr>
      <w:r w:rsidRPr="00F00F15">
        <w:t>T</w:t>
      </w:r>
      <w:r>
        <w:t>he t</w:t>
      </w:r>
      <w:r w:rsidR="00D90CD4">
        <w:t>wenty-one programs contribute 95</w:t>
      </w:r>
      <w:r w:rsidRPr="00F00F15">
        <w:t xml:space="preserve"> per cent of the projected growth in spending over the medium </w:t>
      </w:r>
      <w:r w:rsidRPr="00354470">
        <w:t xml:space="preserve">term. </w:t>
      </w:r>
    </w:p>
    <w:p w:rsidR="005410EB" w:rsidRDefault="005410EB" w:rsidP="005410EB">
      <w:pPr>
        <w:pStyle w:val="PBOtext"/>
      </w:pPr>
      <w:r w:rsidRPr="00C64421">
        <w:t>GST transfers to the States, is the largest contributor to growth in total expenses over the medium</w:t>
      </w:r>
      <w:r>
        <w:t xml:space="preserve"> term</w:t>
      </w:r>
      <w:r w:rsidRPr="00C64421">
        <w:t>, accounting for 18 per cent of total growth.  However, this expense is matched by GST revenue collected, meaning there is no net impact on the budget.</w:t>
      </w:r>
      <w:r w:rsidRPr="00633E1A">
        <w:t xml:space="preserve"> </w:t>
      </w:r>
    </w:p>
    <w:p w:rsidR="005410EB" w:rsidRDefault="005410EB" w:rsidP="005410EB">
      <w:pPr>
        <w:pStyle w:val="PBOtext"/>
      </w:pPr>
      <w:r w:rsidRPr="00307E2E">
        <w:t>Two new programs, the National Di</w:t>
      </w:r>
      <w:r w:rsidR="00D90CD4">
        <w:t>sability Insurance Scheme</w:t>
      </w:r>
      <w:r w:rsidRPr="00307E2E">
        <w:t xml:space="preserve"> and exp</w:t>
      </w:r>
      <w:r w:rsidR="00D90CD4">
        <w:t xml:space="preserve">anded Paid Parental Leave </w:t>
      </w:r>
      <w:r w:rsidRPr="00307E2E">
        <w:t>are projected to grow rapidly over the medium term</w:t>
      </w:r>
      <w:r>
        <w:t xml:space="preserve"> and </w:t>
      </w:r>
      <w:r w:rsidRPr="00904B4E">
        <w:t>together account for 19</w:t>
      </w:r>
      <w:r>
        <w:t> </w:t>
      </w:r>
      <w:r w:rsidRPr="00904B4E">
        <w:t>per</w:t>
      </w:r>
      <w:r>
        <w:t> </w:t>
      </w:r>
      <w:r w:rsidRPr="00904B4E">
        <w:t>cent of</w:t>
      </w:r>
      <w:r>
        <w:t xml:space="preserve"> the growth in total spending. The net impact of this spending on the budget is reduced by levies, contributions from State and Territory Governments, and reductions in other </w:t>
      </w:r>
      <w:r w:rsidR="005265F2">
        <w:t>Australian Government</w:t>
      </w:r>
      <w:r>
        <w:t xml:space="preserve"> programs.</w:t>
      </w:r>
    </w:p>
    <w:p w:rsidR="005410EB" w:rsidRDefault="005410EB" w:rsidP="005410EB">
      <w:pPr>
        <w:pStyle w:val="PBOtext"/>
      </w:pPr>
      <w:r>
        <w:lastRenderedPageBreak/>
        <w:t xml:space="preserve">The Age Pension and defence are the second and third largest areas of spending respectively, together accounting for 17 per cent of total spending in 2024-25. </w:t>
      </w:r>
      <w:r w:rsidRPr="00C870E8">
        <w:t>The Age Pension is projected to account for 1</w:t>
      </w:r>
      <w:r>
        <w:t>2</w:t>
      </w:r>
      <w:r w:rsidRPr="00C870E8">
        <w:t xml:space="preserve"> per cent of the growth in total spending over the medium term, largely driven by the ageing population. Defence is projected to account fo</w:t>
      </w:r>
      <w:r w:rsidR="002F2D9E">
        <w:t>r 10</w:t>
      </w:r>
      <w:r>
        <w:t> </w:t>
      </w:r>
      <w:r w:rsidRPr="00C870E8">
        <w:t>per</w:t>
      </w:r>
      <w:r>
        <w:t> </w:t>
      </w:r>
      <w:r w:rsidRPr="00C870E8">
        <w:t xml:space="preserve">cent of the growth in total spending over the medium term, reflecting </w:t>
      </w:r>
      <w:r w:rsidR="008E41E9">
        <w:t>long-term spending</w:t>
      </w:r>
      <w:r>
        <w:t xml:space="preserve"> commitments </w:t>
      </w:r>
      <w:r w:rsidR="008E41E9">
        <w:t xml:space="preserve">to the enhancement of Australian Defence Force capabilities. </w:t>
      </w:r>
    </w:p>
    <w:p w:rsidR="005410EB" w:rsidRDefault="005410EB" w:rsidP="005410EB">
      <w:pPr>
        <w:pStyle w:val="PBOtext"/>
      </w:pPr>
      <w:r>
        <w:t xml:space="preserve">In contrast, Family Tax </w:t>
      </w:r>
      <w:proofErr w:type="gramStart"/>
      <w:r>
        <w:t>Benefit,</w:t>
      </w:r>
      <w:proofErr w:type="gramEnd"/>
      <w:r>
        <w:t xml:space="preserve"> is projected to detract 2 per cent from</w:t>
      </w:r>
      <w:r w:rsidRPr="0078196F">
        <w:t xml:space="preserve"> growth in total spe</w:t>
      </w:r>
      <w:r>
        <w:t>nding over the medium term. This primarily reflects significant 2014-15 Budget savings measures yet to be legislated.</w:t>
      </w:r>
    </w:p>
    <w:p w:rsidR="005410EB" w:rsidRDefault="005410EB" w:rsidP="005410EB">
      <w:pPr>
        <w:pStyle w:val="PBOtext"/>
      </w:pPr>
      <w:r w:rsidRPr="00B14A66">
        <w:t xml:space="preserve">The main contributors to growth in spending and their drivers are discussed in more detail </w:t>
      </w:r>
      <w:r>
        <w:t>below</w:t>
      </w:r>
      <w:r w:rsidRPr="00B14A66">
        <w:t xml:space="preserve">, including the impact of significant 2014-15 Budget savings measures associated with these programs that are yet to be legislated. </w:t>
      </w:r>
      <w:r w:rsidR="008234E6" w:rsidRPr="00B2601C">
        <w:t xml:space="preserve"> </w:t>
      </w:r>
      <w:r w:rsidR="00334633">
        <w:t>Savings measures in these programs are projected to reduce spending over the medium term, with an impact of $19 billion or 0.7 per cent of GDP in 2024</w:t>
      </w:r>
      <w:r w:rsidR="00334633">
        <w:noBreakHyphen/>
        <w:t>25</w:t>
      </w:r>
      <w:r w:rsidR="00334633" w:rsidRPr="00D820F3">
        <w:t>.</w:t>
      </w:r>
    </w:p>
    <w:p w:rsidR="00040BD5" w:rsidRDefault="00040BD5" w:rsidP="006717DC">
      <w:pPr>
        <w:pStyle w:val="PBOtext"/>
      </w:pPr>
      <w:r>
        <w:br w:type="page"/>
      </w:r>
    </w:p>
    <w:p w:rsidR="00DB200E" w:rsidRPr="00FF5368" w:rsidRDefault="00DB200E" w:rsidP="0033546E">
      <w:pPr>
        <w:pStyle w:val="PBOheading2"/>
        <w:numPr>
          <w:ilvl w:val="1"/>
          <w:numId w:val="31"/>
        </w:numPr>
      </w:pPr>
      <w:bookmarkStart w:id="58" w:name="_Toc394502042"/>
      <w:bookmarkStart w:id="59" w:name="_Toc396382634"/>
      <w:r w:rsidRPr="00FF5368">
        <w:lastRenderedPageBreak/>
        <w:t xml:space="preserve">Goods and Services Tax </w:t>
      </w:r>
      <w:r w:rsidR="000869E8">
        <w:t>transfer</w:t>
      </w:r>
      <w:r w:rsidRPr="00FF5368">
        <w:t xml:space="preserve"> to States</w:t>
      </w:r>
      <w:bookmarkEnd w:id="58"/>
      <w:bookmarkEnd w:id="59"/>
    </w:p>
    <w:p w:rsidR="0094152D" w:rsidRPr="00956CD3" w:rsidRDefault="0094152D" w:rsidP="0094152D">
      <w:pPr>
        <w:pStyle w:val="PBOtext"/>
      </w:pPr>
      <w:r w:rsidRPr="00956CD3">
        <w:t xml:space="preserve">The transfer of GST revenue to States is treated as an </w:t>
      </w:r>
      <w:r w:rsidR="005265F2">
        <w:t>Australian Government</w:t>
      </w:r>
      <w:r w:rsidRPr="00956CD3">
        <w:t xml:space="preserve"> expense.  As the payment to the States is equivalent to the GST revenue collected, there is no net impact on the Commonwealth budget. </w:t>
      </w:r>
    </w:p>
    <w:p w:rsidR="0094152D" w:rsidRPr="00956CD3" w:rsidRDefault="0094152D" w:rsidP="0094152D">
      <w:pPr>
        <w:pStyle w:val="PBOtext"/>
      </w:pPr>
      <w:r w:rsidRPr="00956CD3">
        <w:t>Growth in GST transfers is projected to accelerate from its historical real growth of 1.8 per cent annually to 3.2 per cent annually over the medium term.  GST transfers are projected to account for 18 per cent of the growth in total spending over the medium term and 14 per cent of total spending in 2024-25.</w:t>
      </w:r>
    </w:p>
    <w:p w:rsidR="0094152D" w:rsidRDefault="0094152D" w:rsidP="00A5198F">
      <w:pPr>
        <w:pStyle w:val="PBOtext"/>
      </w:pPr>
      <w:r w:rsidRPr="00956CD3">
        <w:t>The acceleration in growth over the medium term is driven by the continuation of the assumption in the 2014-15 Budget of a projected increase in growth in the consumption of goods and services subject to the tax.</w:t>
      </w:r>
    </w:p>
    <w:p w:rsidR="005306A2" w:rsidRDefault="00A5352B" w:rsidP="005306A2">
      <w:pPr>
        <w:pStyle w:val="PBOfiguretableheading"/>
      </w:pPr>
      <w:r>
        <w:rPr>
          <w:noProof/>
          <w:lang w:eastAsia="en-AU"/>
        </w:rPr>
        <w:drawing>
          <wp:anchor distT="0" distB="0" distL="114300" distR="114300" simplePos="0" relativeHeight="251766784" behindDoc="0" locked="0" layoutInCell="1" allowOverlap="1" wp14:anchorId="1EA5AB6F" wp14:editId="54AE970B">
            <wp:simplePos x="0" y="0"/>
            <wp:positionH relativeFrom="column">
              <wp:posOffset>11599</wp:posOffset>
            </wp:positionH>
            <wp:positionV relativeFrom="paragraph">
              <wp:posOffset>400685</wp:posOffset>
            </wp:positionV>
            <wp:extent cx="5401310" cy="3596640"/>
            <wp:effectExtent l="0" t="0" r="889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14:sizeRelH relativeFrom="page">
              <wp14:pctWidth>0</wp14:pctWidth>
            </wp14:sizeRelH>
            <wp14:sizeRelV relativeFrom="page">
              <wp14:pctHeight>0</wp14:pctHeight>
            </wp14:sizeRelV>
          </wp:anchor>
        </w:drawing>
      </w:r>
      <w:r w:rsidR="005306A2" w:rsidRPr="00357A5E">
        <w:t xml:space="preserve">Figure </w:t>
      </w:r>
      <w:r w:rsidR="005306A2">
        <w:t>2.1</w:t>
      </w:r>
      <w:r w:rsidR="005306A2" w:rsidRPr="00357A5E">
        <w:t xml:space="preserve">.1: </w:t>
      </w:r>
      <w:r w:rsidR="005306A2">
        <w:t xml:space="preserve">Nominal spending on </w:t>
      </w:r>
      <w:r w:rsidR="005306A2" w:rsidRPr="00357A5E">
        <w:t>Goods and Services Tax transfer</w:t>
      </w:r>
      <w:r w:rsidR="005306A2">
        <w:t>s</w:t>
      </w:r>
      <w:r w:rsidR="005306A2" w:rsidRPr="00357A5E">
        <w:t xml:space="preserve"> to States</w:t>
      </w:r>
      <w:r w:rsidR="005306A2">
        <w:t xml:space="preserve"> and annual real growth</w:t>
      </w:r>
    </w:p>
    <w:tbl>
      <w:tblPr>
        <w:tblW w:w="7938" w:type="dxa"/>
        <w:jc w:val="center"/>
        <w:tblLook w:val="04A0" w:firstRow="1" w:lastRow="0" w:firstColumn="1" w:lastColumn="0" w:noHBand="0" w:noVBand="1"/>
      </w:tblPr>
      <w:tblGrid>
        <w:gridCol w:w="5499"/>
        <w:gridCol w:w="1247"/>
        <w:gridCol w:w="1192"/>
      </w:tblGrid>
      <w:tr w:rsidR="00581CD1" w:rsidRPr="00581CD1" w:rsidTr="00581CD1">
        <w:trPr>
          <w:trHeight w:hRule="exact" w:val="340"/>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Year</w:t>
            </w:r>
          </w:p>
        </w:tc>
        <w:tc>
          <w:tcPr>
            <w:tcW w:w="1084" w:type="dxa"/>
            <w:shd w:val="clear" w:color="auto" w:fill="auto"/>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Nominal dollars</w:t>
            </w:r>
          </w:p>
        </w:tc>
        <w:tc>
          <w:tcPr>
            <w:tcW w:w="1036" w:type="dxa"/>
            <w:shd w:val="clear" w:color="auto" w:fill="auto"/>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Annual real growth</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2002-03</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31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2003-04</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33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5.6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2004-05</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35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3.1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2005-06</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37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3.5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2006-07</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40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2.6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2007-08</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42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3.7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2008-09</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41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-5.9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2009-10</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44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4.5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2010-11</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46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1.1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2011-12</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46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-1.9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2012-13</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48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2.1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2013-14</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51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2.7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2014-15</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54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3.6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2015-16</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57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3.6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2016-17</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60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3.4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2017-18</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64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3.0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2018-19</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67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3.0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2019-20</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71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3.4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2020-21</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76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3.5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2021-22</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80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3.4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2022-23</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85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3.1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2023-24</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89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3.0 per cent</w:t>
            </w:r>
          </w:p>
        </w:tc>
      </w:tr>
      <w:tr w:rsidR="00581CD1" w:rsidRPr="00581CD1" w:rsidTr="00581CD1">
        <w:trPr>
          <w:trHeight w:hRule="exact" w:val="227"/>
          <w:jc w:val="center"/>
        </w:trPr>
        <w:tc>
          <w:tcPr>
            <w:tcW w:w="4780" w:type="dxa"/>
            <w:shd w:val="clear" w:color="auto" w:fill="auto"/>
            <w:noWrap/>
            <w:vAlign w:val="center"/>
            <w:hideMark/>
          </w:tcPr>
          <w:p w:rsidR="00E13ABA" w:rsidRPr="00581CD1" w:rsidRDefault="00E13ABA" w:rsidP="00E13ABA">
            <w:pPr>
              <w:spacing w:before="0" w:after="0"/>
              <w:jc w:val="center"/>
              <w:rPr>
                <w:rFonts w:ascii="Arial" w:eastAsia="Times New Roman" w:hAnsi="Arial" w:cs="Arial"/>
                <w:b/>
                <w:bCs/>
                <w:color w:val="FFFFFF" w:themeColor="background1"/>
                <w:sz w:val="12"/>
                <w:szCs w:val="12"/>
              </w:rPr>
            </w:pPr>
            <w:r w:rsidRPr="00581CD1">
              <w:rPr>
                <w:rFonts w:ascii="Arial" w:eastAsia="Times New Roman" w:hAnsi="Arial" w:cs="Arial"/>
                <w:b/>
                <w:bCs/>
                <w:color w:val="FFFFFF" w:themeColor="background1"/>
                <w:sz w:val="12"/>
                <w:szCs w:val="12"/>
              </w:rPr>
              <w:t>2024-25</w:t>
            </w:r>
          </w:p>
        </w:tc>
        <w:tc>
          <w:tcPr>
            <w:tcW w:w="1084"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94 billion</w:t>
            </w:r>
          </w:p>
        </w:tc>
        <w:tc>
          <w:tcPr>
            <w:tcW w:w="1036" w:type="dxa"/>
            <w:shd w:val="clear" w:color="auto" w:fill="auto"/>
            <w:noWrap/>
            <w:vAlign w:val="bottom"/>
            <w:hideMark/>
          </w:tcPr>
          <w:p w:rsidR="00E13ABA" w:rsidRPr="00581CD1" w:rsidRDefault="00E13ABA" w:rsidP="00E13ABA">
            <w:pPr>
              <w:spacing w:before="0" w:after="0"/>
              <w:rPr>
                <w:rFonts w:ascii="Arial" w:eastAsia="Times New Roman" w:hAnsi="Arial" w:cs="Arial"/>
                <w:color w:val="FFFFFF" w:themeColor="background1"/>
                <w:sz w:val="12"/>
                <w:szCs w:val="12"/>
              </w:rPr>
            </w:pPr>
            <w:r w:rsidRPr="00581CD1">
              <w:rPr>
                <w:rFonts w:ascii="Arial" w:eastAsia="Times New Roman" w:hAnsi="Arial" w:cs="Arial"/>
                <w:color w:val="FFFFFF" w:themeColor="background1"/>
                <w:sz w:val="12"/>
                <w:szCs w:val="12"/>
              </w:rPr>
              <w:t>3.0 per cent</w:t>
            </w:r>
          </w:p>
        </w:tc>
      </w:tr>
    </w:tbl>
    <w:p w:rsidR="00763D87" w:rsidRDefault="005306A2" w:rsidP="0038303A">
      <w:pPr>
        <w:pStyle w:val="PBOsource"/>
        <w:spacing w:before="0"/>
      </w:pPr>
      <w:r>
        <w:t>Source: Australian Gover</w:t>
      </w:r>
      <w:r w:rsidR="00DF5CEB">
        <w:t>nment Budgets and PBO Analysis</w:t>
      </w:r>
    </w:p>
    <w:p w:rsidR="00FF5368" w:rsidRPr="00F03102" w:rsidRDefault="00F03102" w:rsidP="00891443">
      <w:pPr>
        <w:pStyle w:val="PBOsource"/>
        <w:rPr>
          <w:rFonts w:ascii="Arial" w:hAnsi="Arial"/>
          <w:sz w:val="16"/>
        </w:rPr>
      </w:pPr>
      <w:r>
        <w:br w:type="page"/>
      </w:r>
    </w:p>
    <w:p w:rsidR="00FF79A9" w:rsidRPr="00F42FB8" w:rsidRDefault="00FF79A9" w:rsidP="0033546E">
      <w:pPr>
        <w:pStyle w:val="PBOheading2"/>
        <w:numPr>
          <w:ilvl w:val="1"/>
          <w:numId w:val="31"/>
        </w:numPr>
      </w:pPr>
      <w:bookmarkStart w:id="60" w:name="_Toc396382635"/>
      <w:r w:rsidRPr="00F42FB8">
        <w:lastRenderedPageBreak/>
        <w:t>National Disability Insurance Scheme</w:t>
      </w:r>
      <w:bookmarkEnd w:id="60"/>
    </w:p>
    <w:p w:rsidR="0094152D" w:rsidRDefault="002F2D9E" w:rsidP="0094152D">
      <w:pPr>
        <w:pStyle w:val="PBOtext"/>
      </w:pPr>
      <w:r>
        <w:rPr>
          <w:lang w:eastAsia="en-US"/>
        </w:rPr>
        <w:t>Spending on the National Disability Insurance Scheme (NDIS)</w:t>
      </w:r>
      <w:r w:rsidR="0094152D">
        <w:rPr>
          <w:lang w:eastAsia="en-US"/>
        </w:rPr>
        <w:t xml:space="preserve"> is projected </w:t>
      </w:r>
      <w:r w:rsidR="0094152D" w:rsidRPr="00F03102">
        <w:rPr>
          <w:lang w:eastAsia="en-US"/>
        </w:rPr>
        <w:t xml:space="preserve">to grow </w:t>
      </w:r>
      <w:r w:rsidR="0094152D">
        <w:rPr>
          <w:lang w:eastAsia="en-US"/>
        </w:rPr>
        <w:t>rapidly over the medium term, including a significant ramping up over the period to 2020-21</w:t>
      </w:r>
      <w:r w:rsidR="0094152D" w:rsidRPr="00F03102">
        <w:rPr>
          <w:lang w:eastAsia="en-US"/>
        </w:rPr>
        <w:t>.</w:t>
      </w:r>
      <w:r w:rsidR="0094152D" w:rsidRPr="00F03102">
        <w:t xml:space="preserve">  </w:t>
      </w:r>
      <w:r w:rsidR="0094152D">
        <w:t>The NDIS is</w:t>
      </w:r>
      <w:r w:rsidR="0094152D" w:rsidRPr="00C53E27">
        <w:t xml:space="preserve"> projected to account for </w:t>
      </w:r>
      <w:r w:rsidR="0094152D">
        <w:t>16</w:t>
      </w:r>
      <w:r w:rsidR="0094152D" w:rsidRPr="00C53E27">
        <w:t xml:space="preserve"> per cent of the growth </w:t>
      </w:r>
      <w:r w:rsidR="0094152D">
        <w:t xml:space="preserve">in total spending </w:t>
      </w:r>
      <w:r w:rsidR="0094152D" w:rsidRPr="00C53E27">
        <w:t xml:space="preserve">over the medium term </w:t>
      </w:r>
      <w:r w:rsidR="0094152D">
        <w:t xml:space="preserve">and </w:t>
      </w:r>
      <w:r w:rsidR="0094152D" w:rsidRPr="00C53E27">
        <w:t xml:space="preserve">4 per cent </w:t>
      </w:r>
      <w:r w:rsidR="0094152D">
        <w:t>of total spending in 2024-25</w:t>
      </w:r>
      <w:r w:rsidR="0094152D" w:rsidRPr="00C53E27">
        <w:t>.</w:t>
      </w:r>
    </w:p>
    <w:p w:rsidR="0094152D" w:rsidRDefault="0094152D" w:rsidP="0094152D">
      <w:pPr>
        <w:pStyle w:val="PBOtext"/>
        <w:rPr>
          <w:lang w:val="en-US"/>
        </w:rPr>
      </w:pPr>
      <w:r w:rsidRPr="00F03102">
        <w:t xml:space="preserve">The NDIS will be fully established by 2021, and provide services to around 460,000 people with significant and permanent disabilities including for </w:t>
      </w:r>
      <w:r w:rsidRPr="00F03102">
        <w:rPr>
          <w:lang w:val="en-US"/>
        </w:rPr>
        <w:t xml:space="preserve">independent living, early intervention therapies, aids and equipment, help with household tasks, and assistance for </w:t>
      </w:r>
      <w:proofErr w:type="spellStart"/>
      <w:r w:rsidRPr="00F03102">
        <w:rPr>
          <w:lang w:val="en-US"/>
        </w:rPr>
        <w:t>carers</w:t>
      </w:r>
      <w:proofErr w:type="spellEnd"/>
      <w:r w:rsidRPr="00F03102">
        <w:rPr>
          <w:lang w:val="en-US"/>
        </w:rPr>
        <w:t>.</w:t>
      </w:r>
    </w:p>
    <w:p w:rsidR="0094152D" w:rsidRDefault="0094152D" w:rsidP="0094152D">
      <w:pPr>
        <w:pStyle w:val="PBOtext"/>
      </w:pPr>
      <w:r w:rsidRPr="0019598B">
        <w:t>Spending on the NDIS is partly offset by an increase in the Medicare Levy of 0.5 of a percentage point from 1 July 2014 (which is not included in these estimates). The spending shown in Figure 2.2.1 includes State contributions to the NDIS (which make up over 50 per cent of the total spending on the scheme in 2017-18) and funding provided through the existing National Disability Agreement.</w:t>
      </w:r>
      <w:r>
        <w:t xml:space="preserve"> </w:t>
      </w:r>
    </w:p>
    <w:p w:rsidR="00FF79A9" w:rsidRDefault="00E42220" w:rsidP="00E26C67">
      <w:pPr>
        <w:pStyle w:val="PBOfiguretableheading"/>
      </w:pPr>
      <w:r>
        <w:rPr>
          <w:noProof/>
          <w:lang w:eastAsia="en-AU"/>
        </w:rPr>
        <w:drawing>
          <wp:anchor distT="0" distB="0" distL="114300" distR="114300" simplePos="0" relativeHeight="251727872" behindDoc="0" locked="0" layoutInCell="1" allowOverlap="1" wp14:anchorId="48E5530B" wp14:editId="20AFA2DE">
            <wp:simplePos x="0" y="0"/>
            <wp:positionH relativeFrom="column">
              <wp:posOffset>-15875</wp:posOffset>
            </wp:positionH>
            <wp:positionV relativeFrom="paragraph">
              <wp:posOffset>394166</wp:posOffset>
            </wp:positionV>
            <wp:extent cx="5401310" cy="3602990"/>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14:sizeRelH relativeFrom="page">
              <wp14:pctWidth>0</wp14:pctWidth>
            </wp14:sizeRelH>
            <wp14:sizeRelV relativeFrom="page">
              <wp14:pctHeight>0</wp14:pctHeight>
            </wp14:sizeRelV>
          </wp:anchor>
        </w:drawing>
      </w:r>
      <w:r w:rsidR="00FF79A9" w:rsidRPr="008D1835">
        <w:rPr>
          <w:noProof/>
        </w:rPr>
        <w:t>F</w:t>
      </w:r>
      <w:r w:rsidR="007651CA" w:rsidRPr="008D1835">
        <w:rPr>
          <w:noProof/>
        </w:rPr>
        <w:t>igure</w:t>
      </w:r>
      <w:r w:rsidR="00F03102" w:rsidRPr="008D1835">
        <w:rPr>
          <w:noProof/>
        </w:rPr>
        <w:t xml:space="preserve"> 2.2</w:t>
      </w:r>
      <w:r w:rsidR="001A2DDD" w:rsidRPr="008D1835">
        <w:rPr>
          <w:noProof/>
        </w:rPr>
        <w:t>.</w:t>
      </w:r>
      <w:r w:rsidR="00F03102" w:rsidRPr="008D1835">
        <w:rPr>
          <w:noProof/>
        </w:rPr>
        <w:t>1</w:t>
      </w:r>
      <w:r w:rsidR="00EE5602" w:rsidRPr="008D1835">
        <w:rPr>
          <w:noProof/>
        </w:rPr>
        <w:t xml:space="preserve">: </w:t>
      </w:r>
      <w:r w:rsidR="009A0458">
        <w:t xml:space="preserve">Nominal spending on the National Disability Insurance Scheme </w:t>
      </w:r>
      <w:r w:rsidR="005306A2">
        <w:t>and annual real growth</w:t>
      </w:r>
    </w:p>
    <w:tbl>
      <w:tblPr>
        <w:tblW w:w="8320" w:type="dxa"/>
        <w:tblInd w:w="103" w:type="dxa"/>
        <w:tblLook w:val="04A0" w:firstRow="1" w:lastRow="0" w:firstColumn="1" w:lastColumn="0" w:noHBand="0" w:noVBand="1"/>
      </w:tblPr>
      <w:tblGrid>
        <w:gridCol w:w="6280"/>
        <w:gridCol w:w="1001"/>
        <w:gridCol w:w="1039"/>
      </w:tblGrid>
      <w:tr w:rsidR="00E42220" w:rsidRPr="00E42220" w:rsidTr="00E42220">
        <w:trPr>
          <w:trHeight w:hRule="exact" w:val="672"/>
        </w:trPr>
        <w:tc>
          <w:tcPr>
            <w:tcW w:w="6280" w:type="dxa"/>
            <w:shd w:val="clear" w:color="auto" w:fill="auto"/>
            <w:noWrap/>
            <w:vAlign w:val="center"/>
            <w:hideMark/>
          </w:tcPr>
          <w:p w:rsidR="00B334CB" w:rsidRPr="00E42220" w:rsidRDefault="00B334CB" w:rsidP="00B334CB">
            <w:pPr>
              <w:spacing w:before="0" w:after="0"/>
              <w:jc w:val="center"/>
              <w:rPr>
                <w:rFonts w:eastAsia="Times New Roman"/>
                <w:b/>
                <w:bCs/>
                <w:color w:val="FFFFFF" w:themeColor="background1"/>
                <w:sz w:val="16"/>
                <w:szCs w:val="16"/>
              </w:rPr>
            </w:pPr>
            <w:r w:rsidRPr="00E42220">
              <w:rPr>
                <w:rFonts w:eastAsia="Times New Roman"/>
                <w:b/>
                <w:bCs/>
                <w:color w:val="FFFFFF" w:themeColor="background1"/>
                <w:sz w:val="16"/>
                <w:szCs w:val="16"/>
              </w:rPr>
              <w:t>Year</w:t>
            </w:r>
          </w:p>
        </w:tc>
        <w:tc>
          <w:tcPr>
            <w:tcW w:w="1001" w:type="dxa"/>
            <w:shd w:val="clear" w:color="auto" w:fill="auto"/>
            <w:vAlign w:val="center"/>
            <w:hideMark/>
          </w:tcPr>
          <w:p w:rsidR="00B334CB" w:rsidRPr="00E42220" w:rsidRDefault="00B334CB" w:rsidP="00B334CB">
            <w:pPr>
              <w:spacing w:before="0" w:after="0"/>
              <w:jc w:val="center"/>
              <w:rPr>
                <w:rFonts w:eastAsia="Times New Roman"/>
                <w:b/>
                <w:bCs/>
                <w:color w:val="FFFFFF" w:themeColor="background1"/>
                <w:sz w:val="16"/>
                <w:szCs w:val="16"/>
              </w:rPr>
            </w:pPr>
            <w:r w:rsidRPr="00E42220">
              <w:rPr>
                <w:rFonts w:eastAsia="Times New Roman"/>
                <w:b/>
                <w:bCs/>
                <w:color w:val="FFFFFF" w:themeColor="background1"/>
                <w:sz w:val="16"/>
                <w:szCs w:val="16"/>
              </w:rPr>
              <w:t>Nominal dollars</w:t>
            </w:r>
          </w:p>
        </w:tc>
        <w:tc>
          <w:tcPr>
            <w:tcW w:w="1039" w:type="dxa"/>
            <w:shd w:val="clear" w:color="auto" w:fill="auto"/>
            <w:vAlign w:val="center"/>
            <w:hideMark/>
          </w:tcPr>
          <w:p w:rsidR="00B334CB" w:rsidRPr="00E42220" w:rsidRDefault="00B334CB" w:rsidP="00B334CB">
            <w:pPr>
              <w:spacing w:before="0" w:after="0"/>
              <w:jc w:val="center"/>
              <w:rPr>
                <w:rFonts w:eastAsia="Times New Roman"/>
                <w:b/>
                <w:bCs/>
                <w:color w:val="FFFFFF" w:themeColor="background1"/>
                <w:sz w:val="16"/>
                <w:szCs w:val="16"/>
              </w:rPr>
            </w:pPr>
            <w:r w:rsidRPr="00E42220">
              <w:rPr>
                <w:rFonts w:eastAsia="Times New Roman"/>
                <w:b/>
                <w:bCs/>
                <w:color w:val="FFFFFF" w:themeColor="background1"/>
                <w:sz w:val="16"/>
                <w:szCs w:val="16"/>
              </w:rPr>
              <w:t>Annual real growth</w:t>
            </w:r>
          </w:p>
        </w:tc>
      </w:tr>
      <w:tr w:rsidR="00E42220" w:rsidRPr="00E42220" w:rsidTr="00E42220">
        <w:trPr>
          <w:trHeight w:hRule="exact" w:val="397"/>
        </w:trPr>
        <w:tc>
          <w:tcPr>
            <w:tcW w:w="6280" w:type="dxa"/>
            <w:shd w:val="clear" w:color="auto" w:fill="auto"/>
            <w:noWrap/>
            <w:vAlign w:val="center"/>
            <w:hideMark/>
          </w:tcPr>
          <w:p w:rsidR="00E42220" w:rsidRPr="00E42220" w:rsidRDefault="00E42220" w:rsidP="00B334CB">
            <w:pPr>
              <w:spacing w:before="0" w:after="0"/>
              <w:jc w:val="center"/>
              <w:rPr>
                <w:rFonts w:eastAsia="Times New Roman"/>
                <w:b/>
                <w:bCs/>
                <w:color w:val="FFFFFF" w:themeColor="background1"/>
                <w:sz w:val="16"/>
                <w:szCs w:val="16"/>
              </w:rPr>
            </w:pPr>
            <w:r w:rsidRPr="00E42220">
              <w:rPr>
                <w:rFonts w:eastAsia="Times New Roman"/>
                <w:b/>
                <w:bCs/>
                <w:color w:val="FFFFFF" w:themeColor="background1"/>
                <w:sz w:val="16"/>
                <w:szCs w:val="16"/>
              </w:rPr>
              <w:t>2013-14</w:t>
            </w:r>
          </w:p>
        </w:tc>
        <w:tc>
          <w:tcPr>
            <w:tcW w:w="1001" w:type="dxa"/>
            <w:shd w:val="clear" w:color="auto" w:fill="auto"/>
            <w:noWrap/>
            <w:vAlign w:val="bottom"/>
            <w:hideMark/>
          </w:tcPr>
          <w:p w:rsidR="00E42220" w:rsidRPr="00E42220" w:rsidRDefault="00E42220"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0.3 billion</w:t>
            </w:r>
          </w:p>
        </w:tc>
        <w:tc>
          <w:tcPr>
            <w:tcW w:w="1039" w:type="dxa"/>
            <w:shd w:val="clear" w:color="auto" w:fill="auto"/>
            <w:vAlign w:val="bottom"/>
          </w:tcPr>
          <w:p w:rsidR="00E42220" w:rsidRPr="00E42220" w:rsidRDefault="00E42220" w:rsidP="00B334CB">
            <w:pPr>
              <w:spacing w:before="0" w:after="0"/>
              <w:rPr>
                <w:rFonts w:eastAsia="Times New Roman"/>
                <w:color w:val="FFFFFF" w:themeColor="background1"/>
                <w:sz w:val="16"/>
                <w:szCs w:val="16"/>
              </w:rPr>
            </w:pPr>
          </w:p>
        </w:tc>
      </w:tr>
      <w:tr w:rsidR="00E42220" w:rsidRPr="00E42220" w:rsidTr="00E42220">
        <w:trPr>
          <w:trHeight w:hRule="exact" w:val="397"/>
        </w:trPr>
        <w:tc>
          <w:tcPr>
            <w:tcW w:w="6280" w:type="dxa"/>
            <w:shd w:val="clear" w:color="auto" w:fill="auto"/>
            <w:noWrap/>
            <w:vAlign w:val="center"/>
            <w:hideMark/>
          </w:tcPr>
          <w:p w:rsidR="00B334CB" w:rsidRPr="00E42220" w:rsidRDefault="00B334CB" w:rsidP="00B334CB">
            <w:pPr>
              <w:spacing w:before="0" w:after="0"/>
              <w:jc w:val="center"/>
              <w:rPr>
                <w:rFonts w:eastAsia="Times New Roman"/>
                <w:b/>
                <w:bCs/>
                <w:color w:val="FFFFFF" w:themeColor="background1"/>
                <w:sz w:val="16"/>
                <w:szCs w:val="16"/>
              </w:rPr>
            </w:pPr>
            <w:r w:rsidRPr="00E42220">
              <w:rPr>
                <w:rFonts w:eastAsia="Times New Roman"/>
                <w:b/>
                <w:bCs/>
                <w:color w:val="FFFFFF" w:themeColor="background1"/>
                <w:sz w:val="16"/>
                <w:szCs w:val="16"/>
              </w:rPr>
              <w:t>2014-15</w:t>
            </w:r>
          </w:p>
        </w:tc>
        <w:tc>
          <w:tcPr>
            <w:tcW w:w="1001"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1 billion</w:t>
            </w:r>
          </w:p>
        </w:tc>
        <w:tc>
          <w:tcPr>
            <w:tcW w:w="1039"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123 per cent</w:t>
            </w:r>
          </w:p>
        </w:tc>
      </w:tr>
      <w:tr w:rsidR="00E42220" w:rsidRPr="00E42220" w:rsidTr="00E42220">
        <w:trPr>
          <w:trHeight w:hRule="exact" w:val="397"/>
        </w:trPr>
        <w:tc>
          <w:tcPr>
            <w:tcW w:w="6280" w:type="dxa"/>
            <w:shd w:val="clear" w:color="auto" w:fill="auto"/>
            <w:noWrap/>
            <w:vAlign w:val="center"/>
            <w:hideMark/>
          </w:tcPr>
          <w:p w:rsidR="00B334CB" w:rsidRPr="00E42220" w:rsidRDefault="00B334CB" w:rsidP="00B334CB">
            <w:pPr>
              <w:spacing w:before="0" w:after="0"/>
              <w:jc w:val="center"/>
              <w:rPr>
                <w:rFonts w:eastAsia="Times New Roman"/>
                <w:b/>
                <w:bCs/>
                <w:color w:val="FFFFFF" w:themeColor="background1"/>
                <w:sz w:val="16"/>
                <w:szCs w:val="16"/>
              </w:rPr>
            </w:pPr>
            <w:r w:rsidRPr="00E42220">
              <w:rPr>
                <w:rFonts w:eastAsia="Times New Roman"/>
                <w:b/>
                <w:bCs/>
                <w:color w:val="FFFFFF" w:themeColor="background1"/>
                <w:sz w:val="16"/>
                <w:szCs w:val="16"/>
              </w:rPr>
              <w:t>2015-16</w:t>
            </w:r>
          </w:p>
        </w:tc>
        <w:tc>
          <w:tcPr>
            <w:tcW w:w="1001"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1 billion</w:t>
            </w:r>
          </w:p>
        </w:tc>
        <w:tc>
          <w:tcPr>
            <w:tcW w:w="1039"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60 per cent</w:t>
            </w:r>
          </w:p>
        </w:tc>
      </w:tr>
      <w:tr w:rsidR="00E42220" w:rsidRPr="00E42220" w:rsidTr="00E42220">
        <w:trPr>
          <w:trHeight w:hRule="exact" w:val="397"/>
        </w:trPr>
        <w:tc>
          <w:tcPr>
            <w:tcW w:w="6280" w:type="dxa"/>
            <w:shd w:val="clear" w:color="auto" w:fill="auto"/>
            <w:noWrap/>
            <w:vAlign w:val="center"/>
            <w:hideMark/>
          </w:tcPr>
          <w:p w:rsidR="00B334CB" w:rsidRPr="00E42220" w:rsidRDefault="00B334CB" w:rsidP="00B334CB">
            <w:pPr>
              <w:spacing w:before="0" w:after="0"/>
              <w:jc w:val="center"/>
              <w:rPr>
                <w:rFonts w:eastAsia="Times New Roman"/>
                <w:b/>
                <w:bCs/>
                <w:color w:val="FFFFFF" w:themeColor="background1"/>
                <w:sz w:val="16"/>
                <w:szCs w:val="16"/>
              </w:rPr>
            </w:pPr>
            <w:r w:rsidRPr="00E42220">
              <w:rPr>
                <w:rFonts w:eastAsia="Times New Roman"/>
                <w:b/>
                <w:bCs/>
                <w:color w:val="FFFFFF" w:themeColor="background1"/>
                <w:sz w:val="16"/>
                <w:szCs w:val="16"/>
              </w:rPr>
              <w:t>2016-17</w:t>
            </w:r>
          </w:p>
        </w:tc>
        <w:tc>
          <w:tcPr>
            <w:tcW w:w="1001"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4 billion</w:t>
            </w:r>
          </w:p>
        </w:tc>
        <w:tc>
          <w:tcPr>
            <w:tcW w:w="1039"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271 per cent</w:t>
            </w:r>
          </w:p>
        </w:tc>
      </w:tr>
      <w:tr w:rsidR="00E42220" w:rsidRPr="00E42220" w:rsidTr="00E42220">
        <w:trPr>
          <w:trHeight w:hRule="exact" w:val="397"/>
        </w:trPr>
        <w:tc>
          <w:tcPr>
            <w:tcW w:w="6280" w:type="dxa"/>
            <w:shd w:val="clear" w:color="auto" w:fill="auto"/>
            <w:noWrap/>
            <w:vAlign w:val="center"/>
            <w:hideMark/>
          </w:tcPr>
          <w:p w:rsidR="00B334CB" w:rsidRPr="00E42220" w:rsidRDefault="00B334CB" w:rsidP="00B334CB">
            <w:pPr>
              <w:spacing w:before="0" w:after="0"/>
              <w:jc w:val="center"/>
              <w:rPr>
                <w:rFonts w:eastAsia="Times New Roman"/>
                <w:b/>
                <w:bCs/>
                <w:color w:val="FFFFFF" w:themeColor="background1"/>
                <w:sz w:val="16"/>
                <w:szCs w:val="16"/>
              </w:rPr>
            </w:pPr>
            <w:r w:rsidRPr="00E42220">
              <w:rPr>
                <w:rFonts w:eastAsia="Times New Roman"/>
                <w:b/>
                <w:bCs/>
                <w:color w:val="FFFFFF" w:themeColor="background1"/>
                <w:sz w:val="16"/>
                <w:szCs w:val="16"/>
              </w:rPr>
              <w:t>2017-18</w:t>
            </w:r>
          </w:p>
        </w:tc>
        <w:tc>
          <w:tcPr>
            <w:tcW w:w="1001"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11 billion</w:t>
            </w:r>
          </w:p>
        </w:tc>
        <w:tc>
          <w:tcPr>
            <w:tcW w:w="1039"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160 per cent</w:t>
            </w:r>
          </w:p>
        </w:tc>
      </w:tr>
      <w:tr w:rsidR="00E42220" w:rsidRPr="00E42220" w:rsidTr="00E42220">
        <w:trPr>
          <w:trHeight w:hRule="exact" w:val="397"/>
        </w:trPr>
        <w:tc>
          <w:tcPr>
            <w:tcW w:w="6280" w:type="dxa"/>
            <w:shd w:val="clear" w:color="auto" w:fill="auto"/>
            <w:noWrap/>
            <w:vAlign w:val="center"/>
            <w:hideMark/>
          </w:tcPr>
          <w:p w:rsidR="00B334CB" w:rsidRPr="00E42220" w:rsidRDefault="00B334CB" w:rsidP="00B334CB">
            <w:pPr>
              <w:spacing w:before="0" w:after="0"/>
              <w:jc w:val="center"/>
              <w:rPr>
                <w:rFonts w:eastAsia="Times New Roman"/>
                <w:b/>
                <w:bCs/>
                <w:color w:val="FFFFFF" w:themeColor="background1"/>
                <w:sz w:val="16"/>
                <w:szCs w:val="16"/>
              </w:rPr>
            </w:pPr>
            <w:r w:rsidRPr="00E42220">
              <w:rPr>
                <w:rFonts w:eastAsia="Times New Roman"/>
                <w:b/>
                <w:bCs/>
                <w:color w:val="FFFFFF" w:themeColor="background1"/>
                <w:sz w:val="16"/>
                <w:szCs w:val="16"/>
              </w:rPr>
              <w:t>2018-19</w:t>
            </w:r>
          </w:p>
        </w:tc>
        <w:tc>
          <w:tcPr>
            <w:tcW w:w="1001"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18 billion</w:t>
            </w:r>
          </w:p>
        </w:tc>
        <w:tc>
          <w:tcPr>
            <w:tcW w:w="1039"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55 per cent</w:t>
            </w:r>
          </w:p>
        </w:tc>
      </w:tr>
      <w:tr w:rsidR="00E42220" w:rsidRPr="00E42220" w:rsidTr="00E42220">
        <w:trPr>
          <w:trHeight w:hRule="exact" w:val="397"/>
        </w:trPr>
        <w:tc>
          <w:tcPr>
            <w:tcW w:w="6280" w:type="dxa"/>
            <w:shd w:val="clear" w:color="auto" w:fill="auto"/>
            <w:noWrap/>
            <w:vAlign w:val="center"/>
            <w:hideMark/>
          </w:tcPr>
          <w:p w:rsidR="00B334CB" w:rsidRPr="00E42220" w:rsidRDefault="00B334CB" w:rsidP="00B334CB">
            <w:pPr>
              <w:spacing w:before="0" w:after="0"/>
              <w:jc w:val="center"/>
              <w:rPr>
                <w:rFonts w:eastAsia="Times New Roman"/>
                <w:b/>
                <w:bCs/>
                <w:color w:val="FFFFFF" w:themeColor="background1"/>
                <w:sz w:val="16"/>
                <w:szCs w:val="16"/>
              </w:rPr>
            </w:pPr>
            <w:r w:rsidRPr="00E42220">
              <w:rPr>
                <w:rFonts w:eastAsia="Times New Roman"/>
                <w:b/>
                <w:bCs/>
                <w:color w:val="FFFFFF" w:themeColor="background1"/>
                <w:sz w:val="16"/>
                <w:szCs w:val="16"/>
              </w:rPr>
              <w:t>2019-20</w:t>
            </w:r>
          </w:p>
        </w:tc>
        <w:tc>
          <w:tcPr>
            <w:tcW w:w="1001"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20 billion</w:t>
            </w:r>
          </w:p>
        </w:tc>
        <w:tc>
          <w:tcPr>
            <w:tcW w:w="1039"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11 per cent</w:t>
            </w:r>
          </w:p>
        </w:tc>
      </w:tr>
      <w:tr w:rsidR="00E42220" w:rsidRPr="00E42220" w:rsidTr="00E42220">
        <w:trPr>
          <w:trHeight w:hRule="exact" w:val="397"/>
        </w:trPr>
        <w:tc>
          <w:tcPr>
            <w:tcW w:w="6280" w:type="dxa"/>
            <w:shd w:val="clear" w:color="auto" w:fill="auto"/>
            <w:noWrap/>
            <w:vAlign w:val="center"/>
            <w:hideMark/>
          </w:tcPr>
          <w:p w:rsidR="00B334CB" w:rsidRPr="00E42220" w:rsidRDefault="00B334CB" w:rsidP="00B334CB">
            <w:pPr>
              <w:spacing w:before="0" w:after="0"/>
              <w:jc w:val="center"/>
              <w:rPr>
                <w:rFonts w:eastAsia="Times New Roman"/>
                <w:b/>
                <w:bCs/>
                <w:color w:val="FFFFFF" w:themeColor="background1"/>
                <w:sz w:val="16"/>
                <w:szCs w:val="16"/>
              </w:rPr>
            </w:pPr>
            <w:r w:rsidRPr="00E42220">
              <w:rPr>
                <w:rFonts w:eastAsia="Times New Roman"/>
                <w:b/>
                <w:bCs/>
                <w:color w:val="FFFFFF" w:themeColor="background1"/>
                <w:sz w:val="16"/>
                <w:szCs w:val="16"/>
              </w:rPr>
              <w:t>2020-21</w:t>
            </w:r>
          </w:p>
        </w:tc>
        <w:tc>
          <w:tcPr>
            <w:tcW w:w="1001"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22 billion</w:t>
            </w:r>
          </w:p>
        </w:tc>
        <w:tc>
          <w:tcPr>
            <w:tcW w:w="1039"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5 per cent</w:t>
            </w:r>
          </w:p>
        </w:tc>
      </w:tr>
      <w:tr w:rsidR="00E42220" w:rsidRPr="00E42220" w:rsidTr="00E42220">
        <w:trPr>
          <w:trHeight w:hRule="exact" w:val="397"/>
        </w:trPr>
        <w:tc>
          <w:tcPr>
            <w:tcW w:w="6280" w:type="dxa"/>
            <w:shd w:val="clear" w:color="auto" w:fill="auto"/>
            <w:noWrap/>
            <w:vAlign w:val="center"/>
            <w:hideMark/>
          </w:tcPr>
          <w:p w:rsidR="00B334CB" w:rsidRPr="00E42220" w:rsidRDefault="00B334CB" w:rsidP="00B334CB">
            <w:pPr>
              <w:spacing w:before="0" w:after="0"/>
              <w:jc w:val="center"/>
              <w:rPr>
                <w:rFonts w:eastAsia="Times New Roman"/>
                <w:b/>
                <w:bCs/>
                <w:color w:val="FFFFFF" w:themeColor="background1"/>
                <w:sz w:val="16"/>
                <w:szCs w:val="16"/>
              </w:rPr>
            </w:pPr>
            <w:r w:rsidRPr="00E42220">
              <w:rPr>
                <w:rFonts w:eastAsia="Times New Roman"/>
                <w:b/>
                <w:bCs/>
                <w:color w:val="FFFFFF" w:themeColor="background1"/>
                <w:sz w:val="16"/>
                <w:szCs w:val="16"/>
              </w:rPr>
              <w:t>2021-22</w:t>
            </w:r>
          </w:p>
        </w:tc>
        <w:tc>
          <w:tcPr>
            <w:tcW w:w="1001"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23 billion</w:t>
            </w:r>
          </w:p>
        </w:tc>
        <w:tc>
          <w:tcPr>
            <w:tcW w:w="1039"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3 per cent</w:t>
            </w:r>
          </w:p>
        </w:tc>
      </w:tr>
      <w:tr w:rsidR="00E42220" w:rsidRPr="00E42220" w:rsidTr="00E42220">
        <w:trPr>
          <w:trHeight w:hRule="exact" w:val="397"/>
        </w:trPr>
        <w:tc>
          <w:tcPr>
            <w:tcW w:w="6280" w:type="dxa"/>
            <w:shd w:val="clear" w:color="auto" w:fill="auto"/>
            <w:noWrap/>
            <w:vAlign w:val="center"/>
            <w:hideMark/>
          </w:tcPr>
          <w:p w:rsidR="00B334CB" w:rsidRPr="00E42220" w:rsidRDefault="00B334CB" w:rsidP="00B334CB">
            <w:pPr>
              <w:spacing w:before="0" w:after="0"/>
              <w:jc w:val="center"/>
              <w:rPr>
                <w:rFonts w:eastAsia="Times New Roman"/>
                <w:b/>
                <w:bCs/>
                <w:color w:val="FFFFFF" w:themeColor="background1"/>
                <w:sz w:val="16"/>
                <w:szCs w:val="16"/>
              </w:rPr>
            </w:pPr>
            <w:r w:rsidRPr="00E42220">
              <w:rPr>
                <w:rFonts w:eastAsia="Times New Roman"/>
                <w:b/>
                <w:bCs/>
                <w:color w:val="FFFFFF" w:themeColor="background1"/>
                <w:sz w:val="16"/>
                <w:szCs w:val="16"/>
              </w:rPr>
              <w:t>2022-23</w:t>
            </w:r>
          </w:p>
        </w:tc>
        <w:tc>
          <w:tcPr>
            <w:tcW w:w="1001"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24 billion</w:t>
            </w:r>
          </w:p>
        </w:tc>
        <w:tc>
          <w:tcPr>
            <w:tcW w:w="1039"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2 per cent</w:t>
            </w:r>
          </w:p>
        </w:tc>
      </w:tr>
      <w:tr w:rsidR="00E42220" w:rsidRPr="00E42220" w:rsidTr="00E42220">
        <w:trPr>
          <w:trHeight w:hRule="exact" w:val="397"/>
        </w:trPr>
        <w:tc>
          <w:tcPr>
            <w:tcW w:w="6280" w:type="dxa"/>
            <w:shd w:val="clear" w:color="auto" w:fill="auto"/>
            <w:noWrap/>
            <w:vAlign w:val="center"/>
            <w:hideMark/>
          </w:tcPr>
          <w:p w:rsidR="00B334CB" w:rsidRPr="00E42220" w:rsidRDefault="00B334CB" w:rsidP="00B334CB">
            <w:pPr>
              <w:spacing w:before="0" w:after="0"/>
              <w:jc w:val="center"/>
              <w:rPr>
                <w:rFonts w:eastAsia="Times New Roman"/>
                <w:b/>
                <w:bCs/>
                <w:color w:val="FFFFFF" w:themeColor="background1"/>
                <w:sz w:val="16"/>
                <w:szCs w:val="16"/>
              </w:rPr>
            </w:pPr>
            <w:r w:rsidRPr="00E42220">
              <w:rPr>
                <w:rFonts w:eastAsia="Times New Roman"/>
                <w:b/>
                <w:bCs/>
                <w:color w:val="FFFFFF" w:themeColor="background1"/>
                <w:sz w:val="16"/>
                <w:szCs w:val="16"/>
              </w:rPr>
              <w:t>2023-24</w:t>
            </w:r>
          </w:p>
        </w:tc>
        <w:tc>
          <w:tcPr>
            <w:tcW w:w="1001"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25 billion</w:t>
            </w:r>
          </w:p>
        </w:tc>
        <w:tc>
          <w:tcPr>
            <w:tcW w:w="1039"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2 per cent</w:t>
            </w:r>
          </w:p>
        </w:tc>
      </w:tr>
      <w:tr w:rsidR="00E42220" w:rsidRPr="00E42220" w:rsidTr="00E42220">
        <w:trPr>
          <w:trHeight w:hRule="exact" w:val="397"/>
        </w:trPr>
        <w:tc>
          <w:tcPr>
            <w:tcW w:w="6280" w:type="dxa"/>
            <w:shd w:val="clear" w:color="auto" w:fill="auto"/>
            <w:noWrap/>
            <w:vAlign w:val="center"/>
            <w:hideMark/>
          </w:tcPr>
          <w:p w:rsidR="00B334CB" w:rsidRPr="00E42220" w:rsidRDefault="00B334CB" w:rsidP="00B334CB">
            <w:pPr>
              <w:spacing w:before="0" w:after="0"/>
              <w:jc w:val="center"/>
              <w:rPr>
                <w:rFonts w:eastAsia="Times New Roman"/>
                <w:b/>
                <w:bCs/>
                <w:color w:val="FFFFFF" w:themeColor="background1"/>
                <w:sz w:val="16"/>
                <w:szCs w:val="16"/>
              </w:rPr>
            </w:pPr>
            <w:r w:rsidRPr="00E42220">
              <w:rPr>
                <w:rFonts w:eastAsia="Times New Roman"/>
                <w:b/>
                <w:bCs/>
                <w:color w:val="FFFFFF" w:themeColor="background1"/>
                <w:sz w:val="16"/>
                <w:szCs w:val="16"/>
              </w:rPr>
              <w:t>2024-25</w:t>
            </w:r>
          </w:p>
        </w:tc>
        <w:tc>
          <w:tcPr>
            <w:tcW w:w="1001"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26 billion</w:t>
            </w:r>
          </w:p>
        </w:tc>
        <w:tc>
          <w:tcPr>
            <w:tcW w:w="1039" w:type="dxa"/>
            <w:shd w:val="clear" w:color="auto" w:fill="auto"/>
            <w:noWrap/>
            <w:vAlign w:val="bottom"/>
            <w:hideMark/>
          </w:tcPr>
          <w:p w:rsidR="00B334CB" w:rsidRPr="00E42220" w:rsidRDefault="00B334CB" w:rsidP="00B334CB">
            <w:pPr>
              <w:spacing w:before="0" w:after="0"/>
              <w:rPr>
                <w:rFonts w:eastAsia="Times New Roman"/>
                <w:color w:val="FFFFFF" w:themeColor="background1"/>
                <w:sz w:val="16"/>
                <w:szCs w:val="16"/>
              </w:rPr>
            </w:pPr>
            <w:r w:rsidRPr="00E42220">
              <w:rPr>
                <w:rFonts w:eastAsia="Times New Roman"/>
                <w:color w:val="FFFFFF" w:themeColor="background1"/>
                <w:sz w:val="16"/>
                <w:szCs w:val="16"/>
              </w:rPr>
              <w:t>2 per cent</w:t>
            </w:r>
          </w:p>
        </w:tc>
      </w:tr>
    </w:tbl>
    <w:p w:rsidR="00FF79A9" w:rsidRPr="002F2D9E" w:rsidRDefault="006B03AB" w:rsidP="00891443">
      <w:pPr>
        <w:pStyle w:val="PBOsource"/>
        <w:rPr>
          <w:rFonts w:ascii="Arial" w:hAnsi="Arial"/>
          <w:noProof/>
          <w:sz w:val="16"/>
        </w:rPr>
      </w:pPr>
      <w:r w:rsidRPr="002F2D9E">
        <w:t>Source: Australian Gover</w:t>
      </w:r>
      <w:r w:rsidR="00DF5CEB" w:rsidRPr="002F2D9E">
        <w:t>nment Budgets and PBO Analysis</w:t>
      </w:r>
      <w:r w:rsidR="00E71EDF" w:rsidRPr="002F2D9E">
        <w:rPr>
          <w:noProof/>
        </w:rPr>
        <w:br w:type="page"/>
      </w:r>
    </w:p>
    <w:p w:rsidR="00656DAF" w:rsidRPr="007E3A36" w:rsidRDefault="00656DAF" w:rsidP="0033546E">
      <w:pPr>
        <w:pStyle w:val="PBOheading2"/>
        <w:numPr>
          <w:ilvl w:val="1"/>
          <w:numId w:val="31"/>
        </w:numPr>
      </w:pPr>
      <w:bookmarkStart w:id="61" w:name="_Toc396382636"/>
      <w:r w:rsidRPr="007E3A36">
        <w:lastRenderedPageBreak/>
        <w:t>Age Pension</w:t>
      </w:r>
      <w:bookmarkEnd w:id="61"/>
    </w:p>
    <w:p w:rsidR="00717444" w:rsidRDefault="00717444" w:rsidP="00717444">
      <w:pPr>
        <w:pStyle w:val="PBOtext"/>
      </w:pPr>
      <w:r w:rsidRPr="00F03102">
        <w:t xml:space="preserve">Growth in spending on the Age Pension is projected to slow from its historical real growth of 4.5 per cent annually to </w:t>
      </w:r>
      <w:r>
        <w:t>2.8</w:t>
      </w:r>
      <w:r w:rsidRPr="00F03102">
        <w:t xml:space="preserve"> per cent annually over the medium term. </w:t>
      </w:r>
      <w:r>
        <w:t>The A</w:t>
      </w:r>
      <w:r w:rsidRPr="00F03102">
        <w:t>ge Pensio</w:t>
      </w:r>
      <w:r>
        <w:t>n is projected to account for 12</w:t>
      </w:r>
      <w:r w:rsidRPr="00F03102">
        <w:t xml:space="preserve"> per cent of the growth in total spending over the medium term </w:t>
      </w:r>
      <w:r>
        <w:t xml:space="preserve">and </w:t>
      </w:r>
      <w:r w:rsidRPr="00F03102">
        <w:t xml:space="preserve">10 per cent </w:t>
      </w:r>
      <w:r>
        <w:t>of total spending in 2024-25</w:t>
      </w:r>
      <w:r w:rsidRPr="00F03102">
        <w:t>.</w:t>
      </w:r>
    </w:p>
    <w:p w:rsidR="00717444" w:rsidRPr="00F03102" w:rsidRDefault="00717444" w:rsidP="00717444">
      <w:pPr>
        <w:pStyle w:val="PBOtext"/>
      </w:pPr>
      <w:r w:rsidRPr="00C53855">
        <w:t xml:space="preserve">Relatively strong historical growth reflects increases to the single pension rate and Pension Supplement in the 2009-10 Budget and further increases provided as part of the </w:t>
      </w:r>
      <w:r w:rsidRPr="00C53855">
        <w:rPr>
          <w:iCs/>
        </w:rPr>
        <w:t>carbon pricing package, including one-off payments</w:t>
      </w:r>
      <w:r w:rsidRPr="00C53855">
        <w:t xml:space="preserve">.  The eligibility </w:t>
      </w:r>
      <w:r w:rsidR="003F223B">
        <w:t>criteria for the Age Pension were</w:t>
      </w:r>
      <w:r w:rsidRPr="00C53855">
        <w:t xml:space="preserve"> also relaxed as part of the 2007 </w:t>
      </w:r>
      <w:r w:rsidRPr="00C53855">
        <w:rPr>
          <w:i/>
        </w:rPr>
        <w:t>Simpler Superannuation</w:t>
      </w:r>
      <w:r w:rsidRPr="00C53855">
        <w:t xml:space="preserve"> package. The slowing in growth over the medium term partly reflects the impact of the 2014-15 Budget measure to index the Age Pension to movements in the CPI from 1 September 2017.  This change to indexation is a shift from the current practice of increasing the Age Pension based on the higher of benchmarking against Male Total Average Weekly Earnings (MTAWE), or indexation by CPI or the Pensioner and Beneficiary Cost of Living index.</w:t>
      </w:r>
    </w:p>
    <w:p w:rsidR="00717444" w:rsidRDefault="00717444" w:rsidP="00E26C67">
      <w:pPr>
        <w:pStyle w:val="PBOtext"/>
      </w:pPr>
      <w:r w:rsidRPr="00F03102">
        <w:t xml:space="preserve">The 2009-10 Budget measure to lift the qualifying age for the Age Pension to 67 by 2023 also contributes to the projected slowing in the rate of growth in Age Pension spending over the medium term. The </w:t>
      </w:r>
      <w:r>
        <w:t>measure</w:t>
      </w:r>
      <w:r w:rsidRPr="00F03102">
        <w:t xml:space="preserve"> to </w:t>
      </w:r>
      <w:proofErr w:type="gramStart"/>
      <w:r w:rsidRPr="00F03102">
        <w:t>raise</w:t>
      </w:r>
      <w:proofErr w:type="gramEnd"/>
      <w:r w:rsidRPr="00F03102">
        <w:t xml:space="preserve"> the pension age to 70 years </w:t>
      </w:r>
      <w:r>
        <w:t>takes effect outside of the medium-term period (commences 1 July 2025).</w:t>
      </w:r>
    </w:p>
    <w:p w:rsidR="00EE5602" w:rsidRDefault="00A56D52" w:rsidP="00E26C67">
      <w:pPr>
        <w:pStyle w:val="PBOfiguretableheading"/>
        <w:rPr>
          <w:noProof/>
        </w:rPr>
      </w:pPr>
      <w:r w:rsidRPr="00A56D52">
        <w:rPr>
          <w:noProof/>
          <w:color w:val="FFFFFF" w:themeColor="background1"/>
          <w:lang w:eastAsia="en-AU"/>
        </w:rPr>
        <w:drawing>
          <wp:anchor distT="0" distB="0" distL="114300" distR="114300" simplePos="0" relativeHeight="251728896" behindDoc="0" locked="0" layoutInCell="1" allowOverlap="1" wp14:anchorId="0D07D846" wp14:editId="01009CB2">
            <wp:simplePos x="0" y="0"/>
            <wp:positionH relativeFrom="column">
              <wp:posOffset>-20320</wp:posOffset>
            </wp:positionH>
            <wp:positionV relativeFrom="paragraph">
              <wp:posOffset>288925</wp:posOffset>
            </wp:positionV>
            <wp:extent cx="5401310" cy="3596640"/>
            <wp:effectExtent l="0" t="0" r="889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14:sizeRelH relativeFrom="page">
              <wp14:pctWidth>0</wp14:pctWidth>
            </wp14:sizeRelH>
            <wp14:sizeRelV relativeFrom="page">
              <wp14:pctHeight>0</wp14:pctHeight>
            </wp14:sizeRelV>
          </wp:anchor>
        </w:drawing>
      </w:r>
      <w:r w:rsidR="00EE5602" w:rsidRPr="00B14A66">
        <w:t>Figure 2.3</w:t>
      </w:r>
      <w:r w:rsidR="001A2DDD" w:rsidRPr="00B14A66">
        <w:t>.</w:t>
      </w:r>
      <w:r w:rsidR="00EE5602" w:rsidRPr="00B14A66">
        <w:t xml:space="preserve">1: Nominal </w:t>
      </w:r>
      <w:r w:rsidR="006401FE" w:rsidRPr="00B14A66">
        <w:t>spending on the</w:t>
      </w:r>
      <w:r w:rsidR="00EE5602" w:rsidRPr="00B14A66">
        <w:t xml:space="preserve"> Age Pension </w:t>
      </w:r>
      <w:r w:rsidR="005306A2" w:rsidRPr="00B14A66">
        <w:t>and annual real growth</w:t>
      </w:r>
      <w:r w:rsidR="00024481">
        <w:t xml:space="preserve"> </w:t>
      </w:r>
    </w:p>
    <w:tbl>
      <w:tblPr>
        <w:tblW w:w="7938" w:type="dxa"/>
        <w:jc w:val="center"/>
        <w:tblLayout w:type="fixed"/>
        <w:tblLook w:val="04A0" w:firstRow="1" w:lastRow="0" w:firstColumn="1" w:lastColumn="0" w:noHBand="0" w:noVBand="1"/>
      </w:tblPr>
      <w:tblGrid>
        <w:gridCol w:w="3667"/>
        <w:gridCol w:w="1423"/>
        <w:gridCol w:w="1424"/>
        <w:gridCol w:w="1424"/>
      </w:tblGrid>
      <w:tr w:rsidR="00A56D52" w:rsidRPr="00A56D52" w:rsidTr="00A56D52">
        <w:trPr>
          <w:trHeight w:hRule="exact" w:val="43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Year</w:t>
            </w:r>
          </w:p>
        </w:tc>
        <w:tc>
          <w:tcPr>
            <w:tcW w:w="1423" w:type="dxa"/>
            <w:shd w:val="clear" w:color="auto" w:fill="auto"/>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Nominal dollars</w:t>
            </w:r>
          </w:p>
        </w:tc>
        <w:tc>
          <w:tcPr>
            <w:tcW w:w="1424" w:type="dxa"/>
            <w:shd w:val="clear" w:color="auto" w:fill="auto"/>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Nominal dollar without measures</w:t>
            </w:r>
          </w:p>
        </w:tc>
        <w:tc>
          <w:tcPr>
            <w:tcW w:w="1424" w:type="dxa"/>
            <w:shd w:val="clear" w:color="auto" w:fill="auto"/>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Annual real growth</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2002-03</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17.7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 </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 </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2003-04</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19.5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 </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7.6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2004-05</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20.0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 </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-0.2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2005-06</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20.6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 </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-0.1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2006-07</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22.6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 </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6.6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2007-08</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24.6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 </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5.2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2008-09</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28.1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 </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10.9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2009-10</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29.4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 </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2.2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2010-11</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32.2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 </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6.1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2011-12</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34.7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 </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5.5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2012-13</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36.3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 </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2.2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2013-14</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39.4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 </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5.6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2014-15</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42.0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42.0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4.3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2015-16</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44.5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44.5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3.6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2016-17</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47.5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47.5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4.0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2017-18</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49.6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49.8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1.9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2018-19</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52.4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53.0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3.0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2019-20</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54.3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55.7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1.1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2020-21</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57.3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59.2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2.9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2021-22</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59.0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61.9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0.6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2022-23</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62.4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66.5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3.1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2023-24</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64.4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69.9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0.7 per cent</w:t>
            </w:r>
          </w:p>
        </w:tc>
      </w:tr>
      <w:tr w:rsidR="00A56D52" w:rsidRPr="00A56D52" w:rsidTr="00A56D52">
        <w:trPr>
          <w:trHeight w:hRule="exact" w:val="227"/>
          <w:jc w:val="center"/>
        </w:trPr>
        <w:tc>
          <w:tcPr>
            <w:tcW w:w="3667" w:type="dxa"/>
            <w:shd w:val="clear" w:color="auto" w:fill="auto"/>
            <w:noWrap/>
            <w:vAlign w:val="center"/>
            <w:hideMark/>
          </w:tcPr>
          <w:p w:rsidR="00021F6B" w:rsidRPr="00A56D52" w:rsidRDefault="00021F6B" w:rsidP="00021F6B">
            <w:pPr>
              <w:spacing w:before="0" w:after="0"/>
              <w:jc w:val="center"/>
              <w:rPr>
                <w:rFonts w:ascii="Arial" w:eastAsia="Times New Roman" w:hAnsi="Arial" w:cs="Arial"/>
                <w:b/>
                <w:bCs/>
                <w:color w:val="FFFFFF" w:themeColor="background1"/>
                <w:sz w:val="16"/>
                <w:szCs w:val="16"/>
              </w:rPr>
            </w:pPr>
            <w:r w:rsidRPr="00A56D52">
              <w:rPr>
                <w:rFonts w:ascii="Arial" w:eastAsia="Times New Roman" w:hAnsi="Arial" w:cs="Arial"/>
                <w:b/>
                <w:bCs/>
                <w:color w:val="FFFFFF" w:themeColor="background1"/>
                <w:sz w:val="16"/>
                <w:szCs w:val="16"/>
              </w:rPr>
              <w:t>2024-25</w:t>
            </w:r>
          </w:p>
        </w:tc>
        <w:tc>
          <w:tcPr>
            <w:tcW w:w="1423"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67.9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74.8 billion</w:t>
            </w:r>
          </w:p>
        </w:tc>
        <w:tc>
          <w:tcPr>
            <w:tcW w:w="1424" w:type="dxa"/>
            <w:shd w:val="clear" w:color="auto" w:fill="auto"/>
            <w:noWrap/>
            <w:vAlign w:val="bottom"/>
            <w:hideMark/>
          </w:tcPr>
          <w:p w:rsidR="00021F6B" w:rsidRPr="00A56D52" w:rsidRDefault="00021F6B" w:rsidP="00021F6B">
            <w:pPr>
              <w:spacing w:before="0" w:after="0"/>
              <w:rPr>
                <w:rFonts w:ascii="Arial" w:eastAsia="Times New Roman" w:hAnsi="Arial" w:cs="Arial"/>
                <w:color w:val="FFFFFF" w:themeColor="background1"/>
                <w:sz w:val="16"/>
                <w:szCs w:val="16"/>
              </w:rPr>
            </w:pPr>
            <w:r w:rsidRPr="00A56D52">
              <w:rPr>
                <w:rFonts w:ascii="Arial" w:eastAsia="Times New Roman" w:hAnsi="Arial" w:cs="Arial"/>
                <w:color w:val="FFFFFF" w:themeColor="background1"/>
                <w:sz w:val="16"/>
                <w:szCs w:val="16"/>
              </w:rPr>
              <w:t>2.9 per cent</w:t>
            </w:r>
          </w:p>
        </w:tc>
      </w:tr>
    </w:tbl>
    <w:p w:rsidR="005306A2" w:rsidRDefault="005306A2" w:rsidP="005B7C24">
      <w:pPr>
        <w:pStyle w:val="PBOsource"/>
        <w:spacing w:before="0"/>
      </w:pPr>
      <w:r>
        <w:t>Source: Australian Gover</w:t>
      </w:r>
      <w:r w:rsidR="005855E5">
        <w:t>nment Budgets and PBO Analysis</w:t>
      </w:r>
    </w:p>
    <w:p w:rsidR="00040BD5" w:rsidRDefault="00717444" w:rsidP="00E26C67">
      <w:pPr>
        <w:pStyle w:val="PBOtext"/>
      </w:pPr>
      <w:r w:rsidRPr="00B14A66">
        <w:t>Figure 2.3.1 shows projected spending on the Age Pension, with and without the impact of the 2014</w:t>
      </w:r>
      <w:r w:rsidRPr="00B14A66">
        <w:noBreakHyphen/>
      </w:r>
      <w:r w:rsidRPr="00A16D18">
        <w:t xml:space="preserve">15 Budget measures </w:t>
      </w:r>
      <w:r>
        <w:t>which are</w:t>
      </w:r>
      <w:r w:rsidRPr="00B14A66">
        <w:t xml:space="preserve"> yet to be legislated. In 2024-25 </w:t>
      </w:r>
      <w:r>
        <w:t>savings measures relating to the Age Pension are</w:t>
      </w:r>
      <w:r w:rsidRPr="00B14A66">
        <w:t xml:space="preserve"> projected to reduce spending by </w:t>
      </w:r>
      <w:r w:rsidRPr="008C68E7">
        <w:t>$</w:t>
      </w:r>
      <w:r>
        <w:t>6.9</w:t>
      </w:r>
      <w:r w:rsidRPr="008C68E7">
        <w:t xml:space="preserve"> billion.</w:t>
      </w:r>
      <w:r w:rsidRPr="00B14A66">
        <w:t xml:space="preserve"> </w:t>
      </w:r>
      <w:r w:rsidR="00040BD5">
        <w:br w:type="page"/>
      </w:r>
    </w:p>
    <w:p w:rsidR="00FF79A9" w:rsidRPr="00845065" w:rsidRDefault="00FF79A9" w:rsidP="0033546E">
      <w:pPr>
        <w:pStyle w:val="PBOheading2"/>
        <w:numPr>
          <w:ilvl w:val="1"/>
          <w:numId w:val="31"/>
        </w:numPr>
      </w:pPr>
      <w:bookmarkStart w:id="62" w:name="_Toc396382637"/>
      <w:r w:rsidRPr="00845065">
        <w:lastRenderedPageBreak/>
        <w:t>Defence</w:t>
      </w:r>
      <w:bookmarkEnd w:id="62"/>
    </w:p>
    <w:p w:rsidR="00717444" w:rsidRDefault="00717444" w:rsidP="00717444">
      <w:pPr>
        <w:pStyle w:val="PBOtext"/>
      </w:pPr>
      <w:r>
        <w:t xml:space="preserve">Growth in spending on defence, including net capital investment, is projected to accelerate from its historical real growth of </w:t>
      </w:r>
      <w:r w:rsidR="00D30853">
        <w:t>2.1</w:t>
      </w:r>
      <w:r>
        <w:t xml:space="preserve"> per cent annually to 3.</w:t>
      </w:r>
      <w:r w:rsidR="00D30853">
        <w:t>6</w:t>
      </w:r>
      <w:r>
        <w:t> per cent annually over the medium term.</w:t>
      </w:r>
      <w:r w:rsidRPr="0032583B">
        <w:t xml:space="preserve"> </w:t>
      </w:r>
      <w:r>
        <w:t xml:space="preserve">Defence </w:t>
      </w:r>
      <w:r w:rsidRPr="00A97B46">
        <w:t xml:space="preserve">is </w:t>
      </w:r>
      <w:r>
        <w:t>projected</w:t>
      </w:r>
      <w:r w:rsidRPr="00A97B46">
        <w:t xml:space="preserve"> to </w:t>
      </w:r>
      <w:r>
        <w:t>account for 10</w:t>
      </w:r>
      <w:r w:rsidRPr="0078196F">
        <w:t xml:space="preserve"> per cent of the growth in total spending over the medium term and 7 per cent of total spendin</w:t>
      </w:r>
      <w:r>
        <w:t>g in 2024-25.</w:t>
      </w:r>
    </w:p>
    <w:p w:rsidR="00717444" w:rsidRDefault="00717444" w:rsidP="00717444">
      <w:pPr>
        <w:pStyle w:val="PBOtext"/>
      </w:pPr>
      <w:r>
        <w:t>Strong historical growth reflects the long-term funding commitments made in the Defence White Papers released in 2000 and 2009, and in the 2006-07 Budget, supplemented by funding for specific capabilities including the C17 heavy airlift aircraft and the F/A</w:t>
      </w:r>
      <w:r>
        <w:noBreakHyphen/>
        <w:t>18F Super Hornet aircraft.  From 2010</w:t>
      </w:r>
      <w:r>
        <w:noBreakHyphen/>
        <w:t>11 growth slowed due to savings decisions taken in th</w:t>
      </w:r>
      <w:r w:rsidR="002F2D9E">
        <w:t>e 2009-10, 201</w:t>
      </w:r>
      <w:r>
        <w:t>1-12 and 2012-13 Budgets which largely involved the deferral of capital acquisitions and the associated operating and maintenance costs.</w:t>
      </w:r>
    </w:p>
    <w:p w:rsidR="00717444" w:rsidRDefault="00717444" w:rsidP="00717444">
      <w:pPr>
        <w:pStyle w:val="PBOtext"/>
        <w:rPr>
          <w:rFonts w:ascii="Times New Roman" w:hAnsi="Times New Roman"/>
        </w:rPr>
      </w:pPr>
      <w:r>
        <w:t xml:space="preserve">Spending growth in the medium term </w:t>
      </w:r>
      <w:r w:rsidR="008C15DA">
        <w:t xml:space="preserve">has been projected by the PBO </w:t>
      </w:r>
      <w:r>
        <w:t>reflect</w:t>
      </w:r>
      <w:r w:rsidR="008C15DA">
        <w:t>ing</w:t>
      </w:r>
      <w:r>
        <w:t xml:space="preserve"> the long term funding commitments made in the 2009 Defence White Paper as amended by deferral decisions, and adjustments made in the 2014-15 Budget to smooth the funding profile over the medium term.</w:t>
      </w:r>
    </w:p>
    <w:p w:rsidR="00E71EDF" w:rsidRDefault="00E71EDF" w:rsidP="00E26C67">
      <w:pPr>
        <w:pStyle w:val="PBOfiguretableheading"/>
      </w:pPr>
      <w:r>
        <w:t>Figure 2.4</w:t>
      </w:r>
      <w:r w:rsidR="001A2DDD">
        <w:t>.</w:t>
      </w:r>
      <w:r>
        <w:t>1: Nominal spending</w:t>
      </w:r>
      <w:r w:rsidR="002253B2">
        <w:t xml:space="preserve"> on defence</w:t>
      </w:r>
      <w:r w:rsidR="00821839">
        <w:t xml:space="preserve"> and annual real growth</w:t>
      </w:r>
    </w:p>
    <w:tbl>
      <w:tblPr>
        <w:tblW w:w="7938" w:type="dxa"/>
        <w:jc w:val="center"/>
        <w:tblInd w:w="103" w:type="dxa"/>
        <w:tblLayout w:type="fixed"/>
        <w:tblLook w:val="04A0" w:firstRow="1" w:lastRow="0" w:firstColumn="1" w:lastColumn="0" w:noHBand="0" w:noVBand="1"/>
      </w:tblPr>
      <w:tblGrid>
        <w:gridCol w:w="3287"/>
        <w:gridCol w:w="2325"/>
        <w:gridCol w:w="2326"/>
      </w:tblGrid>
      <w:tr w:rsidR="006F6490" w:rsidRPr="006F6490" w:rsidTr="006F6490">
        <w:trPr>
          <w:trHeight w:hRule="exact" w:val="227"/>
          <w:jc w:val="center"/>
        </w:trPr>
        <w:tc>
          <w:tcPr>
            <w:tcW w:w="3287" w:type="dxa"/>
            <w:shd w:val="clear" w:color="auto" w:fill="auto"/>
            <w:noWrap/>
            <w:vAlign w:val="center"/>
            <w:hideMark/>
          </w:tcPr>
          <w:p w:rsidR="001A6FE0" w:rsidRPr="006F6490" w:rsidRDefault="001452C2" w:rsidP="001A6FE0">
            <w:pPr>
              <w:spacing w:before="0" w:after="0"/>
              <w:jc w:val="center"/>
              <w:rPr>
                <w:rFonts w:ascii="Arial" w:eastAsia="Times New Roman" w:hAnsi="Arial" w:cs="Arial"/>
                <w:b/>
                <w:bCs/>
                <w:color w:val="FFFFFF" w:themeColor="background1"/>
                <w:sz w:val="16"/>
                <w:szCs w:val="16"/>
              </w:rPr>
            </w:pPr>
            <w:r>
              <w:rPr>
                <w:noProof/>
              </w:rPr>
              <w:drawing>
                <wp:anchor distT="0" distB="0" distL="114300" distR="114300" simplePos="0" relativeHeight="251767808" behindDoc="0" locked="0" layoutInCell="1" allowOverlap="1" wp14:anchorId="0F881309" wp14:editId="724F06DA">
                  <wp:simplePos x="0" y="0"/>
                  <wp:positionH relativeFrom="column">
                    <wp:posOffset>-156845</wp:posOffset>
                  </wp:positionH>
                  <wp:positionV relativeFrom="paragraph">
                    <wp:posOffset>-11430</wp:posOffset>
                  </wp:positionV>
                  <wp:extent cx="5414010" cy="36029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4010" cy="3602990"/>
                          </a:xfrm>
                          <a:prstGeom prst="rect">
                            <a:avLst/>
                          </a:prstGeom>
                          <a:noFill/>
                        </pic:spPr>
                      </pic:pic>
                    </a:graphicData>
                  </a:graphic>
                  <wp14:sizeRelH relativeFrom="page">
                    <wp14:pctWidth>0</wp14:pctWidth>
                  </wp14:sizeRelH>
                  <wp14:sizeRelV relativeFrom="page">
                    <wp14:pctHeight>0</wp14:pctHeight>
                  </wp14:sizeRelV>
                </wp:anchor>
              </w:drawing>
            </w:r>
            <w:r w:rsidR="001A6FE0" w:rsidRPr="006F6490">
              <w:rPr>
                <w:rFonts w:ascii="Arial" w:eastAsia="Times New Roman" w:hAnsi="Arial" w:cs="Arial"/>
                <w:b/>
                <w:bCs/>
                <w:color w:val="FFFFFF" w:themeColor="background1"/>
                <w:sz w:val="16"/>
                <w:szCs w:val="16"/>
              </w:rPr>
              <w:t>Year</w:t>
            </w:r>
          </w:p>
        </w:tc>
        <w:tc>
          <w:tcPr>
            <w:tcW w:w="2325" w:type="dxa"/>
            <w:shd w:val="clear" w:color="auto" w:fill="auto"/>
            <w:vAlign w:val="center"/>
            <w:hideMark/>
          </w:tcPr>
          <w:p w:rsidR="001A6FE0" w:rsidRPr="006F6490" w:rsidRDefault="001A6FE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Nominal dollars</w:t>
            </w:r>
          </w:p>
        </w:tc>
        <w:tc>
          <w:tcPr>
            <w:tcW w:w="2326" w:type="dxa"/>
            <w:shd w:val="clear" w:color="auto" w:fill="auto"/>
            <w:vAlign w:val="center"/>
            <w:hideMark/>
          </w:tcPr>
          <w:p w:rsidR="001A6FE0" w:rsidRPr="006F6490" w:rsidRDefault="001A6FE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Annual real growth</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2002-03</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14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 </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2003-04</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15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1.0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2004-05</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16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8.8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2005-06</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16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-7.5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2006-07</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18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12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2007-08</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20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8.5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2008-09</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22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4.4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2009-10</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24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10.0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2010-11</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24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-4.0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2011-12</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25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-.8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2012-13</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23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-10.3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2013-14</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28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13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2014-15</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28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6.1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2015-16</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29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0.9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2016-17</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30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-1.8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2017-18</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32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6.8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2018-19</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35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4.6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2019-20</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36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1.8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2020-21</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38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3.4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2021-22</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40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2.5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2022-23</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43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3.5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2023-24</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45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2.3 per cent</w:t>
            </w:r>
          </w:p>
        </w:tc>
      </w:tr>
      <w:tr w:rsidR="006F6490" w:rsidRPr="006F6490" w:rsidTr="006F6490">
        <w:trPr>
          <w:trHeight w:hRule="exact" w:val="227"/>
          <w:jc w:val="center"/>
        </w:trPr>
        <w:tc>
          <w:tcPr>
            <w:tcW w:w="3287" w:type="dxa"/>
            <w:shd w:val="clear" w:color="auto" w:fill="auto"/>
            <w:noWrap/>
            <w:vAlign w:val="center"/>
            <w:hideMark/>
          </w:tcPr>
          <w:p w:rsidR="006F6490" w:rsidRPr="006F6490" w:rsidRDefault="006F6490" w:rsidP="001A6FE0">
            <w:pPr>
              <w:spacing w:before="0" w:after="0"/>
              <w:jc w:val="center"/>
              <w:rPr>
                <w:rFonts w:ascii="Arial" w:eastAsia="Times New Roman" w:hAnsi="Arial" w:cs="Arial"/>
                <w:b/>
                <w:bCs/>
                <w:color w:val="FFFFFF" w:themeColor="background1"/>
                <w:sz w:val="16"/>
                <w:szCs w:val="16"/>
              </w:rPr>
            </w:pPr>
            <w:r w:rsidRPr="006F6490">
              <w:rPr>
                <w:rFonts w:ascii="Arial" w:eastAsia="Times New Roman" w:hAnsi="Arial" w:cs="Arial"/>
                <w:b/>
                <w:bCs/>
                <w:color w:val="FFFFFF" w:themeColor="background1"/>
                <w:sz w:val="16"/>
                <w:szCs w:val="16"/>
              </w:rPr>
              <w:t>2024-25</w:t>
            </w:r>
          </w:p>
        </w:tc>
        <w:tc>
          <w:tcPr>
            <w:tcW w:w="2325"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47 billion</w:t>
            </w:r>
          </w:p>
        </w:tc>
        <w:tc>
          <w:tcPr>
            <w:tcW w:w="2326" w:type="dxa"/>
            <w:shd w:val="clear" w:color="auto" w:fill="auto"/>
            <w:noWrap/>
            <w:vAlign w:val="bottom"/>
            <w:hideMark/>
          </w:tcPr>
          <w:p w:rsidR="006F6490" w:rsidRPr="006F6490" w:rsidRDefault="006F6490" w:rsidP="006F6490">
            <w:pPr>
              <w:spacing w:before="0" w:after="0"/>
              <w:rPr>
                <w:rFonts w:ascii="Arial" w:hAnsi="Arial" w:cs="Arial"/>
                <w:color w:val="FFFFFF" w:themeColor="background1"/>
                <w:sz w:val="16"/>
                <w:szCs w:val="16"/>
              </w:rPr>
            </w:pPr>
            <w:r w:rsidRPr="006F6490">
              <w:rPr>
                <w:rFonts w:ascii="Arial" w:hAnsi="Arial" w:cs="Arial"/>
                <w:color w:val="FFFFFF" w:themeColor="background1"/>
                <w:sz w:val="16"/>
                <w:szCs w:val="16"/>
              </w:rPr>
              <w:t>2.5 per cent</w:t>
            </w:r>
          </w:p>
        </w:tc>
      </w:tr>
    </w:tbl>
    <w:p w:rsidR="00E71EDF" w:rsidRPr="00E71EDF" w:rsidRDefault="005306A2" w:rsidP="00B12C49">
      <w:pPr>
        <w:pStyle w:val="PBOsource"/>
        <w:spacing w:before="240"/>
        <w:rPr>
          <w:rFonts w:ascii="Arial" w:hAnsi="Arial"/>
          <w:sz w:val="16"/>
        </w:rPr>
      </w:pPr>
      <w:r>
        <w:t>Source: Australian Gove</w:t>
      </w:r>
      <w:r w:rsidR="00040BD5">
        <w:t>rnment Budgets and PBO Analysis</w:t>
      </w:r>
      <w:r w:rsidR="00E71EDF">
        <w:br w:type="page"/>
      </w:r>
    </w:p>
    <w:p w:rsidR="00B334CB" w:rsidRDefault="00B334CB" w:rsidP="00B334CB">
      <w:pPr>
        <w:pStyle w:val="PBOheading2"/>
        <w:numPr>
          <w:ilvl w:val="1"/>
          <w:numId w:val="31"/>
        </w:numPr>
      </w:pPr>
      <w:bookmarkStart w:id="63" w:name="_Toc396382638"/>
      <w:r>
        <w:lastRenderedPageBreak/>
        <w:t>Aged care</w:t>
      </w:r>
      <w:bookmarkEnd w:id="63"/>
    </w:p>
    <w:p w:rsidR="00113D7D" w:rsidRDefault="00113D7D" w:rsidP="00113D7D">
      <w:pPr>
        <w:pStyle w:val="PBOtext"/>
      </w:pPr>
      <w:r w:rsidRPr="00E71EDF">
        <w:t>Growth in spending on aged care is projected to slow from its historical real growth</w:t>
      </w:r>
      <w:r>
        <w:t xml:space="preserve"> of 6.8 per cent annually to 5.4</w:t>
      </w:r>
      <w:r w:rsidRPr="00E71EDF">
        <w:t> per cent annually over the medium term.  Aged care is projected to account for 9</w:t>
      </w:r>
      <w:r>
        <w:t> </w:t>
      </w:r>
      <w:r w:rsidRPr="00E71EDF">
        <w:t>per</w:t>
      </w:r>
      <w:r>
        <w:t> </w:t>
      </w:r>
      <w:r w:rsidRPr="00E71EDF">
        <w:t xml:space="preserve">cent of the growth in total spending over the medium term </w:t>
      </w:r>
      <w:r>
        <w:t xml:space="preserve">and </w:t>
      </w:r>
      <w:r w:rsidRPr="00E71EDF">
        <w:t xml:space="preserve">5 per cent </w:t>
      </w:r>
      <w:r>
        <w:t>of total spending in 2024-25, an increase from its share of 3 per cent of total spending in 2012-13</w:t>
      </w:r>
      <w:r w:rsidRPr="0078196F">
        <w:t>.</w:t>
      </w:r>
    </w:p>
    <w:p w:rsidR="00113D7D" w:rsidRPr="00C53855" w:rsidRDefault="00113D7D" w:rsidP="00113D7D">
      <w:pPr>
        <w:pStyle w:val="PBOtext"/>
      </w:pPr>
      <w:r w:rsidRPr="00C53855">
        <w:t>Strong historical growth reflects the Commonwealth assuming greater responsibility for funding aged care from the States, and spending in the 2004-05 Budget to improve the quality and availability of aged care services. Continued strong growth over the medium term is driven by projected increases in the number of aged care places funded by the Commonwealth and the ageing population, partly offset by the 2014</w:t>
      </w:r>
      <w:r w:rsidRPr="00C53855">
        <w:noBreakHyphen/>
        <w:t>15 Budget measure to reduce spending on the Commonwealth Home Support Programme by $2 billion over six years from 2018-19.</w:t>
      </w:r>
    </w:p>
    <w:p w:rsidR="00B334CB" w:rsidRDefault="00A403AB" w:rsidP="00B334CB">
      <w:pPr>
        <w:pStyle w:val="PBOfiguretableheading"/>
      </w:pPr>
      <w:r>
        <w:rPr>
          <w:noProof/>
          <w:lang w:eastAsia="en-AU"/>
        </w:rPr>
        <w:drawing>
          <wp:anchor distT="0" distB="0" distL="114300" distR="114300" simplePos="0" relativeHeight="251730944" behindDoc="0" locked="0" layoutInCell="1" allowOverlap="1" wp14:anchorId="5CC6C295" wp14:editId="5023A711">
            <wp:simplePos x="0" y="0"/>
            <wp:positionH relativeFrom="column">
              <wp:posOffset>0</wp:posOffset>
            </wp:positionH>
            <wp:positionV relativeFrom="paragraph">
              <wp:posOffset>274320</wp:posOffset>
            </wp:positionV>
            <wp:extent cx="5401310" cy="3596640"/>
            <wp:effectExtent l="0" t="0" r="889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14:sizeRelH relativeFrom="page">
              <wp14:pctWidth>0</wp14:pctWidth>
            </wp14:sizeRelH>
            <wp14:sizeRelV relativeFrom="page">
              <wp14:pctHeight>0</wp14:pctHeight>
            </wp14:sizeRelV>
          </wp:anchor>
        </w:drawing>
      </w:r>
      <w:r w:rsidR="00B334CB">
        <w:t>Figure 2.5.1: Nominal spending on aged care and annual real growth</w:t>
      </w:r>
    </w:p>
    <w:tbl>
      <w:tblPr>
        <w:tblW w:w="7938" w:type="dxa"/>
        <w:jc w:val="center"/>
        <w:tblInd w:w="103" w:type="dxa"/>
        <w:tblLook w:val="04A0" w:firstRow="1" w:lastRow="0" w:firstColumn="1" w:lastColumn="0" w:noHBand="0" w:noVBand="1"/>
      </w:tblPr>
      <w:tblGrid>
        <w:gridCol w:w="5499"/>
        <w:gridCol w:w="1201"/>
        <w:gridCol w:w="1238"/>
      </w:tblGrid>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Year</w:t>
            </w:r>
          </w:p>
        </w:tc>
        <w:tc>
          <w:tcPr>
            <w:tcW w:w="1044" w:type="dxa"/>
            <w:shd w:val="clear" w:color="auto" w:fill="auto"/>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Nominal dollars</w:t>
            </w:r>
          </w:p>
        </w:tc>
        <w:tc>
          <w:tcPr>
            <w:tcW w:w="1076" w:type="dxa"/>
            <w:shd w:val="clear" w:color="auto" w:fill="auto"/>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Annual real growth</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2002-03</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5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 </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2003-04</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6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14.5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2004-05</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6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0.4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2005-06</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6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2.0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2006-07</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7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5.2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2007-08</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7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4.6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2008-09</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8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5.4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2009-10</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9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7.3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2010-11</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10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7.4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2011-12</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11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8.1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2012-13</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13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14.3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2013-14</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14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4.8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2014-15</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15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4.8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2015-16</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16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3.6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2016-17</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17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3.6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2017-18</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 xml:space="preserve">18 billion </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3.8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2018-19</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20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7.7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2019-20</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21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5.5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2020-21</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23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 xml:space="preserve">5.6 per cent </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2021-22</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25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7.1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2022-23</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27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6.2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2023-24</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30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5.8 per cent</w:t>
            </w:r>
          </w:p>
        </w:tc>
      </w:tr>
      <w:tr w:rsidR="00A403AB" w:rsidRPr="00A403AB" w:rsidTr="00A403AB">
        <w:trPr>
          <w:trHeight w:val="227"/>
          <w:jc w:val="center"/>
        </w:trPr>
        <w:tc>
          <w:tcPr>
            <w:tcW w:w="4780" w:type="dxa"/>
            <w:shd w:val="clear" w:color="auto" w:fill="auto"/>
            <w:noWrap/>
            <w:vAlign w:val="center"/>
            <w:hideMark/>
          </w:tcPr>
          <w:p w:rsidR="004A6A10" w:rsidRPr="00A403AB" w:rsidRDefault="004A6A10" w:rsidP="004A6A10">
            <w:pPr>
              <w:spacing w:before="0" w:after="0"/>
              <w:jc w:val="center"/>
              <w:rPr>
                <w:rFonts w:ascii="Arial" w:eastAsia="Times New Roman" w:hAnsi="Arial" w:cs="Arial"/>
                <w:b/>
                <w:bCs/>
                <w:color w:val="FFFFFF" w:themeColor="background1"/>
                <w:sz w:val="16"/>
                <w:szCs w:val="16"/>
              </w:rPr>
            </w:pPr>
            <w:r w:rsidRPr="00A403AB">
              <w:rPr>
                <w:rFonts w:ascii="Arial" w:eastAsia="Times New Roman" w:hAnsi="Arial" w:cs="Arial"/>
                <w:b/>
                <w:bCs/>
                <w:color w:val="FFFFFF" w:themeColor="background1"/>
                <w:sz w:val="16"/>
                <w:szCs w:val="16"/>
              </w:rPr>
              <w:t>2024-25</w:t>
            </w:r>
          </w:p>
        </w:tc>
        <w:tc>
          <w:tcPr>
            <w:tcW w:w="1044"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32 billion</w:t>
            </w:r>
          </w:p>
        </w:tc>
        <w:tc>
          <w:tcPr>
            <w:tcW w:w="1076" w:type="dxa"/>
            <w:shd w:val="clear" w:color="auto" w:fill="auto"/>
            <w:noWrap/>
            <w:vAlign w:val="bottom"/>
            <w:hideMark/>
          </w:tcPr>
          <w:p w:rsidR="004A6A10" w:rsidRPr="00A403AB" w:rsidRDefault="004A6A10" w:rsidP="004A6A10">
            <w:pPr>
              <w:spacing w:before="0" w:after="0"/>
              <w:rPr>
                <w:rFonts w:ascii="Arial" w:eastAsia="Times New Roman" w:hAnsi="Arial" w:cs="Arial"/>
                <w:color w:val="FFFFFF" w:themeColor="background1"/>
                <w:sz w:val="16"/>
                <w:szCs w:val="16"/>
              </w:rPr>
            </w:pPr>
            <w:r w:rsidRPr="00A403AB">
              <w:rPr>
                <w:rFonts w:ascii="Arial" w:eastAsia="Times New Roman" w:hAnsi="Arial" w:cs="Arial"/>
                <w:color w:val="FFFFFF" w:themeColor="background1"/>
                <w:sz w:val="16"/>
                <w:szCs w:val="16"/>
              </w:rPr>
              <w:t>5.7 per cent</w:t>
            </w:r>
          </w:p>
        </w:tc>
      </w:tr>
    </w:tbl>
    <w:p w:rsidR="00B334CB" w:rsidRPr="00FF2A5E" w:rsidRDefault="00B334CB" w:rsidP="00FF2A5E">
      <w:pPr>
        <w:pStyle w:val="PBOsource"/>
      </w:pPr>
      <w:r w:rsidRPr="00FF2A5E">
        <w:t>Source: Australian Government Budgets and PBO Analysis</w:t>
      </w:r>
      <w:r w:rsidRPr="00FF2A5E">
        <w:br w:type="page"/>
      </w:r>
    </w:p>
    <w:p w:rsidR="00FF79A9" w:rsidRDefault="00FF79A9" w:rsidP="0033546E">
      <w:pPr>
        <w:pStyle w:val="PBOheading2"/>
        <w:numPr>
          <w:ilvl w:val="1"/>
          <w:numId w:val="31"/>
        </w:numPr>
      </w:pPr>
      <w:bookmarkStart w:id="64" w:name="_Toc396382639"/>
      <w:r>
        <w:lastRenderedPageBreak/>
        <w:t>Medicare Benefits Schedule</w:t>
      </w:r>
      <w:bookmarkEnd w:id="64"/>
    </w:p>
    <w:p w:rsidR="00113D7D" w:rsidRDefault="00113D7D" w:rsidP="00113D7D">
      <w:pPr>
        <w:pStyle w:val="PBOtext"/>
      </w:pPr>
      <w:r w:rsidRPr="003A3386">
        <w:rPr>
          <w:lang w:eastAsia="en-US"/>
        </w:rPr>
        <w:t xml:space="preserve">Growth in spending on the Medicare Benefits Schedule (Medicare) is </w:t>
      </w:r>
      <w:r>
        <w:rPr>
          <w:lang w:eastAsia="en-US"/>
        </w:rPr>
        <w:t>projected</w:t>
      </w:r>
      <w:r w:rsidRPr="003A3386">
        <w:rPr>
          <w:lang w:eastAsia="en-US"/>
        </w:rPr>
        <w:t xml:space="preserve"> to slow from</w:t>
      </w:r>
      <w:r>
        <w:rPr>
          <w:lang w:eastAsia="en-US"/>
        </w:rPr>
        <w:t xml:space="preserve"> its historical real growth of 5.8 per cent annually to 2.7</w:t>
      </w:r>
      <w:r w:rsidRPr="003A3386">
        <w:rPr>
          <w:lang w:eastAsia="en-US"/>
        </w:rPr>
        <w:t xml:space="preserve"> </w:t>
      </w:r>
      <w:r w:rsidRPr="003A3386">
        <w:t>per cent annually over the medium term</w:t>
      </w:r>
      <w:r w:rsidRPr="003A3386">
        <w:rPr>
          <w:lang w:eastAsia="en-US"/>
        </w:rPr>
        <w:t>.</w:t>
      </w:r>
      <w:r>
        <w:t xml:space="preserve"> </w:t>
      </w:r>
      <w:r w:rsidRPr="003A3386">
        <w:t>Medicare is projected to account for 6 per cent of the growth in total spending over the medium term</w:t>
      </w:r>
      <w:r>
        <w:t xml:space="preserve"> and</w:t>
      </w:r>
      <w:r w:rsidRPr="003A3386">
        <w:t xml:space="preserve"> 5 per cent </w:t>
      </w:r>
      <w:r>
        <w:t>of total spending in 2024-25</w:t>
      </w:r>
      <w:r w:rsidRPr="003A3386">
        <w:t>.</w:t>
      </w:r>
    </w:p>
    <w:p w:rsidR="00113D7D" w:rsidRPr="00C53855" w:rsidRDefault="00113D7D" w:rsidP="00113D7D">
      <w:pPr>
        <w:pStyle w:val="PBOtext"/>
      </w:pPr>
      <w:r w:rsidRPr="00C53855">
        <w:t xml:space="preserve">Strong historical growth reflects the introduction of a number of polices affecting Medicare including the Bulk Billing Incentive and Extended Medicare Safety Net in 2004, increasing the benefit for most services provided by a GP in 2005, and the inclusion of dental services items in 2007.  </w:t>
      </w:r>
    </w:p>
    <w:p w:rsidR="00113D7D" w:rsidRPr="003A3386" w:rsidRDefault="00113D7D" w:rsidP="00113D7D">
      <w:pPr>
        <w:pStyle w:val="PBOtext"/>
      </w:pPr>
      <w:r w:rsidRPr="00C53855">
        <w:rPr>
          <w:lang w:eastAsia="en-US"/>
        </w:rPr>
        <w:t xml:space="preserve">The slowing in growth over the medium term reflects </w:t>
      </w:r>
      <w:r w:rsidRPr="00C53855">
        <w:t>2014</w:t>
      </w:r>
      <w:r w:rsidRPr="00C53855">
        <w:noBreakHyphen/>
        <w:t>15 Budget measures to reduce Medicare rebates for visits to general practitioners, out</w:t>
      </w:r>
      <w:r w:rsidRPr="00C53855">
        <w:noBreakHyphen/>
        <w:t>of</w:t>
      </w:r>
      <w:r w:rsidRPr="00C53855">
        <w:noBreakHyphen/>
        <w:t>hospital pathology services and diagnostic imaging by $5 and allowing the providers of these services to collect a patient contribution fee of $7, pausing indexation for non-GP Medicare fee subsidies, and changes to safety net thresholds and out</w:t>
      </w:r>
      <w:r w:rsidRPr="00C53855">
        <w:noBreakHyphen/>
        <w:t>of</w:t>
      </w:r>
      <w:r w:rsidRPr="00C53855">
        <w:noBreakHyphen/>
        <w:t>pocket cost caps.</w:t>
      </w:r>
    </w:p>
    <w:p w:rsidR="00113D7D" w:rsidRDefault="00113D7D" w:rsidP="00113D7D">
      <w:pPr>
        <w:pStyle w:val="PBOtext"/>
      </w:pPr>
      <w:r>
        <w:t>Growth over the latter part</w:t>
      </w:r>
      <w:r w:rsidRPr="003A3386">
        <w:t xml:space="preserve"> of the medium term is relatively stronger</w:t>
      </w:r>
      <w:r>
        <w:t xml:space="preserve"> than at the beginning of the period</w:t>
      </w:r>
      <w:r w:rsidRPr="003A3386">
        <w:t xml:space="preserve">, driven by the lapsing of pauses to the indexation of some Medicare items combined with </w:t>
      </w:r>
      <w:r>
        <w:t xml:space="preserve">a projected </w:t>
      </w:r>
      <w:r w:rsidRPr="003A3386">
        <w:t>increase in the average cost of Medicare items claimed.</w:t>
      </w:r>
    </w:p>
    <w:p w:rsidR="003A3386" w:rsidRDefault="00C25158" w:rsidP="00E26C67">
      <w:pPr>
        <w:pStyle w:val="PBOfiguretableheading"/>
      </w:pPr>
      <w:r>
        <w:rPr>
          <w:noProof/>
          <w:lang w:eastAsia="en-AU"/>
        </w:rPr>
        <w:drawing>
          <wp:anchor distT="0" distB="0" distL="114300" distR="114300" simplePos="0" relativeHeight="251731968" behindDoc="0" locked="0" layoutInCell="1" allowOverlap="1" wp14:anchorId="02CD2852" wp14:editId="13908FE8">
            <wp:simplePos x="0" y="0"/>
            <wp:positionH relativeFrom="column">
              <wp:posOffset>-19050</wp:posOffset>
            </wp:positionH>
            <wp:positionV relativeFrom="paragraph">
              <wp:posOffset>251251</wp:posOffset>
            </wp:positionV>
            <wp:extent cx="5401310" cy="3596640"/>
            <wp:effectExtent l="0" t="0" r="889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14:sizeRelH relativeFrom="page">
              <wp14:pctWidth>0</wp14:pctWidth>
            </wp14:sizeRelH>
            <wp14:sizeRelV relativeFrom="page">
              <wp14:pctHeight>0</wp14:pctHeight>
            </wp14:sizeRelV>
          </wp:anchor>
        </w:drawing>
      </w:r>
      <w:r w:rsidR="003A3386">
        <w:t>Figure 2.6</w:t>
      </w:r>
      <w:r w:rsidR="001A2DDD">
        <w:t>.</w:t>
      </w:r>
      <w:r w:rsidR="003A3386">
        <w:t xml:space="preserve">1: Nominal </w:t>
      </w:r>
      <w:r w:rsidR="009F1DED">
        <w:t xml:space="preserve">spending on </w:t>
      </w:r>
      <w:r w:rsidR="0089527C">
        <w:t xml:space="preserve">the </w:t>
      </w:r>
      <w:r w:rsidR="003A3386">
        <w:t>Medicare Benefits Schedule</w:t>
      </w:r>
      <w:r w:rsidR="00821839">
        <w:t xml:space="preserve"> and annual real growth</w:t>
      </w:r>
    </w:p>
    <w:tbl>
      <w:tblPr>
        <w:tblW w:w="7965" w:type="dxa"/>
        <w:jc w:val="center"/>
        <w:tblLayout w:type="fixed"/>
        <w:tblLook w:val="04A0" w:firstRow="1" w:lastRow="0" w:firstColumn="1" w:lastColumn="0" w:noHBand="0" w:noVBand="1"/>
      </w:tblPr>
      <w:tblGrid>
        <w:gridCol w:w="2309"/>
        <w:gridCol w:w="1885"/>
        <w:gridCol w:w="1885"/>
        <w:gridCol w:w="1886"/>
      </w:tblGrid>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Year</w:t>
            </w:r>
          </w:p>
        </w:tc>
        <w:tc>
          <w:tcPr>
            <w:tcW w:w="1885" w:type="dxa"/>
            <w:shd w:val="clear" w:color="auto" w:fill="auto"/>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Nominal dollars</w:t>
            </w:r>
          </w:p>
        </w:tc>
        <w:tc>
          <w:tcPr>
            <w:tcW w:w="1885" w:type="dxa"/>
            <w:shd w:val="clear" w:color="auto" w:fill="auto"/>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Nominal dollars without measures</w:t>
            </w:r>
          </w:p>
        </w:tc>
        <w:tc>
          <w:tcPr>
            <w:tcW w:w="1886" w:type="dxa"/>
            <w:shd w:val="clear" w:color="auto" w:fill="auto"/>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Annual real growth</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2002-03</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8.1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 </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 </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2003-04</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8.5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 </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2.6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2004-05</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10.1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 </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15.6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2005-06</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10.8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 </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4.2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2006-07</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11.7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 </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4.7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2007-08</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13.0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 </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7.4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2008-09</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14.1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 </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5.8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2009-10</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15.4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 </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6.3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2010-11</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16.3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 </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2.5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2011-12</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17.8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 </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7.1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2012-13</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18.6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 </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1.8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2013-14</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19.1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 </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0.0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2014-15</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20.3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20.4 billion</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4.1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2015-16</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20.2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21.7 billion</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-3.1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2016-17</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21.5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23.1 billion</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3.9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2017-18</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22.6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24.3 billion</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2.9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2018-19</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24.1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25.8 billion</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3.6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2019-20</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25.5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27.3 billion</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3.6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2020-21</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27.1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29.0 billion</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3.5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2021-22</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28.8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30.7 billion</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3.6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2022-23</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30.5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32.6 billion</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3.5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2023-24</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32.4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34.5 billion</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3.5 per cent</w:t>
            </w:r>
          </w:p>
        </w:tc>
      </w:tr>
      <w:tr w:rsidR="00C25158" w:rsidRPr="00C25158" w:rsidTr="00C25158">
        <w:trPr>
          <w:trHeight w:hRule="exact" w:val="227"/>
          <w:jc w:val="center"/>
        </w:trPr>
        <w:tc>
          <w:tcPr>
            <w:tcW w:w="2309" w:type="dxa"/>
            <w:shd w:val="clear" w:color="auto" w:fill="auto"/>
            <w:noWrap/>
            <w:vAlign w:val="center"/>
            <w:hideMark/>
          </w:tcPr>
          <w:p w:rsidR="007E05FF" w:rsidRPr="00C25158" w:rsidRDefault="007E05FF" w:rsidP="007E05FF">
            <w:pPr>
              <w:spacing w:before="0" w:after="0"/>
              <w:jc w:val="center"/>
              <w:rPr>
                <w:rFonts w:ascii="Arial" w:eastAsia="Times New Roman" w:hAnsi="Arial" w:cs="Arial"/>
                <w:b/>
                <w:bCs/>
                <w:color w:val="FFFFFF" w:themeColor="background1"/>
                <w:sz w:val="16"/>
                <w:szCs w:val="16"/>
              </w:rPr>
            </w:pPr>
            <w:r w:rsidRPr="00C25158">
              <w:rPr>
                <w:rFonts w:ascii="Arial" w:eastAsia="Times New Roman" w:hAnsi="Arial" w:cs="Arial"/>
                <w:b/>
                <w:bCs/>
                <w:color w:val="FFFFFF" w:themeColor="background1"/>
                <w:sz w:val="16"/>
                <w:szCs w:val="16"/>
              </w:rPr>
              <w:t>2024-25</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34.3 billion</w:t>
            </w:r>
          </w:p>
        </w:tc>
        <w:tc>
          <w:tcPr>
            <w:tcW w:w="1885"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36.5 billion</w:t>
            </w:r>
          </w:p>
        </w:tc>
        <w:tc>
          <w:tcPr>
            <w:tcW w:w="1886" w:type="dxa"/>
            <w:shd w:val="clear" w:color="auto" w:fill="auto"/>
            <w:noWrap/>
            <w:vAlign w:val="bottom"/>
            <w:hideMark/>
          </w:tcPr>
          <w:p w:rsidR="007E05FF" w:rsidRPr="00C25158" w:rsidRDefault="007E05FF" w:rsidP="007E05FF">
            <w:pPr>
              <w:spacing w:before="0" w:after="0"/>
              <w:rPr>
                <w:rFonts w:ascii="Arial" w:eastAsia="Times New Roman" w:hAnsi="Arial" w:cs="Arial"/>
                <w:color w:val="FFFFFF" w:themeColor="background1"/>
                <w:sz w:val="16"/>
                <w:szCs w:val="16"/>
              </w:rPr>
            </w:pPr>
            <w:r w:rsidRPr="00C25158">
              <w:rPr>
                <w:rFonts w:ascii="Arial" w:eastAsia="Times New Roman" w:hAnsi="Arial" w:cs="Arial"/>
                <w:color w:val="FFFFFF" w:themeColor="background1"/>
                <w:sz w:val="16"/>
                <w:szCs w:val="16"/>
              </w:rPr>
              <w:t>3.4 per cent</w:t>
            </w:r>
          </w:p>
        </w:tc>
      </w:tr>
    </w:tbl>
    <w:p w:rsidR="00821839" w:rsidRDefault="00821839" w:rsidP="00891443">
      <w:pPr>
        <w:pStyle w:val="PBOsource"/>
      </w:pPr>
      <w:r>
        <w:t>Source: Australian Gover</w:t>
      </w:r>
      <w:r w:rsidR="005855E5">
        <w:t>nment Budgets and PBO Analysis</w:t>
      </w:r>
    </w:p>
    <w:p w:rsidR="00113D7D" w:rsidRDefault="00113D7D" w:rsidP="00113D7D">
      <w:pPr>
        <w:pStyle w:val="PBOtext"/>
      </w:pPr>
      <w:r w:rsidRPr="00B14A66">
        <w:t>Figure 2.6.1 shows projected spending on Medicare, with and without the impact of the 2014</w:t>
      </w:r>
      <w:r w:rsidRPr="00B14A66">
        <w:noBreakHyphen/>
        <w:t xml:space="preserve">15 Budget measures which are yet to be legislated. In 2024-25 </w:t>
      </w:r>
      <w:r>
        <w:t xml:space="preserve">savings measures relating to Medicare </w:t>
      </w:r>
      <w:r w:rsidRPr="00B14A66">
        <w:t>are pr</w:t>
      </w:r>
      <w:r>
        <w:t>ojected to reduce spending by $2.2</w:t>
      </w:r>
      <w:r w:rsidRPr="00B14A66">
        <w:t xml:space="preserve"> billion. </w:t>
      </w:r>
      <w:r>
        <w:br w:type="page"/>
      </w:r>
    </w:p>
    <w:p w:rsidR="00113D7D" w:rsidRDefault="00FF79A9" w:rsidP="00113D7D">
      <w:pPr>
        <w:pStyle w:val="PBOheading2"/>
        <w:numPr>
          <w:ilvl w:val="1"/>
          <w:numId w:val="31"/>
        </w:numPr>
      </w:pPr>
      <w:bookmarkStart w:id="65" w:name="_Toc396382640"/>
      <w:r>
        <w:lastRenderedPageBreak/>
        <w:t>Schools</w:t>
      </w:r>
      <w:bookmarkEnd w:id="65"/>
    </w:p>
    <w:p w:rsidR="00113D7D" w:rsidRDefault="00113D7D" w:rsidP="00113D7D">
      <w:pPr>
        <w:pStyle w:val="PBOtext"/>
      </w:pPr>
      <w:r w:rsidRPr="001A2DDD">
        <w:t>Funding to States for schools includes spending on the government, Ca</w:t>
      </w:r>
      <w:r>
        <w:t>tholic and independent sectors.</w:t>
      </w:r>
    </w:p>
    <w:p w:rsidR="00113D7D" w:rsidRPr="003A3386" w:rsidRDefault="00113D7D" w:rsidP="00113D7D">
      <w:pPr>
        <w:pStyle w:val="PBOtext"/>
      </w:pPr>
      <w:r>
        <w:t xml:space="preserve">Growth in funding for schools </w:t>
      </w:r>
      <w:r w:rsidRPr="003A3386">
        <w:rPr>
          <w:lang w:eastAsia="en-US"/>
        </w:rPr>
        <w:t xml:space="preserve">is </w:t>
      </w:r>
      <w:r>
        <w:rPr>
          <w:lang w:eastAsia="en-US"/>
        </w:rPr>
        <w:t>projected</w:t>
      </w:r>
      <w:r w:rsidRPr="003A3386">
        <w:rPr>
          <w:lang w:eastAsia="en-US"/>
        </w:rPr>
        <w:t xml:space="preserve"> to slow from its histor</w:t>
      </w:r>
      <w:r>
        <w:rPr>
          <w:lang w:eastAsia="en-US"/>
        </w:rPr>
        <w:t>ical real growth of 5.5 </w:t>
      </w:r>
      <w:r w:rsidRPr="003A3386">
        <w:rPr>
          <w:lang w:eastAsia="en-US"/>
        </w:rPr>
        <w:t>per</w:t>
      </w:r>
      <w:r>
        <w:rPr>
          <w:lang w:eastAsia="en-US"/>
        </w:rPr>
        <w:t> cent annually to 3.7</w:t>
      </w:r>
      <w:r w:rsidRPr="003A3386">
        <w:rPr>
          <w:lang w:eastAsia="en-US"/>
        </w:rPr>
        <w:t xml:space="preserve"> </w:t>
      </w:r>
      <w:r w:rsidRPr="003A3386">
        <w:t>per cent annually over the medium term</w:t>
      </w:r>
      <w:r w:rsidRPr="003A3386">
        <w:rPr>
          <w:lang w:eastAsia="en-US"/>
        </w:rPr>
        <w:t>.</w:t>
      </w:r>
      <w:r>
        <w:t xml:space="preserve"> Spending on schools is </w:t>
      </w:r>
      <w:r w:rsidRPr="003A3386">
        <w:t xml:space="preserve">projected to account for </w:t>
      </w:r>
      <w:r>
        <w:t>5</w:t>
      </w:r>
      <w:r w:rsidRPr="003A3386">
        <w:t xml:space="preserve"> per cent of the growth in total spending over the medium term</w:t>
      </w:r>
      <w:r>
        <w:t xml:space="preserve"> and</w:t>
      </w:r>
      <w:r w:rsidRPr="003A3386">
        <w:t xml:space="preserve"> </w:t>
      </w:r>
      <w:r>
        <w:t>4 </w:t>
      </w:r>
      <w:r w:rsidRPr="003A3386">
        <w:t>per</w:t>
      </w:r>
      <w:r>
        <w:t> </w:t>
      </w:r>
      <w:r w:rsidRPr="003A3386">
        <w:t xml:space="preserve">cent </w:t>
      </w:r>
      <w:r>
        <w:t>of total spending in 2024-25</w:t>
      </w:r>
      <w:r w:rsidRPr="003A3386">
        <w:t>.</w:t>
      </w:r>
    </w:p>
    <w:p w:rsidR="00113D7D" w:rsidRPr="005E5EFC" w:rsidRDefault="00113D7D" w:rsidP="00113D7D">
      <w:pPr>
        <w:pStyle w:val="PBOtext"/>
      </w:pPr>
      <w:r w:rsidRPr="005E5EFC">
        <w:t>Growth over the beginning of the medium term is in line with historical growth as school reform funding is maintained.</w:t>
      </w:r>
    </w:p>
    <w:p w:rsidR="00113D7D" w:rsidRPr="005E5EFC" w:rsidRDefault="00113D7D" w:rsidP="00E26C67">
      <w:pPr>
        <w:pStyle w:val="PBOtext"/>
      </w:pPr>
      <w:r>
        <w:t>G</w:t>
      </w:r>
      <w:r w:rsidRPr="005E5EFC">
        <w:t xml:space="preserve">rowth slows over the second half of the medium term largely driven by the 2014-15 Budget measure to index funding to schools by movements in the CPI with allowance for changes in enrolments from 1 January 2018.  This compares with existing indexation which is based on the cost of delivering education services. </w:t>
      </w:r>
      <w:r>
        <w:t>The slowing in spending growth over the second half of the medium term represents a partial shift in funding responsibility to the States.</w:t>
      </w:r>
    </w:p>
    <w:p w:rsidR="00A4765A" w:rsidRDefault="00E71668" w:rsidP="00E26C67">
      <w:pPr>
        <w:pStyle w:val="PBOfiguretableheading"/>
      </w:pPr>
      <w:r>
        <w:rPr>
          <w:rFonts w:cs="Arial"/>
          <w:noProof/>
          <w:sz w:val="18"/>
          <w:lang w:eastAsia="en-AU"/>
        </w:rPr>
        <w:drawing>
          <wp:anchor distT="0" distB="0" distL="114300" distR="114300" simplePos="0" relativeHeight="251732992" behindDoc="0" locked="0" layoutInCell="1" allowOverlap="1" wp14:anchorId="2BED8104" wp14:editId="517B36BE">
            <wp:simplePos x="0" y="0"/>
            <wp:positionH relativeFrom="column">
              <wp:posOffset>-26670</wp:posOffset>
            </wp:positionH>
            <wp:positionV relativeFrom="paragraph">
              <wp:posOffset>294640</wp:posOffset>
            </wp:positionV>
            <wp:extent cx="5401310" cy="3602990"/>
            <wp:effectExtent l="0" t="0" r="889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14:sizeRelH relativeFrom="page">
              <wp14:pctWidth>0</wp14:pctWidth>
            </wp14:sizeRelH>
            <wp14:sizeRelV relativeFrom="page">
              <wp14:pctHeight>0</wp14:pctHeight>
            </wp14:sizeRelV>
          </wp:anchor>
        </w:drawing>
      </w:r>
      <w:r w:rsidR="00A4765A">
        <w:t>Figure 2.7.1: Nominal spending on schools</w:t>
      </w:r>
      <w:r w:rsidR="00821839">
        <w:t xml:space="preserve"> and annual real growth</w:t>
      </w:r>
    </w:p>
    <w:tbl>
      <w:tblPr>
        <w:tblW w:w="7938" w:type="dxa"/>
        <w:jc w:val="center"/>
        <w:tblLook w:val="04A0" w:firstRow="1" w:lastRow="0" w:firstColumn="1" w:lastColumn="0" w:noHBand="0" w:noVBand="1"/>
      </w:tblPr>
      <w:tblGrid>
        <w:gridCol w:w="5499"/>
        <w:gridCol w:w="1201"/>
        <w:gridCol w:w="1238"/>
      </w:tblGrid>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Year</w:t>
            </w:r>
          </w:p>
        </w:tc>
        <w:tc>
          <w:tcPr>
            <w:tcW w:w="1044" w:type="dxa"/>
            <w:shd w:val="clear" w:color="auto" w:fill="auto"/>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Nominal dollars</w:t>
            </w:r>
          </w:p>
        </w:tc>
        <w:tc>
          <w:tcPr>
            <w:tcW w:w="1076" w:type="dxa"/>
            <w:shd w:val="clear" w:color="auto" w:fill="auto"/>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Annual real growth</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2002-03</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5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 </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2003-04</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6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10.1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2004-05</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7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8.4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2005-06</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7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5.8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2006-07</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8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3.2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2007-08</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8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-1.2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2008-09</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9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6.1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2009-10</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10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10.0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2010-11</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11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5.8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2011-12</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11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4.2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2012-13</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12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2.9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2013-14</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13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7.9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2014-15</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14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6.4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2015-16</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16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6.2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2016-17</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 xml:space="preserve">17 billion </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6.2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2017-18</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18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4.0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2018-19</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19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2.0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2019-20</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20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2.1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2020-21</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21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2.1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2021-22</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22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2.1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2022-23</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23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2.1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2023-24</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24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2.0 per cent</w:t>
            </w:r>
          </w:p>
        </w:tc>
      </w:tr>
      <w:tr w:rsidR="00E71668" w:rsidRPr="00E71668" w:rsidTr="00E71668">
        <w:trPr>
          <w:trHeight w:hRule="exact" w:val="227"/>
          <w:jc w:val="center"/>
        </w:trPr>
        <w:tc>
          <w:tcPr>
            <w:tcW w:w="4780" w:type="dxa"/>
            <w:shd w:val="clear" w:color="auto" w:fill="auto"/>
            <w:noWrap/>
            <w:vAlign w:val="center"/>
            <w:hideMark/>
          </w:tcPr>
          <w:p w:rsidR="00973063" w:rsidRPr="00E71668" w:rsidRDefault="00973063" w:rsidP="00973063">
            <w:pPr>
              <w:spacing w:before="0" w:after="0"/>
              <w:jc w:val="center"/>
              <w:rPr>
                <w:rFonts w:ascii="Arial" w:eastAsia="Times New Roman" w:hAnsi="Arial" w:cs="Arial"/>
                <w:b/>
                <w:bCs/>
                <w:color w:val="FFFFFF" w:themeColor="background1"/>
                <w:sz w:val="16"/>
                <w:szCs w:val="16"/>
              </w:rPr>
            </w:pPr>
            <w:r w:rsidRPr="00E71668">
              <w:rPr>
                <w:rFonts w:ascii="Arial" w:eastAsia="Times New Roman" w:hAnsi="Arial" w:cs="Arial"/>
                <w:b/>
                <w:bCs/>
                <w:color w:val="FFFFFF" w:themeColor="background1"/>
                <w:sz w:val="16"/>
                <w:szCs w:val="16"/>
              </w:rPr>
              <w:t>2024-25</w:t>
            </w:r>
          </w:p>
        </w:tc>
        <w:tc>
          <w:tcPr>
            <w:tcW w:w="1044"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25 billion</w:t>
            </w:r>
          </w:p>
        </w:tc>
        <w:tc>
          <w:tcPr>
            <w:tcW w:w="1076" w:type="dxa"/>
            <w:shd w:val="clear" w:color="auto" w:fill="auto"/>
            <w:noWrap/>
            <w:vAlign w:val="bottom"/>
            <w:hideMark/>
          </w:tcPr>
          <w:p w:rsidR="00973063" w:rsidRPr="00E71668" w:rsidRDefault="00973063" w:rsidP="00973063">
            <w:pPr>
              <w:spacing w:before="0" w:after="0"/>
              <w:rPr>
                <w:rFonts w:ascii="Arial" w:eastAsia="Times New Roman" w:hAnsi="Arial" w:cs="Arial"/>
                <w:color w:val="FFFFFF" w:themeColor="background1"/>
                <w:sz w:val="16"/>
                <w:szCs w:val="16"/>
              </w:rPr>
            </w:pPr>
            <w:r w:rsidRPr="00E71668">
              <w:rPr>
                <w:rFonts w:ascii="Arial" w:eastAsia="Times New Roman" w:hAnsi="Arial" w:cs="Arial"/>
                <w:color w:val="FFFFFF" w:themeColor="background1"/>
                <w:sz w:val="16"/>
                <w:szCs w:val="16"/>
              </w:rPr>
              <w:t>1.9 per cent</w:t>
            </w:r>
          </w:p>
        </w:tc>
      </w:tr>
    </w:tbl>
    <w:p w:rsidR="00973063" w:rsidRDefault="00A4765A" w:rsidP="00FF2A5E">
      <w:pPr>
        <w:spacing w:after="0"/>
        <w:rPr>
          <w:rStyle w:val="PBOsourceChar"/>
        </w:rPr>
      </w:pPr>
      <w:r w:rsidRPr="005E743F">
        <w:rPr>
          <w:rStyle w:val="PBOsourceChar"/>
        </w:rPr>
        <w:t xml:space="preserve">Source: Australian Government Budgets and </w:t>
      </w:r>
      <w:r w:rsidR="005E743F">
        <w:rPr>
          <w:rStyle w:val="PBOsourceChar"/>
        </w:rPr>
        <w:t>PBO Analysis</w:t>
      </w:r>
    </w:p>
    <w:p w:rsidR="00040BD5" w:rsidRDefault="00040BD5" w:rsidP="00E26C67">
      <w:pPr>
        <w:spacing w:before="0" w:after="0"/>
        <w:rPr>
          <w:rStyle w:val="PBOsourceChar"/>
        </w:rPr>
      </w:pPr>
      <w:r>
        <w:rPr>
          <w:rStyle w:val="PBOsourceChar"/>
        </w:rPr>
        <w:br w:type="page"/>
      </w:r>
    </w:p>
    <w:p w:rsidR="00350153" w:rsidRPr="00354470" w:rsidRDefault="00DC5BE4" w:rsidP="0033546E">
      <w:pPr>
        <w:pStyle w:val="PBOheading2"/>
        <w:numPr>
          <w:ilvl w:val="1"/>
          <w:numId w:val="31"/>
        </w:numPr>
      </w:pPr>
      <w:bookmarkStart w:id="66" w:name="_Toc396382641"/>
      <w:r>
        <w:lastRenderedPageBreak/>
        <w:t>P</w:t>
      </w:r>
      <w:r w:rsidR="00350153" w:rsidRPr="00354470">
        <w:t>ubl</w:t>
      </w:r>
      <w:r w:rsidR="00350153">
        <w:t>ic h</w:t>
      </w:r>
      <w:r w:rsidR="00350153" w:rsidRPr="00354470">
        <w:t>ospitals</w:t>
      </w:r>
      <w:bookmarkEnd w:id="66"/>
      <w:r w:rsidR="00350153" w:rsidRPr="00354470">
        <w:t xml:space="preserve"> </w:t>
      </w:r>
    </w:p>
    <w:p w:rsidR="00113D7D" w:rsidRPr="00FF16A4" w:rsidRDefault="00113D7D" w:rsidP="00113D7D">
      <w:pPr>
        <w:pStyle w:val="PBOtext"/>
        <w:spacing w:after="0"/>
      </w:pPr>
      <w:r w:rsidRPr="00FF16A4">
        <w:t>Growth in spending on public hospitals is projected to slow from its historical real growth of 3.6 per cent annually to 2.9 per cent annually over the medium term. Public hospital funding is projected to account for 4 per cent of the growth in total spending over the medium term and 4 per cent of total spending in 2024-25.</w:t>
      </w:r>
    </w:p>
    <w:p w:rsidR="00113D7D" w:rsidRPr="00FF16A4" w:rsidRDefault="00113D7D" w:rsidP="00113D7D">
      <w:pPr>
        <w:pStyle w:val="PBOtext"/>
        <w:spacing w:after="0"/>
      </w:pPr>
      <w:r w:rsidRPr="00FF16A4">
        <w:t>Strong growth over the beginning of the medium term reflects the maintenance of previous public hospital funding</w:t>
      </w:r>
      <w:r>
        <w:t xml:space="preserve"> arrangements.</w:t>
      </w:r>
    </w:p>
    <w:p w:rsidR="00113D7D" w:rsidRDefault="00113D7D" w:rsidP="00113D7D">
      <w:pPr>
        <w:pStyle w:val="PBOtext"/>
        <w:spacing w:after="0"/>
      </w:pPr>
      <w:r w:rsidRPr="00FF16A4">
        <w:t>The sharp slowing in growth over the second half of the medium term reflects the 2014-15 Budget measure to index public hospitals funding by CPI increases and population from 1 July 2017, rather than funding based on 50 per cent of the efficient growth of public hospital services and the $16.4 billion funding guarantee that previously applied between 2014-15 and 2019-20.</w:t>
      </w:r>
      <w:r w:rsidRPr="00FF16A4">
        <w:rPr>
          <w:rStyle w:val="FootnoteReference"/>
        </w:rPr>
        <w:footnoteReference w:id="7"/>
      </w:r>
    </w:p>
    <w:p w:rsidR="00113D7D" w:rsidRPr="00FF16A4" w:rsidRDefault="00113D7D" w:rsidP="00113D7D">
      <w:pPr>
        <w:pStyle w:val="PBOtext"/>
        <w:spacing w:after="0"/>
      </w:pPr>
      <w:r>
        <w:t>The slowing in spending growth over the second half of the medium term represents a shift in funding responsibility to the States. States have been assuming a greater responsibility for public hospital funding, with their contribution rising from 51 per cent in 2001-02 to 58 per cent in 2011-12.  The expected growth in demand for hospital services over the medium term will place increasing pressure on state budgets.</w:t>
      </w:r>
    </w:p>
    <w:p w:rsidR="00350153" w:rsidRDefault="0022406F" w:rsidP="00E26C67">
      <w:pPr>
        <w:pStyle w:val="PBOfiguretableheading"/>
      </w:pPr>
      <w:r>
        <w:rPr>
          <w:noProof/>
          <w:lang w:eastAsia="en-AU"/>
        </w:rPr>
        <w:drawing>
          <wp:anchor distT="0" distB="0" distL="114300" distR="114300" simplePos="0" relativeHeight="251734016" behindDoc="0" locked="0" layoutInCell="1" allowOverlap="1" wp14:anchorId="7EEFEB04" wp14:editId="5517EA0B">
            <wp:simplePos x="0" y="0"/>
            <wp:positionH relativeFrom="column">
              <wp:posOffset>-7620</wp:posOffset>
            </wp:positionH>
            <wp:positionV relativeFrom="paragraph">
              <wp:posOffset>347980</wp:posOffset>
            </wp:positionV>
            <wp:extent cx="5401310" cy="3596640"/>
            <wp:effectExtent l="0" t="0" r="8890"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14:sizeRelH relativeFrom="page">
              <wp14:pctWidth>0</wp14:pctWidth>
            </wp14:sizeRelH>
            <wp14:sizeRelV relativeFrom="page">
              <wp14:pctHeight>0</wp14:pctHeight>
            </wp14:sizeRelV>
          </wp:anchor>
        </w:drawing>
      </w:r>
      <w:r w:rsidR="00C942FC">
        <w:t>Figure 2.8</w:t>
      </w:r>
      <w:r w:rsidR="00350153">
        <w:t>.1: Nominal spending on public hospitals</w:t>
      </w:r>
      <w:r w:rsidR="00B66396">
        <w:t xml:space="preserve"> </w:t>
      </w:r>
      <w:r w:rsidR="00821839">
        <w:t>and annual real growth</w:t>
      </w:r>
    </w:p>
    <w:tbl>
      <w:tblPr>
        <w:tblW w:w="7938" w:type="dxa"/>
        <w:jc w:val="center"/>
        <w:tblLayout w:type="fixed"/>
        <w:tblLook w:val="04A0" w:firstRow="1" w:lastRow="0" w:firstColumn="1" w:lastColumn="0" w:noHBand="0" w:noVBand="1"/>
      </w:tblPr>
      <w:tblGrid>
        <w:gridCol w:w="3686"/>
        <w:gridCol w:w="2126"/>
        <w:gridCol w:w="2126"/>
      </w:tblGrid>
      <w:tr w:rsidR="0022406F" w:rsidRPr="0022406F" w:rsidTr="0022406F">
        <w:trPr>
          <w:trHeight w:hRule="exact" w:val="334"/>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Year</w:t>
            </w:r>
          </w:p>
        </w:tc>
        <w:tc>
          <w:tcPr>
            <w:tcW w:w="1848" w:type="dxa"/>
            <w:shd w:val="clear" w:color="auto" w:fill="auto"/>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Nominal dollars</w:t>
            </w:r>
          </w:p>
        </w:tc>
        <w:tc>
          <w:tcPr>
            <w:tcW w:w="1848" w:type="dxa"/>
            <w:shd w:val="clear" w:color="auto" w:fill="auto"/>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Annual real growth</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2002-03</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7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 </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2003-04</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7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2.9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2004-05</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8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3.7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2005-06</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8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1.4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2006-07</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9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2.9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2007-08</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10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7.0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2008-09</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10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1.9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2009-10</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11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6.9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2010-11</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12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3.6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2011-12</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13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2.3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2012-13</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13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3.7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2013-14</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14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1.3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2014-15</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15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6.8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2015-16</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17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6.8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2016-17</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 xml:space="preserve">18 billion </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 xml:space="preserve">6.7 per </w:t>
            </w:r>
            <w:r w:rsidR="00DE2125" w:rsidRPr="0022406F">
              <w:rPr>
                <w:rFonts w:ascii="Arial" w:eastAsia="Times New Roman" w:hAnsi="Arial" w:cs="Arial"/>
                <w:color w:val="FFFFFF" w:themeColor="background1"/>
                <w:sz w:val="16"/>
                <w:szCs w:val="16"/>
              </w:rPr>
              <w:t>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2017-18</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19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1.8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2018-19</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20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1.7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2019-20</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21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1.7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2020-21</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21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1.7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2021-22</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22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1.7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2022-23</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23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1.7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2023-24</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24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1.6 per cent</w:t>
            </w:r>
          </w:p>
        </w:tc>
      </w:tr>
      <w:tr w:rsidR="0022406F" w:rsidRPr="0022406F" w:rsidTr="0022406F">
        <w:trPr>
          <w:trHeight w:hRule="exact" w:val="227"/>
          <w:jc w:val="center"/>
        </w:trPr>
        <w:tc>
          <w:tcPr>
            <w:tcW w:w="3204" w:type="dxa"/>
            <w:shd w:val="clear" w:color="auto" w:fill="auto"/>
            <w:noWrap/>
            <w:vAlign w:val="center"/>
            <w:hideMark/>
          </w:tcPr>
          <w:p w:rsidR="00A52E71" w:rsidRPr="0022406F" w:rsidRDefault="00A52E71" w:rsidP="00A52E71">
            <w:pPr>
              <w:spacing w:before="0" w:after="0"/>
              <w:jc w:val="center"/>
              <w:rPr>
                <w:rFonts w:ascii="Arial" w:eastAsia="Times New Roman" w:hAnsi="Arial" w:cs="Arial"/>
                <w:b/>
                <w:bCs/>
                <w:color w:val="FFFFFF" w:themeColor="background1"/>
                <w:sz w:val="16"/>
                <w:szCs w:val="16"/>
              </w:rPr>
            </w:pPr>
            <w:r w:rsidRPr="0022406F">
              <w:rPr>
                <w:rFonts w:ascii="Arial" w:eastAsia="Times New Roman" w:hAnsi="Arial" w:cs="Arial"/>
                <w:b/>
                <w:bCs/>
                <w:color w:val="FFFFFF" w:themeColor="background1"/>
                <w:sz w:val="16"/>
                <w:szCs w:val="16"/>
              </w:rPr>
              <w:t>2024-25</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25 billion</w:t>
            </w:r>
          </w:p>
        </w:tc>
        <w:tc>
          <w:tcPr>
            <w:tcW w:w="1848" w:type="dxa"/>
            <w:shd w:val="clear" w:color="auto" w:fill="auto"/>
            <w:noWrap/>
            <w:vAlign w:val="bottom"/>
            <w:hideMark/>
          </w:tcPr>
          <w:p w:rsidR="00A52E71" w:rsidRPr="0022406F" w:rsidRDefault="00A52E71" w:rsidP="00A52E71">
            <w:pPr>
              <w:spacing w:before="0" w:after="0"/>
              <w:rPr>
                <w:rFonts w:ascii="Arial" w:eastAsia="Times New Roman" w:hAnsi="Arial" w:cs="Arial"/>
                <w:color w:val="FFFFFF" w:themeColor="background1"/>
                <w:sz w:val="16"/>
                <w:szCs w:val="16"/>
              </w:rPr>
            </w:pPr>
            <w:r w:rsidRPr="0022406F">
              <w:rPr>
                <w:rFonts w:ascii="Arial" w:eastAsia="Times New Roman" w:hAnsi="Arial" w:cs="Arial"/>
                <w:color w:val="FFFFFF" w:themeColor="background1"/>
                <w:sz w:val="16"/>
                <w:szCs w:val="16"/>
              </w:rPr>
              <w:t>1.6 per cent</w:t>
            </w:r>
          </w:p>
        </w:tc>
      </w:tr>
    </w:tbl>
    <w:p w:rsidR="00040BD5" w:rsidRDefault="00350153" w:rsidP="00891443">
      <w:pPr>
        <w:pStyle w:val="PBOsource"/>
        <w:sectPr w:rsidR="00040BD5" w:rsidSect="00040E69">
          <w:headerReference w:type="even" r:id="rId45"/>
          <w:footerReference w:type="default" r:id="rId46"/>
          <w:headerReference w:type="first" r:id="rId47"/>
          <w:footerReference w:type="first" r:id="rId48"/>
          <w:pgSz w:w="11900" w:h="16840"/>
          <w:pgMar w:top="1440" w:right="1797" w:bottom="1440" w:left="1843" w:header="709" w:footer="709" w:gutter="0"/>
          <w:cols w:space="708"/>
          <w:titlePg/>
          <w:docGrid w:linePitch="326"/>
        </w:sectPr>
      </w:pPr>
      <w:r>
        <w:t>Source: Australian Government Budgets and PBO Analysis</w:t>
      </w:r>
    </w:p>
    <w:p w:rsidR="00092F4B" w:rsidRDefault="00092F4B" w:rsidP="0033546E">
      <w:pPr>
        <w:pStyle w:val="PBOheading2"/>
        <w:numPr>
          <w:ilvl w:val="1"/>
          <w:numId w:val="31"/>
        </w:numPr>
      </w:pPr>
      <w:bookmarkStart w:id="67" w:name="_Toc396382642"/>
      <w:r>
        <w:lastRenderedPageBreak/>
        <w:t>Disability Support Pension</w:t>
      </w:r>
      <w:bookmarkEnd w:id="67"/>
      <w:r>
        <w:tab/>
      </w:r>
    </w:p>
    <w:p w:rsidR="00113D7D" w:rsidRDefault="00113D7D" w:rsidP="00113D7D">
      <w:pPr>
        <w:pStyle w:val="PBOtext"/>
      </w:pPr>
      <w:r w:rsidRPr="00E71EDF">
        <w:t xml:space="preserve">Growth in spending on </w:t>
      </w:r>
      <w:r>
        <w:t xml:space="preserve">the Disability Support Pension (DSP) </w:t>
      </w:r>
      <w:r w:rsidRPr="00E71EDF">
        <w:t xml:space="preserve">is projected to slow from its historical real growth of </w:t>
      </w:r>
      <w:r>
        <w:t xml:space="preserve">5.3 </w:t>
      </w:r>
      <w:r w:rsidRPr="00E71EDF">
        <w:t xml:space="preserve">per cent annually to </w:t>
      </w:r>
      <w:r>
        <w:t>2.1</w:t>
      </w:r>
      <w:r w:rsidRPr="00E71EDF">
        <w:t xml:space="preserve"> per cent annually over the medium term. </w:t>
      </w:r>
      <w:r>
        <w:t>The</w:t>
      </w:r>
      <w:r w:rsidRPr="00E71EDF">
        <w:t xml:space="preserve"> </w:t>
      </w:r>
      <w:r>
        <w:t xml:space="preserve">DSP </w:t>
      </w:r>
      <w:r w:rsidRPr="00E71EDF">
        <w:t xml:space="preserve">is projected to account for </w:t>
      </w:r>
      <w:r>
        <w:t>3 </w:t>
      </w:r>
      <w:r w:rsidRPr="00E71EDF">
        <w:t>per</w:t>
      </w:r>
      <w:r>
        <w:t> </w:t>
      </w:r>
      <w:r w:rsidRPr="00E71EDF">
        <w:t xml:space="preserve">cent of the growth in total spending over the medium term </w:t>
      </w:r>
      <w:r>
        <w:t>and 4 </w:t>
      </w:r>
      <w:r w:rsidRPr="00E71EDF">
        <w:t>per</w:t>
      </w:r>
      <w:r>
        <w:t> </w:t>
      </w:r>
      <w:r w:rsidRPr="00E71EDF">
        <w:t xml:space="preserve">cent </w:t>
      </w:r>
      <w:r>
        <w:t>of total spending in 2024-25</w:t>
      </w:r>
      <w:r w:rsidRPr="00E71EDF">
        <w:t>.</w:t>
      </w:r>
    </w:p>
    <w:p w:rsidR="00113D7D" w:rsidRDefault="00113D7D" w:rsidP="00113D7D">
      <w:pPr>
        <w:pStyle w:val="PBOtext"/>
      </w:pPr>
      <w:r w:rsidRPr="003A3FFB">
        <w:t>The slowing in growth over the medium term reflects 2014-15 Budget measures to tighten eligibility and income test criteria for the DSP, and index</w:t>
      </w:r>
      <w:r>
        <w:t xml:space="preserve"> payment rates to movements in the CPI. The</w:t>
      </w:r>
      <w:r w:rsidRPr="00F03102">
        <w:t xml:space="preserve"> change to indexation is a shift from the current practice of </w:t>
      </w:r>
      <w:r>
        <w:t xml:space="preserve">increasing the DSP based on the higher of benchmarking against </w:t>
      </w:r>
      <w:r w:rsidRPr="00F03102">
        <w:t>MTAWE</w:t>
      </w:r>
      <w:r>
        <w:t xml:space="preserve">, or indexation by </w:t>
      </w:r>
      <w:r w:rsidRPr="00F03102">
        <w:t xml:space="preserve">CPI or </w:t>
      </w:r>
      <w:r>
        <w:t xml:space="preserve">the </w:t>
      </w:r>
      <w:r w:rsidRPr="00F03102">
        <w:t xml:space="preserve">Pensioner and Beneficiary Cost of Living </w:t>
      </w:r>
      <w:r>
        <w:t>index</w:t>
      </w:r>
      <w:r w:rsidRPr="00F03102">
        <w:t>.</w:t>
      </w:r>
      <w:r>
        <w:t xml:space="preserve"> These measures build on the 2011</w:t>
      </w:r>
      <w:r>
        <w:noBreakHyphen/>
        <w:t>12 Budget measures to tighten the eligibility assessment criteria for the DSP which also have an impact over the medium term.</w:t>
      </w:r>
    </w:p>
    <w:p w:rsidR="00113D7D" w:rsidRDefault="00113D7D" w:rsidP="00E26C67">
      <w:pPr>
        <w:pStyle w:val="PBOtext"/>
      </w:pPr>
      <w:r>
        <w:t>Slower growth over the medium term is expected to be partly offset by the increase in the eligibility age for the Age Pension from 65 years to 67 years from 2017</w:t>
      </w:r>
      <w:r>
        <w:noBreakHyphen/>
        <w:t>18, which results in a projected increase in the flow of people to the DSP within this age cohort.</w:t>
      </w:r>
    </w:p>
    <w:p w:rsidR="00092F4B" w:rsidRDefault="006104A1" w:rsidP="00E26C67">
      <w:pPr>
        <w:pStyle w:val="PBOfiguretableheading"/>
      </w:pPr>
      <w:r>
        <w:rPr>
          <w:noProof/>
          <w:lang w:eastAsia="en-AU"/>
        </w:rPr>
        <w:drawing>
          <wp:anchor distT="0" distB="0" distL="114300" distR="114300" simplePos="0" relativeHeight="251735040" behindDoc="0" locked="0" layoutInCell="1" allowOverlap="1" wp14:anchorId="117A8FED" wp14:editId="25F0281A">
            <wp:simplePos x="0" y="0"/>
            <wp:positionH relativeFrom="column">
              <wp:posOffset>-45720</wp:posOffset>
            </wp:positionH>
            <wp:positionV relativeFrom="paragraph">
              <wp:posOffset>248666</wp:posOffset>
            </wp:positionV>
            <wp:extent cx="5395595" cy="3596640"/>
            <wp:effectExtent l="0" t="0" r="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5595" cy="3596640"/>
                    </a:xfrm>
                    <a:prstGeom prst="rect">
                      <a:avLst/>
                    </a:prstGeom>
                    <a:noFill/>
                  </pic:spPr>
                </pic:pic>
              </a:graphicData>
            </a:graphic>
            <wp14:sizeRelH relativeFrom="page">
              <wp14:pctWidth>0</wp14:pctWidth>
            </wp14:sizeRelH>
            <wp14:sizeRelV relativeFrom="page">
              <wp14:pctHeight>0</wp14:pctHeight>
            </wp14:sizeRelV>
          </wp:anchor>
        </w:drawing>
      </w:r>
      <w:r w:rsidR="00113D7D">
        <w:t>Figure 2.9</w:t>
      </w:r>
      <w:r w:rsidR="00092F4B">
        <w:t xml:space="preserve">.1: Nominal spending on the Disability Support Pension </w:t>
      </w:r>
      <w:r w:rsidR="00821839">
        <w:t>and annual real growth</w:t>
      </w:r>
    </w:p>
    <w:tbl>
      <w:tblPr>
        <w:tblW w:w="7864" w:type="dxa"/>
        <w:jc w:val="center"/>
        <w:tblLayout w:type="fixed"/>
        <w:tblLook w:val="04A0" w:firstRow="1" w:lastRow="0" w:firstColumn="1" w:lastColumn="0" w:noHBand="0" w:noVBand="1"/>
      </w:tblPr>
      <w:tblGrid>
        <w:gridCol w:w="2825"/>
        <w:gridCol w:w="1679"/>
        <w:gridCol w:w="1680"/>
        <w:gridCol w:w="1680"/>
      </w:tblGrid>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Year</w:t>
            </w:r>
          </w:p>
        </w:tc>
        <w:tc>
          <w:tcPr>
            <w:tcW w:w="1679" w:type="dxa"/>
            <w:shd w:val="clear" w:color="auto" w:fill="auto"/>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Nominal dollars</w:t>
            </w:r>
          </w:p>
        </w:tc>
        <w:tc>
          <w:tcPr>
            <w:tcW w:w="1680" w:type="dxa"/>
            <w:shd w:val="clear" w:color="auto" w:fill="auto"/>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Nominal dollars without measures</w:t>
            </w:r>
          </w:p>
        </w:tc>
        <w:tc>
          <w:tcPr>
            <w:tcW w:w="1680" w:type="dxa"/>
            <w:shd w:val="clear" w:color="auto" w:fill="auto"/>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Annual real growth</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2002-03</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6.9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 </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 </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2003-04</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7.5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 </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6.8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2004-05</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7.9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 </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3.1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2005-06</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8.3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 </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1.1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2006-07</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8.7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 </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1.8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2007-08</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9.4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 </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4.8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2008-09</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10.9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 </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13.0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2009-10</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11.9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 </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6.2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2010-11</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13.4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 </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9.2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2011-12</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14.6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 </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6.5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2012-13</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15.0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 </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0.7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2013-14</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16.1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 </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4.6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2014-15</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16.7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16.7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1.6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2015-16</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17.2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17.2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0.3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2016-17</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17.8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17.8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0.9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2017-18</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18.3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18.5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0.6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2018-19</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19.3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19.6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2.7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2019-20</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20.3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20.8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2.8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2020-21</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21.5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22.2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3.0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2021-22</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22.7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23.7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3.1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2022-23</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23.8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25.2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2.6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2023-24</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25.0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26.7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2.3 per cent</w:t>
            </w:r>
          </w:p>
        </w:tc>
      </w:tr>
      <w:tr w:rsidR="006104A1" w:rsidRPr="006104A1" w:rsidTr="006104A1">
        <w:trPr>
          <w:trHeight w:hRule="exact" w:val="227"/>
          <w:jc w:val="center"/>
        </w:trPr>
        <w:tc>
          <w:tcPr>
            <w:tcW w:w="2825" w:type="dxa"/>
            <w:shd w:val="clear" w:color="auto" w:fill="auto"/>
            <w:noWrap/>
            <w:vAlign w:val="center"/>
            <w:hideMark/>
          </w:tcPr>
          <w:p w:rsidR="00777EE0" w:rsidRPr="006104A1" w:rsidRDefault="00777EE0" w:rsidP="00777EE0">
            <w:pPr>
              <w:spacing w:before="0" w:after="0"/>
              <w:jc w:val="center"/>
              <w:rPr>
                <w:rFonts w:ascii="Arial" w:eastAsia="Times New Roman" w:hAnsi="Arial" w:cs="Arial"/>
                <w:b/>
                <w:bCs/>
                <w:color w:val="FFFFFF" w:themeColor="background1"/>
                <w:sz w:val="16"/>
                <w:szCs w:val="16"/>
              </w:rPr>
            </w:pPr>
            <w:r w:rsidRPr="006104A1">
              <w:rPr>
                <w:rFonts w:ascii="Arial" w:eastAsia="Times New Roman" w:hAnsi="Arial" w:cs="Arial"/>
                <w:b/>
                <w:bCs/>
                <w:color w:val="FFFFFF" w:themeColor="background1"/>
                <w:sz w:val="16"/>
                <w:szCs w:val="16"/>
              </w:rPr>
              <w:t>2024-25</w:t>
            </w:r>
          </w:p>
        </w:tc>
        <w:tc>
          <w:tcPr>
            <w:tcW w:w="1679"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25.8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28.0 billion</w:t>
            </w:r>
          </w:p>
        </w:tc>
        <w:tc>
          <w:tcPr>
            <w:tcW w:w="1680" w:type="dxa"/>
            <w:shd w:val="clear" w:color="auto" w:fill="auto"/>
            <w:noWrap/>
            <w:vAlign w:val="bottom"/>
            <w:hideMark/>
          </w:tcPr>
          <w:p w:rsidR="00777EE0" w:rsidRPr="006104A1" w:rsidRDefault="00777EE0" w:rsidP="00777EE0">
            <w:pPr>
              <w:spacing w:before="0" w:after="0"/>
              <w:rPr>
                <w:rFonts w:ascii="Arial" w:eastAsia="Times New Roman" w:hAnsi="Arial" w:cs="Arial"/>
                <w:color w:val="FFFFFF" w:themeColor="background1"/>
                <w:sz w:val="16"/>
                <w:szCs w:val="16"/>
              </w:rPr>
            </w:pPr>
            <w:r w:rsidRPr="006104A1">
              <w:rPr>
                <w:rFonts w:ascii="Arial" w:eastAsia="Times New Roman" w:hAnsi="Arial" w:cs="Arial"/>
                <w:color w:val="FFFFFF" w:themeColor="background1"/>
                <w:sz w:val="16"/>
                <w:szCs w:val="16"/>
              </w:rPr>
              <w:t>0.6 per cent</w:t>
            </w:r>
          </w:p>
        </w:tc>
      </w:tr>
    </w:tbl>
    <w:p w:rsidR="00092F4B" w:rsidRPr="00040BD5" w:rsidRDefault="00092F4B" w:rsidP="00891443">
      <w:pPr>
        <w:pStyle w:val="PBOsource"/>
        <w:rPr>
          <w:rStyle w:val="Emphasis"/>
          <w:i w:val="0"/>
          <w:iCs w:val="0"/>
        </w:rPr>
      </w:pPr>
      <w:r w:rsidRPr="00040BD5">
        <w:rPr>
          <w:rStyle w:val="Emphasis"/>
          <w:i w:val="0"/>
          <w:iCs w:val="0"/>
        </w:rPr>
        <w:t>Source: Australian Government Budgets and PBO Analysis</w:t>
      </w:r>
    </w:p>
    <w:p w:rsidR="00092F4B" w:rsidRPr="00153A1D" w:rsidRDefault="00113D7D" w:rsidP="00040BD5">
      <w:pPr>
        <w:pStyle w:val="PBOtext"/>
        <w:rPr>
          <w:highlight w:val="yellow"/>
        </w:rPr>
      </w:pPr>
      <w:r>
        <w:t>Figure 2.9</w:t>
      </w:r>
      <w:r w:rsidRPr="00B14A66">
        <w:t xml:space="preserve">.1 shows projected spending on </w:t>
      </w:r>
      <w:r>
        <w:t xml:space="preserve">the </w:t>
      </w:r>
      <w:r w:rsidRPr="00B14A66">
        <w:t>DSP, with and without the impact of the 2014</w:t>
      </w:r>
      <w:r w:rsidRPr="00B14A66">
        <w:noBreakHyphen/>
        <w:t xml:space="preserve">15 </w:t>
      </w:r>
      <w:r w:rsidRPr="00F72EFB">
        <w:t xml:space="preserve">Budget measures which are yet to be legislated. In 2024-25 savings measures relating to the DSP are projected to reduce spending by $2.2 </w:t>
      </w:r>
      <w:r w:rsidR="00F72EFB">
        <w:t>billion.</w:t>
      </w:r>
      <w:r w:rsidR="00092F4B">
        <w:rPr>
          <w:highlight w:val="yellow"/>
        </w:rPr>
        <w:br w:type="page"/>
      </w:r>
    </w:p>
    <w:p w:rsidR="00BB141B" w:rsidRPr="00457492" w:rsidRDefault="00BB141B" w:rsidP="0033546E">
      <w:pPr>
        <w:pStyle w:val="PBOheading2"/>
        <w:numPr>
          <w:ilvl w:val="1"/>
          <w:numId w:val="31"/>
        </w:numPr>
      </w:pPr>
      <w:bookmarkStart w:id="68" w:name="_Toc396382643"/>
      <w:r w:rsidRPr="00457492">
        <w:lastRenderedPageBreak/>
        <w:t>Paid Parental Leave</w:t>
      </w:r>
      <w:bookmarkEnd w:id="68"/>
    </w:p>
    <w:p w:rsidR="008459F2" w:rsidRDefault="008459F2" w:rsidP="008459F2">
      <w:pPr>
        <w:pStyle w:val="PBOtext"/>
        <w:rPr>
          <w:lang w:eastAsia="en-US"/>
        </w:rPr>
      </w:pPr>
      <w:r>
        <w:rPr>
          <w:lang w:eastAsia="en-US"/>
        </w:rPr>
        <w:t>The 2014-15 Budget includ</w:t>
      </w:r>
      <w:r w:rsidR="002F2D9E">
        <w:rPr>
          <w:lang w:eastAsia="en-US"/>
        </w:rPr>
        <w:t>es a provision for an expanded P</w:t>
      </w:r>
      <w:r>
        <w:rPr>
          <w:lang w:eastAsia="en-US"/>
        </w:rPr>
        <w:t xml:space="preserve">aid </w:t>
      </w:r>
      <w:r w:rsidR="002F2D9E">
        <w:rPr>
          <w:lang w:eastAsia="en-US"/>
        </w:rPr>
        <w:t>P</w:t>
      </w:r>
      <w:r>
        <w:rPr>
          <w:lang w:eastAsia="en-US"/>
        </w:rPr>
        <w:t xml:space="preserve">arental </w:t>
      </w:r>
      <w:r w:rsidR="002F2D9E">
        <w:rPr>
          <w:lang w:eastAsia="en-US"/>
        </w:rPr>
        <w:t>L</w:t>
      </w:r>
      <w:r>
        <w:rPr>
          <w:lang w:eastAsia="en-US"/>
        </w:rPr>
        <w:t>eave scheme in the contingency reserve rather than as a specific budget measure.</w:t>
      </w:r>
    </w:p>
    <w:p w:rsidR="008459F2" w:rsidRDefault="008459F2" w:rsidP="008459F2">
      <w:pPr>
        <w:pStyle w:val="PBOtext"/>
      </w:pPr>
      <w:r>
        <w:rPr>
          <w:lang w:eastAsia="en-US"/>
        </w:rPr>
        <w:t xml:space="preserve">Figure 2.9.1 provides a PBO estimate of projected spending on the expanded scheme which includes leave </w:t>
      </w:r>
      <w:r>
        <w:t>for up to 26 weeks at the wage of the recipient capped at $100,000.  This is an increase on the existing scheme which commenced from January 2011 providing 18 weeks of leave at the National Minimum Wage.</w:t>
      </w:r>
    </w:p>
    <w:p w:rsidR="008459F2" w:rsidRDefault="008459F2" w:rsidP="008459F2">
      <w:pPr>
        <w:pStyle w:val="PBOtext"/>
      </w:pPr>
      <w:r>
        <w:rPr>
          <w:lang w:eastAsia="en-US"/>
        </w:rPr>
        <w:t xml:space="preserve">Spending </w:t>
      </w:r>
      <w:r w:rsidRPr="00F03102">
        <w:rPr>
          <w:lang w:eastAsia="en-US"/>
        </w:rPr>
        <w:t xml:space="preserve">on the </w:t>
      </w:r>
      <w:r>
        <w:rPr>
          <w:lang w:eastAsia="en-US"/>
        </w:rPr>
        <w:t>paid parental leave scheme is projected to grow in real terms by 12.0</w:t>
      </w:r>
      <w:r w:rsidRPr="00F03102">
        <w:rPr>
          <w:lang w:eastAsia="en-US"/>
        </w:rPr>
        <w:t> p</w:t>
      </w:r>
      <w:r>
        <w:rPr>
          <w:lang w:eastAsia="en-US"/>
        </w:rPr>
        <w:t>er cent annually over the medium term</w:t>
      </w:r>
      <w:r w:rsidRPr="00F03102">
        <w:rPr>
          <w:lang w:eastAsia="en-US"/>
        </w:rPr>
        <w:t>.</w:t>
      </w:r>
      <w:r w:rsidRPr="00F03102">
        <w:t xml:space="preserve">  </w:t>
      </w:r>
      <w:r>
        <w:t>The scheme is projected to account for 3</w:t>
      </w:r>
      <w:r w:rsidRPr="00C53E27">
        <w:t xml:space="preserve"> per cent of the growth </w:t>
      </w:r>
      <w:r>
        <w:t xml:space="preserve">in total spending </w:t>
      </w:r>
      <w:r w:rsidRPr="00C53E27">
        <w:t xml:space="preserve">over the medium term </w:t>
      </w:r>
      <w:r>
        <w:t>and 1</w:t>
      </w:r>
      <w:r w:rsidRPr="00C53E27">
        <w:t xml:space="preserve"> per cent </w:t>
      </w:r>
      <w:r>
        <w:t>of total spending in 2024-25</w:t>
      </w:r>
      <w:r w:rsidRPr="00C53E27">
        <w:t>.</w:t>
      </w:r>
    </w:p>
    <w:p w:rsidR="008459F2" w:rsidRDefault="008459F2" w:rsidP="008459F2">
      <w:pPr>
        <w:pStyle w:val="PBOtext"/>
      </w:pPr>
      <w:r w:rsidRPr="00C53855">
        <w:t>Spending on the scheme is offset by a levy of 1.5 per cent on taxable company income above $5 million, and offsets from t</w:t>
      </w:r>
      <w:r w:rsidR="002F2D9E">
        <w:t>he abolition of the existing Paid Parental Leave</w:t>
      </w:r>
      <w:r w:rsidRPr="00C53855">
        <w:t xml:space="preserve"> scheme and the other existing State and Commonwealth maternity leave schemes (which are not included in these estimates).</w:t>
      </w:r>
    </w:p>
    <w:p w:rsidR="00BB141B" w:rsidRDefault="0009556B" w:rsidP="00BB141B">
      <w:pPr>
        <w:pStyle w:val="PBOfiguretableheading"/>
      </w:pPr>
      <w:r>
        <w:rPr>
          <w:noProof/>
          <w:lang w:eastAsia="en-AU"/>
        </w:rPr>
        <w:drawing>
          <wp:anchor distT="0" distB="0" distL="114300" distR="114300" simplePos="0" relativeHeight="251754496" behindDoc="0" locked="0" layoutInCell="1" allowOverlap="1" wp14:anchorId="093F3F58" wp14:editId="5A6DDAE6">
            <wp:simplePos x="0" y="0"/>
            <wp:positionH relativeFrom="column">
              <wp:posOffset>29972</wp:posOffset>
            </wp:positionH>
            <wp:positionV relativeFrom="paragraph">
              <wp:posOffset>276225</wp:posOffset>
            </wp:positionV>
            <wp:extent cx="5401310" cy="3602990"/>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14:sizeRelH relativeFrom="page">
              <wp14:pctWidth>0</wp14:pctWidth>
            </wp14:sizeRelH>
            <wp14:sizeRelV relativeFrom="page">
              <wp14:pctHeight>0</wp14:pctHeight>
            </wp14:sizeRelV>
          </wp:anchor>
        </w:drawing>
      </w:r>
      <w:r w:rsidR="008459F2">
        <w:rPr>
          <w:noProof/>
        </w:rPr>
        <w:t>Figure 2.10</w:t>
      </w:r>
      <w:r w:rsidR="00BB141B">
        <w:rPr>
          <w:noProof/>
        </w:rPr>
        <w:t xml:space="preserve">.1: </w:t>
      </w:r>
      <w:r w:rsidR="00BB141B">
        <w:t>Nominal spending on Paid Parental Leave schemes and annual real growth</w:t>
      </w:r>
    </w:p>
    <w:tbl>
      <w:tblPr>
        <w:tblW w:w="7938" w:type="dxa"/>
        <w:jc w:val="center"/>
        <w:tblLayout w:type="fixed"/>
        <w:tblLook w:val="04A0" w:firstRow="1" w:lastRow="0" w:firstColumn="1" w:lastColumn="0" w:noHBand="0" w:noVBand="1"/>
      </w:tblPr>
      <w:tblGrid>
        <w:gridCol w:w="3004"/>
        <w:gridCol w:w="2467"/>
        <w:gridCol w:w="2467"/>
      </w:tblGrid>
      <w:tr w:rsidR="0009556B" w:rsidRPr="0009556B" w:rsidTr="0009556B">
        <w:trPr>
          <w:trHeight w:hRule="exact" w:val="340"/>
          <w:jc w:val="center"/>
        </w:trPr>
        <w:tc>
          <w:tcPr>
            <w:tcW w:w="3004" w:type="dxa"/>
            <w:shd w:val="clear" w:color="auto" w:fill="auto"/>
            <w:noWrap/>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Year</w:t>
            </w:r>
          </w:p>
        </w:tc>
        <w:tc>
          <w:tcPr>
            <w:tcW w:w="2467" w:type="dxa"/>
            <w:shd w:val="clear" w:color="auto" w:fill="auto"/>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Nominal dollars</w:t>
            </w:r>
          </w:p>
        </w:tc>
        <w:tc>
          <w:tcPr>
            <w:tcW w:w="2467" w:type="dxa"/>
            <w:shd w:val="clear" w:color="auto" w:fill="auto"/>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Annual real growth</w:t>
            </w:r>
          </w:p>
        </w:tc>
      </w:tr>
      <w:tr w:rsidR="0009556B" w:rsidRPr="0009556B" w:rsidTr="0009556B">
        <w:trPr>
          <w:trHeight w:hRule="exact" w:val="340"/>
          <w:jc w:val="center"/>
        </w:trPr>
        <w:tc>
          <w:tcPr>
            <w:tcW w:w="3004" w:type="dxa"/>
            <w:shd w:val="clear" w:color="auto" w:fill="auto"/>
            <w:noWrap/>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2010-11</w:t>
            </w:r>
          </w:p>
        </w:tc>
        <w:tc>
          <w:tcPr>
            <w:tcW w:w="2467" w:type="dxa"/>
            <w:shd w:val="clear" w:color="auto" w:fill="auto"/>
            <w:noWrap/>
            <w:vAlign w:val="center"/>
            <w:hideMark/>
          </w:tcPr>
          <w:p w:rsidR="00726DE3" w:rsidRPr="0009556B" w:rsidRDefault="00726DE3"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1 billion</w:t>
            </w:r>
          </w:p>
        </w:tc>
        <w:tc>
          <w:tcPr>
            <w:tcW w:w="2467" w:type="dxa"/>
            <w:shd w:val="clear" w:color="auto" w:fill="auto"/>
            <w:noWrap/>
            <w:vAlign w:val="center"/>
            <w:hideMark/>
          </w:tcPr>
          <w:p w:rsidR="00726DE3" w:rsidRPr="0009556B" w:rsidRDefault="00726DE3" w:rsidP="0072160F">
            <w:pPr>
              <w:spacing w:before="0" w:after="0"/>
              <w:jc w:val="center"/>
              <w:rPr>
                <w:rFonts w:ascii="Arial" w:eastAsia="Times New Roman" w:hAnsi="Arial" w:cs="Arial"/>
                <w:color w:val="FFFFFF" w:themeColor="background1"/>
                <w:sz w:val="16"/>
                <w:szCs w:val="16"/>
              </w:rPr>
            </w:pPr>
          </w:p>
        </w:tc>
      </w:tr>
      <w:tr w:rsidR="0009556B" w:rsidRPr="0009556B" w:rsidTr="0009556B">
        <w:trPr>
          <w:trHeight w:hRule="exact" w:val="340"/>
          <w:jc w:val="center"/>
        </w:trPr>
        <w:tc>
          <w:tcPr>
            <w:tcW w:w="3004" w:type="dxa"/>
            <w:shd w:val="clear" w:color="auto" w:fill="auto"/>
            <w:noWrap/>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2011-12</w:t>
            </w:r>
          </w:p>
        </w:tc>
        <w:tc>
          <w:tcPr>
            <w:tcW w:w="2467" w:type="dxa"/>
            <w:shd w:val="clear" w:color="auto" w:fill="auto"/>
            <w:noWrap/>
            <w:vAlign w:val="center"/>
            <w:hideMark/>
          </w:tcPr>
          <w:p w:rsidR="00726DE3" w:rsidRPr="0009556B" w:rsidRDefault="00726DE3"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1 billion</w:t>
            </w:r>
          </w:p>
        </w:tc>
        <w:tc>
          <w:tcPr>
            <w:tcW w:w="2467" w:type="dxa"/>
            <w:shd w:val="clear" w:color="auto" w:fill="auto"/>
            <w:noWrap/>
            <w:vAlign w:val="center"/>
            <w:hideMark/>
          </w:tcPr>
          <w:p w:rsidR="00726DE3" w:rsidRPr="0009556B" w:rsidRDefault="0072160F"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137.4</w:t>
            </w:r>
            <w:r w:rsidR="00726DE3" w:rsidRPr="0009556B">
              <w:rPr>
                <w:rFonts w:ascii="Arial" w:eastAsia="Times New Roman" w:hAnsi="Arial" w:cs="Arial"/>
                <w:color w:val="FFFFFF" w:themeColor="background1"/>
                <w:sz w:val="16"/>
                <w:szCs w:val="16"/>
              </w:rPr>
              <w:t xml:space="preserve"> per cent</w:t>
            </w:r>
          </w:p>
        </w:tc>
      </w:tr>
      <w:tr w:rsidR="0009556B" w:rsidRPr="0009556B" w:rsidTr="0009556B">
        <w:trPr>
          <w:trHeight w:hRule="exact" w:val="340"/>
          <w:jc w:val="center"/>
        </w:trPr>
        <w:tc>
          <w:tcPr>
            <w:tcW w:w="3004" w:type="dxa"/>
            <w:shd w:val="clear" w:color="auto" w:fill="auto"/>
            <w:noWrap/>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2012-13</w:t>
            </w:r>
          </w:p>
        </w:tc>
        <w:tc>
          <w:tcPr>
            <w:tcW w:w="2467" w:type="dxa"/>
            <w:shd w:val="clear" w:color="auto" w:fill="auto"/>
            <w:noWrap/>
            <w:vAlign w:val="center"/>
            <w:hideMark/>
          </w:tcPr>
          <w:p w:rsidR="00726DE3" w:rsidRPr="0009556B" w:rsidRDefault="00726DE3"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1 billion</w:t>
            </w:r>
          </w:p>
        </w:tc>
        <w:tc>
          <w:tcPr>
            <w:tcW w:w="2467" w:type="dxa"/>
            <w:shd w:val="clear" w:color="auto" w:fill="auto"/>
            <w:noWrap/>
            <w:vAlign w:val="center"/>
            <w:hideMark/>
          </w:tcPr>
          <w:p w:rsidR="00726DE3" w:rsidRPr="0009556B" w:rsidRDefault="0072160F"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-5.4</w:t>
            </w:r>
            <w:r w:rsidR="00726DE3" w:rsidRPr="0009556B">
              <w:rPr>
                <w:rFonts w:ascii="Arial" w:eastAsia="Times New Roman" w:hAnsi="Arial" w:cs="Arial"/>
                <w:color w:val="FFFFFF" w:themeColor="background1"/>
                <w:sz w:val="16"/>
                <w:szCs w:val="16"/>
              </w:rPr>
              <w:t xml:space="preserve"> per cent</w:t>
            </w:r>
          </w:p>
        </w:tc>
      </w:tr>
      <w:tr w:rsidR="0009556B" w:rsidRPr="0009556B" w:rsidTr="0009556B">
        <w:trPr>
          <w:trHeight w:hRule="exact" w:val="340"/>
          <w:jc w:val="center"/>
        </w:trPr>
        <w:tc>
          <w:tcPr>
            <w:tcW w:w="3004" w:type="dxa"/>
            <w:shd w:val="clear" w:color="auto" w:fill="auto"/>
            <w:noWrap/>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2013-14</w:t>
            </w:r>
          </w:p>
        </w:tc>
        <w:tc>
          <w:tcPr>
            <w:tcW w:w="2467" w:type="dxa"/>
            <w:shd w:val="clear" w:color="auto" w:fill="auto"/>
            <w:noWrap/>
            <w:vAlign w:val="center"/>
            <w:hideMark/>
          </w:tcPr>
          <w:p w:rsidR="00726DE3" w:rsidRPr="0009556B" w:rsidRDefault="00726DE3"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2 billion</w:t>
            </w:r>
          </w:p>
        </w:tc>
        <w:tc>
          <w:tcPr>
            <w:tcW w:w="2467" w:type="dxa"/>
            <w:shd w:val="clear" w:color="auto" w:fill="auto"/>
            <w:noWrap/>
            <w:vAlign w:val="center"/>
            <w:hideMark/>
          </w:tcPr>
          <w:p w:rsidR="00726DE3" w:rsidRPr="0009556B" w:rsidRDefault="0072160F"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22.2</w:t>
            </w:r>
            <w:r w:rsidR="00726DE3" w:rsidRPr="0009556B">
              <w:rPr>
                <w:rFonts w:ascii="Arial" w:eastAsia="Times New Roman" w:hAnsi="Arial" w:cs="Arial"/>
                <w:color w:val="FFFFFF" w:themeColor="background1"/>
                <w:sz w:val="16"/>
                <w:szCs w:val="16"/>
              </w:rPr>
              <w:t xml:space="preserve"> per cent</w:t>
            </w:r>
          </w:p>
        </w:tc>
      </w:tr>
      <w:tr w:rsidR="0009556B" w:rsidRPr="0009556B" w:rsidTr="0009556B">
        <w:trPr>
          <w:trHeight w:hRule="exact" w:val="340"/>
          <w:jc w:val="center"/>
        </w:trPr>
        <w:tc>
          <w:tcPr>
            <w:tcW w:w="3004" w:type="dxa"/>
            <w:shd w:val="clear" w:color="auto" w:fill="auto"/>
            <w:noWrap/>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2014-15</w:t>
            </w:r>
          </w:p>
        </w:tc>
        <w:tc>
          <w:tcPr>
            <w:tcW w:w="2467" w:type="dxa"/>
            <w:shd w:val="clear" w:color="auto" w:fill="auto"/>
            <w:noWrap/>
            <w:vAlign w:val="center"/>
            <w:hideMark/>
          </w:tcPr>
          <w:p w:rsidR="00726DE3" w:rsidRPr="0009556B" w:rsidRDefault="00726DE3"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2 billion</w:t>
            </w:r>
          </w:p>
        </w:tc>
        <w:tc>
          <w:tcPr>
            <w:tcW w:w="2467" w:type="dxa"/>
            <w:shd w:val="clear" w:color="auto" w:fill="auto"/>
            <w:noWrap/>
            <w:vAlign w:val="center"/>
            <w:hideMark/>
          </w:tcPr>
          <w:p w:rsidR="00726DE3" w:rsidRPr="0009556B" w:rsidRDefault="0072160F"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5.5</w:t>
            </w:r>
            <w:r w:rsidR="00726DE3" w:rsidRPr="0009556B">
              <w:rPr>
                <w:rFonts w:ascii="Arial" w:eastAsia="Times New Roman" w:hAnsi="Arial" w:cs="Arial"/>
                <w:color w:val="FFFFFF" w:themeColor="background1"/>
                <w:sz w:val="16"/>
                <w:szCs w:val="16"/>
              </w:rPr>
              <w:t xml:space="preserve"> per cent</w:t>
            </w:r>
          </w:p>
        </w:tc>
      </w:tr>
      <w:tr w:rsidR="0009556B" w:rsidRPr="0009556B" w:rsidTr="0009556B">
        <w:trPr>
          <w:trHeight w:hRule="exact" w:val="340"/>
          <w:jc w:val="center"/>
        </w:trPr>
        <w:tc>
          <w:tcPr>
            <w:tcW w:w="3004" w:type="dxa"/>
            <w:shd w:val="clear" w:color="auto" w:fill="auto"/>
            <w:noWrap/>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2015-16</w:t>
            </w:r>
          </w:p>
        </w:tc>
        <w:tc>
          <w:tcPr>
            <w:tcW w:w="2467" w:type="dxa"/>
            <w:shd w:val="clear" w:color="auto" w:fill="auto"/>
            <w:noWrap/>
            <w:vAlign w:val="center"/>
            <w:hideMark/>
          </w:tcPr>
          <w:p w:rsidR="00726DE3" w:rsidRPr="0009556B" w:rsidRDefault="00726DE3"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4 billion</w:t>
            </w:r>
          </w:p>
        </w:tc>
        <w:tc>
          <w:tcPr>
            <w:tcW w:w="2467" w:type="dxa"/>
            <w:shd w:val="clear" w:color="auto" w:fill="auto"/>
            <w:noWrap/>
            <w:vAlign w:val="center"/>
            <w:hideMark/>
          </w:tcPr>
          <w:p w:rsidR="00726DE3" w:rsidRPr="0009556B" w:rsidRDefault="0072160F"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118.1</w:t>
            </w:r>
            <w:r w:rsidR="00726DE3" w:rsidRPr="0009556B">
              <w:rPr>
                <w:rFonts w:ascii="Arial" w:eastAsia="Times New Roman" w:hAnsi="Arial" w:cs="Arial"/>
                <w:color w:val="FFFFFF" w:themeColor="background1"/>
                <w:sz w:val="16"/>
                <w:szCs w:val="16"/>
              </w:rPr>
              <w:t xml:space="preserve"> per cent</w:t>
            </w:r>
          </w:p>
        </w:tc>
      </w:tr>
      <w:tr w:rsidR="0009556B" w:rsidRPr="0009556B" w:rsidTr="0009556B">
        <w:trPr>
          <w:trHeight w:hRule="exact" w:val="340"/>
          <w:jc w:val="center"/>
        </w:trPr>
        <w:tc>
          <w:tcPr>
            <w:tcW w:w="3004" w:type="dxa"/>
            <w:shd w:val="clear" w:color="auto" w:fill="auto"/>
            <w:noWrap/>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2016-17</w:t>
            </w:r>
          </w:p>
        </w:tc>
        <w:tc>
          <w:tcPr>
            <w:tcW w:w="2467" w:type="dxa"/>
            <w:shd w:val="clear" w:color="auto" w:fill="auto"/>
            <w:noWrap/>
            <w:vAlign w:val="center"/>
            <w:hideMark/>
          </w:tcPr>
          <w:p w:rsidR="00726DE3" w:rsidRPr="0009556B" w:rsidRDefault="00726DE3"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5 billion</w:t>
            </w:r>
          </w:p>
        </w:tc>
        <w:tc>
          <w:tcPr>
            <w:tcW w:w="2467" w:type="dxa"/>
            <w:shd w:val="clear" w:color="auto" w:fill="auto"/>
            <w:noWrap/>
            <w:vAlign w:val="center"/>
            <w:hideMark/>
          </w:tcPr>
          <w:p w:rsidR="00726DE3" w:rsidRPr="0009556B" w:rsidRDefault="0072160F"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22.2</w:t>
            </w:r>
            <w:r w:rsidR="00726DE3" w:rsidRPr="0009556B">
              <w:rPr>
                <w:rFonts w:ascii="Arial" w:eastAsia="Times New Roman" w:hAnsi="Arial" w:cs="Arial"/>
                <w:color w:val="FFFFFF" w:themeColor="background1"/>
                <w:sz w:val="16"/>
                <w:szCs w:val="16"/>
              </w:rPr>
              <w:t xml:space="preserve"> per cent</w:t>
            </w:r>
          </w:p>
        </w:tc>
      </w:tr>
      <w:tr w:rsidR="0009556B" w:rsidRPr="0009556B" w:rsidTr="0009556B">
        <w:trPr>
          <w:trHeight w:hRule="exact" w:val="340"/>
          <w:jc w:val="center"/>
        </w:trPr>
        <w:tc>
          <w:tcPr>
            <w:tcW w:w="3004" w:type="dxa"/>
            <w:shd w:val="clear" w:color="auto" w:fill="auto"/>
            <w:noWrap/>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2017-18</w:t>
            </w:r>
          </w:p>
        </w:tc>
        <w:tc>
          <w:tcPr>
            <w:tcW w:w="2467" w:type="dxa"/>
            <w:shd w:val="clear" w:color="auto" w:fill="auto"/>
            <w:noWrap/>
            <w:vAlign w:val="center"/>
            <w:hideMark/>
          </w:tcPr>
          <w:p w:rsidR="00726DE3" w:rsidRPr="0009556B" w:rsidRDefault="00726DE3"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6 billion</w:t>
            </w:r>
          </w:p>
        </w:tc>
        <w:tc>
          <w:tcPr>
            <w:tcW w:w="2467" w:type="dxa"/>
            <w:shd w:val="clear" w:color="auto" w:fill="auto"/>
            <w:noWrap/>
            <w:vAlign w:val="center"/>
            <w:hideMark/>
          </w:tcPr>
          <w:p w:rsidR="00726DE3" w:rsidRPr="0009556B" w:rsidRDefault="0072160F"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1.0</w:t>
            </w:r>
            <w:r w:rsidR="00726DE3" w:rsidRPr="0009556B">
              <w:rPr>
                <w:rFonts w:ascii="Arial" w:eastAsia="Times New Roman" w:hAnsi="Arial" w:cs="Arial"/>
                <w:color w:val="FFFFFF" w:themeColor="background1"/>
                <w:sz w:val="16"/>
                <w:szCs w:val="16"/>
              </w:rPr>
              <w:t xml:space="preserve"> per cent</w:t>
            </w:r>
          </w:p>
        </w:tc>
      </w:tr>
      <w:tr w:rsidR="0009556B" w:rsidRPr="0009556B" w:rsidTr="0009556B">
        <w:trPr>
          <w:trHeight w:hRule="exact" w:val="340"/>
          <w:jc w:val="center"/>
        </w:trPr>
        <w:tc>
          <w:tcPr>
            <w:tcW w:w="3004" w:type="dxa"/>
            <w:shd w:val="clear" w:color="auto" w:fill="auto"/>
            <w:noWrap/>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2018-19</w:t>
            </w:r>
          </w:p>
        </w:tc>
        <w:tc>
          <w:tcPr>
            <w:tcW w:w="2467" w:type="dxa"/>
            <w:shd w:val="clear" w:color="auto" w:fill="auto"/>
            <w:noWrap/>
            <w:vAlign w:val="center"/>
            <w:hideMark/>
          </w:tcPr>
          <w:p w:rsidR="00726DE3" w:rsidRPr="0009556B" w:rsidRDefault="00726DE3"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6 billion</w:t>
            </w:r>
          </w:p>
        </w:tc>
        <w:tc>
          <w:tcPr>
            <w:tcW w:w="2467" w:type="dxa"/>
            <w:shd w:val="clear" w:color="auto" w:fill="auto"/>
            <w:noWrap/>
            <w:vAlign w:val="center"/>
            <w:hideMark/>
          </w:tcPr>
          <w:p w:rsidR="00726DE3" w:rsidRPr="0009556B" w:rsidRDefault="0072160F"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2.4</w:t>
            </w:r>
            <w:r w:rsidR="00726DE3" w:rsidRPr="0009556B">
              <w:rPr>
                <w:rFonts w:ascii="Arial" w:eastAsia="Times New Roman" w:hAnsi="Arial" w:cs="Arial"/>
                <w:color w:val="FFFFFF" w:themeColor="background1"/>
                <w:sz w:val="16"/>
                <w:szCs w:val="16"/>
              </w:rPr>
              <w:t xml:space="preserve"> per cent</w:t>
            </w:r>
          </w:p>
        </w:tc>
      </w:tr>
      <w:tr w:rsidR="0009556B" w:rsidRPr="0009556B" w:rsidTr="0009556B">
        <w:trPr>
          <w:trHeight w:hRule="exact" w:val="340"/>
          <w:jc w:val="center"/>
        </w:trPr>
        <w:tc>
          <w:tcPr>
            <w:tcW w:w="3004" w:type="dxa"/>
            <w:shd w:val="clear" w:color="auto" w:fill="auto"/>
            <w:noWrap/>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2019-20</w:t>
            </w:r>
          </w:p>
        </w:tc>
        <w:tc>
          <w:tcPr>
            <w:tcW w:w="2467" w:type="dxa"/>
            <w:shd w:val="clear" w:color="auto" w:fill="auto"/>
            <w:noWrap/>
            <w:vAlign w:val="center"/>
            <w:hideMark/>
          </w:tcPr>
          <w:p w:rsidR="00726DE3" w:rsidRPr="0009556B" w:rsidRDefault="00726DE3"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6 billion</w:t>
            </w:r>
          </w:p>
        </w:tc>
        <w:tc>
          <w:tcPr>
            <w:tcW w:w="2467" w:type="dxa"/>
            <w:shd w:val="clear" w:color="auto" w:fill="auto"/>
            <w:noWrap/>
            <w:vAlign w:val="center"/>
            <w:hideMark/>
          </w:tcPr>
          <w:p w:rsidR="00726DE3" w:rsidRPr="0009556B" w:rsidRDefault="0072160F"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2.4</w:t>
            </w:r>
            <w:r w:rsidR="00726DE3" w:rsidRPr="0009556B">
              <w:rPr>
                <w:rFonts w:ascii="Arial" w:eastAsia="Times New Roman" w:hAnsi="Arial" w:cs="Arial"/>
                <w:color w:val="FFFFFF" w:themeColor="background1"/>
                <w:sz w:val="16"/>
                <w:szCs w:val="16"/>
              </w:rPr>
              <w:t xml:space="preserve"> per cent</w:t>
            </w:r>
          </w:p>
        </w:tc>
      </w:tr>
      <w:tr w:rsidR="0009556B" w:rsidRPr="0009556B" w:rsidTr="0009556B">
        <w:trPr>
          <w:trHeight w:hRule="exact" w:val="340"/>
          <w:jc w:val="center"/>
        </w:trPr>
        <w:tc>
          <w:tcPr>
            <w:tcW w:w="3004" w:type="dxa"/>
            <w:shd w:val="clear" w:color="auto" w:fill="auto"/>
            <w:noWrap/>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2020-21</w:t>
            </w:r>
          </w:p>
        </w:tc>
        <w:tc>
          <w:tcPr>
            <w:tcW w:w="2467" w:type="dxa"/>
            <w:shd w:val="clear" w:color="auto" w:fill="auto"/>
            <w:noWrap/>
            <w:vAlign w:val="center"/>
            <w:hideMark/>
          </w:tcPr>
          <w:p w:rsidR="00726DE3" w:rsidRPr="0009556B" w:rsidRDefault="00726DE3"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6 billion</w:t>
            </w:r>
          </w:p>
        </w:tc>
        <w:tc>
          <w:tcPr>
            <w:tcW w:w="2467" w:type="dxa"/>
            <w:shd w:val="clear" w:color="auto" w:fill="auto"/>
            <w:noWrap/>
            <w:vAlign w:val="center"/>
            <w:hideMark/>
          </w:tcPr>
          <w:p w:rsidR="00726DE3" w:rsidRPr="0009556B" w:rsidRDefault="0072160F"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1.8</w:t>
            </w:r>
            <w:r w:rsidR="00726DE3" w:rsidRPr="0009556B">
              <w:rPr>
                <w:rFonts w:ascii="Arial" w:eastAsia="Times New Roman" w:hAnsi="Arial" w:cs="Arial"/>
                <w:color w:val="FFFFFF" w:themeColor="background1"/>
                <w:sz w:val="16"/>
                <w:szCs w:val="16"/>
              </w:rPr>
              <w:t xml:space="preserve"> per cent</w:t>
            </w:r>
          </w:p>
        </w:tc>
      </w:tr>
      <w:tr w:rsidR="0009556B" w:rsidRPr="0009556B" w:rsidTr="0009556B">
        <w:trPr>
          <w:trHeight w:hRule="exact" w:val="340"/>
          <w:jc w:val="center"/>
        </w:trPr>
        <w:tc>
          <w:tcPr>
            <w:tcW w:w="3004" w:type="dxa"/>
            <w:shd w:val="clear" w:color="auto" w:fill="auto"/>
            <w:noWrap/>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2021-22</w:t>
            </w:r>
          </w:p>
        </w:tc>
        <w:tc>
          <w:tcPr>
            <w:tcW w:w="2467" w:type="dxa"/>
            <w:shd w:val="clear" w:color="auto" w:fill="auto"/>
            <w:noWrap/>
            <w:vAlign w:val="center"/>
            <w:hideMark/>
          </w:tcPr>
          <w:p w:rsidR="00726DE3" w:rsidRPr="0009556B" w:rsidRDefault="00726DE3"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7 billion</w:t>
            </w:r>
          </w:p>
        </w:tc>
        <w:tc>
          <w:tcPr>
            <w:tcW w:w="2467" w:type="dxa"/>
            <w:shd w:val="clear" w:color="auto" w:fill="auto"/>
            <w:noWrap/>
            <w:vAlign w:val="center"/>
            <w:hideMark/>
          </w:tcPr>
          <w:p w:rsidR="00726DE3" w:rsidRPr="0009556B" w:rsidRDefault="0072160F"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1.7</w:t>
            </w:r>
            <w:r w:rsidR="00726DE3" w:rsidRPr="0009556B">
              <w:rPr>
                <w:rFonts w:ascii="Arial" w:eastAsia="Times New Roman" w:hAnsi="Arial" w:cs="Arial"/>
                <w:color w:val="FFFFFF" w:themeColor="background1"/>
                <w:sz w:val="16"/>
                <w:szCs w:val="16"/>
              </w:rPr>
              <w:t xml:space="preserve"> per cent</w:t>
            </w:r>
          </w:p>
        </w:tc>
      </w:tr>
      <w:tr w:rsidR="0009556B" w:rsidRPr="0009556B" w:rsidTr="0009556B">
        <w:trPr>
          <w:trHeight w:hRule="exact" w:val="340"/>
          <w:jc w:val="center"/>
        </w:trPr>
        <w:tc>
          <w:tcPr>
            <w:tcW w:w="3004" w:type="dxa"/>
            <w:shd w:val="clear" w:color="auto" w:fill="auto"/>
            <w:noWrap/>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2022-23</w:t>
            </w:r>
          </w:p>
        </w:tc>
        <w:tc>
          <w:tcPr>
            <w:tcW w:w="2467" w:type="dxa"/>
            <w:shd w:val="clear" w:color="auto" w:fill="auto"/>
            <w:noWrap/>
            <w:vAlign w:val="center"/>
            <w:hideMark/>
          </w:tcPr>
          <w:p w:rsidR="00726DE3" w:rsidRPr="0009556B" w:rsidRDefault="00726DE3"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7 billion</w:t>
            </w:r>
          </w:p>
        </w:tc>
        <w:tc>
          <w:tcPr>
            <w:tcW w:w="2467" w:type="dxa"/>
            <w:shd w:val="clear" w:color="auto" w:fill="auto"/>
            <w:noWrap/>
            <w:vAlign w:val="center"/>
            <w:hideMark/>
          </w:tcPr>
          <w:p w:rsidR="00726DE3" w:rsidRPr="0009556B" w:rsidRDefault="0072160F"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1.3</w:t>
            </w:r>
            <w:r w:rsidR="00726DE3" w:rsidRPr="0009556B">
              <w:rPr>
                <w:rFonts w:ascii="Arial" w:eastAsia="Times New Roman" w:hAnsi="Arial" w:cs="Arial"/>
                <w:color w:val="FFFFFF" w:themeColor="background1"/>
                <w:sz w:val="16"/>
                <w:szCs w:val="16"/>
              </w:rPr>
              <w:t xml:space="preserve"> per cent</w:t>
            </w:r>
          </w:p>
        </w:tc>
      </w:tr>
      <w:tr w:rsidR="0009556B" w:rsidRPr="0009556B" w:rsidTr="0009556B">
        <w:trPr>
          <w:trHeight w:hRule="exact" w:val="340"/>
          <w:jc w:val="center"/>
        </w:trPr>
        <w:tc>
          <w:tcPr>
            <w:tcW w:w="3004" w:type="dxa"/>
            <w:shd w:val="clear" w:color="auto" w:fill="auto"/>
            <w:noWrap/>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2023-24</w:t>
            </w:r>
          </w:p>
        </w:tc>
        <w:tc>
          <w:tcPr>
            <w:tcW w:w="2467" w:type="dxa"/>
            <w:shd w:val="clear" w:color="auto" w:fill="auto"/>
            <w:noWrap/>
            <w:vAlign w:val="center"/>
            <w:hideMark/>
          </w:tcPr>
          <w:p w:rsidR="00726DE3" w:rsidRPr="0009556B" w:rsidRDefault="00726DE3"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7 billion</w:t>
            </w:r>
          </w:p>
        </w:tc>
        <w:tc>
          <w:tcPr>
            <w:tcW w:w="2467" w:type="dxa"/>
            <w:shd w:val="clear" w:color="auto" w:fill="auto"/>
            <w:noWrap/>
            <w:vAlign w:val="center"/>
            <w:hideMark/>
          </w:tcPr>
          <w:p w:rsidR="00726DE3" w:rsidRPr="0009556B" w:rsidRDefault="0072160F"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1.1</w:t>
            </w:r>
            <w:r w:rsidR="00726DE3" w:rsidRPr="0009556B">
              <w:rPr>
                <w:rFonts w:ascii="Arial" w:eastAsia="Times New Roman" w:hAnsi="Arial" w:cs="Arial"/>
                <w:color w:val="FFFFFF" w:themeColor="background1"/>
                <w:sz w:val="16"/>
                <w:szCs w:val="16"/>
              </w:rPr>
              <w:t xml:space="preserve"> per cent</w:t>
            </w:r>
          </w:p>
        </w:tc>
      </w:tr>
      <w:tr w:rsidR="0009556B" w:rsidRPr="0009556B" w:rsidTr="0009556B">
        <w:trPr>
          <w:trHeight w:hRule="exact" w:val="340"/>
          <w:jc w:val="center"/>
        </w:trPr>
        <w:tc>
          <w:tcPr>
            <w:tcW w:w="3004" w:type="dxa"/>
            <w:shd w:val="clear" w:color="auto" w:fill="auto"/>
            <w:noWrap/>
            <w:vAlign w:val="center"/>
            <w:hideMark/>
          </w:tcPr>
          <w:p w:rsidR="00726DE3" w:rsidRPr="0009556B" w:rsidRDefault="00726DE3" w:rsidP="0072160F">
            <w:pPr>
              <w:spacing w:before="0" w:after="0"/>
              <w:jc w:val="center"/>
              <w:rPr>
                <w:rFonts w:ascii="Arial" w:eastAsia="Times New Roman" w:hAnsi="Arial" w:cs="Arial"/>
                <w:b/>
                <w:bCs/>
                <w:color w:val="FFFFFF" w:themeColor="background1"/>
                <w:sz w:val="16"/>
                <w:szCs w:val="16"/>
              </w:rPr>
            </w:pPr>
            <w:r w:rsidRPr="0009556B">
              <w:rPr>
                <w:rFonts w:ascii="Arial" w:eastAsia="Times New Roman" w:hAnsi="Arial" w:cs="Arial"/>
                <w:b/>
                <w:bCs/>
                <w:color w:val="FFFFFF" w:themeColor="background1"/>
                <w:sz w:val="16"/>
                <w:szCs w:val="16"/>
              </w:rPr>
              <w:t>2024-25</w:t>
            </w:r>
          </w:p>
        </w:tc>
        <w:tc>
          <w:tcPr>
            <w:tcW w:w="2467" w:type="dxa"/>
            <w:shd w:val="clear" w:color="auto" w:fill="auto"/>
            <w:noWrap/>
            <w:vAlign w:val="center"/>
            <w:hideMark/>
          </w:tcPr>
          <w:p w:rsidR="00726DE3" w:rsidRPr="0009556B" w:rsidRDefault="00726DE3"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7 billion</w:t>
            </w:r>
          </w:p>
        </w:tc>
        <w:tc>
          <w:tcPr>
            <w:tcW w:w="2467" w:type="dxa"/>
            <w:shd w:val="clear" w:color="auto" w:fill="auto"/>
            <w:noWrap/>
            <w:vAlign w:val="center"/>
            <w:hideMark/>
          </w:tcPr>
          <w:p w:rsidR="00726DE3" w:rsidRPr="0009556B" w:rsidRDefault="0072160F" w:rsidP="0072160F">
            <w:pPr>
              <w:spacing w:before="0" w:after="0"/>
              <w:jc w:val="center"/>
              <w:rPr>
                <w:rFonts w:ascii="Arial" w:eastAsia="Times New Roman" w:hAnsi="Arial" w:cs="Arial"/>
                <w:color w:val="FFFFFF" w:themeColor="background1"/>
                <w:sz w:val="16"/>
                <w:szCs w:val="16"/>
              </w:rPr>
            </w:pPr>
            <w:r w:rsidRPr="0009556B">
              <w:rPr>
                <w:rFonts w:ascii="Arial" w:eastAsia="Times New Roman" w:hAnsi="Arial" w:cs="Arial"/>
                <w:color w:val="FFFFFF" w:themeColor="background1"/>
                <w:sz w:val="16"/>
                <w:szCs w:val="16"/>
              </w:rPr>
              <w:t>0.8</w:t>
            </w:r>
            <w:r w:rsidR="00726DE3" w:rsidRPr="0009556B">
              <w:rPr>
                <w:rFonts w:ascii="Arial" w:eastAsia="Times New Roman" w:hAnsi="Arial" w:cs="Arial"/>
                <w:color w:val="FFFFFF" w:themeColor="background1"/>
                <w:sz w:val="16"/>
                <w:szCs w:val="16"/>
              </w:rPr>
              <w:t xml:space="preserve"> per cent</w:t>
            </w:r>
          </w:p>
        </w:tc>
      </w:tr>
    </w:tbl>
    <w:p w:rsidR="00BB141B" w:rsidRPr="00153A1D" w:rsidRDefault="00BB141B" w:rsidP="00891443">
      <w:pPr>
        <w:pStyle w:val="PBOsource"/>
      </w:pPr>
      <w:r>
        <w:rPr>
          <w:lang w:eastAsia="en-US"/>
        </w:rPr>
        <w:t>Source:  Australian Government Budgets and PBO analysis</w:t>
      </w:r>
      <w:r>
        <w:br w:type="page"/>
      </w:r>
    </w:p>
    <w:p w:rsidR="004252DB" w:rsidRPr="001C664B" w:rsidRDefault="004252DB" w:rsidP="0033546E">
      <w:pPr>
        <w:pStyle w:val="PBOheading2"/>
        <w:numPr>
          <w:ilvl w:val="1"/>
          <w:numId w:val="31"/>
        </w:numPr>
      </w:pPr>
      <w:bookmarkStart w:id="69" w:name="_Toc396382644"/>
      <w:r w:rsidRPr="001C664B">
        <w:lastRenderedPageBreak/>
        <w:t>Carer income support</w:t>
      </w:r>
      <w:bookmarkEnd w:id="69"/>
    </w:p>
    <w:p w:rsidR="008459F2" w:rsidRDefault="008459F2" w:rsidP="008459F2">
      <w:pPr>
        <w:pStyle w:val="PBOtext"/>
        <w:spacing w:after="0"/>
      </w:pPr>
      <w:r w:rsidRPr="00E3510B">
        <w:t>Carer income support, which includes the Carer Payment,</w:t>
      </w:r>
      <w:r>
        <w:t xml:space="preserve"> allowances and supplements, is projected to slow from its</w:t>
      </w:r>
      <w:r w:rsidRPr="00E3510B">
        <w:t xml:space="preserve"> historical real growth </w:t>
      </w:r>
      <w:r>
        <w:t>of 10.2 per cent annually to 4.0</w:t>
      </w:r>
      <w:r w:rsidRPr="00E3510B">
        <w:t xml:space="preserve"> per cent annually over the medium term. </w:t>
      </w:r>
      <w:r>
        <w:t>Carer income support is</w:t>
      </w:r>
      <w:r w:rsidRPr="00E71EDF">
        <w:t xml:space="preserve"> projected to account for </w:t>
      </w:r>
      <w:r>
        <w:t>3 </w:t>
      </w:r>
      <w:r w:rsidRPr="00E71EDF">
        <w:t>per</w:t>
      </w:r>
      <w:r>
        <w:t> </w:t>
      </w:r>
      <w:r w:rsidRPr="00E71EDF">
        <w:t xml:space="preserve">cent of the growth in total spending over the medium term </w:t>
      </w:r>
      <w:r>
        <w:t>and 2</w:t>
      </w:r>
      <w:r w:rsidRPr="00E71EDF">
        <w:t xml:space="preserve"> per cent </w:t>
      </w:r>
      <w:r>
        <w:t>of total spending in 2024-25</w:t>
      </w:r>
      <w:r w:rsidRPr="00E71EDF">
        <w:t>.</w:t>
      </w:r>
    </w:p>
    <w:p w:rsidR="008459F2" w:rsidRDefault="008459F2" w:rsidP="008459F2">
      <w:pPr>
        <w:pStyle w:val="PBOtext"/>
        <w:spacing w:after="0"/>
      </w:pPr>
      <w:r>
        <w:t>Strong historical growth in carer income support partly reflects the payment of carer bonuses each year from 2003-04 to 2007-08,</w:t>
      </w:r>
      <w:r w:rsidRPr="00302535">
        <w:t xml:space="preserve"> </w:t>
      </w:r>
      <w:r>
        <w:t>the introduction of the Carer Supplement in June 2009, and commencement of the Child Disability Assistance Payment in July 2007.</w:t>
      </w:r>
    </w:p>
    <w:p w:rsidR="008459F2" w:rsidRDefault="008459F2" w:rsidP="004252DB">
      <w:pPr>
        <w:pStyle w:val="PBOtext"/>
        <w:spacing w:after="0"/>
      </w:pPr>
      <w:r>
        <w:t xml:space="preserve">The slowing in growth over the </w:t>
      </w:r>
      <w:r w:rsidRPr="00E3510B">
        <w:t xml:space="preserve">medium term reflects the 2014-15 Budget measure to index the carer payment and associated allowances to movements in the CPI from 1 September 2017.  </w:t>
      </w:r>
      <w:r w:rsidRPr="00F03102">
        <w:t xml:space="preserve">This change to indexation is a shift from the current practice of </w:t>
      </w:r>
      <w:r>
        <w:t xml:space="preserve">increasing carer income support based on the higher of benchmarking against MTAWE, or indexation by </w:t>
      </w:r>
      <w:r w:rsidRPr="00F03102">
        <w:t xml:space="preserve">CPI or </w:t>
      </w:r>
      <w:r>
        <w:t xml:space="preserve">the </w:t>
      </w:r>
      <w:r w:rsidRPr="00F03102">
        <w:t xml:space="preserve">Pensioner and Beneficiary Cost of Living </w:t>
      </w:r>
      <w:r>
        <w:t>index.</w:t>
      </w:r>
    </w:p>
    <w:p w:rsidR="004252DB" w:rsidRDefault="00ED1A8E" w:rsidP="004252DB">
      <w:pPr>
        <w:pStyle w:val="PBOfiguretableheading"/>
      </w:pPr>
      <w:r>
        <w:rPr>
          <w:noProof/>
          <w:lang w:eastAsia="en-AU"/>
        </w:rPr>
        <w:drawing>
          <wp:anchor distT="0" distB="0" distL="114300" distR="114300" simplePos="0" relativeHeight="251737088" behindDoc="0" locked="0" layoutInCell="1" allowOverlap="1" wp14:anchorId="437391C8" wp14:editId="43AC7288">
            <wp:simplePos x="0" y="0"/>
            <wp:positionH relativeFrom="column">
              <wp:posOffset>-19685</wp:posOffset>
            </wp:positionH>
            <wp:positionV relativeFrom="paragraph">
              <wp:posOffset>335915</wp:posOffset>
            </wp:positionV>
            <wp:extent cx="5401310" cy="3602990"/>
            <wp:effectExtent l="0" t="0" r="889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14:sizeRelH relativeFrom="page">
              <wp14:pctWidth>0</wp14:pctWidth>
            </wp14:sizeRelH>
            <wp14:sizeRelV relativeFrom="page">
              <wp14:pctHeight>0</wp14:pctHeight>
            </wp14:sizeRelV>
          </wp:anchor>
        </w:drawing>
      </w:r>
      <w:r w:rsidR="004252DB">
        <w:t>Figure 2.1</w:t>
      </w:r>
      <w:r w:rsidR="008459F2">
        <w:t>1</w:t>
      </w:r>
      <w:r w:rsidR="004252DB">
        <w:t>.1: Nominal spending on carer income support and annual real growth</w:t>
      </w:r>
    </w:p>
    <w:tbl>
      <w:tblPr>
        <w:tblW w:w="7873" w:type="dxa"/>
        <w:jc w:val="center"/>
        <w:tblInd w:w="103" w:type="dxa"/>
        <w:tblLayout w:type="fixed"/>
        <w:tblLook w:val="04A0" w:firstRow="1" w:lastRow="0" w:firstColumn="1" w:lastColumn="0" w:noHBand="0" w:noVBand="1"/>
      </w:tblPr>
      <w:tblGrid>
        <w:gridCol w:w="2784"/>
        <w:gridCol w:w="1696"/>
        <w:gridCol w:w="1696"/>
        <w:gridCol w:w="1697"/>
      </w:tblGrid>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Year</w:t>
            </w:r>
          </w:p>
        </w:tc>
        <w:tc>
          <w:tcPr>
            <w:tcW w:w="1696" w:type="dxa"/>
            <w:shd w:val="clear" w:color="auto" w:fill="auto"/>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Nominal dollars</w:t>
            </w:r>
          </w:p>
        </w:tc>
        <w:tc>
          <w:tcPr>
            <w:tcW w:w="1696" w:type="dxa"/>
            <w:shd w:val="clear" w:color="auto" w:fill="auto"/>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Nominal dollars without measures</w:t>
            </w:r>
          </w:p>
        </w:tc>
        <w:tc>
          <w:tcPr>
            <w:tcW w:w="1697" w:type="dxa"/>
            <w:shd w:val="clear" w:color="auto" w:fill="auto"/>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Annual real growth</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2002-03</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1.8 billion</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2003-04</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2.2 billion</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20.1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2004-05</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2.5 billion</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8.6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2005-06</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2.7 billion</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7.8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2006-07</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3.0 billion</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6.1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2007-08</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3.6 billion</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17.8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2008-09</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4.5 billion</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19.8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2009-10</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4.1 billion</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-11.4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2010-11</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5.1 billion</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21.5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2011-12</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5.7 billion</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9.4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2012-13</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6.2 billion</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6.9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2013-14</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7.0 billion</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8.8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2014-15</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7.6 billion</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7</w:t>
            </w:r>
            <w:r w:rsidR="00ED1A8E" w:rsidRPr="00ED1A8E">
              <w:rPr>
                <w:rFonts w:ascii="Arial" w:eastAsia="Times New Roman" w:hAnsi="Arial" w:cs="Arial"/>
                <w:color w:val="FFFFFF" w:themeColor="background1"/>
                <w:sz w:val="16"/>
                <w:szCs w:val="16"/>
              </w:rPr>
              <w:t>.6</w:t>
            </w:r>
            <w:r w:rsidRPr="00ED1A8E">
              <w:rPr>
                <w:rFonts w:ascii="Arial" w:eastAsia="Times New Roman" w:hAnsi="Arial" w:cs="Arial"/>
                <w:color w:val="FFFFFF" w:themeColor="background1"/>
                <w:sz w:val="16"/>
                <w:szCs w:val="16"/>
              </w:rPr>
              <w:t xml:space="preserve"> billion</w:t>
            </w: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6.9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2015-16</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8.3 billion</w:t>
            </w:r>
          </w:p>
        </w:tc>
        <w:tc>
          <w:tcPr>
            <w:tcW w:w="1696" w:type="dxa"/>
            <w:shd w:val="clear" w:color="auto" w:fill="auto"/>
            <w:noWrap/>
            <w:vAlign w:val="bottom"/>
            <w:hideMark/>
          </w:tcPr>
          <w:p w:rsidR="00506AD1" w:rsidRPr="00ED1A8E" w:rsidRDefault="00ED1A8E"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8.3</w:t>
            </w:r>
            <w:r w:rsidR="00506AD1" w:rsidRPr="00ED1A8E">
              <w:rPr>
                <w:rFonts w:ascii="Arial" w:eastAsia="Times New Roman" w:hAnsi="Arial" w:cs="Arial"/>
                <w:color w:val="FFFFFF" w:themeColor="background1"/>
                <w:sz w:val="16"/>
                <w:szCs w:val="16"/>
              </w:rPr>
              <w:t xml:space="preserve"> billion</w:t>
            </w: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5.7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2016-17</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9.0 billion</w:t>
            </w:r>
          </w:p>
        </w:tc>
        <w:tc>
          <w:tcPr>
            <w:tcW w:w="1696" w:type="dxa"/>
            <w:shd w:val="clear" w:color="auto" w:fill="auto"/>
            <w:noWrap/>
            <w:vAlign w:val="bottom"/>
            <w:hideMark/>
          </w:tcPr>
          <w:p w:rsidR="00506AD1" w:rsidRPr="00ED1A8E" w:rsidRDefault="00ED1A8E"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9.0</w:t>
            </w:r>
            <w:r w:rsidR="00506AD1" w:rsidRPr="00ED1A8E">
              <w:rPr>
                <w:rFonts w:ascii="Arial" w:eastAsia="Times New Roman" w:hAnsi="Arial" w:cs="Arial"/>
                <w:color w:val="FFFFFF" w:themeColor="background1"/>
                <w:sz w:val="16"/>
                <w:szCs w:val="16"/>
              </w:rPr>
              <w:t xml:space="preserve"> billion</w:t>
            </w: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6.2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2017-18</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9.8 billion</w:t>
            </w:r>
          </w:p>
        </w:tc>
        <w:tc>
          <w:tcPr>
            <w:tcW w:w="1696" w:type="dxa"/>
            <w:shd w:val="clear" w:color="auto" w:fill="auto"/>
            <w:noWrap/>
            <w:vAlign w:val="bottom"/>
            <w:hideMark/>
          </w:tcPr>
          <w:p w:rsidR="00506AD1" w:rsidRPr="00ED1A8E" w:rsidRDefault="00ED1A8E"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9.8</w:t>
            </w:r>
            <w:r w:rsidR="00506AD1" w:rsidRPr="00ED1A8E">
              <w:rPr>
                <w:rFonts w:ascii="Arial" w:eastAsia="Times New Roman" w:hAnsi="Arial" w:cs="Arial"/>
                <w:color w:val="FFFFFF" w:themeColor="background1"/>
                <w:sz w:val="16"/>
                <w:szCs w:val="16"/>
              </w:rPr>
              <w:t xml:space="preserve"> billion</w:t>
            </w: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5.9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2018-19</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10.3 billion</w:t>
            </w:r>
          </w:p>
        </w:tc>
        <w:tc>
          <w:tcPr>
            <w:tcW w:w="1696" w:type="dxa"/>
            <w:shd w:val="clear" w:color="auto" w:fill="auto"/>
            <w:noWrap/>
            <w:vAlign w:val="bottom"/>
            <w:hideMark/>
          </w:tcPr>
          <w:p w:rsidR="00506AD1" w:rsidRPr="00ED1A8E" w:rsidRDefault="00ED1A8E"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10.4</w:t>
            </w:r>
            <w:r w:rsidR="00506AD1" w:rsidRPr="00ED1A8E">
              <w:rPr>
                <w:rFonts w:ascii="Arial" w:eastAsia="Times New Roman" w:hAnsi="Arial" w:cs="Arial"/>
                <w:color w:val="FFFFFF" w:themeColor="background1"/>
                <w:sz w:val="16"/>
                <w:szCs w:val="16"/>
              </w:rPr>
              <w:t xml:space="preserve"> billion</w:t>
            </w: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2.7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2019-20</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10.8 billion</w:t>
            </w:r>
          </w:p>
        </w:tc>
        <w:tc>
          <w:tcPr>
            <w:tcW w:w="1696" w:type="dxa"/>
            <w:shd w:val="clear" w:color="auto" w:fill="auto"/>
            <w:noWrap/>
            <w:vAlign w:val="bottom"/>
            <w:hideMark/>
          </w:tcPr>
          <w:p w:rsidR="00506AD1" w:rsidRPr="00ED1A8E" w:rsidRDefault="00ED1A8E"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11.0</w:t>
            </w:r>
            <w:r w:rsidR="00506AD1" w:rsidRPr="00ED1A8E">
              <w:rPr>
                <w:rFonts w:ascii="Arial" w:eastAsia="Times New Roman" w:hAnsi="Arial" w:cs="Arial"/>
                <w:color w:val="FFFFFF" w:themeColor="background1"/>
                <w:sz w:val="16"/>
                <w:szCs w:val="16"/>
              </w:rPr>
              <w:t xml:space="preserve"> billion</w:t>
            </w: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2.5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2020-21</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11.3 billion</w:t>
            </w:r>
          </w:p>
        </w:tc>
        <w:tc>
          <w:tcPr>
            <w:tcW w:w="1696" w:type="dxa"/>
            <w:shd w:val="clear" w:color="auto" w:fill="auto"/>
            <w:noWrap/>
            <w:vAlign w:val="bottom"/>
            <w:hideMark/>
          </w:tcPr>
          <w:p w:rsidR="00506AD1" w:rsidRPr="00ED1A8E" w:rsidRDefault="00ED1A8E"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11.6</w:t>
            </w:r>
            <w:r w:rsidR="00506AD1" w:rsidRPr="00ED1A8E">
              <w:rPr>
                <w:rFonts w:ascii="Arial" w:eastAsia="Times New Roman" w:hAnsi="Arial" w:cs="Arial"/>
                <w:color w:val="FFFFFF" w:themeColor="background1"/>
                <w:sz w:val="16"/>
                <w:szCs w:val="16"/>
              </w:rPr>
              <w:t xml:space="preserve"> billion</w:t>
            </w: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2.3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2021-22</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11.9 billion</w:t>
            </w:r>
          </w:p>
        </w:tc>
        <w:tc>
          <w:tcPr>
            <w:tcW w:w="1696" w:type="dxa"/>
            <w:shd w:val="clear" w:color="auto" w:fill="auto"/>
            <w:noWrap/>
            <w:vAlign w:val="bottom"/>
            <w:hideMark/>
          </w:tcPr>
          <w:p w:rsidR="00506AD1" w:rsidRPr="00ED1A8E" w:rsidRDefault="00ED1A8E"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12.2</w:t>
            </w:r>
            <w:r w:rsidR="00506AD1" w:rsidRPr="00ED1A8E">
              <w:rPr>
                <w:rFonts w:ascii="Arial" w:eastAsia="Times New Roman" w:hAnsi="Arial" w:cs="Arial"/>
                <w:color w:val="FFFFFF" w:themeColor="background1"/>
                <w:sz w:val="16"/>
                <w:szCs w:val="16"/>
              </w:rPr>
              <w:t xml:space="preserve"> billion</w:t>
            </w: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2.2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2022-23</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12.4 billion</w:t>
            </w:r>
          </w:p>
        </w:tc>
        <w:tc>
          <w:tcPr>
            <w:tcW w:w="1696" w:type="dxa"/>
            <w:shd w:val="clear" w:color="auto" w:fill="auto"/>
            <w:noWrap/>
            <w:vAlign w:val="bottom"/>
            <w:hideMark/>
          </w:tcPr>
          <w:p w:rsidR="00506AD1" w:rsidRPr="00ED1A8E" w:rsidRDefault="00ED1A8E"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12.9</w:t>
            </w:r>
            <w:r w:rsidR="00506AD1" w:rsidRPr="00ED1A8E">
              <w:rPr>
                <w:rFonts w:ascii="Arial" w:eastAsia="Times New Roman" w:hAnsi="Arial" w:cs="Arial"/>
                <w:color w:val="FFFFFF" w:themeColor="background1"/>
                <w:sz w:val="16"/>
                <w:szCs w:val="16"/>
              </w:rPr>
              <w:t xml:space="preserve"> billion</w:t>
            </w: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2.0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2023-24</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13.0 billion</w:t>
            </w:r>
          </w:p>
        </w:tc>
        <w:tc>
          <w:tcPr>
            <w:tcW w:w="1696" w:type="dxa"/>
            <w:shd w:val="clear" w:color="auto" w:fill="auto"/>
            <w:noWrap/>
            <w:vAlign w:val="bottom"/>
            <w:hideMark/>
          </w:tcPr>
          <w:p w:rsidR="00506AD1" w:rsidRPr="00ED1A8E" w:rsidRDefault="00ED1A8E"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13.6</w:t>
            </w:r>
            <w:r w:rsidR="00506AD1" w:rsidRPr="00ED1A8E">
              <w:rPr>
                <w:rFonts w:ascii="Arial" w:eastAsia="Times New Roman" w:hAnsi="Arial" w:cs="Arial"/>
                <w:color w:val="FFFFFF" w:themeColor="background1"/>
                <w:sz w:val="16"/>
                <w:szCs w:val="16"/>
              </w:rPr>
              <w:t xml:space="preserve"> billion</w:t>
            </w: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1.9 per cent</w:t>
            </w:r>
          </w:p>
        </w:tc>
      </w:tr>
      <w:tr w:rsidR="00ED1A8E" w:rsidRPr="00ED1A8E" w:rsidTr="00ED1A8E">
        <w:trPr>
          <w:trHeight w:hRule="exact" w:val="227"/>
          <w:jc w:val="center"/>
        </w:trPr>
        <w:tc>
          <w:tcPr>
            <w:tcW w:w="2784" w:type="dxa"/>
            <w:shd w:val="clear" w:color="auto" w:fill="auto"/>
            <w:noWrap/>
            <w:vAlign w:val="center"/>
            <w:hideMark/>
          </w:tcPr>
          <w:p w:rsidR="00506AD1" w:rsidRPr="00ED1A8E" w:rsidRDefault="00506AD1" w:rsidP="00506AD1">
            <w:pPr>
              <w:spacing w:before="0" w:after="0"/>
              <w:jc w:val="center"/>
              <w:rPr>
                <w:rFonts w:ascii="Arial" w:eastAsia="Times New Roman" w:hAnsi="Arial" w:cs="Arial"/>
                <w:b/>
                <w:bCs/>
                <w:color w:val="FFFFFF" w:themeColor="background1"/>
                <w:sz w:val="16"/>
                <w:szCs w:val="16"/>
              </w:rPr>
            </w:pPr>
            <w:r w:rsidRPr="00ED1A8E">
              <w:rPr>
                <w:rFonts w:ascii="Arial" w:eastAsia="Times New Roman" w:hAnsi="Arial" w:cs="Arial"/>
                <w:b/>
                <w:bCs/>
                <w:color w:val="FFFFFF" w:themeColor="background1"/>
                <w:sz w:val="16"/>
                <w:szCs w:val="16"/>
              </w:rPr>
              <w:t>2024-25</w:t>
            </w:r>
          </w:p>
        </w:tc>
        <w:tc>
          <w:tcPr>
            <w:tcW w:w="1696"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13.5 billion</w:t>
            </w:r>
          </w:p>
        </w:tc>
        <w:tc>
          <w:tcPr>
            <w:tcW w:w="1696" w:type="dxa"/>
            <w:shd w:val="clear" w:color="auto" w:fill="auto"/>
            <w:noWrap/>
            <w:vAlign w:val="bottom"/>
            <w:hideMark/>
          </w:tcPr>
          <w:p w:rsidR="00506AD1" w:rsidRPr="00ED1A8E" w:rsidRDefault="00ED1A8E"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14.4</w:t>
            </w:r>
            <w:r w:rsidR="00506AD1" w:rsidRPr="00ED1A8E">
              <w:rPr>
                <w:rFonts w:ascii="Arial" w:eastAsia="Times New Roman" w:hAnsi="Arial" w:cs="Arial"/>
                <w:color w:val="FFFFFF" w:themeColor="background1"/>
                <w:sz w:val="16"/>
                <w:szCs w:val="16"/>
              </w:rPr>
              <w:t xml:space="preserve"> billion</w:t>
            </w:r>
          </w:p>
        </w:tc>
        <w:tc>
          <w:tcPr>
            <w:tcW w:w="1697" w:type="dxa"/>
            <w:shd w:val="clear" w:color="auto" w:fill="auto"/>
            <w:noWrap/>
            <w:vAlign w:val="bottom"/>
            <w:hideMark/>
          </w:tcPr>
          <w:p w:rsidR="00506AD1" w:rsidRPr="00ED1A8E" w:rsidRDefault="00506AD1" w:rsidP="00ED1A8E">
            <w:pPr>
              <w:spacing w:before="0" w:after="0"/>
              <w:jc w:val="center"/>
              <w:rPr>
                <w:rFonts w:ascii="Arial" w:eastAsia="Times New Roman" w:hAnsi="Arial" w:cs="Arial"/>
                <w:color w:val="FFFFFF" w:themeColor="background1"/>
                <w:sz w:val="16"/>
                <w:szCs w:val="16"/>
              </w:rPr>
            </w:pPr>
            <w:r w:rsidRPr="00ED1A8E">
              <w:rPr>
                <w:rFonts w:ascii="Arial" w:eastAsia="Times New Roman" w:hAnsi="Arial" w:cs="Arial"/>
                <w:color w:val="FFFFFF" w:themeColor="background1"/>
                <w:sz w:val="16"/>
                <w:szCs w:val="16"/>
              </w:rPr>
              <w:t>1.7 per cent</w:t>
            </w:r>
          </w:p>
        </w:tc>
      </w:tr>
    </w:tbl>
    <w:p w:rsidR="008459F2" w:rsidRDefault="004252DB" w:rsidP="00ED1A8E">
      <w:pPr>
        <w:pStyle w:val="PBOsource"/>
        <w:spacing w:before="240"/>
      </w:pPr>
      <w:r>
        <w:t>Source: Australian Government Budgets and PBO Analysis</w:t>
      </w:r>
    </w:p>
    <w:p w:rsidR="004252DB" w:rsidRDefault="008459F2" w:rsidP="00081283">
      <w:pPr>
        <w:pStyle w:val="PBOtext"/>
        <w:rPr>
          <w:rStyle w:val="Emphasis"/>
          <w:i w:val="0"/>
          <w:iCs w:val="0"/>
        </w:rPr>
      </w:pPr>
      <w:r w:rsidRPr="00B14A66">
        <w:t>Figure 2.1</w:t>
      </w:r>
      <w:r>
        <w:t>1</w:t>
      </w:r>
      <w:r w:rsidRPr="00B14A66">
        <w:t>.1</w:t>
      </w:r>
      <w:r>
        <w:t xml:space="preserve"> shows projected spending on carer income support</w:t>
      </w:r>
      <w:r w:rsidRPr="00B14A66">
        <w:t>, with and without the impact of the 2014</w:t>
      </w:r>
      <w:r w:rsidRPr="00B14A66">
        <w:noBreakHyphen/>
        <w:t>15 Budget measures which are ye</w:t>
      </w:r>
      <w:r>
        <w:t xml:space="preserve">t to be legislated. In 2024-25 savings measures relating to carer income support </w:t>
      </w:r>
      <w:r w:rsidRPr="00B14A66">
        <w:t xml:space="preserve">are projected to reduce spending by </w:t>
      </w:r>
      <w:r w:rsidRPr="006A1515">
        <w:t>$</w:t>
      </w:r>
      <w:r>
        <w:t>0.8</w:t>
      </w:r>
      <w:r w:rsidRPr="006A1515">
        <w:t> billion.</w:t>
      </w:r>
      <w:r w:rsidR="004252DB">
        <w:br w:type="page"/>
      </w:r>
    </w:p>
    <w:p w:rsidR="00092F4B" w:rsidRPr="00845065" w:rsidRDefault="00092F4B" w:rsidP="0033546E">
      <w:pPr>
        <w:pStyle w:val="PBOheading2"/>
        <w:numPr>
          <w:ilvl w:val="1"/>
          <w:numId w:val="31"/>
        </w:numPr>
      </w:pPr>
      <w:bookmarkStart w:id="70" w:name="_Toc396382645"/>
      <w:r w:rsidRPr="00845065">
        <w:lastRenderedPageBreak/>
        <w:t>Child care</w:t>
      </w:r>
      <w:bookmarkEnd w:id="70"/>
    </w:p>
    <w:p w:rsidR="002E5A17" w:rsidRDefault="002E5A17" w:rsidP="002E5A17">
      <w:pPr>
        <w:pStyle w:val="PBOtext"/>
      </w:pPr>
      <w:r>
        <w:t>Child care spending comprises the Child Care Benefit, which is</w:t>
      </w:r>
      <w:r w:rsidRPr="00845065">
        <w:t xml:space="preserve"> provided as an annual lump sum payment or as reduced child care fees, and </w:t>
      </w:r>
      <w:r>
        <w:t>the Child Care R</w:t>
      </w:r>
      <w:r w:rsidRPr="00845065">
        <w:t>ebate</w:t>
      </w:r>
      <w:r>
        <w:t>, which is</w:t>
      </w:r>
      <w:r w:rsidRPr="00845065">
        <w:t xml:space="preserve"> provided as a fortnightly</w:t>
      </w:r>
      <w:r>
        <w:t>, quarterly or annual</w:t>
      </w:r>
      <w:r w:rsidRPr="00845065">
        <w:t xml:space="preserve"> payment of 50 per cent of the out-of-poc</w:t>
      </w:r>
      <w:r>
        <w:t>ket cost of child care.</w:t>
      </w:r>
    </w:p>
    <w:p w:rsidR="002E5A17" w:rsidRDefault="002E5A17" w:rsidP="002E5A17">
      <w:pPr>
        <w:pStyle w:val="PBOtext"/>
        <w:spacing w:after="0"/>
      </w:pPr>
      <w:r>
        <w:t>Growth in spending on child care is projected to slow significantly from its historical real growth of 10.3 per cent annually to 4.9 per cent annually over the medium term.</w:t>
      </w:r>
      <w:r w:rsidRPr="0032583B">
        <w:t xml:space="preserve"> </w:t>
      </w:r>
      <w:r>
        <w:t xml:space="preserve">Child care </w:t>
      </w:r>
      <w:r w:rsidRPr="00A97B46">
        <w:t xml:space="preserve">is </w:t>
      </w:r>
      <w:r>
        <w:t>projected</w:t>
      </w:r>
      <w:r w:rsidRPr="00A97B46">
        <w:t xml:space="preserve"> to </w:t>
      </w:r>
      <w:r>
        <w:t>account for 3</w:t>
      </w:r>
      <w:r w:rsidRPr="0078196F">
        <w:t xml:space="preserve"> per cent of the growth in total spe</w:t>
      </w:r>
      <w:r>
        <w:t>nding over the medium term and 2 </w:t>
      </w:r>
      <w:r w:rsidRPr="0078196F">
        <w:t>per</w:t>
      </w:r>
      <w:r>
        <w:t> </w:t>
      </w:r>
      <w:r w:rsidRPr="0078196F">
        <w:t>cent of total spendin</w:t>
      </w:r>
      <w:r>
        <w:t>g in 2024-25</w:t>
      </w:r>
      <w:r w:rsidRPr="0078196F">
        <w:t>.</w:t>
      </w:r>
    </w:p>
    <w:p w:rsidR="002E5A17" w:rsidRPr="00845065" w:rsidRDefault="002E5A17" w:rsidP="002E5A17">
      <w:pPr>
        <w:pStyle w:val="PBOtext"/>
      </w:pPr>
      <w:r w:rsidRPr="00595E4D">
        <w:t>Continued strong growth over the beginning of the medium term reflects the combination of increases in recipient numbers and child care costs, partly offset by measures in the 2013-14 and 2014-15 Budget to pause indexation of the maximum upper limit for the child care rebate.</w:t>
      </w:r>
    </w:p>
    <w:p w:rsidR="002E5A17" w:rsidRDefault="002E5A17" w:rsidP="002E5A17">
      <w:pPr>
        <w:pStyle w:val="PBOtext"/>
      </w:pPr>
      <w:r w:rsidRPr="006755BB">
        <w:t xml:space="preserve">Growth over the latter part of the medium term is slower reflecting reduced </w:t>
      </w:r>
      <w:r>
        <w:t xml:space="preserve">projected </w:t>
      </w:r>
      <w:r w:rsidRPr="006755BB">
        <w:t xml:space="preserve">growth in recipient numbers and </w:t>
      </w:r>
      <w:r>
        <w:t xml:space="preserve">child care costs </w:t>
      </w:r>
      <w:r w:rsidRPr="006755BB">
        <w:t>over the period.</w:t>
      </w:r>
    </w:p>
    <w:p w:rsidR="00092F4B" w:rsidRDefault="001C274C" w:rsidP="00E26C67">
      <w:pPr>
        <w:pStyle w:val="PBOfiguretableheading"/>
      </w:pPr>
      <w:r>
        <w:rPr>
          <w:noProof/>
          <w:lang w:eastAsia="en-AU"/>
        </w:rPr>
        <w:drawing>
          <wp:anchor distT="0" distB="0" distL="114300" distR="114300" simplePos="0" relativeHeight="251753472" behindDoc="0" locked="0" layoutInCell="1" allowOverlap="1" wp14:anchorId="49B2B32F" wp14:editId="6790DB80">
            <wp:simplePos x="0" y="0"/>
            <wp:positionH relativeFrom="column">
              <wp:posOffset>-8255</wp:posOffset>
            </wp:positionH>
            <wp:positionV relativeFrom="paragraph">
              <wp:posOffset>276733</wp:posOffset>
            </wp:positionV>
            <wp:extent cx="5395595" cy="35966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5595" cy="3596640"/>
                    </a:xfrm>
                    <a:prstGeom prst="rect">
                      <a:avLst/>
                    </a:prstGeom>
                    <a:noFill/>
                  </pic:spPr>
                </pic:pic>
              </a:graphicData>
            </a:graphic>
            <wp14:sizeRelH relativeFrom="page">
              <wp14:pctWidth>0</wp14:pctWidth>
            </wp14:sizeRelH>
            <wp14:sizeRelV relativeFrom="page">
              <wp14:pctHeight>0</wp14:pctHeight>
            </wp14:sizeRelV>
          </wp:anchor>
        </w:drawing>
      </w:r>
      <w:r w:rsidR="00092F4B">
        <w:t>Figure 2.12.1: Nominal spending on child care</w:t>
      </w:r>
      <w:r w:rsidR="00821839">
        <w:t xml:space="preserve"> and annual real growth</w:t>
      </w:r>
    </w:p>
    <w:tbl>
      <w:tblPr>
        <w:tblW w:w="7938" w:type="dxa"/>
        <w:jc w:val="center"/>
        <w:tblLook w:val="04A0" w:firstRow="1" w:lastRow="0" w:firstColumn="1" w:lastColumn="0" w:noHBand="0" w:noVBand="1"/>
      </w:tblPr>
      <w:tblGrid>
        <w:gridCol w:w="2548"/>
        <w:gridCol w:w="1559"/>
        <w:gridCol w:w="1904"/>
        <w:gridCol w:w="1927"/>
      </w:tblGrid>
      <w:tr w:rsidR="001C274C" w:rsidRPr="001C274C" w:rsidTr="001C274C">
        <w:trPr>
          <w:trHeight w:hRule="exact" w:val="483"/>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Year</w:t>
            </w:r>
          </w:p>
        </w:tc>
        <w:tc>
          <w:tcPr>
            <w:tcW w:w="1559" w:type="dxa"/>
            <w:shd w:val="clear" w:color="auto" w:fill="auto"/>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Nominal dollars</w:t>
            </w:r>
          </w:p>
        </w:tc>
        <w:tc>
          <w:tcPr>
            <w:tcW w:w="2126" w:type="dxa"/>
            <w:shd w:val="clear" w:color="auto" w:fill="auto"/>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Nominal dollars without measures</w:t>
            </w:r>
          </w:p>
        </w:tc>
        <w:tc>
          <w:tcPr>
            <w:tcW w:w="1927" w:type="dxa"/>
            <w:shd w:val="clear" w:color="auto" w:fill="auto"/>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Annual real growth</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2002-03</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1.4 billion</w:t>
            </w:r>
          </w:p>
        </w:tc>
        <w:tc>
          <w:tcPr>
            <w:tcW w:w="2126" w:type="dxa"/>
            <w:shd w:val="clear" w:color="auto" w:fill="auto"/>
          </w:tcPr>
          <w:p w:rsidR="001C274C" w:rsidRPr="001C274C" w:rsidRDefault="001C274C" w:rsidP="00AE10F0">
            <w:pPr>
              <w:spacing w:before="0" w:after="0"/>
              <w:rPr>
                <w:rFonts w:ascii="Arial" w:eastAsia="Times New Roman" w:hAnsi="Arial" w:cs="Arial"/>
                <w:color w:val="FFFFFF" w:themeColor="background1"/>
                <w:sz w:val="16"/>
                <w:szCs w:val="16"/>
              </w:rPr>
            </w:pPr>
          </w:p>
        </w:tc>
        <w:tc>
          <w:tcPr>
            <w:tcW w:w="1927" w:type="dxa"/>
            <w:shd w:val="clear" w:color="auto" w:fill="auto"/>
            <w:noWrap/>
            <w:vAlign w:val="bottom"/>
            <w:hideMark/>
          </w:tcPr>
          <w:p w:rsidR="001C274C" w:rsidRPr="001C274C" w:rsidRDefault="001C274C" w:rsidP="00AE10F0">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 </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2003-04</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1.4 billion</w:t>
            </w:r>
          </w:p>
        </w:tc>
        <w:tc>
          <w:tcPr>
            <w:tcW w:w="2126" w:type="dxa"/>
            <w:shd w:val="clear" w:color="auto" w:fill="auto"/>
          </w:tcPr>
          <w:p w:rsidR="001C274C" w:rsidRPr="001C274C" w:rsidRDefault="001C274C" w:rsidP="00AE10F0">
            <w:pPr>
              <w:spacing w:before="0" w:after="0"/>
              <w:rPr>
                <w:rFonts w:ascii="Arial" w:eastAsia="Times New Roman" w:hAnsi="Arial" w:cs="Arial"/>
                <w:color w:val="FFFFFF" w:themeColor="background1"/>
                <w:sz w:val="16"/>
                <w:szCs w:val="16"/>
              </w:rPr>
            </w:pPr>
          </w:p>
        </w:tc>
        <w:tc>
          <w:tcPr>
            <w:tcW w:w="1927" w:type="dxa"/>
            <w:shd w:val="clear" w:color="auto" w:fill="auto"/>
            <w:noWrap/>
            <w:vAlign w:val="bottom"/>
            <w:hideMark/>
          </w:tcPr>
          <w:p w:rsidR="001C274C" w:rsidRPr="001C274C" w:rsidRDefault="001C274C" w:rsidP="00AE10F0">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-0.7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2004-05</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1.5 billion</w:t>
            </w:r>
          </w:p>
        </w:tc>
        <w:tc>
          <w:tcPr>
            <w:tcW w:w="2126" w:type="dxa"/>
            <w:shd w:val="clear" w:color="auto" w:fill="auto"/>
          </w:tcPr>
          <w:p w:rsidR="001C274C" w:rsidRPr="001C274C" w:rsidRDefault="001C274C" w:rsidP="00AE10F0">
            <w:pPr>
              <w:spacing w:before="0" w:after="0"/>
              <w:rPr>
                <w:rFonts w:ascii="Arial" w:eastAsia="Times New Roman" w:hAnsi="Arial" w:cs="Arial"/>
                <w:color w:val="FFFFFF" w:themeColor="background1"/>
                <w:sz w:val="16"/>
                <w:szCs w:val="16"/>
              </w:rPr>
            </w:pPr>
          </w:p>
        </w:tc>
        <w:tc>
          <w:tcPr>
            <w:tcW w:w="1927" w:type="dxa"/>
            <w:shd w:val="clear" w:color="auto" w:fill="auto"/>
            <w:noWrap/>
            <w:vAlign w:val="bottom"/>
            <w:hideMark/>
          </w:tcPr>
          <w:p w:rsidR="001C274C" w:rsidRPr="001C274C" w:rsidRDefault="001C274C" w:rsidP="00AE10F0">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2.9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2005-06</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1.5 billion</w:t>
            </w:r>
          </w:p>
        </w:tc>
        <w:tc>
          <w:tcPr>
            <w:tcW w:w="2126" w:type="dxa"/>
            <w:shd w:val="clear" w:color="auto" w:fill="auto"/>
          </w:tcPr>
          <w:p w:rsidR="001C274C" w:rsidRPr="001C274C" w:rsidRDefault="001C274C" w:rsidP="00AE10F0">
            <w:pPr>
              <w:spacing w:before="0" w:after="0"/>
              <w:rPr>
                <w:rFonts w:ascii="Arial" w:eastAsia="Times New Roman" w:hAnsi="Arial" w:cs="Arial"/>
                <w:color w:val="FFFFFF" w:themeColor="background1"/>
                <w:sz w:val="16"/>
                <w:szCs w:val="16"/>
              </w:rPr>
            </w:pPr>
          </w:p>
        </w:tc>
        <w:tc>
          <w:tcPr>
            <w:tcW w:w="1927" w:type="dxa"/>
            <w:shd w:val="clear" w:color="auto" w:fill="auto"/>
            <w:noWrap/>
            <w:vAlign w:val="bottom"/>
            <w:hideMark/>
          </w:tcPr>
          <w:p w:rsidR="001C274C" w:rsidRPr="001C274C" w:rsidRDefault="001C274C" w:rsidP="00AE10F0">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-0.6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2006-07</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1.9 billion</w:t>
            </w:r>
          </w:p>
        </w:tc>
        <w:tc>
          <w:tcPr>
            <w:tcW w:w="2126" w:type="dxa"/>
            <w:shd w:val="clear" w:color="auto" w:fill="auto"/>
          </w:tcPr>
          <w:p w:rsidR="001C274C" w:rsidRPr="001C274C" w:rsidRDefault="001C274C" w:rsidP="00AE10F0">
            <w:pPr>
              <w:spacing w:before="0" w:after="0"/>
              <w:rPr>
                <w:rFonts w:ascii="Arial" w:eastAsia="Times New Roman" w:hAnsi="Arial" w:cs="Arial"/>
                <w:color w:val="FFFFFF" w:themeColor="background1"/>
                <w:sz w:val="16"/>
                <w:szCs w:val="16"/>
              </w:rPr>
            </w:pPr>
          </w:p>
        </w:tc>
        <w:tc>
          <w:tcPr>
            <w:tcW w:w="1927" w:type="dxa"/>
            <w:shd w:val="clear" w:color="auto" w:fill="auto"/>
            <w:noWrap/>
            <w:vAlign w:val="bottom"/>
            <w:hideMark/>
          </w:tcPr>
          <w:p w:rsidR="001C274C" w:rsidRPr="001C274C" w:rsidRDefault="001C274C" w:rsidP="00AE10F0">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24.8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2007-08</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2.3 billion</w:t>
            </w:r>
          </w:p>
        </w:tc>
        <w:tc>
          <w:tcPr>
            <w:tcW w:w="2126" w:type="dxa"/>
            <w:shd w:val="clear" w:color="auto" w:fill="auto"/>
          </w:tcPr>
          <w:p w:rsidR="001C274C" w:rsidRPr="001C274C" w:rsidRDefault="001C274C" w:rsidP="00AE10F0">
            <w:pPr>
              <w:spacing w:before="0" w:after="0"/>
              <w:rPr>
                <w:rFonts w:ascii="Arial" w:eastAsia="Times New Roman" w:hAnsi="Arial" w:cs="Arial"/>
                <w:color w:val="FFFFFF" w:themeColor="background1"/>
                <w:sz w:val="16"/>
                <w:szCs w:val="16"/>
              </w:rPr>
            </w:pPr>
          </w:p>
        </w:tc>
        <w:tc>
          <w:tcPr>
            <w:tcW w:w="1927" w:type="dxa"/>
            <w:shd w:val="clear" w:color="auto" w:fill="auto"/>
            <w:noWrap/>
            <w:vAlign w:val="bottom"/>
            <w:hideMark/>
          </w:tcPr>
          <w:p w:rsidR="001C274C" w:rsidRPr="001C274C" w:rsidRDefault="001C274C" w:rsidP="00AE10F0">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16.2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2008-09</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3.3 billion</w:t>
            </w:r>
          </w:p>
        </w:tc>
        <w:tc>
          <w:tcPr>
            <w:tcW w:w="2126" w:type="dxa"/>
            <w:shd w:val="clear" w:color="auto" w:fill="auto"/>
          </w:tcPr>
          <w:p w:rsidR="001C274C" w:rsidRPr="001C274C" w:rsidRDefault="001C274C" w:rsidP="00AE10F0">
            <w:pPr>
              <w:spacing w:before="0" w:after="0"/>
              <w:rPr>
                <w:rFonts w:ascii="Arial" w:eastAsia="Times New Roman" w:hAnsi="Arial" w:cs="Arial"/>
                <w:color w:val="FFFFFF" w:themeColor="background1"/>
                <w:sz w:val="16"/>
                <w:szCs w:val="16"/>
              </w:rPr>
            </w:pPr>
          </w:p>
        </w:tc>
        <w:tc>
          <w:tcPr>
            <w:tcW w:w="1927" w:type="dxa"/>
            <w:shd w:val="clear" w:color="auto" w:fill="auto"/>
            <w:noWrap/>
            <w:vAlign w:val="bottom"/>
            <w:hideMark/>
          </w:tcPr>
          <w:p w:rsidR="001C274C" w:rsidRPr="001C274C" w:rsidRDefault="001C274C" w:rsidP="00AE10F0">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37.7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2009-10</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3.3 billion</w:t>
            </w:r>
          </w:p>
        </w:tc>
        <w:tc>
          <w:tcPr>
            <w:tcW w:w="2126" w:type="dxa"/>
            <w:shd w:val="clear" w:color="auto" w:fill="auto"/>
          </w:tcPr>
          <w:p w:rsidR="001C274C" w:rsidRPr="001C274C" w:rsidRDefault="001C274C" w:rsidP="00AE10F0">
            <w:pPr>
              <w:spacing w:before="0" w:after="0"/>
              <w:rPr>
                <w:rFonts w:ascii="Arial" w:eastAsia="Times New Roman" w:hAnsi="Arial" w:cs="Arial"/>
                <w:color w:val="FFFFFF" w:themeColor="background1"/>
                <w:sz w:val="16"/>
                <w:szCs w:val="16"/>
              </w:rPr>
            </w:pPr>
          </w:p>
        </w:tc>
        <w:tc>
          <w:tcPr>
            <w:tcW w:w="1927" w:type="dxa"/>
            <w:shd w:val="clear" w:color="auto" w:fill="auto"/>
            <w:noWrap/>
            <w:vAlign w:val="bottom"/>
            <w:hideMark/>
          </w:tcPr>
          <w:p w:rsidR="001C274C" w:rsidRPr="001C274C" w:rsidRDefault="001C274C" w:rsidP="00AE10F0">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-1.8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2010-11</w:t>
            </w:r>
          </w:p>
        </w:tc>
        <w:tc>
          <w:tcPr>
            <w:tcW w:w="1559" w:type="dxa"/>
            <w:shd w:val="clear" w:color="auto" w:fill="auto"/>
            <w:noWrap/>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3.8 billion</w:t>
            </w:r>
          </w:p>
        </w:tc>
        <w:tc>
          <w:tcPr>
            <w:tcW w:w="2126" w:type="dxa"/>
            <w:shd w:val="clear" w:color="auto" w:fill="auto"/>
          </w:tcPr>
          <w:p w:rsidR="001C274C" w:rsidRPr="001C274C" w:rsidRDefault="001C274C" w:rsidP="00AE10F0">
            <w:pPr>
              <w:spacing w:before="0" w:after="0"/>
              <w:rPr>
                <w:rFonts w:ascii="Arial" w:eastAsia="Times New Roman" w:hAnsi="Arial" w:cs="Arial"/>
                <w:color w:val="FFFFFF" w:themeColor="background1"/>
                <w:sz w:val="16"/>
                <w:szCs w:val="16"/>
              </w:rPr>
            </w:pPr>
          </w:p>
        </w:tc>
        <w:tc>
          <w:tcPr>
            <w:tcW w:w="1927" w:type="dxa"/>
            <w:shd w:val="clear" w:color="auto" w:fill="auto"/>
            <w:noWrap/>
            <w:vAlign w:val="bottom"/>
            <w:hideMark/>
          </w:tcPr>
          <w:p w:rsidR="001C274C" w:rsidRPr="001C274C" w:rsidRDefault="001C274C" w:rsidP="00AE10F0">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10.7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2011-12</w:t>
            </w:r>
          </w:p>
        </w:tc>
        <w:tc>
          <w:tcPr>
            <w:tcW w:w="1559" w:type="dxa"/>
            <w:shd w:val="clear" w:color="auto" w:fill="auto"/>
            <w:noWrap/>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4.2 billion</w:t>
            </w:r>
          </w:p>
        </w:tc>
        <w:tc>
          <w:tcPr>
            <w:tcW w:w="2126" w:type="dxa"/>
            <w:shd w:val="clear" w:color="auto" w:fill="auto"/>
          </w:tcPr>
          <w:p w:rsidR="001C274C" w:rsidRPr="001C274C" w:rsidRDefault="001C274C" w:rsidP="00AE10F0">
            <w:pPr>
              <w:spacing w:before="0" w:after="0"/>
              <w:rPr>
                <w:rFonts w:ascii="Arial" w:eastAsia="Times New Roman" w:hAnsi="Arial" w:cs="Arial"/>
                <w:color w:val="FFFFFF" w:themeColor="background1"/>
                <w:sz w:val="16"/>
                <w:szCs w:val="16"/>
              </w:rPr>
            </w:pPr>
          </w:p>
        </w:tc>
        <w:tc>
          <w:tcPr>
            <w:tcW w:w="1927" w:type="dxa"/>
            <w:shd w:val="clear" w:color="auto" w:fill="auto"/>
            <w:noWrap/>
            <w:vAlign w:val="bottom"/>
            <w:hideMark/>
          </w:tcPr>
          <w:p w:rsidR="001C274C" w:rsidRPr="001C274C" w:rsidRDefault="001C274C" w:rsidP="00AE10F0">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9.3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2012-13</w:t>
            </w:r>
          </w:p>
        </w:tc>
        <w:tc>
          <w:tcPr>
            <w:tcW w:w="1559" w:type="dxa"/>
            <w:shd w:val="clear" w:color="auto" w:fill="auto"/>
            <w:noWrap/>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4.8 billion</w:t>
            </w:r>
          </w:p>
        </w:tc>
        <w:tc>
          <w:tcPr>
            <w:tcW w:w="2126" w:type="dxa"/>
            <w:shd w:val="clear" w:color="auto" w:fill="auto"/>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p>
        </w:tc>
        <w:tc>
          <w:tcPr>
            <w:tcW w:w="1927" w:type="dxa"/>
            <w:shd w:val="clear" w:color="auto" w:fill="auto"/>
            <w:noWrap/>
            <w:vAlign w:val="bottom"/>
            <w:hideMark/>
          </w:tcPr>
          <w:p w:rsidR="001C274C" w:rsidRPr="001C274C" w:rsidRDefault="001C274C" w:rsidP="00AE10F0">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10.6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2013-14</w:t>
            </w:r>
          </w:p>
        </w:tc>
        <w:tc>
          <w:tcPr>
            <w:tcW w:w="1559" w:type="dxa"/>
            <w:shd w:val="clear" w:color="auto" w:fill="auto"/>
            <w:noWrap/>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5.6 billion</w:t>
            </w:r>
          </w:p>
        </w:tc>
        <w:tc>
          <w:tcPr>
            <w:tcW w:w="2126" w:type="dxa"/>
            <w:shd w:val="clear" w:color="auto" w:fill="auto"/>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p>
        </w:tc>
        <w:tc>
          <w:tcPr>
            <w:tcW w:w="1927" w:type="dxa"/>
            <w:shd w:val="clear" w:color="auto" w:fill="auto"/>
            <w:noWrap/>
            <w:vAlign w:val="bottom"/>
            <w:hideMark/>
          </w:tcPr>
          <w:p w:rsidR="001C274C" w:rsidRPr="001C274C" w:rsidRDefault="001C274C" w:rsidP="00AE10F0">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14.5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2014-15</w:t>
            </w:r>
          </w:p>
        </w:tc>
        <w:tc>
          <w:tcPr>
            <w:tcW w:w="1559" w:type="dxa"/>
            <w:shd w:val="clear" w:color="auto" w:fill="auto"/>
            <w:noWrap/>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6.3 billion</w:t>
            </w:r>
          </w:p>
        </w:tc>
        <w:tc>
          <w:tcPr>
            <w:tcW w:w="2126" w:type="dxa"/>
            <w:shd w:val="clear" w:color="auto" w:fill="auto"/>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6.3 billion</w:t>
            </w:r>
          </w:p>
        </w:tc>
        <w:tc>
          <w:tcPr>
            <w:tcW w:w="1927" w:type="dxa"/>
            <w:shd w:val="clear" w:color="auto" w:fill="auto"/>
            <w:noWrap/>
            <w:vAlign w:val="bottom"/>
            <w:hideMark/>
          </w:tcPr>
          <w:p w:rsidR="001C274C" w:rsidRPr="001C274C" w:rsidRDefault="001C274C" w:rsidP="00AE10F0">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9.9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2015-16</w:t>
            </w:r>
          </w:p>
        </w:tc>
        <w:tc>
          <w:tcPr>
            <w:tcW w:w="1559" w:type="dxa"/>
            <w:shd w:val="clear" w:color="auto" w:fill="auto"/>
            <w:noWrap/>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6.8 billion</w:t>
            </w:r>
          </w:p>
        </w:tc>
        <w:tc>
          <w:tcPr>
            <w:tcW w:w="2126" w:type="dxa"/>
            <w:shd w:val="clear" w:color="auto" w:fill="auto"/>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6.9 billion</w:t>
            </w:r>
          </w:p>
        </w:tc>
        <w:tc>
          <w:tcPr>
            <w:tcW w:w="1927" w:type="dxa"/>
            <w:shd w:val="clear" w:color="auto" w:fill="auto"/>
            <w:noWrap/>
            <w:vAlign w:val="bottom"/>
          </w:tcPr>
          <w:p w:rsidR="001C274C" w:rsidRPr="001C274C" w:rsidRDefault="001C274C" w:rsidP="00AE10F0">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5.5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2016-17</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7.4 billion</w:t>
            </w:r>
          </w:p>
        </w:tc>
        <w:tc>
          <w:tcPr>
            <w:tcW w:w="2126" w:type="dxa"/>
            <w:shd w:val="clear" w:color="auto" w:fill="auto"/>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7.5 billion</w:t>
            </w:r>
          </w:p>
        </w:tc>
        <w:tc>
          <w:tcPr>
            <w:tcW w:w="1927" w:type="dxa"/>
            <w:shd w:val="clear" w:color="auto" w:fill="auto"/>
            <w:noWrap/>
            <w:vAlign w:val="bottom"/>
          </w:tcPr>
          <w:p w:rsidR="001C274C" w:rsidRPr="001C274C" w:rsidRDefault="001C274C" w:rsidP="00746325">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6.1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2017-18</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8.0 billion</w:t>
            </w:r>
          </w:p>
        </w:tc>
        <w:tc>
          <w:tcPr>
            <w:tcW w:w="2126" w:type="dxa"/>
            <w:shd w:val="clear" w:color="auto" w:fill="auto"/>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8.1 billion</w:t>
            </w:r>
          </w:p>
        </w:tc>
        <w:tc>
          <w:tcPr>
            <w:tcW w:w="1927" w:type="dxa"/>
            <w:shd w:val="clear" w:color="auto" w:fill="auto"/>
            <w:noWrap/>
            <w:vAlign w:val="bottom"/>
          </w:tcPr>
          <w:p w:rsidR="001C274C" w:rsidRPr="001C274C" w:rsidRDefault="001C274C" w:rsidP="00746325">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5.8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2018-19</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8.4 billion</w:t>
            </w:r>
          </w:p>
        </w:tc>
        <w:tc>
          <w:tcPr>
            <w:tcW w:w="2126" w:type="dxa"/>
            <w:shd w:val="clear" w:color="auto" w:fill="auto"/>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8.5 billion</w:t>
            </w:r>
          </w:p>
        </w:tc>
        <w:tc>
          <w:tcPr>
            <w:tcW w:w="1927" w:type="dxa"/>
            <w:shd w:val="clear" w:color="auto" w:fill="auto"/>
            <w:noWrap/>
            <w:vAlign w:val="bottom"/>
          </w:tcPr>
          <w:p w:rsidR="001C274C" w:rsidRPr="001C274C" w:rsidRDefault="001C274C" w:rsidP="00746325">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2.4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2019-20</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8.9 billion</w:t>
            </w:r>
          </w:p>
        </w:tc>
        <w:tc>
          <w:tcPr>
            <w:tcW w:w="2126" w:type="dxa"/>
            <w:shd w:val="clear" w:color="auto" w:fill="auto"/>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9.0 billion</w:t>
            </w:r>
          </w:p>
        </w:tc>
        <w:tc>
          <w:tcPr>
            <w:tcW w:w="1927" w:type="dxa"/>
            <w:shd w:val="clear" w:color="auto" w:fill="auto"/>
            <w:noWrap/>
            <w:vAlign w:val="bottom"/>
          </w:tcPr>
          <w:p w:rsidR="001C274C" w:rsidRPr="001C274C" w:rsidRDefault="001C274C" w:rsidP="00746325">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2.5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2020-21</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9.3 billion</w:t>
            </w:r>
          </w:p>
        </w:tc>
        <w:tc>
          <w:tcPr>
            <w:tcW w:w="2126" w:type="dxa"/>
            <w:shd w:val="clear" w:color="auto" w:fill="auto"/>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9.4 billion</w:t>
            </w:r>
          </w:p>
        </w:tc>
        <w:tc>
          <w:tcPr>
            <w:tcW w:w="1927" w:type="dxa"/>
            <w:shd w:val="clear" w:color="auto" w:fill="auto"/>
            <w:noWrap/>
            <w:vAlign w:val="bottom"/>
          </w:tcPr>
          <w:p w:rsidR="001C274C" w:rsidRPr="001C274C" w:rsidRDefault="001C274C" w:rsidP="00746325">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2.4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2021-22</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9.8 billion</w:t>
            </w:r>
          </w:p>
        </w:tc>
        <w:tc>
          <w:tcPr>
            <w:tcW w:w="2126" w:type="dxa"/>
            <w:shd w:val="clear" w:color="auto" w:fill="auto"/>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9.9 billion</w:t>
            </w:r>
          </w:p>
        </w:tc>
        <w:tc>
          <w:tcPr>
            <w:tcW w:w="1927" w:type="dxa"/>
            <w:shd w:val="clear" w:color="auto" w:fill="auto"/>
            <w:noWrap/>
            <w:vAlign w:val="bottom"/>
          </w:tcPr>
          <w:p w:rsidR="001C274C" w:rsidRPr="001C274C" w:rsidRDefault="001C274C" w:rsidP="00746325">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2.5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2022-23</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10.3 billion</w:t>
            </w:r>
          </w:p>
        </w:tc>
        <w:tc>
          <w:tcPr>
            <w:tcW w:w="2126" w:type="dxa"/>
            <w:shd w:val="clear" w:color="auto" w:fill="auto"/>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10.4 billion</w:t>
            </w:r>
          </w:p>
        </w:tc>
        <w:tc>
          <w:tcPr>
            <w:tcW w:w="1927" w:type="dxa"/>
            <w:shd w:val="clear" w:color="auto" w:fill="auto"/>
            <w:noWrap/>
            <w:vAlign w:val="bottom"/>
          </w:tcPr>
          <w:p w:rsidR="001C274C" w:rsidRPr="001C274C" w:rsidRDefault="001C274C" w:rsidP="00746325">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2.4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2023-24</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10.8 billion</w:t>
            </w:r>
          </w:p>
        </w:tc>
        <w:tc>
          <w:tcPr>
            <w:tcW w:w="2126" w:type="dxa"/>
            <w:shd w:val="clear" w:color="auto" w:fill="auto"/>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10.9 billion</w:t>
            </w:r>
          </w:p>
        </w:tc>
        <w:tc>
          <w:tcPr>
            <w:tcW w:w="1927" w:type="dxa"/>
            <w:shd w:val="clear" w:color="auto" w:fill="auto"/>
            <w:noWrap/>
            <w:vAlign w:val="bottom"/>
          </w:tcPr>
          <w:p w:rsidR="001C274C" w:rsidRPr="001C274C" w:rsidRDefault="001C274C" w:rsidP="00746325">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2.4 per cent</w:t>
            </w:r>
          </w:p>
        </w:tc>
      </w:tr>
      <w:tr w:rsidR="001C274C" w:rsidRPr="001C274C" w:rsidTr="001C274C">
        <w:trPr>
          <w:trHeight w:hRule="exact" w:val="227"/>
          <w:jc w:val="center"/>
        </w:trPr>
        <w:tc>
          <w:tcPr>
            <w:tcW w:w="2548" w:type="dxa"/>
            <w:shd w:val="clear" w:color="auto" w:fill="auto"/>
            <w:noWrap/>
            <w:vAlign w:val="center"/>
            <w:hideMark/>
          </w:tcPr>
          <w:p w:rsidR="001C274C" w:rsidRPr="001C274C" w:rsidRDefault="001C274C" w:rsidP="00AE10F0">
            <w:pPr>
              <w:spacing w:before="0" w:after="0"/>
              <w:jc w:val="center"/>
              <w:rPr>
                <w:rFonts w:ascii="Arial" w:eastAsia="Times New Roman" w:hAnsi="Arial" w:cs="Arial"/>
                <w:b/>
                <w:bCs/>
                <w:color w:val="FFFFFF" w:themeColor="background1"/>
                <w:sz w:val="16"/>
                <w:szCs w:val="16"/>
              </w:rPr>
            </w:pPr>
            <w:r w:rsidRPr="001C274C">
              <w:rPr>
                <w:rFonts w:ascii="Arial" w:eastAsia="Times New Roman" w:hAnsi="Arial" w:cs="Arial"/>
                <w:b/>
                <w:bCs/>
                <w:color w:val="FFFFFF" w:themeColor="background1"/>
                <w:sz w:val="16"/>
                <w:szCs w:val="16"/>
              </w:rPr>
              <w:t>2024-25</w:t>
            </w:r>
          </w:p>
        </w:tc>
        <w:tc>
          <w:tcPr>
            <w:tcW w:w="1559" w:type="dxa"/>
            <w:shd w:val="clear" w:color="auto" w:fill="auto"/>
            <w:noWrap/>
            <w:vAlign w:val="bottom"/>
            <w:hideMark/>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11.3 billion</w:t>
            </w:r>
          </w:p>
        </w:tc>
        <w:tc>
          <w:tcPr>
            <w:tcW w:w="2126" w:type="dxa"/>
            <w:shd w:val="clear" w:color="auto" w:fill="auto"/>
            <w:vAlign w:val="bottom"/>
          </w:tcPr>
          <w:p w:rsidR="001C274C" w:rsidRPr="001C274C" w:rsidRDefault="001C274C" w:rsidP="001C274C">
            <w:pPr>
              <w:spacing w:before="0" w:after="0"/>
              <w:jc w:val="center"/>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11.4 billion</w:t>
            </w:r>
          </w:p>
        </w:tc>
        <w:tc>
          <w:tcPr>
            <w:tcW w:w="1927" w:type="dxa"/>
            <w:shd w:val="clear" w:color="auto" w:fill="auto"/>
            <w:noWrap/>
            <w:vAlign w:val="bottom"/>
            <w:hideMark/>
          </w:tcPr>
          <w:p w:rsidR="001C274C" w:rsidRPr="001C274C" w:rsidRDefault="001C274C" w:rsidP="00746325">
            <w:pPr>
              <w:spacing w:before="0" w:after="0"/>
              <w:rPr>
                <w:rFonts w:ascii="Arial" w:eastAsia="Times New Roman" w:hAnsi="Arial" w:cs="Arial"/>
                <w:color w:val="FFFFFF" w:themeColor="background1"/>
                <w:sz w:val="16"/>
                <w:szCs w:val="16"/>
              </w:rPr>
            </w:pPr>
            <w:r w:rsidRPr="001C274C">
              <w:rPr>
                <w:rFonts w:ascii="Arial" w:eastAsia="Times New Roman" w:hAnsi="Arial" w:cs="Arial"/>
                <w:color w:val="FFFFFF" w:themeColor="background1"/>
                <w:sz w:val="16"/>
                <w:szCs w:val="16"/>
              </w:rPr>
              <w:t>2.3 per cent</w:t>
            </w:r>
          </w:p>
        </w:tc>
      </w:tr>
    </w:tbl>
    <w:p w:rsidR="002E5A17" w:rsidRDefault="00092F4B" w:rsidP="007F3951">
      <w:pPr>
        <w:pStyle w:val="PBOsource"/>
        <w:spacing w:before="0"/>
        <w:rPr>
          <w:highlight w:val="yellow"/>
        </w:rPr>
      </w:pPr>
      <w:r>
        <w:t>Source: Australian Government Budgets and PBO Analysis</w:t>
      </w:r>
    </w:p>
    <w:p w:rsidR="002E5A17" w:rsidRPr="00AE10F0" w:rsidRDefault="002E5A17" w:rsidP="00AE10F0">
      <w:pPr>
        <w:pStyle w:val="PBOtext"/>
      </w:pPr>
      <w:r w:rsidRPr="00B14A66">
        <w:t>Figure 2.1</w:t>
      </w:r>
      <w:r>
        <w:t>2</w:t>
      </w:r>
      <w:r w:rsidRPr="00B14A66">
        <w:t>.1</w:t>
      </w:r>
      <w:r>
        <w:t xml:space="preserve"> shows projected spending on child care</w:t>
      </w:r>
      <w:r w:rsidRPr="00B14A66">
        <w:t>, with and without the impact of the 2014</w:t>
      </w:r>
      <w:r w:rsidRPr="00B14A66">
        <w:noBreakHyphen/>
        <w:t xml:space="preserve">15 Budget measures which are yet to be legislated. In 2024-25 </w:t>
      </w:r>
      <w:r>
        <w:t xml:space="preserve">savings measures relating to child care </w:t>
      </w:r>
      <w:r w:rsidRPr="00B14A66">
        <w:t xml:space="preserve">are </w:t>
      </w:r>
      <w:r>
        <w:t>projected to reduce spending by around $0.1 b</w:t>
      </w:r>
      <w:r w:rsidRPr="006A1515">
        <w:t>illion.</w:t>
      </w:r>
      <w:r w:rsidR="002F2D9E">
        <w:rPr>
          <w:rStyle w:val="FootnoteReference"/>
        </w:rPr>
        <w:footnoteReference w:id="8"/>
      </w:r>
      <w:r w:rsidR="00AE10F0">
        <w:br w:type="page"/>
      </w:r>
    </w:p>
    <w:p w:rsidR="00E93F84" w:rsidRDefault="00E93F84" w:rsidP="0033546E">
      <w:pPr>
        <w:pStyle w:val="PBOheading2"/>
        <w:numPr>
          <w:ilvl w:val="1"/>
          <w:numId w:val="31"/>
        </w:numPr>
      </w:pPr>
      <w:bookmarkStart w:id="71" w:name="_Toc396382646"/>
      <w:r>
        <w:lastRenderedPageBreak/>
        <w:t>Fuel Tax Credit Scheme</w:t>
      </w:r>
      <w:bookmarkEnd w:id="71"/>
    </w:p>
    <w:p w:rsidR="002E5A17" w:rsidRDefault="002E5A17" w:rsidP="002E5A17">
      <w:pPr>
        <w:pStyle w:val="PBOtext"/>
        <w:spacing w:after="0"/>
      </w:pPr>
      <w:r w:rsidRPr="00F76C78">
        <w:t xml:space="preserve">Growth in spending on the Fuel Tax Credit Scheme is projected to </w:t>
      </w:r>
      <w:r>
        <w:t>increase</w:t>
      </w:r>
      <w:r w:rsidRPr="00F76C78">
        <w:t xml:space="preserve"> from its historical real growth of </w:t>
      </w:r>
      <w:r>
        <w:t>3.0 per cent annually to 4.0</w:t>
      </w:r>
      <w:r w:rsidRPr="00F76C78">
        <w:t> per cent annually over the medium term.</w:t>
      </w:r>
      <w:r w:rsidRPr="0032583B">
        <w:t xml:space="preserve"> </w:t>
      </w:r>
      <w:r>
        <w:t xml:space="preserve">The Fuel Tax Credit Scheme </w:t>
      </w:r>
      <w:r w:rsidRPr="00A97B46">
        <w:t xml:space="preserve">is </w:t>
      </w:r>
      <w:r>
        <w:t>projected</w:t>
      </w:r>
      <w:r w:rsidRPr="00A97B46">
        <w:t xml:space="preserve"> to </w:t>
      </w:r>
      <w:r>
        <w:t>account for 3 </w:t>
      </w:r>
      <w:r w:rsidRPr="0078196F">
        <w:t>per</w:t>
      </w:r>
      <w:r>
        <w:t> </w:t>
      </w:r>
      <w:r w:rsidRPr="0078196F">
        <w:t>cent of the growth in total spe</w:t>
      </w:r>
      <w:r>
        <w:t xml:space="preserve">nding over the medium term and 2 </w:t>
      </w:r>
      <w:r w:rsidRPr="0078196F">
        <w:t>per cent of total spendin</w:t>
      </w:r>
      <w:r>
        <w:t>g in 2024-25</w:t>
      </w:r>
      <w:r w:rsidRPr="0078196F">
        <w:t>.</w:t>
      </w:r>
    </w:p>
    <w:p w:rsidR="002E5A17" w:rsidRDefault="002E5A17" w:rsidP="002E5A17">
      <w:pPr>
        <w:pStyle w:val="PBOtext"/>
        <w:spacing w:after="0"/>
      </w:pPr>
      <w:r w:rsidRPr="00595E4D">
        <w:t>The acceleration in growth over the medium term primarily reflects the 2014-15 Budget measure to reintroduce indexation of fuel excise duties on diesel, petrol and other fuel products to movements in the CPI.  A higher excise rate results in an increase in Fuel Tax Credits claimed by eligible businesses. However this is more than offset by the increased excise revenue from the reintroduction of indexation. Growth over the</w:t>
      </w:r>
      <w:r>
        <w:t xml:space="preserve"> medium term also reflects increases in Fuel Tax Credit claims commensurate with projected higher diesel consumption, particularly in the mining industry.</w:t>
      </w:r>
    </w:p>
    <w:p w:rsidR="00E93F84" w:rsidRDefault="00E93F84" w:rsidP="00E26C67">
      <w:pPr>
        <w:pStyle w:val="PBOfiguretableheading"/>
      </w:pPr>
      <w:r>
        <w:t>Figure 2.1</w:t>
      </w:r>
      <w:r w:rsidR="002E5A17">
        <w:t>3</w:t>
      </w:r>
      <w:r>
        <w:t>.1: Nominal spending on the Fuel Tax Credit Scheme</w:t>
      </w:r>
      <w:r w:rsidR="00821839">
        <w:t xml:space="preserve"> and annual real growth</w:t>
      </w:r>
    </w:p>
    <w:tbl>
      <w:tblPr>
        <w:tblW w:w="7864" w:type="dxa"/>
        <w:jc w:val="center"/>
        <w:tblLayout w:type="fixed"/>
        <w:tblLook w:val="04A0" w:firstRow="1" w:lastRow="0" w:firstColumn="1" w:lastColumn="0" w:noHBand="0" w:noVBand="1"/>
      </w:tblPr>
      <w:tblGrid>
        <w:gridCol w:w="2354"/>
        <w:gridCol w:w="1836"/>
        <w:gridCol w:w="1837"/>
        <w:gridCol w:w="1837"/>
      </w:tblGrid>
      <w:tr w:rsidR="002E3EA8" w:rsidRPr="002E3EA8" w:rsidTr="002E3EA8">
        <w:trPr>
          <w:trHeight w:hRule="exact" w:val="314"/>
          <w:jc w:val="center"/>
        </w:trPr>
        <w:tc>
          <w:tcPr>
            <w:tcW w:w="2354" w:type="dxa"/>
            <w:shd w:val="clear" w:color="auto" w:fill="auto"/>
            <w:noWrap/>
            <w:vAlign w:val="center"/>
            <w:hideMark/>
          </w:tcPr>
          <w:p w:rsidR="0055737B" w:rsidRPr="002E3EA8" w:rsidRDefault="004633F1" w:rsidP="0055737B">
            <w:pPr>
              <w:spacing w:before="0" w:after="0"/>
              <w:jc w:val="center"/>
              <w:rPr>
                <w:rFonts w:ascii="Arial" w:eastAsia="Times New Roman" w:hAnsi="Arial" w:cs="Arial"/>
                <w:b/>
                <w:bCs/>
                <w:color w:val="FFFFFF" w:themeColor="background1"/>
                <w:sz w:val="16"/>
                <w:szCs w:val="16"/>
              </w:rPr>
            </w:pPr>
            <w:r>
              <w:rPr>
                <w:noProof/>
              </w:rPr>
              <w:drawing>
                <wp:anchor distT="0" distB="0" distL="114300" distR="114300" simplePos="0" relativeHeight="251739136" behindDoc="0" locked="0" layoutInCell="1" allowOverlap="1" wp14:anchorId="3B41BE01" wp14:editId="6422F38B">
                  <wp:simplePos x="0" y="0"/>
                  <wp:positionH relativeFrom="column">
                    <wp:posOffset>-205740</wp:posOffset>
                  </wp:positionH>
                  <wp:positionV relativeFrom="paragraph">
                    <wp:posOffset>-31115</wp:posOffset>
                  </wp:positionV>
                  <wp:extent cx="5401310" cy="3602990"/>
                  <wp:effectExtent l="0" t="0" r="889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14:sizeRelH relativeFrom="page">
                    <wp14:pctWidth>0</wp14:pctWidth>
                  </wp14:sizeRelH>
                  <wp14:sizeRelV relativeFrom="page">
                    <wp14:pctHeight>0</wp14:pctHeight>
                  </wp14:sizeRelV>
                </wp:anchor>
              </w:drawing>
            </w:r>
            <w:r w:rsidR="0055737B" w:rsidRPr="002E3EA8">
              <w:rPr>
                <w:rFonts w:ascii="Arial" w:eastAsia="Times New Roman" w:hAnsi="Arial" w:cs="Arial"/>
                <w:b/>
                <w:bCs/>
                <w:color w:val="FFFFFF" w:themeColor="background1"/>
                <w:sz w:val="16"/>
                <w:szCs w:val="16"/>
              </w:rPr>
              <w:t>Year</w:t>
            </w:r>
          </w:p>
        </w:tc>
        <w:tc>
          <w:tcPr>
            <w:tcW w:w="1836" w:type="dxa"/>
            <w:shd w:val="clear" w:color="auto" w:fill="auto"/>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Nominal dollars</w:t>
            </w:r>
          </w:p>
        </w:tc>
        <w:tc>
          <w:tcPr>
            <w:tcW w:w="1837" w:type="dxa"/>
            <w:shd w:val="clear" w:color="auto" w:fill="auto"/>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Nominal dollars without measures</w:t>
            </w:r>
          </w:p>
        </w:tc>
        <w:tc>
          <w:tcPr>
            <w:tcW w:w="1837" w:type="dxa"/>
            <w:shd w:val="clear" w:color="auto" w:fill="auto"/>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Annual real growth</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2002-03</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3.1 billion</w:t>
            </w:r>
          </w:p>
        </w:tc>
        <w:tc>
          <w:tcPr>
            <w:tcW w:w="1837"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 </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2003-04</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3.2 billion</w:t>
            </w:r>
          </w:p>
        </w:tc>
        <w:tc>
          <w:tcPr>
            <w:tcW w:w="1837"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 xml:space="preserve">0.4 </w:t>
            </w:r>
            <w:r w:rsidR="0055737B" w:rsidRPr="002E3EA8">
              <w:rPr>
                <w:rFonts w:ascii="Arial" w:eastAsia="Times New Roman" w:hAnsi="Arial" w:cs="Arial"/>
                <w:color w:val="FFFFFF" w:themeColor="background1"/>
                <w:sz w:val="16"/>
                <w:szCs w:val="16"/>
              </w:rPr>
              <w:t>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2004-05</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4.1 billion</w:t>
            </w:r>
          </w:p>
        </w:tc>
        <w:tc>
          <w:tcPr>
            <w:tcW w:w="1837"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24.2</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2005-06</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3.5 billion</w:t>
            </w:r>
          </w:p>
        </w:tc>
        <w:tc>
          <w:tcPr>
            <w:tcW w:w="1837"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-15.1</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2006-07</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4.2 billion</w:t>
            </w:r>
          </w:p>
        </w:tc>
        <w:tc>
          <w:tcPr>
            <w:tcW w:w="1837"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14.9</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2007-08</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4.8 billion</w:t>
            </w:r>
          </w:p>
        </w:tc>
        <w:tc>
          <w:tcPr>
            <w:tcW w:w="1837"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9.7</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2008-09</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5.1 billion</w:t>
            </w:r>
          </w:p>
        </w:tc>
        <w:tc>
          <w:tcPr>
            <w:tcW w:w="1837"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3.9</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2009-10</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5.1 billion</w:t>
            </w:r>
          </w:p>
        </w:tc>
        <w:tc>
          <w:tcPr>
            <w:tcW w:w="1837"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-2.6</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2010-11</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5.1 billion</w:t>
            </w:r>
          </w:p>
        </w:tc>
        <w:tc>
          <w:tcPr>
            <w:tcW w:w="1837"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-2.2</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2011-12</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5.7 billion</w:t>
            </w:r>
          </w:p>
        </w:tc>
        <w:tc>
          <w:tcPr>
            <w:tcW w:w="1837"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9.0</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2012-13</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5.4 billion</w:t>
            </w:r>
          </w:p>
        </w:tc>
        <w:tc>
          <w:tcPr>
            <w:tcW w:w="1837"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-6.9</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2013-14</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5.8 billion</w:t>
            </w:r>
          </w:p>
        </w:tc>
        <w:tc>
          <w:tcPr>
            <w:tcW w:w="1837"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4.2</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2014-15</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6.3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6.2</w:t>
            </w:r>
            <w:r w:rsidR="0055737B" w:rsidRPr="002E3EA8">
              <w:rPr>
                <w:rFonts w:ascii="Arial" w:eastAsia="Times New Roman" w:hAnsi="Arial" w:cs="Arial"/>
                <w:color w:val="FFFFFF" w:themeColor="background1"/>
                <w:sz w:val="16"/>
                <w:szCs w:val="16"/>
              </w:rPr>
              <w:t xml:space="preserve">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5.4</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2015-16</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6.8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6.5</w:t>
            </w:r>
            <w:r w:rsidR="0055737B" w:rsidRPr="002E3EA8">
              <w:rPr>
                <w:rFonts w:ascii="Arial" w:eastAsia="Times New Roman" w:hAnsi="Arial" w:cs="Arial"/>
                <w:color w:val="FFFFFF" w:themeColor="background1"/>
                <w:sz w:val="16"/>
                <w:szCs w:val="16"/>
              </w:rPr>
              <w:t xml:space="preserve">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6.2</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2016-17</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7.2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6.7</w:t>
            </w:r>
            <w:r w:rsidR="0055737B" w:rsidRPr="002E3EA8">
              <w:rPr>
                <w:rFonts w:ascii="Arial" w:eastAsia="Times New Roman" w:hAnsi="Arial" w:cs="Arial"/>
                <w:color w:val="FFFFFF" w:themeColor="background1"/>
                <w:sz w:val="16"/>
                <w:szCs w:val="16"/>
              </w:rPr>
              <w:t xml:space="preserve">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3.1</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2017-18</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7.6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6.8</w:t>
            </w:r>
            <w:r w:rsidR="0055737B" w:rsidRPr="002E3EA8">
              <w:rPr>
                <w:rFonts w:ascii="Arial" w:eastAsia="Times New Roman" w:hAnsi="Arial" w:cs="Arial"/>
                <w:color w:val="FFFFFF" w:themeColor="background1"/>
                <w:sz w:val="16"/>
                <w:szCs w:val="16"/>
              </w:rPr>
              <w:t xml:space="preserve">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3.0</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2018-19</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8.2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7.1</w:t>
            </w:r>
            <w:r w:rsidR="0055737B" w:rsidRPr="002E3EA8">
              <w:rPr>
                <w:rFonts w:ascii="Arial" w:eastAsia="Times New Roman" w:hAnsi="Arial" w:cs="Arial"/>
                <w:color w:val="FFFFFF" w:themeColor="background1"/>
                <w:sz w:val="16"/>
                <w:szCs w:val="16"/>
              </w:rPr>
              <w:t xml:space="preserve">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5.1</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2019-20</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8.8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7.4</w:t>
            </w:r>
            <w:r w:rsidR="0055737B" w:rsidRPr="002E3EA8">
              <w:rPr>
                <w:rFonts w:ascii="Arial" w:eastAsia="Times New Roman" w:hAnsi="Arial" w:cs="Arial"/>
                <w:color w:val="FFFFFF" w:themeColor="background1"/>
                <w:sz w:val="16"/>
                <w:szCs w:val="16"/>
              </w:rPr>
              <w:t xml:space="preserve">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4.1</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2020-21</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9.3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7.6</w:t>
            </w:r>
            <w:r w:rsidR="0055737B" w:rsidRPr="002E3EA8">
              <w:rPr>
                <w:rFonts w:ascii="Arial" w:eastAsia="Times New Roman" w:hAnsi="Arial" w:cs="Arial"/>
                <w:color w:val="FFFFFF" w:themeColor="background1"/>
                <w:sz w:val="16"/>
                <w:szCs w:val="16"/>
              </w:rPr>
              <w:t xml:space="preserve">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3.7</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2021-22</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9.9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7.8</w:t>
            </w:r>
            <w:r w:rsidR="0055737B" w:rsidRPr="002E3EA8">
              <w:rPr>
                <w:rFonts w:ascii="Arial" w:eastAsia="Times New Roman" w:hAnsi="Arial" w:cs="Arial"/>
                <w:color w:val="FFFFFF" w:themeColor="background1"/>
                <w:sz w:val="16"/>
                <w:szCs w:val="16"/>
              </w:rPr>
              <w:t xml:space="preserve">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3.9</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2022-23</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10.5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8.0</w:t>
            </w:r>
            <w:r w:rsidR="0055737B" w:rsidRPr="002E3EA8">
              <w:rPr>
                <w:rFonts w:ascii="Arial" w:eastAsia="Times New Roman" w:hAnsi="Arial" w:cs="Arial"/>
                <w:color w:val="FFFFFF" w:themeColor="background1"/>
                <w:sz w:val="16"/>
                <w:szCs w:val="16"/>
              </w:rPr>
              <w:t xml:space="preserve">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3.5</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2023-24</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11.1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8.3</w:t>
            </w:r>
            <w:r w:rsidR="0055737B" w:rsidRPr="002E3EA8">
              <w:rPr>
                <w:rFonts w:ascii="Arial" w:eastAsia="Times New Roman" w:hAnsi="Arial" w:cs="Arial"/>
                <w:color w:val="FFFFFF" w:themeColor="background1"/>
                <w:sz w:val="16"/>
                <w:szCs w:val="16"/>
              </w:rPr>
              <w:t xml:space="preserve">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3.1</w:t>
            </w:r>
            <w:r w:rsidR="0055737B" w:rsidRPr="002E3EA8">
              <w:rPr>
                <w:rFonts w:ascii="Arial" w:eastAsia="Times New Roman" w:hAnsi="Arial" w:cs="Arial"/>
                <w:color w:val="FFFFFF" w:themeColor="background1"/>
                <w:sz w:val="16"/>
                <w:szCs w:val="16"/>
              </w:rPr>
              <w:t xml:space="preserve"> per cent</w:t>
            </w:r>
          </w:p>
        </w:tc>
      </w:tr>
      <w:tr w:rsidR="002E3EA8" w:rsidRPr="002E3EA8" w:rsidTr="002E3EA8">
        <w:trPr>
          <w:trHeight w:hRule="exact" w:val="227"/>
          <w:jc w:val="center"/>
        </w:trPr>
        <w:tc>
          <w:tcPr>
            <w:tcW w:w="2354" w:type="dxa"/>
            <w:shd w:val="clear" w:color="auto" w:fill="auto"/>
            <w:noWrap/>
            <w:vAlign w:val="center"/>
            <w:hideMark/>
          </w:tcPr>
          <w:p w:rsidR="0055737B" w:rsidRPr="002E3EA8" w:rsidRDefault="0055737B" w:rsidP="0055737B">
            <w:pPr>
              <w:spacing w:before="0" w:after="0"/>
              <w:jc w:val="center"/>
              <w:rPr>
                <w:rFonts w:ascii="Arial" w:eastAsia="Times New Roman" w:hAnsi="Arial" w:cs="Arial"/>
                <w:b/>
                <w:bCs/>
                <w:color w:val="FFFFFF" w:themeColor="background1"/>
                <w:sz w:val="16"/>
                <w:szCs w:val="16"/>
              </w:rPr>
            </w:pPr>
            <w:r w:rsidRPr="002E3EA8">
              <w:rPr>
                <w:rFonts w:ascii="Arial" w:eastAsia="Times New Roman" w:hAnsi="Arial" w:cs="Arial"/>
                <w:b/>
                <w:bCs/>
                <w:color w:val="FFFFFF" w:themeColor="background1"/>
                <w:sz w:val="16"/>
                <w:szCs w:val="16"/>
              </w:rPr>
              <w:t>2024-25</w:t>
            </w:r>
          </w:p>
        </w:tc>
        <w:tc>
          <w:tcPr>
            <w:tcW w:w="1836" w:type="dxa"/>
            <w:shd w:val="clear" w:color="auto" w:fill="auto"/>
            <w:noWrap/>
            <w:vAlign w:val="bottom"/>
            <w:hideMark/>
          </w:tcPr>
          <w:p w:rsidR="0055737B" w:rsidRPr="002E3EA8" w:rsidRDefault="0055737B"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11.5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8.5</w:t>
            </w:r>
            <w:r w:rsidR="0055737B" w:rsidRPr="002E3EA8">
              <w:rPr>
                <w:rFonts w:ascii="Arial" w:eastAsia="Times New Roman" w:hAnsi="Arial" w:cs="Arial"/>
                <w:color w:val="FFFFFF" w:themeColor="background1"/>
                <w:sz w:val="16"/>
                <w:szCs w:val="16"/>
              </w:rPr>
              <w:t xml:space="preserve"> billion</w:t>
            </w:r>
          </w:p>
        </w:tc>
        <w:tc>
          <w:tcPr>
            <w:tcW w:w="1837" w:type="dxa"/>
            <w:shd w:val="clear" w:color="auto" w:fill="auto"/>
            <w:noWrap/>
            <w:vAlign w:val="bottom"/>
            <w:hideMark/>
          </w:tcPr>
          <w:p w:rsidR="0055737B" w:rsidRPr="002E3EA8" w:rsidRDefault="00B6535E" w:rsidP="0055737B">
            <w:pPr>
              <w:spacing w:before="0" w:after="0"/>
              <w:rPr>
                <w:rFonts w:ascii="Arial" w:eastAsia="Times New Roman" w:hAnsi="Arial" w:cs="Arial"/>
                <w:color w:val="FFFFFF" w:themeColor="background1"/>
                <w:sz w:val="16"/>
                <w:szCs w:val="16"/>
              </w:rPr>
            </w:pPr>
            <w:r w:rsidRPr="002E3EA8">
              <w:rPr>
                <w:rFonts w:ascii="Arial" w:eastAsia="Times New Roman" w:hAnsi="Arial" w:cs="Arial"/>
                <w:color w:val="FFFFFF" w:themeColor="background1"/>
                <w:sz w:val="16"/>
                <w:szCs w:val="16"/>
              </w:rPr>
              <w:t>3.3</w:t>
            </w:r>
            <w:r w:rsidR="0055737B" w:rsidRPr="002E3EA8">
              <w:rPr>
                <w:rFonts w:ascii="Arial" w:eastAsia="Times New Roman" w:hAnsi="Arial" w:cs="Arial"/>
                <w:color w:val="FFFFFF" w:themeColor="background1"/>
                <w:sz w:val="16"/>
                <w:szCs w:val="16"/>
              </w:rPr>
              <w:t xml:space="preserve"> per cent</w:t>
            </w:r>
          </w:p>
        </w:tc>
      </w:tr>
    </w:tbl>
    <w:p w:rsidR="00E93F84" w:rsidRDefault="00E93F84" w:rsidP="00891443">
      <w:pPr>
        <w:pStyle w:val="PBOsource"/>
      </w:pPr>
      <w:r>
        <w:t>Source: Australian Government Budgets and PBO Analysis</w:t>
      </w:r>
    </w:p>
    <w:p w:rsidR="002E5A17" w:rsidRDefault="002E5A17" w:rsidP="002E5A17">
      <w:pPr>
        <w:pStyle w:val="PBOtext"/>
      </w:pPr>
      <w:r w:rsidRPr="00595E4D">
        <w:t>Figure 2.1</w:t>
      </w:r>
      <w:r>
        <w:t>3</w:t>
      </w:r>
      <w:r w:rsidRPr="00595E4D">
        <w:t>.1 shows projected spending on the Fuel Tax Credit Scheme, with and without the impact of the 2014</w:t>
      </w:r>
      <w:r w:rsidRPr="00595E4D">
        <w:noBreakHyphen/>
        <w:t>15 Budget measure which is yet to be legislated. In 2024-25 the reintroduction of fuel excise indexation is projected to increase spending by $3</w:t>
      </w:r>
      <w:r>
        <w:t>.3</w:t>
      </w:r>
      <w:r w:rsidRPr="00595E4D">
        <w:t xml:space="preserve"> billion. However this increase in expenses is more than offset by the associated increase in revenue of $7</w:t>
      </w:r>
      <w:r>
        <w:t>.</w:t>
      </w:r>
      <w:r w:rsidR="00846DB9">
        <w:t>1</w:t>
      </w:r>
      <w:r w:rsidRPr="00595E4D">
        <w:t xml:space="preserve"> billion in 2024-25.</w:t>
      </w:r>
      <w:r>
        <w:br w:type="page"/>
      </w:r>
    </w:p>
    <w:p w:rsidR="00092F4B" w:rsidRDefault="00092F4B" w:rsidP="0033546E">
      <w:pPr>
        <w:pStyle w:val="PBOheading2"/>
        <w:numPr>
          <w:ilvl w:val="1"/>
          <w:numId w:val="31"/>
        </w:numPr>
      </w:pPr>
      <w:bookmarkStart w:id="72" w:name="_Toc396382647"/>
      <w:r>
        <w:lastRenderedPageBreak/>
        <w:t>Government superannuation</w:t>
      </w:r>
      <w:bookmarkEnd w:id="72"/>
    </w:p>
    <w:p w:rsidR="0094337E" w:rsidRPr="00595E4D" w:rsidRDefault="0094337E" w:rsidP="0094337E">
      <w:pPr>
        <w:pStyle w:val="PBOtext"/>
        <w:spacing w:after="0"/>
      </w:pPr>
      <w:r w:rsidRPr="00595E4D">
        <w:t xml:space="preserve">Following historical annual real growth of 3.7 per cent, spending on government superannuation expenses, including for benefits and nominal interest, is projected to contract by 1.7 per cent annually over the medium term.  Government superannuation is projected to detract 2 per cent from </w:t>
      </w:r>
      <w:r w:rsidR="00C259FE">
        <w:t xml:space="preserve">real </w:t>
      </w:r>
      <w:r w:rsidRPr="00595E4D">
        <w:t>growth in total spending over the medium term and account for 2 per cent of total spending in 2024</w:t>
      </w:r>
      <w:r w:rsidRPr="00595E4D">
        <w:noBreakHyphen/>
        <w:t>25.</w:t>
      </w:r>
    </w:p>
    <w:p w:rsidR="0094337E" w:rsidRPr="00595E4D" w:rsidRDefault="0094337E" w:rsidP="0094337E">
      <w:pPr>
        <w:pStyle w:val="PBOtext"/>
      </w:pPr>
      <w:r w:rsidRPr="00595E4D">
        <w:t>The growth profile reflects the manner in which government superannuation benefits are currently valued. Government superannuation benefits expenses are the increase in Commonwealth superannuation liabilities for civilian employees and military personnel in unfunded schemes over a given financial year.  These expenses are valued using a different discount rate for actuals and the first year of the budget estimates, compared with the remainder of the medium term, and these changes in the discount rate have the largest impact on superannuation benefit expenses. The Budget papers use a long-term discount rate to avoid the volatility that would occur by using current market yields on government bonds which continually change.</w:t>
      </w:r>
    </w:p>
    <w:p w:rsidR="0094337E" w:rsidRDefault="0094337E" w:rsidP="0094337E">
      <w:pPr>
        <w:pStyle w:val="PBOtext"/>
      </w:pPr>
      <w:r w:rsidRPr="00595E4D">
        <w:t>Actuals and expenses in the first year of the budget estimates are valued using a discount rate based on the long</w:t>
      </w:r>
      <w:r w:rsidRPr="00595E4D">
        <w:noBreakHyphen/>
        <w:t>term government bond rate at the end of the previous financial year in accordance with Australian Accounting Standards. In 2012-13, a discount rate of 3.1 per cent was applied to value these expenses resulting in a substantial increase on the previous year.  The lower estimated government superannuation expenses from 2014-15 onwards reflects the use of a discount rate of 6.0 per cent based on the expected return on government bonds over the medium term (consistent with Long Term Cost Reports for the civilian and military superannuation schemes).</w:t>
      </w:r>
    </w:p>
    <w:p w:rsidR="00092F4B" w:rsidRDefault="00AC6596" w:rsidP="00F7360C">
      <w:pPr>
        <w:pStyle w:val="PBOfiguretableheading"/>
      </w:pPr>
      <w:r>
        <w:rPr>
          <w:noProof/>
          <w:lang w:eastAsia="en-AU"/>
        </w:rPr>
        <w:drawing>
          <wp:anchor distT="0" distB="0" distL="114300" distR="114300" simplePos="0" relativeHeight="251764736" behindDoc="0" locked="0" layoutInCell="1" allowOverlap="1" wp14:anchorId="2BE60AC4" wp14:editId="3337D0EE">
            <wp:simplePos x="0" y="0"/>
            <wp:positionH relativeFrom="column">
              <wp:posOffset>-55245</wp:posOffset>
            </wp:positionH>
            <wp:positionV relativeFrom="paragraph">
              <wp:posOffset>251460</wp:posOffset>
            </wp:positionV>
            <wp:extent cx="5401310" cy="3602990"/>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14:sizeRelH relativeFrom="page">
              <wp14:pctWidth>0</wp14:pctWidth>
            </wp14:sizeRelH>
            <wp14:sizeRelV relativeFrom="page">
              <wp14:pctHeight>0</wp14:pctHeight>
            </wp14:sizeRelV>
          </wp:anchor>
        </w:drawing>
      </w:r>
      <w:r w:rsidR="00E93F84">
        <w:t>Figure 2.1</w:t>
      </w:r>
      <w:r w:rsidR="00773828">
        <w:t>4</w:t>
      </w:r>
      <w:r w:rsidR="00092F4B">
        <w:t>.1: Nominal spending on government superannuation</w:t>
      </w:r>
      <w:r w:rsidR="00821839">
        <w:t xml:space="preserve"> and annual real growth</w:t>
      </w:r>
    </w:p>
    <w:tbl>
      <w:tblPr>
        <w:tblW w:w="7938" w:type="dxa"/>
        <w:jc w:val="center"/>
        <w:tblLook w:val="04A0" w:firstRow="1" w:lastRow="0" w:firstColumn="1" w:lastColumn="0" w:noHBand="0" w:noVBand="1"/>
      </w:tblPr>
      <w:tblGrid>
        <w:gridCol w:w="5499"/>
        <w:gridCol w:w="1131"/>
        <w:gridCol w:w="1308"/>
      </w:tblGrid>
      <w:tr w:rsidR="008239E4" w:rsidRPr="008239E4" w:rsidTr="003A5227">
        <w:trPr>
          <w:trHeight w:hRule="exact" w:val="401"/>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Year</w:t>
            </w:r>
          </w:p>
        </w:tc>
        <w:tc>
          <w:tcPr>
            <w:tcW w:w="983" w:type="dxa"/>
            <w:shd w:val="clear" w:color="auto" w:fill="auto"/>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Nominal dollars</w:t>
            </w:r>
          </w:p>
        </w:tc>
        <w:tc>
          <w:tcPr>
            <w:tcW w:w="1137" w:type="dxa"/>
            <w:shd w:val="clear" w:color="auto" w:fill="auto"/>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Annual real growth</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2002-03</w:t>
            </w:r>
          </w:p>
        </w:tc>
        <w:tc>
          <w:tcPr>
            <w:tcW w:w="983"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7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 </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2003-04</w:t>
            </w:r>
          </w:p>
        </w:tc>
        <w:tc>
          <w:tcPr>
            <w:tcW w:w="983"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6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-17.5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2004-05</w:t>
            </w:r>
          </w:p>
        </w:tc>
        <w:tc>
          <w:tcPr>
            <w:tcW w:w="983"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7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14.4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2005-06</w:t>
            </w:r>
          </w:p>
        </w:tc>
        <w:tc>
          <w:tcPr>
            <w:tcW w:w="983"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8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5.2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2006-07</w:t>
            </w:r>
          </w:p>
        </w:tc>
        <w:tc>
          <w:tcPr>
            <w:tcW w:w="983" w:type="dxa"/>
            <w:shd w:val="clear" w:color="auto" w:fill="auto"/>
            <w:noWrap/>
            <w:vAlign w:val="bottom"/>
            <w:hideMark/>
          </w:tcPr>
          <w:p w:rsidR="00F7360C" w:rsidRPr="008239E4" w:rsidRDefault="008239E4"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8</w:t>
            </w:r>
            <w:r w:rsidR="00F7360C" w:rsidRPr="008239E4">
              <w:rPr>
                <w:rFonts w:ascii="Arial" w:eastAsia="Times New Roman" w:hAnsi="Arial" w:cs="Arial"/>
                <w:color w:val="FFFFFF" w:themeColor="background1"/>
                <w:sz w:val="16"/>
                <w:szCs w:val="16"/>
              </w:rPr>
              <w:t xml:space="preserve">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1.1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2007-08</w:t>
            </w:r>
          </w:p>
        </w:tc>
        <w:tc>
          <w:tcPr>
            <w:tcW w:w="983"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9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-3.9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2008-09</w:t>
            </w:r>
          </w:p>
        </w:tc>
        <w:tc>
          <w:tcPr>
            <w:tcW w:w="983" w:type="dxa"/>
            <w:shd w:val="clear" w:color="auto" w:fill="auto"/>
            <w:noWrap/>
            <w:vAlign w:val="bottom"/>
            <w:hideMark/>
          </w:tcPr>
          <w:p w:rsidR="00F7360C" w:rsidRPr="008239E4" w:rsidRDefault="008239E4"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9</w:t>
            </w:r>
            <w:r w:rsidR="00F7360C" w:rsidRPr="008239E4">
              <w:rPr>
                <w:rFonts w:ascii="Arial" w:eastAsia="Times New Roman" w:hAnsi="Arial" w:cs="Arial"/>
                <w:color w:val="FFFFFF" w:themeColor="background1"/>
                <w:sz w:val="16"/>
                <w:szCs w:val="16"/>
              </w:rPr>
              <w:t xml:space="preserve">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5.6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2009-10</w:t>
            </w:r>
          </w:p>
        </w:tc>
        <w:tc>
          <w:tcPr>
            <w:tcW w:w="983" w:type="dxa"/>
            <w:shd w:val="clear" w:color="auto" w:fill="auto"/>
            <w:noWrap/>
            <w:vAlign w:val="bottom"/>
            <w:hideMark/>
          </w:tcPr>
          <w:p w:rsidR="00F7360C" w:rsidRPr="008239E4" w:rsidRDefault="008239E4"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10</w:t>
            </w:r>
            <w:r w:rsidR="00F7360C" w:rsidRPr="008239E4">
              <w:rPr>
                <w:rFonts w:ascii="Arial" w:eastAsia="Times New Roman" w:hAnsi="Arial" w:cs="Arial"/>
                <w:color w:val="FFFFFF" w:themeColor="background1"/>
                <w:sz w:val="16"/>
                <w:szCs w:val="16"/>
              </w:rPr>
              <w:t xml:space="preserve">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5.4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2010-11</w:t>
            </w:r>
          </w:p>
        </w:tc>
        <w:tc>
          <w:tcPr>
            <w:tcW w:w="983" w:type="dxa"/>
            <w:shd w:val="clear" w:color="auto" w:fill="auto"/>
            <w:noWrap/>
            <w:vAlign w:val="bottom"/>
            <w:hideMark/>
          </w:tcPr>
          <w:p w:rsidR="00F7360C" w:rsidRPr="008239E4" w:rsidRDefault="008239E4"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11</w:t>
            </w:r>
            <w:r w:rsidR="00F7360C" w:rsidRPr="008239E4">
              <w:rPr>
                <w:rFonts w:ascii="Arial" w:eastAsia="Times New Roman" w:hAnsi="Arial" w:cs="Arial"/>
                <w:color w:val="FFFFFF" w:themeColor="background1"/>
                <w:sz w:val="16"/>
                <w:szCs w:val="16"/>
              </w:rPr>
              <w:t xml:space="preserve">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5.4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2011-12</w:t>
            </w:r>
          </w:p>
        </w:tc>
        <w:tc>
          <w:tcPr>
            <w:tcW w:w="983" w:type="dxa"/>
            <w:shd w:val="clear" w:color="auto" w:fill="auto"/>
            <w:noWrap/>
            <w:vAlign w:val="bottom"/>
            <w:hideMark/>
          </w:tcPr>
          <w:p w:rsidR="00F7360C" w:rsidRPr="008239E4" w:rsidRDefault="008239E4"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14</w:t>
            </w:r>
            <w:r w:rsidR="00F7360C" w:rsidRPr="008239E4">
              <w:rPr>
                <w:rFonts w:ascii="Arial" w:eastAsia="Times New Roman" w:hAnsi="Arial" w:cs="Arial"/>
                <w:color w:val="FFFFFF" w:themeColor="background1"/>
                <w:sz w:val="16"/>
                <w:szCs w:val="16"/>
              </w:rPr>
              <w:t xml:space="preserve">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0.4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2012-13</w:t>
            </w:r>
          </w:p>
        </w:tc>
        <w:tc>
          <w:tcPr>
            <w:tcW w:w="983" w:type="dxa"/>
            <w:shd w:val="clear" w:color="auto" w:fill="auto"/>
            <w:noWrap/>
            <w:vAlign w:val="bottom"/>
            <w:hideMark/>
          </w:tcPr>
          <w:p w:rsidR="00F7360C" w:rsidRPr="008239E4" w:rsidRDefault="008239E4"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13</w:t>
            </w:r>
            <w:r w:rsidR="00F7360C" w:rsidRPr="008239E4">
              <w:rPr>
                <w:rFonts w:ascii="Arial" w:eastAsia="Times New Roman" w:hAnsi="Arial" w:cs="Arial"/>
                <w:color w:val="FFFFFF" w:themeColor="background1"/>
                <w:sz w:val="16"/>
                <w:szCs w:val="16"/>
              </w:rPr>
              <w:t xml:space="preserve">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27.2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2013-14</w:t>
            </w:r>
          </w:p>
        </w:tc>
        <w:tc>
          <w:tcPr>
            <w:tcW w:w="983" w:type="dxa"/>
            <w:shd w:val="clear" w:color="auto" w:fill="auto"/>
            <w:noWrap/>
            <w:vAlign w:val="bottom"/>
            <w:hideMark/>
          </w:tcPr>
          <w:p w:rsidR="00F7360C" w:rsidRPr="008239E4" w:rsidRDefault="008239E4"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12</w:t>
            </w:r>
            <w:r w:rsidR="00F7360C" w:rsidRPr="008239E4">
              <w:rPr>
                <w:rFonts w:ascii="Arial" w:eastAsia="Times New Roman" w:hAnsi="Arial" w:cs="Arial"/>
                <w:color w:val="FFFFFF" w:themeColor="background1"/>
                <w:sz w:val="16"/>
                <w:szCs w:val="16"/>
              </w:rPr>
              <w:t xml:space="preserve">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-5.7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2014-15</w:t>
            </w:r>
          </w:p>
        </w:tc>
        <w:tc>
          <w:tcPr>
            <w:tcW w:w="983" w:type="dxa"/>
            <w:shd w:val="clear" w:color="auto" w:fill="auto"/>
            <w:noWrap/>
            <w:vAlign w:val="bottom"/>
            <w:hideMark/>
          </w:tcPr>
          <w:p w:rsidR="00F7360C" w:rsidRPr="008239E4" w:rsidRDefault="008239E4"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13</w:t>
            </w:r>
            <w:r w:rsidR="00F7360C" w:rsidRPr="008239E4">
              <w:rPr>
                <w:rFonts w:ascii="Arial" w:eastAsia="Times New Roman" w:hAnsi="Arial" w:cs="Arial"/>
                <w:color w:val="FFFFFF" w:themeColor="background1"/>
                <w:sz w:val="16"/>
                <w:szCs w:val="16"/>
              </w:rPr>
              <w:t xml:space="preserve">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-9.5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2015-16</w:t>
            </w:r>
          </w:p>
        </w:tc>
        <w:tc>
          <w:tcPr>
            <w:tcW w:w="983"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13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0.4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2016-17</w:t>
            </w:r>
          </w:p>
        </w:tc>
        <w:tc>
          <w:tcPr>
            <w:tcW w:w="983"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13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-0.8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2017-18</w:t>
            </w:r>
          </w:p>
        </w:tc>
        <w:tc>
          <w:tcPr>
            <w:tcW w:w="983"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13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-0.3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2018-19</w:t>
            </w:r>
          </w:p>
        </w:tc>
        <w:tc>
          <w:tcPr>
            <w:tcW w:w="983"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13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-1.5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2019-20</w:t>
            </w:r>
          </w:p>
        </w:tc>
        <w:tc>
          <w:tcPr>
            <w:tcW w:w="983" w:type="dxa"/>
            <w:shd w:val="clear" w:color="auto" w:fill="auto"/>
            <w:noWrap/>
            <w:vAlign w:val="bottom"/>
            <w:hideMark/>
          </w:tcPr>
          <w:p w:rsidR="00F7360C" w:rsidRPr="008239E4" w:rsidRDefault="008239E4"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14</w:t>
            </w:r>
            <w:r w:rsidR="00F7360C" w:rsidRPr="008239E4">
              <w:rPr>
                <w:rFonts w:ascii="Arial" w:eastAsia="Times New Roman" w:hAnsi="Arial" w:cs="Arial"/>
                <w:color w:val="FFFFFF" w:themeColor="background1"/>
                <w:sz w:val="16"/>
                <w:szCs w:val="16"/>
              </w:rPr>
              <w:t xml:space="preserve">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-0.9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2020-21</w:t>
            </w:r>
          </w:p>
        </w:tc>
        <w:tc>
          <w:tcPr>
            <w:tcW w:w="983" w:type="dxa"/>
            <w:shd w:val="clear" w:color="auto" w:fill="auto"/>
            <w:noWrap/>
            <w:vAlign w:val="bottom"/>
            <w:hideMark/>
          </w:tcPr>
          <w:p w:rsidR="00F7360C" w:rsidRPr="008239E4" w:rsidRDefault="008239E4"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 xml:space="preserve">14 </w:t>
            </w:r>
            <w:r w:rsidR="00F7360C" w:rsidRPr="008239E4">
              <w:rPr>
                <w:rFonts w:ascii="Arial" w:eastAsia="Times New Roman" w:hAnsi="Arial" w:cs="Arial"/>
                <w:color w:val="FFFFFF" w:themeColor="background1"/>
                <w:sz w:val="16"/>
                <w:szCs w:val="16"/>
              </w:rPr>
              <w:t>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-0.1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2021-22</w:t>
            </w:r>
          </w:p>
        </w:tc>
        <w:tc>
          <w:tcPr>
            <w:tcW w:w="983" w:type="dxa"/>
            <w:shd w:val="clear" w:color="auto" w:fill="auto"/>
            <w:noWrap/>
            <w:vAlign w:val="bottom"/>
            <w:hideMark/>
          </w:tcPr>
          <w:p w:rsidR="00F7360C" w:rsidRPr="008239E4" w:rsidRDefault="008239E4"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14</w:t>
            </w:r>
            <w:r w:rsidR="00F7360C" w:rsidRPr="008239E4">
              <w:rPr>
                <w:rFonts w:ascii="Arial" w:eastAsia="Times New Roman" w:hAnsi="Arial" w:cs="Arial"/>
                <w:color w:val="FFFFFF" w:themeColor="background1"/>
                <w:sz w:val="16"/>
                <w:szCs w:val="16"/>
              </w:rPr>
              <w:t xml:space="preserve">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-0.3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2022-23</w:t>
            </w:r>
          </w:p>
        </w:tc>
        <w:tc>
          <w:tcPr>
            <w:tcW w:w="983" w:type="dxa"/>
            <w:shd w:val="clear" w:color="auto" w:fill="auto"/>
            <w:noWrap/>
            <w:vAlign w:val="bottom"/>
            <w:hideMark/>
          </w:tcPr>
          <w:p w:rsidR="00F7360C" w:rsidRPr="008239E4" w:rsidRDefault="008239E4"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14</w:t>
            </w:r>
            <w:r w:rsidR="00F7360C" w:rsidRPr="008239E4">
              <w:rPr>
                <w:rFonts w:ascii="Arial" w:eastAsia="Times New Roman" w:hAnsi="Arial" w:cs="Arial"/>
                <w:color w:val="FFFFFF" w:themeColor="background1"/>
                <w:sz w:val="16"/>
                <w:szCs w:val="16"/>
              </w:rPr>
              <w:t xml:space="preserve">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-0.5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2023-24</w:t>
            </w:r>
          </w:p>
        </w:tc>
        <w:tc>
          <w:tcPr>
            <w:tcW w:w="983" w:type="dxa"/>
            <w:shd w:val="clear" w:color="auto" w:fill="auto"/>
            <w:noWrap/>
            <w:vAlign w:val="bottom"/>
            <w:hideMark/>
          </w:tcPr>
          <w:p w:rsidR="00F7360C" w:rsidRPr="008239E4" w:rsidRDefault="008239E4"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15</w:t>
            </w:r>
            <w:r w:rsidR="00F7360C" w:rsidRPr="008239E4">
              <w:rPr>
                <w:rFonts w:ascii="Arial" w:eastAsia="Times New Roman" w:hAnsi="Arial" w:cs="Arial"/>
                <w:color w:val="FFFFFF" w:themeColor="background1"/>
                <w:sz w:val="16"/>
                <w:szCs w:val="16"/>
              </w:rPr>
              <w:t xml:space="preserve">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-0.6 per cent</w:t>
            </w:r>
          </w:p>
        </w:tc>
      </w:tr>
      <w:tr w:rsidR="008239E4" w:rsidRPr="008239E4" w:rsidTr="008239E4">
        <w:trPr>
          <w:trHeight w:hRule="exact" w:val="227"/>
          <w:jc w:val="center"/>
        </w:trPr>
        <w:tc>
          <w:tcPr>
            <w:tcW w:w="4780" w:type="dxa"/>
            <w:shd w:val="clear" w:color="auto" w:fill="auto"/>
            <w:noWrap/>
            <w:vAlign w:val="center"/>
            <w:hideMark/>
          </w:tcPr>
          <w:p w:rsidR="00F7360C" w:rsidRPr="008239E4" w:rsidRDefault="00F7360C" w:rsidP="00F7360C">
            <w:pPr>
              <w:spacing w:before="0" w:after="0"/>
              <w:jc w:val="center"/>
              <w:rPr>
                <w:rFonts w:ascii="Arial" w:eastAsia="Times New Roman" w:hAnsi="Arial" w:cs="Arial"/>
                <w:b/>
                <w:bCs/>
                <w:color w:val="FFFFFF" w:themeColor="background1"/>
                <w:sz w:val="16"/>
                <w:szCs w:val="16"/>
              </w:rPr>
            </w:pPr>
            <w:r w:rsidRPr="008239E4">
              <w:rPr>
                <w:rFonts w:ascii="Arial" w:eastAsia="Times New Roman" w:hAnsi="Arial" w:cs="Arial"/>
                <w:b/>
                <w:bCs/>
                <w:color w:val="FFFFFF" w:themeColor="background1"/>
                <w:sz w:val="16"/>
                <w:szCs w:val="16"/>
              </w:rPr>
              <w:t>2024-25</w:t>
            </w:r>
          </w:p>
        </w:tc>
        <w:tc>
          <w:tcPr>
            <w:tcW w:w="983" w:type="dxa"/>
            <w:shd w:val="clear" w:color="auto" w:fill="auto"/>
            <w:noWrap/>
            <w:vAlign w:val="bottom"/>
            <w:hideMark/>
          </w:tcPr>
          <w:p w:rsidR="00F7360C" w:rsidRPr="008239E4" w:rsidRDefault="008239E4"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15</w:t>
            </w:r>
            <w:r w:rsidR="00F7360C" w:rsidRPr="008239E4">
              <w:rPr>
                <w:rFonts w:ascii="Arial" w:eastAsia="Times New Roman" w:hAnsi="Arial" w:cs="Arial"/>
                <w:color w:val="FFFFFF" w:themeColor="background1"/>
                <w:sz w:val="16"/>
                <w:szCs w:val="16"/>
              </w:rPr>
              <w:t xml:space="preserve"> billion</w:t>
            </w:r>
          </w:p>
        </w:tc>
        <w:tc>
          <w:tcPr>
            <w:tcW w:w="1137" w:type="dxa"/>
            <w:shd w:val="clear" w:color="auto" w:fill="auto"/>
            <w:noWrap/>
            <w:vAlign w:val="bottom"/>
            <w:hideMark/>
          </w:tcPr>
          <w:p w:rsidR="00F7360C" w:rsidRPr="008239E4" w:rsidRDefault="00F7360C" w:rsidP="00F7360C">
            <w:pPr>
              <w:spacing w:before="0" w:after="0"/>
              <w:rPr>
                <w:rFonts w:ascii="Arial" w:eastAsia="Times New Roman" w:hAnsi="Arial" w:cs="Arial"/>
                <w:color w:val="FFFFFF" w:themeColor="background1"/>
                <w:sz w:val="16"/>
                <w:szCs w:val="16"/>
              </w:rPr>
            </w:pPr>
            <w:r w:rsidRPr="008239E4">
              <w:rPr>
                <w:rFonts w:ascii="Arial" w:eastAsia="Times New Roman" w:hAnsi="Arial" w:cs="Arial"/>
                <w:color w:val="FFFFFF" w:themeColor="background1"/>
                <w:sz w:val="16"/>
                <w:szCs w:val="16"/>
              </w:rPr>
              <w:t>-0.6 per cent</w:t>
            </w:r>
          </w:p>
        </w:tc>
      </w:tr>
    </w:tbl>
    <w:p w:rsidR="00092F4B" w:rsidRPr="00081283" w:rsidRDefault="00092F4B" w:rsidP="00081283">
      <w:pPr>
        <w:pStyle w:val="PBOsource"/>
        <w:spacing w:before="0"/>
      </w:pPr>
      <w:r w:rsidRPr="00081283">
        <w:t>Source: Australian Government Budgets and PBO Analysis</w:t>
      </w:r>
      <w:r w:rsidRPr="00081283">
        <w:br w:type="page"/>
      </w:r>
    </w:p>
    <w:p w:rsidR="004252DB" w:rsidRDefault="004252DB" w:rsidP="0033546E">
      <w:pPr>
        <w:pStyle w:val="PBOheading2"/>
        <w:numPr>
          <w:ilvl w:val="1"/>
          <w:numId w:val="31"/>
        </w:numPr>
      </w:pPr>
      <w:bookmarkStart w:id="73" w:name="_Toc396382648"/>
      <w:r>
        <w:lastRenderedPageBreak/>
        <w:t>Family Tax Benefit</w:t>
      </w:r>
      <w:bookmarkEnd w:id="73"/>
      <w:r>
        <w:t xml:space="preserve"> </w:t>
      </w:r>
    </w:p>
    <w:p w:rsidR="0030109B" w:rsidRDefault="0030109B" w:rsidP="0030109B">
      <w:pPr>
        <w:pStyle w:val="PBOtext"/>
        <w:spacing w:after="0"/>
      </w:pPr>
      <w:r>
        <w:t>Following historical annual real growth of 3.3 per cent, spending on Family Tax Benefit (FTB) is projected to contract in real terms by 1.0 per cent annually over the medium term.</w:t>
      </w:r>
      <w:r w:rsidR="0003060C">
        <w:rPr>
          <w:rStyle w:val="FootnoteReference"/>
        </w:rPr>
        <w:footnoteReference w:id="9"/>
      </w:r>
      <w:r>
        <w:t xml:space="preserve">  FTB </w:t>
      </w:r>
      <w:r w:rsidRPr="00A97B46">
        <w:t xml:space="preserve">is </w:t>
      </w:r>
      <w:r>
        <w:t>projected to detract 2 per cent from</w:t>
      </w:r>
      <w:r w:rsidRPr="0078196F">
        <w:t xml:space="preserve"> </w:t>
      </w:r>
      <w:r w:rsidR="00C259FE">
        <w:t xml:space="preserve">real </w:t>
      </w:r>
      <w:r w:rsidRPr="0078196F">
        <w:t>growth in total spe</w:t>
      </w:r>
      <w:r>
        <w:t>nding over the medium term and account for 3 </w:t>
      </w:r>
      <w:r w:rsidRPr="0078196F">
        <w:t>per</w:t>
      </w:r>
      <w:r>
        <w:t> </w:t>
      </w:r>
      <w:r w:rsidRPr="0078196F">
        <w:t>cent of total spendin</w:t>
      </w:r>
      <w:r>
        <w:t>g in 2024-25, a decrease from its share of 5 per cent of total spending in 2012-13</w:t>
      </w:r>
      <w:r w:rsidRPr="0078196F">
        <w:t>.</w:t>
      </w:r>
    </w:p>
    <w:p w:rsidR="0030109B" w:rsidRDefault="0030109B" w:rsidP="0030109B">
      <w:pPr>
        <w:pStyle w:val="PBOtext"/>
      </w:pPr>
      <w:r>
        <w:t>Over the beginning of the medium term spending on FTB falls largely due to 2014</w:t>
      </w:r>
      <w:r>
        <w:noBreakHyphen/>
        <w:t>15 Budget measures. These measures include limiting FTB-B to families with children under six years, pausing increases to the base FTB rate for two years, revising and ceasing indexation of FTB end-of-year supplements, and lowering the FTB-B primary income earner limit to $100,000 annually.  Changes to the eligibility age for FTB</w:t>
      </w:r>
      <w:r>
        <w:noBreakHyphen/>
        <w:t>A in the 2012</w:t>
      </w:r>
      <w:r>
        <w:noBreakHyphen/>
        <w:t>13 Budget contribute further to the contraction in FTB spending over the beginning of the medium term.</w:t>
      </w:r>
    </w:p>
    <w:p w:rsidR="0030109B" w:rsidRDefault="0030109B" w:rsidP="0030109B">
      <w:pPr>
        <w:pStyle w:val="PBOtext"/>
      </w:pPr>
      <w:r>
        <w:t>The return to growth over the latter part of the medium term reflects the lapsing of pauses to indexation and eligibility thresholds and the projected return to increasing recipient numbers over the period consistent with demographic projections.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6"/>
      </w:tblGrid>
      <w:tr w:rsidR="004252DB" w:rsidTr="00D97903">
        <w:tc>
          <w:tcPr>
            <w:tcW w:w="8476" w:type="dxa"/>
          </w:tcPr>
          <w:p w:rsidR="004252DB" w:rsidRDefault="00D97903" w:rsidP="004252DB">
            <w:pPr>
              <w:pStyle w:val="PBOfiguretableheading"/>
            </w:pPr>
            <w:r>
              <w:rPr>
                <w:noProof/>
                <w:lang w:eastAsia="en-AU"/>
              </w:rPr>
              <w:drawing>
                <wp:anchor distT="0" distB="0" distL="114300" distR="114300" simplePos="0" relativeHeight="251744256" behindDoc="0" locked="0" layoutInCell="1" allowOverlap="1" wp14:anchorId="7F56F820" wp14:editId="4679D045">
                  <wp:simplePos x="0" y="0"/>
                  <wp:positionH relativeFrom="column">
                    <wp:posOffset>-16637</wp:posOffset>
                  </wp:positionH>
                  <wp:positionV relativeFrom="paragraph">
                    <wp:posOffset>349885</wp:posOffset>
                  </wp:positionV>
                  <wp:extent cx="5401310" cy="3602990"/>
                  <wp:effectExtent l="0" t="0" r="889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14:sizeRelH relativeFrom="page">
                    <wp14:pctWidth>0</wp14:pctWidth>
                  </wp14:sizeRelH>
                  <wp14:sizeRelV relativeFrom="page">
                    <wp14:pctHeight>0</wp14:pctHeight>
                  </wp14:sizeRelV>
                </wp:anchor>
              </w:drawing>
            </w:r>
            <w:r w:rsidR="004252DB">
              <w:t>Figure 2.1</w:t>
            </w:r>
            <w:r w:rsidR="0030109B">
              <w:t>5</w:t>
            </w:r>
            <w:r w:rsidR="004252DB">
              <w:t xml:space="preserve">.1: Nominal spending on </w:t>
            </w:r>
            <w:r w:rsidR="00A55992">
              <w:t xml:space="preserve">the </w:t>
            </w:r>
            <w:r w:rsidR="004252DB">
              <w:t>Family Tax Benefit and annual real growth</w:t>
            </w:r>
          </w:p>
          <w:tbl>
            <w:tblPr>
              <w:tblW w:w="7873" w:type="dxa"/>
              <w:jc w:val="center"/>
              <w:tblLayout w:type="fixed"/>
              <w:tblLook w:val="04A0" w:firstRow="1" w:lastRow="0" w:firstColumn="1" w:lastColumn="0" w:noHBand="0" w:noVBand="1"/>
            </w:tblPr>
            <w:tblGrid>
              <w:gridCol w:w="2926"/>
              <w:gridCol w:w="1649"/>
              <w:gridCol w:w="1649"/>
              <w:gridCol w:w="1649"/>
            </w:tblGrid>
            <w:tr w:rsidR="00D97903" w:rsidRPr="00D97903" w:rsidTr="00D97903">
              <w:trPr>
                <w:trHeight w:hRule="exact" w:val="486"/>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Year</w:t>
                  </w:r>
                </w:p>
              </w:tc>
              <w:tc>
                <w:tcPr>
                  <w:tcW w:w="1649" w:type="dxa"/>
                  <w:shd w:val="clear" w:color="auto" w:fill="auto"/>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Nominal dollars</w:t>
                  </w:r>
                </w:p>
              </w:tc>
              <w:tc>
                <w:tcPr>
                  <w:tcW w:w="1649" w:type="dxa"/>
                  <w:shd w:val="clear" w:color="auto" w:fill="auto"/>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Nominal dollars without measures</w:t>
                  </w:r>
                </w:p>
              </w:tc>
              <w:tc>
                <w:tcPr>
                  <w:tcW w:w="1649" w:type="dxa"/>
                  <w:shd w:val="clear" w:color="auto" w:fill="auto"/>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Annual real growth</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2002-03</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10.5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 </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 </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2003-04</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12.9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 </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20.0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2004-05</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12.8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 </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-2.7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2005-06</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13.5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 </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2.2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2006-07</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14.0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 </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0.8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2007-08</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14.1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 </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-2.6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2008-09</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17.3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 </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18.3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2009-10</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18.0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 </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2.1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2010-11</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18.0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 </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-3.0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2011-12</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18.3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 </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-0.6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2012-13</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18.9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 </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1.0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2013-14</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19.4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 </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-0.3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2014-15</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19.2 billion</w:t>
                  </w:r>
                </w:p>
              </w:tc>
              <w:tc>
                <w:tcPr>
                  <w:tcW w:w="1649" w:type="dxa"/>
                  <w:shd w:val="clear" w:color="auto" w:fill="auto"/>
                  <w:noWrap/>
                  <w:vAlign w:val="bottom"/>
                  <w:hideMark/>
                </w:tcPr>
                <w:p w:rsidR="008266CD" w:rsidRPr="00D97903" w:rsidRDefault="00D97903"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19.8</w:t>
                  </w:r>
                  <w:r w:rsidR="008266CD" w:rsidRPr="00D97903">
                    <w:rPr>
                      <w:rFonts w:ascii="Arial" w:eastAsia="Times New Roman" w:hAnsi="Arial" w:cs="Arial"/>
                      <w:color w:val="FFFFFF" w:themeColor="background1"/>
                      <w:sz w:val="16"/>
                      <w:szCs w:val="16"/>
                    </w:rPr>
                    <w:t xml:space="preserve">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-3.0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2015-16</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17.6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19.6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-10.7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2016-17</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17.6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20.0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-2.4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2017-18</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16.8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20.5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-6.8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2018-19</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17.6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21.5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1.9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2019-20</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18.4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22.5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1.9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2020-21</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19.2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23.5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1.8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2021-22</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20.0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24.5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1.7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2022-23</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20.8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25.6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1.6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2023-24</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21.7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26.6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1.5 per cent</w:t>
                  </w:r>
                </w:p>
              </w:tc>
            </w:tr>
            <w:tr w:rsidR="00D97903" w:rsidRPr="00D97903" w:rsidTr="00D97903">
              <w:trPr>
                <w:trHeight w:hRule="exact" w:val="227"/>
                <w:jc w:val="center"/>
              </w:trPr>
              <w:tc>
                <w:tcPr>
                  <w:tcW w:w="2926" w:type="dxa"/>
                  <w:shd w:val="clear" w:color="auto" w:fill="auto"/>
                  <w:noWrap/>
                  <w:vAlign w:val="center"/>
                  <w:hideMark/>
                </w:tcPr>
                <w:p w:rsidR="008266CD" w:rsidRPr="00D97903" w:rsidRDefault="008266CD" w:rsidP="008266CD">
                  <w:pPr>
                    <w:spacing w:before="0" w:after="0"/>
                    <w:jc w:val="center"/>
                    <w:rPr>
                      <w:rFonts w:ascii="Arial" w:eastAsia="Times New Roman" w:hAnsi="Arial" w:cs="Arial"/>
                      <w:b/>
                      <w:bCs/>
                      <w:color w:val="FFFFFF" w:themeColor="background1"/>
                      <w:sz w:val="16"/>
                      <w:szCs w:val="16"/>
                    </w:rPr>
                  </w:pPr>
                  <w:r w:rsidRPr="00D97903">
                    <w:rPr>
                      <w:rFonts w:ascii="Arial" w:eastAsia="Times New Roman" w:hAnsi="Arial" w:cs="Arial"/>
                      <w:b/>
                      <w:bCs/>
                      <w:color w:val="FFFFFF" w:themeColor="background1"/>
                      <w:sz w:val="16"/>
                      <w:szCs w:val="16"/>
                    </w:rPr>
                    <w:t>2024-25</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22.5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27.7 billion</w:t>
                  </w:r>
                </w:p>
              </w:tc>
              <w:tc>
                <w:tcPr>
                  <w:tcW w:w="1649" w:type="dxa"/>
                  <w:shd w:val="clear" w:color="auto" w:fill="auto"/>
                  <w:noWrap/>
                  <w:vAlign w:val="bottom"/>
                  <w:hideMark/>
                </w:tcPr>
                <w:p w:rsidR="008266CD" w:rsidRPr="00D97903" w:rsidRDefault="008266CD" w:rsidP="008266CD">
                  <w:pPr>
                    <w:spacing w:before="0" w:after="0"/>
                    <w:rPr>
                      <w:rFonts w:ascii="Arial" w:eastAsia="Times New Roman" w:hAnsi="Arial" w:cs="Arial"/>
                      <w:color w:val="FFFFFF" w:themeColor="background1"/>
                      <w:sz w:val="16"/>
                      <w:szCs w:val="16"/>
                    </w:rPr>
                  </w:pPr>
                  <w:r w:rsidRPr="00D97903">
                    <w:rPr>
                      <w:rFonts w:ascii="Arial" w:eastAsia="Times New Roman" w:hAnsi="Arial" w:cs="Arial"/>
                      <w:color w:val="FFFFFF" w:themeColor="background1"/>
                      <w:sz w:val="16"/>
                      <w:szCs w:val="16"/>
                    </w:rPr>
                    <w:t>1.5 per cent</w:t>
                  </w:r>
                </w:p>
              </w:tc>
            </w:tr>
          </w:tbl>
          <w:p w:rsidR="004252DB" w:rsidRDefault="004252DB" w:rsidP="007210B1">
            <w:pPr>
              <w:pStyle w:val="PBOsource"/>
              <w:spacing w:before="0"/>
              <w:rPr>
                <w:noProof/>
              </w:rPr>
            </w:pPr>
            <w:r>
              <w:rPr>
                <w:noProof/>
              </w:rPr>
              <w:t>Source: Australian Government Budget and PBO Analysis</w:t>
            </w:r>
          </w:p>
        </w:tc>
      </w:tr>
    </w:tbl>
    <w:p w:rsidR="0030109B" w:rsidRDefault="0030109B" w:rsidP="0030109B">
      <w:pPr>
        <w:pStyle w:val="PBOtext"/>
      </w:pPr>
      <w:r w:rsidRPr="00B14A66">
        <w:t>Figure 2.1</w:t>
      </w:r>
      <w:r>
        <w:t>5</w:t>
      </w:r>
      <w:r w:rsidRPr="00B14A66">
        <w:t>.1 shows projected spending on FTB, with and without the impact of the 2014</w:t>
      </w:r>
      <w:r w:rsidRPr="00B14A66">
        <w:noBreakHyphen/>
        <w:t xml:space="preserve">15 Budget measures which are yet to be legislated. In 2024-25 </w:t>
      </w:r>
      <w:r>
        <w:t xml:space="preserve">savings measures relating to FTB </w:t>
      </w:r>
      <w:r w:rsidRPr="00B14A66">
        <w:t>are pr</w:t>
      </w:r>
      <w:r>
        <w:t>ojected to reduce spending by $5.2</w:t>
      </w:r>
      <w:r w:rsidRPr="00B14A66">
        <w:t xml:space="preserve"> billion. </w:t>
      </w:r>
      <w:r>
        <w:br w:type="page"/>
      </w:r>
    </w:p>
    <w:p w:rsidR="00F8265A" w:rsidRPr="00845065" w:rsidRDefault="000C0878" w:rsidP="0033546E">
      <w:pPr>
        <w:pStyle w:val="PBOheading2"/>
        <w:numPr>
          <w:ilvl w:val="1"/>
          <w:numId w:val="31"/>
        </w:numPr>
      </w:pPr>
      <w:bookmarkStart w:id="74" w:name="_Toc396382649"/>
      <w:r>
        <w:lastRenderedPageBreak/>
        <w:t>Private Health Insurance R</w:t>
      </w:r>
      <w:r w:rsidR="00F8265A" w:rsidRPr="00845065">
        <w:t>ebate</w:t>
      </w:r>
      <w:bookmarkEnd w:id="74"/>
    </w:p>
    <w:p w:rsidR="00303E10" w:rsidRPr="00442AB5" w:rsidRDefault="00303E10" w:rsidP="00303E10">
      <w:pPr>
        <w:pStyle w:val="PBOtext"/>
      </w:pPr>
      <w:r w:rsidRPr="00442AB5">
        <w:t>Growth in spending on the Private Health Insurance Rebate is projected to slow from its historical real growth rate of 5.9 per cent annually to 2.3 per cent annually over the medium term. The Private Health Insurance Rebate is projected to account for 1 per cent of the growth in total spending over the medium term and 1 per cent of total spending in 2024-25.</w:t>
      </w:r>
    </w:p>
    <w:p w:rsidR="00303E10" w:rsidRPr="00442AB5" w:rsidRDefault="00303E10" w:rsidP="00303E10">
      <w:pPr>
        <w:pStyle w:val="PBOtext"/>
      </w:pPr>
      <w:r w:rsidRPr="00442AB5">
        <w:t>Slower growth over the medium term reflects 2014-15 Budget measures to pause indexation of the rebate for three years. Slower growth also reflects 2012-13 Budget measures to means test the rebate from 1 July 2013 and index contributions to the lower of either the CPI or commercial premium increases from 1 April 2013.</w:t>
      </w:r>
    </w:p>
    <w:p w:rsidR="00F8265A" w:rsidRDefault="00264C18" w:rsidP="00E26C67">
      <w:pPr>
        <w:pStyle w:val="PBOfiguretableheading"/>
      </w:pPr>
      <w:r>
        <w:rPr>
          <w:noProof/>
          <w:lang w:eastAsia="en-AU"/>
        </w:rPr>
        <w:drawing>
          <wp:anchor distT="0" distB="0" distL="114300" distR="114300" simplePos="0" relativeHeight="251745280" behindDoc="0" locked="0" layoutInCell="1" allowOverlap="1" wp14:anchorId="4A37CF71" wp14:editId="5A1DFCDD">
            <wp:simplePos x="0" y="0"/>
            <wp:positionH relativeFrom="column">
              <wp:posOffset>4064</wp:posOffset>
            </wp:positionH>
            <wp:positionV relativeFrom="paragraph">
              <wp:posOffset>277921</wp:posOffset>
            </wp:positionV>
            <wp:extent cx="5401310" cy="3596640"/>
            <wp:effectExtent l="0" t="0" r="8890" b="381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14:sizeRelH relativeFrom="page">
              <wp14:pctWidth>0</wp14:pctWidth>
            </wp14:sizeRelH>
            <wp14:sizeRelV relativeFrom="page">
              <wp14:pctHeight>0</wp14:pctHeight>
            </wp14:sizeRelV>
          </wp:anchor>
        </w:drawing>
      </w:r>
      <w:r w:rsidR="00F8265A">
        <w:t>Figure 2.1</w:t>
      </w:r>
      <w:r w:rsidR="00303E10">
        <w:t>6</w:t>
      </w:r>
      <w:r w:rsidR="00F8265A">
        <w:t>.1: Nominal spending on the Private Health Insurance Rebate</w:t>
      </w:r>
      <w:r w:rsidR="00821839">
        <w:t xml:space="preserve"> and annual real growth</w:t>
      </w:r>
    </w:p>
    <w:tbl>
      <w:tblPr>
        <w:tblW w:w="7864" w:type="dxa"/>
        <w:jc w:val="center"/>
        <w:tblInd w:w="103" w:type="dxa"/>
        <w:tblLayout w:type="fixed"/>
        <w:tblLook w:val="04A0" w:firstRow="1" w:lastRow="0" w:firstColumn="1" w:lastColumn="0" w:noHBand="0" w:noVBand="1"/>
      </w:tblPr>
      <w:tblGrid>
        <w:gridCol w:w="2886"/>
        <w:gridCol w:w="1659"/>
        <w:gridCol w:w="1659"/>
        <w:gridCol w:w="1660"/>
      </w:tblGrid>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Year</w:t>
            </w:r>
          </w:p>
        </w:tc>
        <w:tc>
          <w:tcPr>
            <w:tcW w:w="1659" w:type="dxa"/>
            <w:shd w:val="clear" w:color="auto" w:fill="auto"/>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Nominal dollars</w:t>
            </w:r>
          </w:p>
        </w:tc>
        <w:tc>
          <w:tcPr>
            <w:tcW w:w="1659" w:type="dxa"/>
            <w:shd w:val="clear" w:color="auto" w:fill="auto"/>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Nominal dollars without measures</w:t>
            </w:r>
          </w:p>
        </w:tc>
        <w:tc>
          <w:tcPr>
            <w:tcW w:w="1660" w:type="dxa"/>
            <w:shd w:val="clear" w:color="auto" w:fill="auto"/>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Annual real growth</w:t>
            </w:r>
          </w:p>
        </w:tc>
      </w:tr>
      <w:tr w:rsidR="00264C18" w:rsidRPr="00264C18" w:rsidTr="00264C18">
        <w:trPr>
          <w:trHeight w:hRule="exact" w:val="395"/>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2002-03</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2.3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 </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 </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2003-04</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2.5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 </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6.9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2004-05</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2.9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 </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9.6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2005-06</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3.2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 </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8.9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2006-07</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3.5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 </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5.8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2007-08</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3.8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 </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5.4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2008-09</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4.1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 </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5.3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2009-10</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4.5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 </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6.1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2010-11</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4.9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 </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5.5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2011-12</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5.7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 </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13.5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2012-13</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5.4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 </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-6.9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2013-14</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5.7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 </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2.9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2014-15</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6.0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6.0 billion</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2.4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2015-16</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6.2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6.3 billion</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1.2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2016-17</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6.5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6.7 billion</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1.7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2017-18</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6.7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7.0 billion</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1.6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2018-19</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7.1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7.4 billion</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2.6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2019-20</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7.5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7.8 billion</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2.6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2020-21</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7.8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8.2 billion</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2.6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2021-22</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8.2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8.6 billion</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2.6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2022-23</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8.7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9.1 billion</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2.6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2023-24</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9.1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9.6 billion</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2.6 per cent</w:t>
            </w:r>
          </w:p>
        </w:tc>
      </w:tr>
      <w:tr w:rsidR="00264C18" w:rsidRPr="00264C18" w:rsidTr="00264C18">
        <w:trPr>
          <w:trHeight w:hRule="exact" w:val="227"/>
          <w:jc w:val="center"/>
        </w:trPr>
        <w:tc>
          <w:tcPr>
            <w:tcW w:w="2886" w:type="dxa"/>
            <w:shd w:val="clear" w:color="auto" w:fill="auto"/>
            <w:noWrap/>
            <w:vAlign w:val="center"/>
            <w:hideMark/>
          </w:tcPr>
          <w:p w:rsidR="00886BBA" w:rsidRPr="00264C18" w:rsidRDefault="00886BBA" w:rsidP="00886BBA">
            <w:pPr>
              <w:spacing w:before="0" w:after="0"/>
              <w:jc w:val="center"/>
              <w:rPr>
                <w:rFonts w:ascii="Arial" w:eastAsia="Times New Roman" w:hAnsi="Arial" w:cs="Arial"/>
                <w:b/>
                <w:bCs/>
                <w:color w:val="FFFFFF" w:themeColor="background1"/>
                <w:sz w:val="16"/>
                <w:szCs w:val="16"/>
              </w:rPr>
            </w:pPr>
            <w:r w:rsidRPr="00264C18">
              <w:rPr>
                <w:rFonts w:ascii="Arial" w:eastAsia="Times New Roman" w:hAnsi="Arial" w:cs="Arial"/>
                <w:b/>
                <w:bCs/>
                <w:color w:val="FFFFFF" w:themeColor="background1"/>
                <w:sz w:val="16"/>
                <w:szCs w:val="16"/>
              </w:rPr>
              <w:t>2024-25</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9.6 billion</w:t>
            </w:r>
          </w:p>
        </w:tc>
        <w:tc>
          <w:tcPr>
            <w:tcW w:w="1659"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10.1 billion</w:t>
            </w:r>
          </w:p>
        </w:tc>
        <w:tc>
          <w:tcPr>
            <w:tcW w:w="1660" w:type="dxa"/>
            <w:shd w:val="clear" w:color="auto" w:fill="auto"/>
            <w:noWrap/>
            <w:vAlign w:val="bottom"/>
            <w:hideMark/>
          </w:tcPr>
          <w:p w:rsidR="00886BBA" w:rsidRPr="00264C18" w:rsidRDefault="00886BBA" w:rsidP="00886BBA">
            <w:pPr>
              <w:spacing w:before="0" w:after="0"/>
              <w:rPr>
                <w:rFonts w:ascii="Arial" w:eastAsia="Times New Roman" w:hAnsi="Arial" w:cs="Arial"/>
                <w:color w:val="FFFFFF" w:themeColor="background1"/>
                <w:sz w:val="16"/>
                <w:szCs w:val="16"/>
              </w:rPr>
            </w:pPr>
            <w:r w:rsidRPr="00264C18">
              <w:rPr>
                <w:rFonts w:ascii="Arial" w:eastAsia="Times New Roman" w:hAnsi="Arial" w:cs="Arial"/>
                <w:color w:val="FFFFFF" w:themeColor="background1"/>
                <w:sz w:val="16"/>
                <w:szCs w:val="16"/>
              </w:rPr>
              <w:t>2.6 per cent</w:t>
            </w:r>
          </w:p>
        </w:tc>
      </w:tr>
    </w:tbl>
    <w:p w:rsidR="00303E10" w:rsidRDefault="00F8265A" w:rsidP="00891443">
      <w:pPr>
        <w:pStyle w:val="PBOsource"/>
      </w:pPr>
      <w:r>
        <w:t>Source: Australian Government Budgets and PBO Analysis</w:t>
      </w:r>
    </w:p>
    <w:p w:rsidR="00442AB5" w:rsidRDefault="00303E10" w:rsidP="00081283">
      <w:pPr>
        <w:pStyle w:val="PBOtext"/>
      </w:pPr>
      <w:r w:rsidRPr="00B14A66">
        <w:t>Figure 2.1</w:t>
      </w:r>
      <w:r>
        <w:t>6</w:t>
      </w:r>
      <w:r w:rsidRPr="00B14A66">
        <w:t>.1</w:t>
      </w:r>
      <w:r>
        <w:t xml:space="preserve"> shows projected spending on the Private Health Insurance Rebate</w:t>
      </w:r>
      <w:r w:rsidRPr="00B14A66">
        <w:t>, with and without the impact of the 2014</w:t>
      </w:r>
      <w:r w:rsidRPr="00B14A66">
        <w:noBreakHyphen/>
        <w:t xml:space="preserve">15 Budget measures which are yet to be legislated. In 2024-25 </w:t>
      </w:r>
      <w:r>
        <w:t>savings measures relating to the Private Health Insurance Rebate</w:t>
      </w:r>
      <w:r w:rsidRPr="00B14A66">
        <w:t xml:space="preserve"> are projected to reduce spending by </w:t>
      </w:r>
      <w:r w:rsidR="00CA3E15">
        <w:t>$0.5 </w:t>
      </w:r>
      <w:r w:rsidRPr="006A1515">
        <w:t>billion.</w:t>
      </w:r>
      <w:r w:rsidR="00442AB5">
        <w:br w:type="page"/>
      </w:r>
    </w:p>
    <w:p w:rsidR="004252DB" w:rsidRDefault="004252DB" w:rsidP="0033546E">
      <w:pPr>
        <w:pStyle w:val="PBOheading2"/>
        <w:numPr>
          <w:ilvl w:val="1"/>
          <w:numId w:val="31"/>
        </w:numPr>
      </w:pPr>
      <w:bookmarkStart w:id="75" w:name="_Toc396382650"/>
      <w:r>
        <w:lastRenderedPageBreak/>
        <w:t>Higher education</w:t>
      </w:r>
      <w:bookmarkEnd w:id="75"/>
    </w:p>
    <w:p w:rsidR="00303E10" w:rsidRPr="00442AB5" w:rsidRDefault="00303E10" w:rsidP="00303E10">
      <w:pPr>
        <w:pStyle w:val="PBOtext"/>
      </w:pPr>
      <w:r w:rsidRPr="00442AB5">
        <w:t>Growth in spending on higher education is projected to slow significantly from its historical real growth of 5.2 per cent annually to 1.</w:t>
      </w:r>
      <w:r>
        <w:t>2</w:t>
      </w:r>
      <w:r w:rsidRPr="00442AB5">
        <w:t xml:space="preserve"> per cent annually over the medium term. Higher education is projected to account for </w:t>
      </w:r>
      <w:r>
        <w:t>1</w:t>
      </w:r>
      <w:r w:rsidRPr="00442AB5">
        <w:t xml:space="preserve"> per cent of the growth in total spending over the medium term and 2 per cent of total spending in 2024-25.</w:t>
      </w:r>
    </w:p>
    <w:p w:rsidR="00303E10" w:rsidRPr="00442AB5" w:rsidRDefault="00303E10" w:rsidP="00303E10">
      <w:pPr>
        <w:pStyle w:val="PBOtext"/>
      </w:pPr>
      <w:r w:rsidRPr="00442AB5">
        <w:t>Growth over the beginning of the medium term is projected to slow significantly largely due to 2014</w:t>
      </w:r>
      <w:r w:rsidRPr="00442AB5">
        <w:noBreakHyphen/>
        <w:t>15 Budget measures to reduce subsidies under the Commonwealth Grants Scheme, cease reward funding for universities, change participation funding for students from low socio</w:t>
      </w:r>
      <w:r w:rsidRPr="00442AB5">
        <w:noBreakHyphen/>
        <w:t>economic backgrounds, and index funding for higher education providers to movements in the CPI rather than the Higher Education Grants Index.</w:t>
      </w:r>
    </w:p>
    <w:p w:rsidR="00303E10" w:rsidRPr="00442AB5" w:rsidRDefault="00303E10" w:rsidP="00303E10">
      <w:pPr>
        <w:pStyle w:val="PBOtext"/>
      </w:pPr>
      <w:r w:rsidRPr="00442AB5">
        <w:t>The return to stronger growth over the latter part of the medium term is largely driven by projected increases in enrolments in the move to a demand driven enrolment model.</w:t>
      </w:r>
    </w:p>
    <w:p w:rsidR="004252DB" w:rsidRDefault="007407E1" w:rsidP="004252DB">
      <w:pPr>
        <w:pStyle w:val="PBOfiguretableheading"/>
      </w:pPr>
      <w:r>
        <w:rPr>
          <w:noProof/>
          <w:lang w:eastAsia="en-AU"/>
        </w:rPr>
        <w:drawing>
          <wp:anchor distT="0" distB="0" distL="114300" distR="114300" simplePos="0" relativeHeight="251748352" behindDoc="0" locked="0" layoutInCell="1" allowOverlap="1" wp14:anchorId="4B7A89D1" wp14:editId="37060778">
            <wp:simplePos x="0" y="0"/>
            <wp:positionH relativeFrom="column">
              <wp:posOffset>-24765</wp:posOffset>
            </wp:positionH>
            <wp:positionV relativeFrom="paragraph">
              <wp:posOffset>296545</wp:posOffset>
            </wp:positionV>
            <wp:extent cx="5401310" cy="3602990"/>
            <wp:effectExtent l="0" t="0" r="889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14:sizeRelH relativeFrom="page">
              <wp14:pctWidth>0</wp14:pctWidth>
            </wp14:sizeRelH>
            <wp14:sizeRelV relativeFrom="page">
              <wp14:pctHeight>0</wp14:pctHeight>
            </wp14:sizeRelV>
          </wp:anchor>
        </w:drawing>
      </w:r>
      <w:r w:rsidR="004252DB">
        <w:t>Figure 2.17.1: Nominal spending on higher education and annual real growth</w:t>
      </w:r>
    </w:p>
    <w:tbl>
      <w:tblPr>
        <w:tblW w:w="7864" w:type="dxa"/>
        <w:jc w:val="center"/>
        <w:tblLayout w:type="fixed"/>
        <w:tblLook w:val="04A0" w:firstRow="1" w:lastRow="0" w:firstColumn="1" w:lastColumn="0" w:noHBand="0" w:noVBand="1"/>
      </w:tblPr>
      <w:tblGrid>
        <w:gridCol w:w="2637"/>
        <w:gridCol w:w="1742"/>
        <w:gridCol w:w="1742"/>
        <w:gridCol w:w="1743"/>
      </w:tblGrid>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Year</w:t>
            </w:r>
          </w:p>
        </w:tc>
        <w:tc>
          <w:tcPr>
            <w:tcW w:w="1742" w:type="dxa"/>
            <w:shd w:val="clear" w:color="auto" w:fill="auto"/>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Nominal dollars</w:t>
            </w:r>
          </w:p>
        </w:tc>
        <w:tc>
          <w:tcPr>
            <w:tcW w:w="1742" w:type="dxa"/>
            <w:shd w:val="clear" w:color="auto" w:fill="auto"/>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Nominal dollars without measures</w:t>
            </w:r>
          </w:p>
        </w:tc>
        <w:tc>
          <w:tcPr>
            <w:tcW w:w="1743" w:type="dxa"/>
            <w:shd w:val="clear" w:color="auto" w:fill="auto"/>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Annual real growth</w:t>
            </w:r>
          </w:p>
        </w:tc>
      </w:tr>
      <w:tr w:rsidR="007407E1" w:rsidRPr="007407E1" w:rsidTr="007407E1">
        <w:trPr>
          <w:trHeight w:hRule="exact" w:val="395"/>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2002-03</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4.0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 </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 </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2003-04</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4.4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 </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6.6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2004-05</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4.6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 </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3.5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2005-06</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4.9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 </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3.9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2006-07</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5.3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 </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3.1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2007-08</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6.1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 </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12.9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2008-09</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6.1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 </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-3.5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2009-10</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7.8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 </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24.2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2010-11</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7.7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 </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-3.4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2011-12</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8.5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 </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8.0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2012-13</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8.7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 </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-0.2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2013-14</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9.0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 </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0.2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2014-15</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9.2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9.6 billion</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0.6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2015-16</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9.3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10.0 billion</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-1.9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2016-17</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9.3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10.4 billion</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-2.3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2017-18</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9.5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10.9 billion</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-0.5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2018-19</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10.0 billion</w:t>
            </w:r>
          </w:p>
        </w:tc>
        <w:tc>
          <w:tcPr>
            <w:tcW w:w="1742" w:type="dxa"/>
            <w:shd w:val="clear" w:color="auto" w:fill="auto"/>
            <w:noWrap/>
            <w:vAlign w:val="bottom"/>
            <w:hideMark/>
          </w:tcPr>
          <w:p w:rsidR="00CE0306" w:rsidRPr="007407E1" w:rsidRDefault="007407E1"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11.6</w:t>
            </w:r>
            <w:r w:rsidR="00CE0306" w:rsidRPr="007407E1">
              <w:rPr>
                <w:rFonts w:ascii="Arial" w:eastAsia="Times New Roman" w:hAnsi="Arial" w:cs="Arial"/>
                <w:color w:val="FFFFFF" w:themeColor="background1"/>
                <w:sz w:val="16"/>
                <w:szCs w:val="16"/>
              </w:rPr>
              <w:t xml:space="preserve"> billion</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2.9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2019-20</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10.5 billion</w:t>
            </w:r>
          </w:p>
        </w:tc>
        <w:tc>
          <w:tcPr>
            <w:tcW w:w="1742" w:type="dxa"/>
            <w:shd w:val="clear" w:color="auto" w:fill="auto"/>
            <w:noWrap/>
            <w:vAlign w:val="bottom"/>
            <w:hideMark/>
          </w:tcPr>
          <w:p w:rsidR="00CE0306" w:rsidRPr="007407E1" w:rsidRDefault="007407E1"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12.3</w:t>
            </w:r>
            <w:r w:rsidR="00CE0306" w:rsidRPr="007407E1">
              <w:rPr>
                <w:rFonts w:ascii="Arial" w:eastAsia="Times New Roman" w:hAnsi="Arial" w:cs="Arial"/>
                <w:color w:val="FFFFFF" w:themeColor="background1"/>
                <w:sz w:val="16"/>
                <w:szCs w:val="16"/>
              </w:rPr>
              <w:t xml:space="preserve"> billion</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2.8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2020-21</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11.1 billion</w:t>
            </w:r>
          </w:p>
        </w:tc>
        <w:tc>
          <w:tcPr>
            <w:tcW w:w="1742" w:type="dxa"/>
            <w:shd w:val="clear" w:color="auto" w:fill="auto"/>
            <w:noWrap/>
            <w:vAlign w:val="bottom"/>
            <w:hideMark/>
          </w:tcPr>
          <w:p w:rsidR="00CE0306" w:rsidRPr="007407E1" w:rsidRDefault="007407E1"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13.0</w:t>
            </w:r>
            <w:r w:rsidR="00CE0306" w:rsidRPr="007407E1">
              <w:rPr>
                <w:rFonts w:ascii="Arial" w:eastAsia="Times New Roman" w:hAnsi="Arial" w:cs="Arial"/>
                <w:color w:val="FFFFFF" w:themeColor="background1"/>
                <w:sz w:val="16"/>
                <w:szCs w:val="16"/>
              </w:rPr>
              <w:t xml:space="preserve"> billion</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2.7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2021-22</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11.6 billion</w:t>
            </w:r>
          </w:p>
        </w:tc>
        <w:tc>
          <w:tcPr>
            <w:tcW w:w="1742" w:type="dxa"/>
            <w:shd w:val="clear" w:color="auto" w:fill="auto"/>
            <w:noWrap/>
            <w:vAlign w:val="bottom"/>
            <w:hideMark/>
          </w:tcPr>
          <w:p w:rsidR="00CE0306" w:rsidRPr="007407E1" w:rsidRDefault="007407E1"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13.7</w:t>
            </w:r>
            <w:r w:rsidR="00CE0306" w:rsidRPr="007407E1">
              <w:rPr>
                <w:rFonts w:ascii="Arial" w:eastAsia="Times New Roman" w:hAnsi="Arial" w:cs="Arial"/>
                <w:color w:val="FFFFFF" w:themeColor="background1"/>
                <w:sz w:val="16"/>
                <w:szCs w:val="16"/>
              </w:rPr>
              <w:t xml:space="preserve"> billion</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2.6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2022-23</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12.2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14.5 billion</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2.5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2023-24</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12.9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15.3 billion</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2.7 per cent</w:t>
            </w:r>
          </w:p>
        </w:tc>
      </w:tr>
      <w:tr w:rsidR="007407E1" w:rsidRPr="007407E1" w:rsidTr="007407E1">
        <w:trPr>
          <w:trHeight w:hRule="exact" w:val="227"/>
          <w:jc w:val="center"/>
        </w:trPr>
        <w:tc>
          <w:tcPr>
            <w:tcW w:w="2637" w:type="dxa"/>
            <w:shd w:val="clear" w:color="auto" w:fill="auto"/>
            <w:noWrap/>
            <w:vAlign w:val="center"/>
            <w:hideMark/>
          </w:tcPr>
          <w:p w:rsidR="00CE0306" w:rsidRPr="007407E1" w:rsidRDefault="00CE0306" w:rsidP="00CE0306">
            <w:pPr>
              <w:spacing w:before="0" w:after="0"/>
              <w:jc w:val="center"/>
              <w:rPr>
                <w:rFonts w:ascii="Arial" w:eastAsia="Times New Roman" w:hAnsi="Arial" w:cs="Arial"/>
                <w:b/>
                <w:bCs/>
                <w:color w:val="FFFFFF" w:themeColor="background1"/>
                <w:sz w:val="16"/>
                <w:szCs w:val="16"/>
              </w:rPr>
            </w:pPr>
            <w:r w:rsidRPr="007407E1">
              <w:rPr>
                <w:rFonts w:ascii="Arial" w:eastAsia="Times New Roman" w:hAnsi="Arial" w:cs="Arial"/>
                <w:b/>
                <w:bCs/>
                <w:color w:val="FFFFFF" w:themeColor="background1"/>
                <w:sz w:val="16"/>
                <w:szCs w:val="16"/>
              </w:rPr>
              <w:t>2024-25</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13.6 billion</w:t>
            </w:r>
          </w:p>
        </w:tc>
        <w:tc>
          <w:tcPr>
            <w:tcW w:w="1742"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16.1 billion</w:t>
            </w:r>
          </w:p>
        </w:tc>
        <w:tc>
          <w:tcPr>
            <w:tcW w:w="1743" w:type="dxa"/>
            <w:shd w:val="clear" w:color="auto" w:fill="auto"/>
            <w:noWrap/>
            <w:vAlign w:val="bottom"/>
            <w:hideMark/>
          </w:tcPr>
          <w:p w:rsidR="00CE0306" w:rsidRPr="007407E1" w:rsidRDefault="00CE0306" w:rsidP="00CE0306">
            <w:pPr>
              <w:spacing w:before="0" w:after="0"/>
              <w:rPr>
                <w:rFonts w:ascii="Arial" w:eastAsia="Times New Roman" w:hAnsi="Arial" w:cs="Arial"/>
                <w:color w:val="FFFFFF" w:themeColor="background1"/>
                <w:sz w:val="16"/>
                <w:szCs w:val="16"/>
              </w:rPr>
            </w:pPr>
            <w:r w:rsidRPr="007407E1">
              <w:rPr>
                <w:rFonts w:ascii="Arial" w:eastAsia="Times New Roman" w:hAnsi="Arial" w:cs="Arial"/>
                <w:color w:val="FFFFFF" w:themeColor="background1"/>
                <w:sz w:val="16"/>
                <w:szCs w:val="16"/>
              </w:rPr>
              <w:t>2.8 per cent</w:t>
            </w:r>
          </w:p>
        </w:tc>
      </w:tr>
    </w:tbl>
    <w:p w:rsidR="004252DB" w:rsidRDefault="004252DB" w:rsidP="00891443">
      <w:pPr>
        <w:pStyle w:val="PBOsource"/>
      </w:pPr>
      <w:r>
        <w:t>Source: Australian Government Budgets and PBO Analysis</w:t>
      </w:r>
    </w:p>
    <w:p w:rsidR="00303E10" w:rsidRPr="00442AB5" w:rsidRDefault="00303E10" w:rsidP="00303E10">
      <w:pPr>
        <w:pStyle w:val="PBOtext"/>
      </w:pPr>
      <w:r w:rsidRPr="00442AB5">
        <w:t>Figure 2.17.1 shows projected spending on higher education, with and without the impact of the 2014</w:t>
      </w:r>
      <w:r w:rsidRPr="00442AB5">
        <w:noBreakHyphen/>
        <w:t xml:space="preserve">15 Budget measures which are yet to be legislated. In 2024-25 </w:t>
      </w:r>
      <w:r>
        <w:t xml:space="preserve">savings measures relating to the higher education </w:t>
      </w:r>
      <w:r w:rsidRPr="00442AB5">
        <w:t xml:space="preserve">are projected to </w:t>
      </w:r>
      <w:r>
        <w:t xml:space="preserve">reduce spending by $2.5 billion. </w:t>
      </w:r>
      <w:r w:rsidRPr="00442AB5">
        <w:br w:type="page"/>
      </w:r>
    </w:p>
    <w:p w:rsidR="001C4613" w:rsidRDefault="001C4613" w:rsidP="0033546E">
      <w:pPr>
        <w:pStyle w:val="PBOheading2"/>
        <w:numPr>
          <w:ilvl w:val="1"/>
          <w:numId w:val="31"/>
        </w:numPr>
      </w:pPr>
      <w:bookmarkStart w:id="76" w:name="_Toc396382651"/>
      <w:proofErr w:type="spellStart"/>
      <w:r>
        <w:t>Newstart</w:t>
      </w:r>
      <w:bookmarkEnd w:id="76"/>
      <w:proofErr w:type="spellEnd"/>
    </w:p>
    <w:p w:rsidR="00303E10" w:rsidRPr="00442AB5" w:rsidRDefault="00303E10" w:rsidP="00303E10">
      <w:pPr>
        <w:pStyle w:val="PBOtext"/>
      </w:pPr>
      <w:r w:rsidRPr="00442AB5">
        <w:t xml:space="preserve">Growth in spending on </w:t>
      </w:r>
      <w:proofErr w:type="spellStart"/>
      <w:r w:rsidRPr="00442AB5">
        <w:t>Newstart</w:t>
      </w:r>
      <w:proofErr w:type="spellEnd"/>
      <w:r w:rsidRPr="00442AB5">
        <w:t xml:space="preserve"> is projected to slow from its historical real growth of 1.7 per cent annually to 1.1 per cent annually over the medium term. </w:t>
      </w:r>
      <w:proofErr w:type="spellStart"/>
      <w:r w:rsidRPr="00442AB5">
        <w:t>Newstart</w:t>
      </w:r>
      <w:proofErr w:type="spellEnd"/>
      <w:r w:rsidRPr="00442AB5">
        <w:t xml:space="preserve"> is projected to account for 1 per cent of the growth in total spending over the medium term and 2 per cent of total spending in 2024-25.</w:t>
      </w:r>
    </w:p>
    <w:p w:rsidR="00303E10" w:rsidRPr="00442AB5" w:rsidRDefault="00303E10" w:rsidP="00303E10">
      <w:pPr>
        <w:pStyle w:val="PBOtext"/>
      </w:pPr>
      <w:r w:rsidRPr="00442AB5">
        <w:t xml:space="preserve">The slowing in growth over the medium term reflects 2014-15 Budget measures to tighten access to </w:t>
      </w:r>
      <w:proofErr w:type="spellStart"/>
      <w:r w:rsidRPr="00442AB5">
        <w:t>Newstart</w:t>
      </w:r>
      <w:proofErr w:type="spellEnd"/>
      <w:r w:rsidRPr="00442AB5">
        <w:t xml:space="preserve"> for people </w:t>
      </w:r>
      <w:proofErr w:type="gramStart"/>
      <w:r w:rsidRPr="00442AB5">
        <w:t>under</w:t>
      </w:r>
      <w:proofErr w:type="gramEnd"/>
      <w:r w:rsidRPr="00442AB5">
        <w:t xml:space="preserve"> 30 years of age, increase the eligibility age for the payment from 22 years to 24 years, and maintain eligibility thresholds for three years.</w:t>
      </w:r>
    </w:p>
    <w:p w:rsidR="001C4613" w:rsidRDefault="00B3666B" w:rsidP="001C4613">
      <w:pPr>
        <w:pStyle w:val="PBOfiguretableheading"/>
      </w:pPr>
      <w:r>
        <w:rPr>
          <w:noProof/>
          <w:lang w:eastAsia="en-AU"/>
        </w:rPr>
        <w:drawing>
          <wp:anchor distT="0" distB="0" distL="114300" distR="114300" simplePos="0" relativeHeight="251763712" behindDoc="0" locked="0" layoutInCell="1" allowOverlap="1" wp14:anchorId="7D5959B0" wp14:editId="67D29FA2">
            <wp:simplePos x="0" y="0"/>
            <wp:positionH relativeFrom="column">
              <wp:posOffset>3810</wp:posOffset>
            </wp:positionH>
            <wp:positionV relativeFrom="paragraph">
              <wp:posOffset>245745</wp:posOffset>
            </wp:positionV>
            <wp:extent cx="5401310" cy="3596640"/>
            <wp:effectExtent l="0" t="0" r="889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14:sizeRelH relativeFrom="page">
              <wp14:pctWidth>0</wp14:pctWidth>
            </wp14:sizeRelH>
            <wp14:sizeRelV relativeFrom="page">
              <wp14:pctHeight>0</wp14:pctHeight>
            </wp14:sizeRelV>
          </wp:anchor>
        </w:drawing>
      </w:r>
      <w:r w:rsidR="001C4613">
        <w:t xml:space="preserve"> </w:t>
      </w:r>
      <w:r w:rsidR="008F19FA">
        <w:t>Figure 2.1</w:t>
      </w:r>
      <w:r w:rsidR="00303E10">
        <w:t>8</w:t>
      </w:r>
      <w:r w:rsidR="001C4613">
        <w:t xml:space="preserve">.1: Nominal spending on </w:t>
      </w:r>
      <w:proofErr w:type="spellStart"/>
      <w:r w:rsidR="001C4613">
        <w:t>Newstart</w:t>
      </w:r>
      <w:proofErr w:type="spellEnd"/>
      <w:r w:rsidR="00821839">
        <w:t xml:space="preserve"> and annual real growth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6"/>
      </w:tblGrid>
      <w:tr w:rsidR="001C4613" w:rsidRPr="00442AB5" w:rsidTr="00185C93">
        <w:tc>
          <w:tcPr>
            <w:tcW w:w="8476" w:type="dxa"/>
          </w:tcPr>
          <w:tbl>
            <w:tblPr>
              <w:tblW w:w="7864" w:type="dxa"/>
              <w:jc w:val="center"/>
              <w:tblLayout w:type="fixed"/>
              <w:tblLook w:val="04A0" w:firstRow="1" w:lastRow="0" w:firstColumn="1" w:lastColumn="0" w:noHBand="0" w:noVBand="1"/>
            </w:tblPr>
            <w:tblGrid>
              <w:gridCol w:w="3109"/>
              <w:gridCol w:w="1585"/>
              <w:gridCol w:w="1585"/>
              <w:gridCol w:w="1585"/>
            </w:tblGrid>
            <w:tr w:rsidR="00B3666B" w:rsidRPr="00B3666B" w:rsidTr="00B3666B">
              <w:trPr>
                <w:trHeight w:hRule="exact" w:val="359"/>
                <w:jc w:val="center"/>
              </w:trPr>
              <w:tc>
                <w:tcPr>
                  <w:tcW w:w="3109" w:type="dxa"/>
                  <w:shd w:val="clear" w:color="auto" w:fill="auto"/>
                  <w:noWrap/>
                  <w:vAlign w:val="center"/>
                  <w:hideMark/>
                </w:tcPr>
                <w:p w:rsidR="00291AF3" w:rsidRPr="00B3666B" w:rsidRDefault="00291AF3"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Year</w:t>
                  </w:r>
                </w:p>
              </w:tc>
              <w:tc>
                <w:tcPr>
                  <w:tcW w:w="1585" w:type="dxa"/>
                  <w:shd w:val="clear" w:color="auto" w:fill="auto"/>
                  <w:vAlign w:val="center"/>
                  <w:hideMark/>
                </w:tcPr>
                <w:p w:rsidR="00291AF3" w:rsidRPr="00B3666B" w:rsidRDefault="00291AF3"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Nominal dollars</w:t>
                  </w:r>
                </w:p>
              </w:tc>
              <w:tc>
                <w:tcPr>
                  <w:tcW w:w="1585" w:type="dxa"/>
                  <w:shd w:val="clear" w:color="auto" w:fill="auto"/>
                  <w:vAlign w:val="center"/>
                  <w:hideMark/>
                </w:tcPr>
                <w:p w:rsidR="00291AF3" w:rsidRPr="00B3666B" w:rsidRDefault="00291AF3"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Nominal dollars without measures</w:t>
                  </w:r>
                </w:p>
              </w:tc>
              <w:tc>
                <w:tcPr>
                  <w:tcW w:w="1585" w:type="dxa"/>
                  <w:shd w:val="clear" w:color="auto" w:fill="auto"/>
                  <w:vAlign w:val="center"/>
                  <w:hideMark/>
                </w:tcPr>
                <w:p w:rsidR="00291AF3" w:rsidRPr="00B3666B" w:rsidRDefault="00291AF3"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Annual real growth</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2002-03</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4.8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 </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 </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2003-04</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4.8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 </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-3.9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2004-05</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4.6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 </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-5.0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2005-06</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4.5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 </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-5.2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2006-07</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4.5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 </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-3.6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2007-08</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4.2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 </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-10.0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2008-09</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4.9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 </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13.1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2009-10</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6.1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 </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22.8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2010-11</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6.1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 </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-2.8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2011-12</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6.6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 </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4.9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2012-13</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7.5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 </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11.0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2013-14</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9.1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 </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18.2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2014-15</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9.1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9.4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-1.7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2015-16</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9.1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10.2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-2.6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2016-17</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9.0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10.3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-3.9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2017-18</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9.0 billion</w:t>
                  </w:r>
                </w:p>
              </w:tc>
              <w:tc>
                <w:tcPr>
                  <w:tcW w:w="1585" w:type="dxa"/>
                  <w:shd w:val="clear" w:color="auto" w:fill="auto"/>
                  <w:noWrap/>
                  <w:vAlign w:val="bottom"/>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10.3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-2.0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2018-19</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9.1 billion</w:t>
                  </w:r>
                </w:p>
              </w:tc>
              <w:tc>
                <w:tcPr>
                  <w:tcW w:w="1585" w:type="dxa"/>
                  <w:shd w:val="clear" w:color="auto" w:fill="auto"/>
                  <w:noWrap/>
                  <w:vAlign w:val="bottom"/>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10.4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-1.2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2019-20</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9.3 billion</w:t>
                  </w:r>
                </w:p>
              </w:tc>
              <w:tc>
                <w:tcPr>
                  <w:tcW w:w="1585" w:type="dxa"/>
                  <w:shd w:val="clear" w:color="auto" w:fill="auto"/>
                  <w:noWrap/>
                  <w:vAlign w:val="bottom"/>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10.5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-1.3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2020-21</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9.5 billion</w:t>
                  </w:r>
                </w:p>
              </w:tc>
              <w:tc>
                <w:tcPr>
                  <w:tcW w:w="1585" w:type="dxa"/>
                  <w:shd w:val="clear" w:color="auto" w:fill="auto"/>
                  <w:noWrap/>
                  <w:vAlign w:val="bottom"/>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10.8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-0.6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2021-22</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10.0 billion</w:t>
                  </w:r>
                </w:p>
              </w:tc>
              <w:tc>
                <w:tcPr>
                  <w:tcW w:w="1585" w:type="dxa"/>
                  <w:shd w:val="clear" w:color="auto" w:fill="auto"/>
                  <w:noWrap/>
                  <w:vAlign w:val="bottom"/>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11.3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2.6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2022-23</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10.6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11.9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2.9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2023-24</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11.2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12.5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2.7 per cent</w:t>
                  </w:r>
                </w:p>
              </w:tc>
            </w:tr>
            <w:tr w:rsidR="00B3666B" w:rsidRPr="00B3666B" w:rsidTr="00B3666B">
              <w:trPr>
                <w:trHeight w:hRule="exact" w:val="227"/>
                <w:jc w:val="center"/>
              </w:trPr>
              <w:tc>
                <w:tcPr>
                  <w:tcW w:w="3109" w:type="dxa"/>
                  <w:shd w:val="clear" w:color="auto" w:fill="auto"/>
                  <w:noWrap/>
                  <w:vAlign w:val="center"/>
                  <w:hideMark/>
                </w:tcPr>
                <w:p w:rsidR="00626F16" w:rsidRPr="00B3666B" w:rsidRDefault="00626F16" w:rsidP="00291AF3">
                  <w:pPr>
                    <w:spacing w:before="0" w:after="0"/>
                    <w:jc w:val="center"/>
                    <w:rPr>
                      <w:rFonts w:ascii="Arial" w:eastAsia="Times New Roman" w:hAnsi="Arial" w:cs="Arial"/>
                      <w:b/>
                      <w:bCs/>
                      <w:color w:val="FFFFFF" w:themeColor="background1"/>
                      <w:sz w:val="16"/>
                      <w:szCs w:val="16"/>
                    </w:rPr>
                  </w:pPr>
                  <w:r w:rsidRPr="00B3666B">
                    <w:rPr>
                      <w:rFonts w:ascii="Arial" w:eastAsia="Times New Roman" w:hAnsi="Arial" w:cs="Arial"/>
                      <w:b/>
                      <w:bCs/>
                      <w:color w:val="FFFFFF" w:themeColor="background1"/>
                      <w:sz w:val="16"/>
                      <w:szCs w:val="16"/>
                    </w:rPr>
                    <w:t>2024-25</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11.5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13.0 billion</w:t>
                  </w:r>
                </w:p>
              </w:tc>
              <w:tc>
                <w:tcPr>
                  <w:tcW w:w="1585" w:type="dxa"/>
                  <w:shd w:val="clear" w:color="auto" w:fill="auto"/>
                  <w:noWrap/>
                  <w:vAlign w:val="bottom"/>
                  <w:hideMark/>
                </w:tcPr>
                <w:p w:rsidR="00626F16" w:rsidRPr="00B3666B" w:rsidRDefault="00626F16" w:rsidP="00626F16">
                  <w:pPr>
                    <w:spacing w:before="0" w:after="0"/>
                    <w:rPr>
                      <w:rFonts w:ascii="Arial" w:hAnsi="Arial" w:cs="Arial"/>
                      <w:color w:val="FFFFFF" w:themeColor="background1"/>
                      <w:sz w:val="16"/>
                      <w:szCs w:val="16"/>
                    </w:rPr>
                  </w:pPr>
                  <w:r w:rsidRPr="00B3666B">
                    <w:rPr>
                      <w:rFonts w:ascii="Arial" w:hAnsi="Arial" w:cs="Arial"/>
                      <w:color w:val="FFFFFF" w:themeColor="background1"/>
                      <w:sz w:val="16"/>
                      <w:szCs w:val="16"/>
                    </w:rPr>
                    <w:t>0.9 per cent</w:t>
                  </w:r>
                </w:p>
              </w:tc>
            </w:tr>
          </w:tbl>
          <w:p w:rsidR="001C4613" w:rsidRPr="003E40E4" w:rsidRDefault="001C4613" w:rsidP="00891443">
            <w:pPr>
              <w:pStyle w:val="PBOsource"/>
            </w:pPr>
            <w:r w:rsidRPr="003E40E4">
              <w:t>Source: Australian Government Budget and PBO Analysis</w:t>
            </w:r>
          </w:p>
        </w:tc>
      </w:tr>
    </w:tbl>
    <w:p w:rsidR="00303E10" w:rsidRDefault="00303E10" w:rsidP="00303E10">
      <w:pPr>
        <w:pStyle w:val="PBOtext"/>
      </w:pPr>
      <w:r w:rsidRPr="00442AB5">
        <w:t>Figure 2.1</w:t>
      </w:r>
      <w:r>
        <w:t>8</w:t>
      </w:r>
      <w:r w:rsidRPr="00442AB5">
        <w:t xml:space="preserve">.1 shows projected spending on </w:t>
      </w:r>
      <w:proofErr w:type="spellStart"/>
      <w:r w:rsidRPr="00442AB5">
        <w:t>Newstart</w:t>
      </w:r>
      <w:proofErr w:type="spellEnd"/>
      <w:r w:rsidRPr="00442AB5">
        <w:t>, with and without the impact of the 2014</w:t>
      </w:r>
      <w:r w:rsidRPr="00442AB5">
        <w:noBreakHyphen/>
        <w:t xml:space="preserve">15 Budget measures which are yet to be legislated. In 2024-25 </w:t>
      </w:r>
      <w:r>
        <w:t xml:space="preserve">savings measures relating to </w:t>
      </w:r>
      <w:proofErr w:type="spellStart"/>
      <w:r>
        <w:t>Newstart</w:t>
      </w:r>
      <w:proofErr w:type="spellEnd"/>
      <w:r>
        <w:t xml:space="preserve"> </w:t>
      </w:r>
      <w:r w:rsidRPr="00442AB5">
        <w:t>are projected to reduce spending by $1</w:t>
      </w:r>
      <w:r>
        <w:t>.4 </w:t>
      </w:r>
      <w:r w:rsidRPr="00442AB5">
        <w:t xml:space="preserve">billion. </w:t>
      </w:r>
      <w:r>
        <w:br w:type="page"/>
      </w:r>
    </w:p>
    <w:p w:rsidR="00304BC8" w:rsidRDefault="00304BC8" w:rsidP="0033546E">
      <w:pPr>
        <w:pStyle w:val="PBOheading2"/>
        <w:numPr>
          <w:ilvl w:val="1"/>
          <w:numId w:val="31"/>
        </w:numPr>
      </w:pPr>
      <w:bookmarkStart w:id="77" w:name="_Toc396382652"/>
      <w:r>
        <w:t>Public debt interest</w:t>
      </w:r>
      <w:bookmarkEnd w:id="77"/>
    </w:p>
    <w:p w:rsidR="00303E10" w:rsidRPr="00442AB5" w:rsidRDefault="00303E10" w:rsidP="00303E10">
      <w:pPr>
        <w:pStyle w:val="PBOtext"/>
      </w:pPr>
      <w:r w:rsidRPr="00442AB5">
        <w:t>Public debt interest (PDI) expenses are paid by the Commonwealth on its borrowings primarily in the form of Commonwealth Government Securities (CGS) on issue.</w:t>
      </w:r>
    </w:p>
    <w:p w:rsidR="00303E10" w:rsidRPr="00442AB5" w:rsidRDefault="00303E10" w:rsidP="00303E10">
      <w:pPr>
        <w:pStyle w:val="PBOtext"/>
      </w:pPr>
      <w:r w:rsidRPr="00442AB5">
        <w:t>Growth in PDI expenses is projected to slow from its historical real growth of 7.5 per cent annually to 0.4 per cent annually over the medium term. PDI is projected to account for 1 per cent of the growth in total spending over the medium term and 3 per cent of total spending in 2024-25.</w:t>
      </w:r>
    </w:p>
    <w:p w:rsidR="00303E10" w:rsidRPr="00442AB5" w:rsidRDefault="00303E10" w:rsidP="00303E10">
      <w:pPr>
        <w:pStyle w:val="PBOtext"/>
      </w:pPr>
      <w:r w:rsidRPr="00442AB5">
        <w:t>PDI expenses are projected grow over the beginning of the medium term in line with projected budget deficits, and then contract over the latter part of the period as the stock and consequent cost of servicing CGS on issue decreases as the budget balance is projected to move to a surplus.</w:t>
      </w:r>
    </w:p>
    <w:p w:rsidR="003E40E4" w:rsidRDefault="00466251" w:rsidP="003E40E4">
      <w:pPr>
        <w:pStyle w:val="PBOfiguretableheading"/>
      </w:pPr>
      <w:r>
        <w:rPr>
          <w:rFonts w:cs="Arial"/>
          <w:noProof/>
          <w:sz w:val="18"/>
          <w:lang w:eastAsia="en-AU"/>
        </w:rPr>
        <w:drawing>
          <wp:anchor distT="0" distB="0" distL="114300" distR="114300" simplePos="0" relativeHeight="251762688" behindDoc="0" locked="0" layoutInCell="1" allowOverlap="1" wp14:anchorId="1642FCDF" wp14:editId="22EBA385">
            <wp:simplePos x="0" y="0"/>
            <wp:positionH relativeFrom="column">
              <wp:posOffset>-7239</wp:posOffset>
            </wp:positionH>
            <wp:positionV relativeFrom="paragraph">
              <wp:posOffset>244307</wp:posOffset>
            </wp:positionV>
            <wp:extent cx="5401310" cy="3602990"/>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14:sizeRelH relativeFrom="page">
              <wp14:pctWidth>0</wp14:pctWidth>
            </wp14:sizeRelH>
            <wp14:sizeRelV relativeFrom="page">
              <wp14:pctHeight>0</wp14:pctHeight>
            </wp14:sizeRelV>
          </wp:anchor>
        </w:drawing>
      </w:r>
      <w:r w:rsidR="00304BC8">
        <w:t>Figure 2.</w:t>
      </w:r>
      <w:r w:rsidR="00303E10">
        <w:t>19</w:t>
      </w:r>
      <w:r w:rsidR="00304BC8">
        <w:t xml:space="preserve">.1: Nominal spending on </w:t>
      </w:r>
      <w:r w:rsidR="00EC192E">
        <w:t>public debt interest</w:t>
      </w:r>
      <w:r w:rsidR="00EF14A2">
        <w:t xml:space="preserve"> </w:t>
      </w:r>
      <w:r w:rsidR="00821839">
        <w:t>and annual real growth</w:t>
      </w:r>
    </w:p>
    <w:tbl>
      <w:tblPr>
        <w:tblW w:w="6900" w:type="dxa"/>
        <w:jc w:val="center"/>
        <w:tblLook w:val="04A0" w:firstRow="1" w:lastRow="0" w:firstColumn="1" w:lastColumn="0" w:noHBand="0" w:noVBand="1"/>
      </w:tblPr>
      <w:tblGrid>
        <w:gridCol w:w="4780"/>
        <w:gridCol w:w="983"/>
        <w:gridCol w:w="1137"/>
      </w:tblGrid>
      <w:tr w:rsidR="000D6DCE" w:rsidRPr="000D6DCE" w:rsidTr="000D6DCE">
        <w:trPr>
          <w:trHeight w:hRule="exact" w:val="1793"/>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Year</w:t>
            </w:r>
          </w:p>
        </w:tc>
        <w:tc>
          <w:tcPr>
            <w:tcW w:w="983" w:type="dxa"/>
            <w:shd w:val="clear" w:color="auto" w:fill="auto"/>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Nominal dollars</w:t>
            </w:r>
          </w:p>
        </w:tc>
        <w:tc>
          <w:tcPr>
            <w:tcW w:w="1137" w:type="dxa"/>
            <w:shd w:val="clear" w:color="auto" w:fill="auto"/>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Annual real growth</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2002-03</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5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 </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2003-04</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4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-15.6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2004-05</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4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-5.3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2005-06</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4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-9.4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2006-07</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4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-3.8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2007-08</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4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-4.5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2008-09</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4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8.0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2009-10</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6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56.1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2010-11</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9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42.7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2011-12</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11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20.4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2012-13</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13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7.2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2013-14</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13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4.6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2014-15</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15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7.0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2015-16</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16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7.0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2016-17</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17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3.8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2017-18</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18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1.6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2018-19</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19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5.7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2019-20</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20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0.1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2020-21</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20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-3.1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2021-22</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19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-5.2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2022-23</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19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-1.7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2023-24</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19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-5.5 per cent</w:t>
            </w:r>
          </w:p>
        </w:tc>
      </w:tr>
      <w:tr w:rsidR="000D6DCE" w:rsidRPr="000D6DCE" w:rsidTr="000D6DCE">
        <w:trPr>
          <w:trHeight w:hRule="exact" w:val="170"/>
          <w:jc w:val="center"/>
        </w:trPr>
        <w:tc>
          <w:tcPr>
            <w:tcW w:w="4780" w:type="dxa"/>
            <w:shd w:val="clear" w:color="auto" w:fill="auto"/>
            <w:noWrap/>
            <w:vAlign w:val="center"/>
            <w:hideMark/>
          </w:tcPr>
          <w:p w:rsidR="000D6DCE" w:rsidRPr="000D6DCE" w:rsidRDefault="000D6DCE" w:rsidP="000D6DCE">
            <w:pPr>
              <w:spacing w:before="0" w:after="0"/>
              <w:jc w:val="center"/>
              <w:rPr>
                <w:rFonts w:eastAsia="Times New Roman"/>
                <w:b/>
                <w:bCs/>
                <w:color w:val="FFFFFF" w:themeColor="background1"/>
              </w:rPr>
            </w:pPr>
            <w:r w:rsidRPr="000D6DCE">
              <w:rPr>
                <w:rFonts w:eastAsia="Times New Roman"/>
                <w:b/>
                <w:bCs/>
                <w:color w:val="FFFFFF" w:themeColor="background1"/>
              </w:rPr>
              <w:t>2024-25</w:t>
            </w:r>
          </w:p>
        </w:tc>
        <w:tc>
          <w:tcPr>
            <w:tcW w:w="983"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18 billion</w:t>
            </w:r>
          </w:p>
        </w:tc>
        <w:tc>
          <w:tcPr>
            <w:tcW w:w="1137" w:type="dxa"/>
            <w:shd w:val="clear" w:color="auto" w:fill="auto"/>
            <w:noWrap/>
            <w:vAlign w:val="bottom"/>
            <w:hideMark/>
          </w:tcPr>
          <w:p w:rsidR="000D6DCE" w:rsidRPr="000D6DCE" w:rsidRDefault="000D6DCE" w:rsidP="000D6DCE">
            <w:pPr>
              <w:spacing w:before="0" w:after="0"/>
              <w:rPr>
                <w:rFonts w:eastAsia="Times New Roman"/>
                <w:color w:val="FFFFFF" w:themeColor="background1"/>
              </w:rPr>
            </w:pPr>
            <w:r w:rsidRPr="000D6DCE">
              <w:rPr>
                <w:rFonts w:eastAsia="Times New Roman"/>
                <w:color w:val="FFFFFF" w:themeColor="background1"/>
              </w:rPr>
              <w:t>-7.4 per cent</w:t>
            </w:r>
          </w:p>
        </w:tc>
      </w:tr>
    </w:tbl>
    <w:p w:rsidR="007929C8" w:rsidRPr="003E40E4" w:rsidRDefault="00304BC8" w:rsidP="000D6DCE">
      <w:pPr>
        <w:pStyle w:val="PBOfiguretableheading"/>
        <w:spacing w:before="0"/>
        <w:rPr>
          <w:rStyle w:val="PBOsourceChar"/>
          <w:b w:val="0"/>
          <w:i w:val="0"/>
          <w:color w:val="auto"/>
          <w:lang w:eastAsia="en-AU"/>
        </w:rPr>
      </w:pPr>
      <w:r w:rsidRPr="003E40E4">
        <w:rPr>
          <w:rStyle w:val="PBOsourceChar"/>
          <w:b w:val="0"/>
          <w:i w:val="0"/>
          <w:color w:val="auto"/>
          <w:lang w:eastAsia="en-AU"/>
        </w:rPr>
        <w:t>Source: Australian Government Budgets and PBO Analysis</w:t>
      </w:r>
      <w:r w:rsidR="004C0F0A" w:rsidRPr="003E40E4">
        <w:rPr>
          <w:rStyle w:val="PBOsourceChar"/>
        </w:rPr>
        <w:br w:type="page"/>
      </w:r>
    </w:p>
    <w:p w:rsidR="008B6893" w:rsidRDefault="008642F9" w:rsidP="0033546E">
      <w:pPr>
        <w:pStyle w:val="PBOheading2"/>
        <w:numPr>
          <w:ilvl w:val="1"/>
          <w:numId w:val="31"/>
        </w:numPr>
      </w:pPr>
      <w:bookmarkStart w:id="78" w:name="_Toc396382653"/>
      <w:r>
        <w:t>O</w:t>
      </w:r>
      <w:r w:rsidR="008B6893">
        <w:t>fficial Development Assistance</w:t>
      </w:r>
      <w:bookmarkEnd w:id="78"/>
    </w:p>
    <w:p w:rsidR="00303E10" w:rsidRPr="005E2085" w:rsidRDefault="00303E10" w:rsidP="00303E10">
      <w:pPr>
        <w:pStyle w:val="PBOtext"/>
      </w:pPr>
      <w:r w:rsidRPr="005E2085">
        <w:t>Following historical annual real growth of 8.0 per cent, spending on Official Development Assistance or foreign aid is projected to contract by 0.8 per cent in real terms annually over the medium term. Official Development Assistance is not projected to account for any of the real growth in total spending over the medium term and is projected to account for 1 per cent of total spending in 2024</w:t>
      </w:r>
      <w:r w:rsidRPr="005E2085">
        <w:noBreakHyphen/>
        <w:t>25.</w:t>
      </w:r>
    </w:p>
    <w:p w:rsidR="00303E10" w:rsidRPr="005E2085" w:rsidRDefault="00303E10" w:rsidP="00303E10">
      <w:pPr>
        <w:pStyle w:val="PBOtext"/>
      </w:pPr>
      <w:r w:rsidRPr="005E2085">
        <w:t>Growth over the medium term reflects the 2014</w:t>
      </w:r>
      <w:r w:rsidRPr="005E2085">
        <w:noBreakHyphen/>
        <w:t>15 Budget commitment to freeze foreign aid spending until 2016-17, and index it to movements in the CPI from 2016-17</w:t>
      </w:r>
      <w:r w:rsidR="00C259FE">
        <w:t xml:space="preserve"> rather than increasing toward the former</w:t>
      </w:r>
      <w:r w:rsidRPr="005E2085">
        <w:t xml:space="preserve"> foreign aid spending target of 0.5 per cent of Gross National Income.</w:t>
      </w:r>
    </w:p>
    <w:p w:rsidR="008B6893" w:rsidRDefault="00764D87" w:rsidP="00E26C67">
      <w:pPr>
        <w:pStyle w:val="PBOfiguretableheading"/>
      </w:pPr>
      <w:r>
        <w:rPr>
          <w:noProof/>
          <w:lang w:eastAsia="en-AU"/>
        </w:rPr>
        <w:drawing>
          <wp:anchor distT="0" distB="0" distL="114300" distR="114300" simplePos="0" relativeHeight="251761664" behindDoc="0" locked="0" layoutInCell="1" allowOverlap="1" wp14:anchorId="44ECFB1C" wp14:editId="526A3A30">
            <wp:simplePos x="0" y="0"/>
            <wp:positionH relativeFrom="column">
              <wp:posOffset>3810</wp:posOffset>
            </wp:positionH>
            <wp:positionV relativeFrom="paragraph">
              <wp:posOffset>277495</wp:posOffset>
            </wp:positionV>
            <wp:extent cx="5401310" cy="3602990"/>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14:sizeRelH relativeFrom="page">
              <wp14:pctWidth>0</wp14:pctWidth>
            </wp14:sizeRelH>
            <wp14:sizeRelV relativeFrom="page">
              <wp14:pctHeight>0</wp14:pctHeight>
            </wp14:sizeRelV>
          </wp:anchor>
        </w:drawing>
      </w:r>
      <w:r w:rsidR="0077350F">
        <w:t>Figure 2.2</w:t>
      </w:r>
      <w:r w:rsidR="00303E10">
        <w:t>0</w:t>
      </w:r>
      <w:r w:rsidR="008B6893">
        <w:t xml:space="preserve">.1: Nominal spending on Official Development Assistance </w:t>
      </w:r>
      <w:r w:rsidR="00821839">
        <w:t>and annual real growth</w:t>
      </w:r>
    </w:p>
    <w:tbl>
      <w:tblPr>
        <w:tblW w:w="6900" w:type="dxa"/>
        <w:jc w:val="center"/>
        <w:tblInd w:w="103" w:type="dxa"/>
        <w:tblLook w:val="04A0" w:firstRow="1" w:lastRow="0" w:firstColumn="1" w:lastColumn="0" w:noHBand="0" w:noVBand="1"/>
      </w:tblPr>
      <w:tblGrid>
        <w:gridCol w:w="4780"/>
        <w:gridCol w:w="1044"/>
        <w:gridCol w:w="1076"/>
      </w:tblGrid>
      <w:tr w:rsidR="00504BD5" w:rsidRPr="00504BD5" w:rsidTr="00504BD5">
        <w:trPr>
          <w:trHeight w:hRule="exact" w:val="162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Year</w:t>
            </w:r>
          </w:p>
        </w:tc>
        <w:tc>
          <w:tcPr>
            <w:tcW w:w="1044" w:type="dxa"/>
            <w:shd w:val="clear" w:color="auto" w:fill="auto"/>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Nominal dollars</w:t>
            </w:r>
          </w:p>
        </w:tc>
        <w:tc>
          <w:tcPr>
            <w:tcW w:w="1076" w:type="dxa"/>
            <w:shd w:val="clear" w:color="auto" w:fill="auto"/>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Annual real growth</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2002-03</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2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 </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2003-04</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2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8.6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2004-05</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2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8.9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2005-06</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3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13.7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2006-07</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3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10.0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2007-08</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3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2.6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2008-09</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4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15.9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2009-10</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4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-1.5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2010-11</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4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10.7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2011-12</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5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9.0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2012-13</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5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3.5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2013-14</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5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-4.9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2014-15</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5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-2.2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2015-16</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5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-2.4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2016-17</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5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0.0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2017-18</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5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0.0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2018-19</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5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0.0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2019-20</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6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0.0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2020-21</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6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0.0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2021-22</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6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0.0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2022-23</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6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0.0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2023-24</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6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0.0 per cent</w:t>
            </w:r>
          </w:p>
        </w:tc>
      </w:tr>
      <w:tr w:rsidR="00504BD5" w:rsidRPr="00504BD5" w:rsidTr="00504BD5">
        <w:trPr>
          <w:trHeight w:hRule="exact" w:val="170"/>
          <w:jc w:val="center"/>
        </w:trPr>
        <w:tc>
          <w:tcPr>
            <w:tcW w:w="4780" w:type="dxa"/>
            <w:shd w:val="clear" w:color="auto" w:fill="auto"/>
            <w:noWrap/>
            <w:vAlign w:val="center"/>
            <w:hideMark/>
          </w:tcPr>
          <w:p w:rsidR="00504BD5" w:rsidRPr="00504BD5" w:rsidRDefault="00504BD5" w:rsidP="00504BD5">
            <w:pPr>
              <w:spacing w:before="0" w:after="0"/>
              <w:jc w:val="center"/>
              <w:rPr>
                <w:rFonts w:eastAsia="Times New Roman"/>
                <w:b/>
                <w:bCs/>
                <w:color w:val="FFFFFF" w:themeColor="background1"/>
              </w:rPr>
            </w:pPr>
            <w:r w:rsidRPr="00504BD5">
              <w:rPr>
                <w:rFonts w:eastAsia="Times New Roman"/>
                <w:b/>
                <w:bCs/>
                <w:color w:val="FFFFFF" w:themeColor="background1"/>
              </w:rPr>
              <w:t>2024-25</w:t>
            </w:r>
          </w:p>
        </w:tc>
        <w:tc>
          <w:tcPr>
            <w:tcW w:w="1044"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6 billion</w:t>
            </w:r>
          </w:p>
        </w:tc>
        <w:tc>
          <w:tcPr>
            <w:tcW w:w="1076" w:type="dxa"/>
            <w:shd w:val="clear" w:color="auto" w:fill="auto"/>
            <w:noWrap/>
            <w:vAlign w:val="bottom"/>
            <w:hideMark/>
          </w:tcPr>
          <w:p w:rsidR="00504BD5" w:rsidRPr="00504BD5" w:rsidRDefault="00504BD5" w:rsidP="00504BD5">
            <w:pPr>
              <w:spacing w:before="0" w:after="0"/>
              <w:rPr>
                <w:rFonts w:eastAsia="Times New Roman"/>
                <w:color w:val="FFFFFF" w:themeColor="background1"/>
              </w:rPr>
            </w:pPr>
            <w:r w:rsidRPr="00504BD5">
              <w:rPr>
                <w:rFonts w:eastAsia="Times New Roman"/>
                <w:color w:val="FFFFFF" w:themeColor="background1"/>
              </w:rPr>
              <w:t>0.0 per cent</w:t>
            </w:r>
          </w:p>
        </w:tc>
      </w:tr>
    </w:tbl>
    <w:p w:rsidR="00CE15BA" w:rsidRPr="00BB141B" w:rsidRDefault="008B6893" w:rsidP="00891443">
      <w:pPr>
        <w:pStyle w:val="PBOsource"/>
      </w:pPr>
      <w:r>
        <w:t>Source: Australian Government Budgets and PBO Analysis</w:t>
      </w:r>
      <w:r w:rsidR="00BB141B">
        <w:br w:type="page"/>
      </w:r>
    </w:p>
    <w:p w:rsidR="00BB141B" w:rsidRDefault="00BB141B" w:rsidP="0033546E">
      <w:pPr>
        <w:pStyle w:val="PBOheading2"/>
        <w:numPr>
          <w:ilvl w:val="1"/>
          <w:numId w:val="31"/>
        </w:numPr>
      </w:pPr>
      <w:bookmarkStart w:id="79" w:name="_Toc396382654"/>
      <w:r>
        <w:t>Pharmaceutical Benefits and Services</w:t>
      </w:r>
      <w:bookmarkEnd w:id="79"/>
    </w:p>
    <w:p w:rsidR="00303E10" w:rsidRDefault="00303E10" w:rsidP="00303E10">
      <w:pPr>
        <w:pStyle w:val="PBOtext"/>
      </w:pPr>
      <w:r>
        <w:t xml:space="preserve">Growth in spending on </w:t>
      </w:r>
      <w:r>
        <w:rPr>
          <w:lang w:eastAsia="en-US"/>
        </w:rPr>
        <w:t>Pharmaceutical Benefits and Services (PBS)</w:t>
      </w:r>
      <w:r>
        <w:t xml:space="preserve"> is projected to slow from its historical real growth of 2.4 per cent annually to 0.3 per cent annually over the medium term.</w:t>
      </w:r>
      <w:r w:rsidRPr="0032583B">
        <w:t xml:space="preserve"> </w:t>
      </w:r>
      <w:r>
        <w:t xml:space="preserve">The PBS </w:t>
      </w:r>
      <w:r w:rsidR="00C259FE">
        <w:t>is</w:t>
      </w:r>
      <w:r>
        <w:t xml:space="preserve"> projected</w:t>
      </w:r>
      <w:r w:rsidRPr="00A97B46">
        <w:t xml:space="preserve"> to </w:t>
      </w:r>
      <w:r>
        <w:t xml:space="preserve">account for </w:t>
      </w:r>
      <w:r w:rsidR="00C259FE">
        <w:t xml:space="preserve">a negligible share </w:t>
      </w:r>
      <w:r>
        <w:t xml:space="preserve">of the </w:t>
      </w:r>
      <w:r w:rsidRPr="0078196F">
        <w:t>growth in total spe</w:t>
      </w:r>
      <w:r>
        <w:t>nding over the medium term and is projected to account for 2 </w:t>
      </w:r>
      <w:r w:rsidRPr="0078196F">
        <w:t>per</w:t>
      </w:r>
      <w:r>
        <w:t> </w:t>
      </w:r>
      <w:r w:rsidRPr="0078196F">
        <w:t>cent of total spendin</w:t>
      </w:r>
      <w:r>
        <w:t>g in 2024-25</w:t>
      </w:r>
      <w:r w:rsidRPr="0078196F">
        <w:t>.</w:t>
      </w:r>
    </w:p>
    <w:p w:rsidR="00303E10" w:rsidRDefault="00303E10" w:rsidP="00303E10">
      <w:pPr>
        <w:pStyle w:val="PBOtext"/>
      </w:pPr>
      <w:r w:rsidRPr="00595E4D">
        <w:t>Slower growth over the medium term largely reflects 2014</w:t>
      </w:r>
      <w:r w:rsidRPr="00595E4D">
        <w:noBreakHyphen/>
        <w:t>15 Budget measures to decrease PBS rebates by $5, increase safety net thresholds and pause indexation of some subsidies.</w:t>
      </w:r>
      <w:r>
        <w:t xml:space="preserve"> </w:t>
      </w:r>
    </w:p>
    <w:p w:rsidR="00BB141B" w:rsidRDefault="00CC2268" w:rsidP="00BB141B">
      <w:pPr>
        <w:pStyle w:val="PBOfiguretableheading"/>
      </w:pPr>
      <w:r>
        <w:rPr>
          <w:noProof/>
          <w:lang w:eastAsia="en-AU"/>
        </w:rPr>
        <w:drawing>
          <wp:anchor distT="0" distB="0" distL="114300" distR="114300" simplePos="0" relativeHeight="251755520" behindDoc="0" locked="0" layoutInCell="1" allowOverlap="1" wp14:anchorId="5047152F" wp14:editId="52048C6E">
            <wp:simplePos x="0" y="0"/>
            <wp:positionH relativeFrom="column">
              <wp:posOffset>11436</wp:posOffset>
            </wp:positionH>
            <wp:positionV relativeFrom="paragraph">
              <wp:posOffset>247015</wp:posOffset>
            </wp:positionV>
            <wp:extent cx="5401310" cy="360299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14:sizeRelH relativeFrom="page">
              <wp14:pctWidth>0</wp14:pctWidth>
            </wp14:sizeRelH>
            <wp14:sizeRelV relativeFrom="page">
              <wp14:pctHeight>0</wp14:pctHeight>
            </wp14:sizeRelV>
          </wp:anchor>
        </w:drawing>
      </w:r>
      <w:r w:rsidR="00303E10">
        <w:t>Figure 2.21</w:t>
      </w:r>
      <w:r w:rsidR="00BB141B">
        <w:t>.1: Nominal spending on Pharmaceutical Benefits and Services and annual real growth</w:t>
      </w:r>
    </w:p>
    <w:tbl>
      <w:tblPr>
        <w:tblW w:w="7864" w:type="dxa"/>
        <w:jc w:val="center"/>
        <w:tblLayout w:type="fixed"/>
        <w:tblLook w:val="04A0" w:firstRow="1" w:lastRow="0" w:firstColumn="1" w:lastColumn="0" w:noHBand="0" w:noVBand="1"/>
      </w:tblPr>
      <w:tblGrid>
        <w:gridCol w:w="2355"/>
        <w:gridCol w:w="1836"/>
        <w:gridCol w:w="1836"/>
        <w:gridCol w:w="1837"/>
      </w:tblGrid>
      <w:tr w:rsidR="00CC2268" w:rsidRPr="00CC2268" w:rsidTr="00CC2268">
        <w:trPr>
          <w:trHeight w:hRule="exact" w:val="382"/>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Year</w:t>
            </w:r>
          </w:p>
        </w:tc>
        <w:tc>
          <w:tcPr>
            <w:tcW w:w="1836" w:type="dxa"/>
            <w:shd w:val="clear" w:color="auto" w:fill="auto"/>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Nominal dollars</w:t>
            </w:r>
          </w:p>
        </w:tc>
        <w:tc>
          <w:tcPr>
            <w:tcW w:w="1836" w:type="dxa"/>
            <w:shd w:val="clear" w:color="auto" w:fill="auto"/>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Nominal dollars without measures</w:t>
            </w:r>
          </w:p>
        </w:tc>
        <w:tc>
          <w:tcPr>
            <w:tcW w:w="1837" w:type="dxa"/>
            <w:shd w:val="clear" w:color="auto" w:fill="auto"/>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Annual real growth</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2002-03</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5.5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 </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2003-04</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6.1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8.3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2004-05</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6.5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4.1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2005-06</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6.6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-0.7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2006-07</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6.9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0.6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2007-08</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7.5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5.1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2008-09</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8.1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5.4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2009-10</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8.8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6.3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2010-11</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9.2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1.5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2011-12</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9.5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0.7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2012-13</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9.1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-6.8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2013-14</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9.7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 </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3.7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2014-15</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9.6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9.8 billion</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-2.4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2015-16</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9.8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10.1 billion</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-1.0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2016-17</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10.3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10.7 billion</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2.7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2017-18</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10.7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11.1 billion</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1.1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2018-19</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10.9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11.4 billion</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-0.1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2019-20</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11.2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11.7 billion</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-0.1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2020-21</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11.4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12.0 billion</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-0.1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2021-22</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11.7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12.2 billion</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0.0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2022-23</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12.0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12.5 billion</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-0.1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2023-24</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12.3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12.8 billion</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-0.1 per cent</w:t>
            </w:r>
          </w:p>
        </w:tc>
      </w:tr>
      <w:tr w:rsidR="00CC2268" w:rsidRPr="00CC2268" w:rsidTr="00CC2268">
        <w:trPr>
          <w:trHeight w:hRule="exact" w:val="227"/>
          <w:jc w:val="center"/>
        </w:trPr>
        <w:tc>
          <w:tcPr>
            <w:tcW w:w="2355" w:type="dxa"/>
            <w:shd w:val="clear" w:color="auto" w:fill="auto"/>
            <w:noWrap/>
            <w:vAlign w:val="center"/>
            <w:hideMark/>
          </w:tcPr>
          <w:p w:rsidR="00DC4577" w:rsidRPr="00CC2268" w:rsidRDefault="00DC4577" w:rsidP="00DC4577">
            <w:pPr>
              <w:spacing w:before="0" w:after="0"/>
              <w:jc w:val="center"/>
              <w:rPr>
                <w:rFonts w:ascii="Arial" w:eastAsia="Times New Roman" w:hAnsi="Arial" w:cs="Arial"/>
                <w:b/>
                <w:bCs/>
                <w:color w:val="FFFFFF" w:themeColor="background1"/>
                <w:sz w:val="16"/>
                <w:szCs w:val="16"/>
              </w:rPr>
            </w:pPr>
            <w:r w:rsidRPr="00CC2268">
              <w:rPr>
                <w:rFonts w:ascii="Arial" w:eastAsia="Times New Roman" w:hAnsi="Arial" w:cs="Arial"/>
                <w:b/>
                <w:bCs/>
                <w:color w:val="FFFFFF" w:themeColor="background1"/>
                <w:sz w:val="16"/>
                <w:szCs w:val="16"/>
              </w:rPr>
              <w:t>2024-25</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12.6 billion</w:t>
            </w:r>
          </w:p>
        </w:tc>
        <w:tc>
          <w:tcPr>
            <w:tcW w:w="1836"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13.2 billion</w:t>
            </w:r>
          </w:p>
        </w:tc>
        <w:tc>
          <w:tcPr>
            <w:tcW w:w="1837" w:type="dxa"/>
            <w:shd w:val="clear" w:color="auto" w:fill="auto"/>
            <w:noWrap/>
            <w:vAlign w:val="bottom"/>
            <w:hideMark/>
          </w:tcPr>
          <w:p w:rsidR="00DC4577" w:rsidRPr="00CC2268" w:rsidRDefault="00DC4577" w:rsidP="00DC4577">
            <w:pPr>
              <w:spacing w:before="0" w:after="0"/>
              <w:rPr>
                <w:rFonts w:ascii="Arial" w:eastAsia="Times New Roman" w:hAnsi="Arial" w:cs="Arial"/>
                <w:color w:val="FFFFFF" w:themeColor="background1"/>
                <w:sz w:val="16"/>
                <w:szCs w:val="16"/>
              </w:rPr>
            </w:pPr>
            <w:r w:rsidRPr="00CC2268">
              <w:rPr>
                <w:rFonts w:ascii="Arial" w:eastAsia="Times New Roman" w:hAnsi="Arial" w:cs="Arial"/>
                <w:color w:val="FFFFFF" w:themeColor="background1"/>
                <w:sz w:val="16"/>
                <w:szCs w:val="16"/>
              </w:rPr>
              <w:t>-0.1 per cent</w:t>
            </w:r>
          </w:p>
        </w:tc>
      </w:tr>
    </w:tbl>
    <w:p w:rsidR="00BB141B" w:rsidRDefault="00BB141B" w:rsidP="00891443">
      <w:pPr>
        <w:pStyle w:val="PBOsource"/>
      </w:pPr>
      <w:r>
        <w:t>Source: Australian Government Budgets and PBO Analysis</w:t>
      </w:r>
    </w:p>
    <w:p w:rsidR="00BB141B" w:rsidRPr="00CC36EC" w:rsidRDefault="00303E10" w:rsidP="00BB141B">
      <w:pPr>
        <w:pStyle w:val="PBOtext"/>
      </w:pPr>
      <w:r>
        <w:t>Figure 2.21</w:t>
      </w:r>
      <w:r w:rsidRPr="00B14A66">
        <w:t>.1 shows projected spending on the PBS, with and without the impact of the 2014</w:t>
      </w:r>
      <w:r w:rsidRPr="00B14A66">
        <w:noBreakHyphen/>
        <w:t xml:space="preserve">15 Budget measures which are yet to be legislated. In 2024-25 </w:t>
      </w:r>
      <w:r>
        <w:t>savings measures relating to the PBS</w:t>
      </w:r>
      <w:r w:rsidRPr="00B14A66">
        <w:t xml:space="preserve"> are pr</w:t>
      </w:r>
      <w:r>
        <w:t>ojected to reduce spending by $0.5</w:t>
      </w:r>
      <w:r w:rsidRPr="00B14A66">
        <w:t xml:space="preserve"> billion</w:t>
      </w:r>
      <w:r w:rsidR="00BB141B" w:rsidRPr="00B14A66">
        <w:t>.</w:t>
      </w:r>
    </w:p>
    <w:p w:rsidR="00CE15BA" w:rsidRDefault="00CE15BA" w:rsidP="00891443">
      <w:pPr>
        <w:pStyle w:val="PBOsource"/>
        <w:sectPr w:rsidR="00CE15BA" w:rsidSect="00837920">
          <w:footerReference w:type="first" r:id="rId62"/>
          <w:pgSz w:w="11900" w:h="16840"/>
          <w:pgMar w:top="1440" w:right="1797" w:bottom="1440" w:left="1843" w:header="709" w:footer="709" w:gutter="0"/>
          <w:cols w:space="708"/>
          <w:titlePg/>
          <w:docGrid w:linePitch="326"/>
        </w:sectPr>
      </w:pPr>
    </w:p>
    <w:p w:rsidR="001D5FCE" w:rsidRDefault="00CE15BA" w:rsidP="009C4E9F">
      <w:pPr>
        <w:pStyle w:val="PBOheading1"/>
        <w:numPr>
          <w:ilvl w:val="0"/>
          <w:numId w:val="36"/>
        </w:numPr>
        <w:ind w:left="720" w:hanging="720"/>
      </w:pPr>
      <w:bookmarkStart w:id="80" w:name="_Toc396382655"/>
      <w:r>
        <w:t>Technical notes</w:t>
      </w:r>
      <w:bookmarkEnd w:id="80"/>
    </w:p>
    <w:p w:rsidR="001D5FCE" w:rsidRDefault="00C259FE" w:rsidP="00B216F2">
      <w:pPr>
        <w:pStyle w:val="PBOheading2"/>
      </w:pPr>
      <w:bookmarkStart w:id="81" w:name="_Toc396377831"/>
      <w:bookmarkStart w:id="82" w:name="_Toc396382656"/>
      <w:r>
        <w:rPr>
          <w:rFonts w:eastAsiaTheme="minorHAnsi"/>
        </w:rPr>
        <w:t>Real g</w:t>
      </w:r>
      <w:r w:rsidR="001D5FCE" w:rsidRPr="008A4F59">
        <w:rPr>
          <w:rFonts w:eastAsiaTheme="minorHAnsi"/>
        </w:rPr>
        <w:t>rowth rates versus proportion of GDP</w:t>
      </w:r>
      <w:bookmarkEnd w:id="81"/>
      <w:bookmarkEnd w:id="82"/>
    </w:p>
    <w:p w:rsidR="001D5FCE" w:rsidRDefault="001D5FCE" w:rsidP="001D5FCE">
      <w:pPr>
        <w:pStyle w:val="PBOtext"/>
      </w:pPr>
      <w:r w:rsidRPr="00493270">
        <w:t xml:space="preserve">As noted in </w:t>
      </w:r>
      <w:r>
        <w:t>Section 1</w:t>
      </w:r>
      <w:r w:rsidRPr="00493270">
        <w:t xml:space="preserve"> and in </w:t>
      </w:r>
      <w:hyperlink r:id="rId63" w:history="1">
        <w:r w:rsidRPr="00493270">
          <w:rPr>
            <w:i/>
          </w:rPr>
          <w:t>Australian Government spending—Part 1: Historical trends from 2002</w:t>
        </w:r>
        <w:r w:rsidRPr="00493270">
          <w:rPr>
            <w:i/>
          </w:rPr>
          <w:noBreakHyphen/>
          <w:t>03 to 2012</w:t>
        </w:r>
        <w:r>
          <w:rPr>
            <w:i/>
          </w:rPr>
          <w:noBreakHyphen/>
        </w:r>
        <w:r w:rsidRPr="00493270">
          <w:rPr>
            <w:i/>
          </w:rPr>
          <w:t>13</w:t>
        </w:r>
      </w:hyperlink>
      <w:r w:rsidRPr="00493270">
        <w:rPr>
          <w:i/>
        </w:rPr>
        <w:t xml:space="preserve"> (PBO 2013)</w:t>
      </w:r>
      <w:r w:rsidRPr="00493270">
        <w:t xml:space="preserve">, this report compares </w:t>
      </w:r>
      <w:r>
        <w:t>real growth in sp</w:t>
      </w:r>
      <w:r w:rsidR="00621DCD">
        <w:t>ending with real growth in GDP.</w:t>
      </w:r>
    </w:p>
    <w:p w:rsidR="001D5FCE" w:rsidRDefault="001D5FCE" w:rsidP="001D5FCE">
      <w:pPr>
        <w:pStyle w:val="PBOtext"/>
      </w:pPr>
      <w:r>
        <w:t xml:space="preserve">The large increase in the terms of trade from 2001-02 to 2011-12 significantly boosted nominal GDP. </w:t>
      </w:r>
      <w:r w:rsidR="00621DCD">
        <w:t xml:space="preserve"> </w:t>
      </w:r>
      <w:r>
        <w:t xml:space="preserve">This strong rise in the terms of trade is expected to be temporary. </w:t>
      </w:r>
      <w:r w:rsidR="00621DCD">
        <w:t xml:space="preserve"> </w:t>
      </w:r>
      <w:r>
        <w:t xml:space="preserve">It has declined from its peak and is projected to continue to decline over the medium term. </w:t>
      </w:r>
      <w:r w:rsidR="00621DCD">
        <w:t xml:space="preserve"> </w:t>
      </w:r>
      <w:r>
        <w:t>Therefore, examining spending as a ratio of nominal GDP over the period when the terms of trade rose strongly has the effect of masking underlying trends in spending.</w:t>
      </w:r>
    </w:p>
    <w:p w:rsidR="001D5FCE" w:rsidRDefault="001D5FCE" w:rsidP="001D5FCE">
      <w:pPr>
        <w:pStyle w:val="PBOtext"/>
      </w:pPr>
      <w:r>
        <w:t>Real spending has been deflated by the Consumer Price Index to 2012-13 dollars.</w:t>
      </w:r>
      <w:r w:rsidR="00621DCD">
        <w:t xml:space="preserve"> </w:t>
      </w:r>
      <w:r>
        <w:t xml:space="preserve"> This is the latest year for which actual spending data is available.</w:t>
      </w:r>
      <w:r w:rsidR="00621DCD">
        <w:t xml:space="preserve"> </w:t>
      </w:r>
      <w:r>
        <w:t xml:space="preserve"> </w:t>
      </w:r>
      <w:r w:rsidRPr="00493270">
        <w:t>Real government spending is compared with growth in real GDP to examine trends in spending over time.</w:t>
      </w:r>
    </w:p>
    <w:p w:rsidR="001D5FCE" w:rsidRDefault="001D5FCE" w:rsidP="001D5FCE">
      <w:pPr>
        <w:pStyle w:val="PBOtext"/>
      </w:pPr>
      <w:r>
        <w:t>The growth rates in Section 1 are compound annual average growth rates and cumulative contributions to growth.</w:t>
      </w:r>
    </w:p>
    <w:p w:rsidR="001D5FCE" w:rsidRDefault="001D5FCE" w:rsidP="001D5FCE">
      <w:pPr>
        <w:pStyle w:val="PBOtext"/>
      </w:pPr>
      <w:r>
        <w:t xml:space="preserve">The figures for each of the programs in Section 2 show annual real growth in spending to better illustrate year to year fluctuations in spending on each program. </w:t>
      </w:r>
      <w:r w:rsidR="00621DCD">
        <w:t xml:space="preserve"> </w:t>
      </w:r>
      <w:r>
        <w:t xml:space="preserve">These figures also show spending in nominal dollars given the public debate is often framed in these terms. </w:t>
      </w:r>
    </w:p>
    <w:p w:rsidR="001D5FCE" w:rsidRDefault="001D5FCE" w:rsidP="001D5FCE">
      <w:pPr>
        <w:pStyle w:val="PBOheading2"/>
      </w:pPr>
      <w:bookmarkStart w:id="83" w:name="_Toc396377832"/>
      <w:bookmarkStart w:id="84" w:name="_Toc396382657"/>
      <w:r w:rsidRPr="007E48E3">
        <w:t>Period of analysis</w:t>
      </w:r>
      <w:bookmarkEnd w:id="83"/>
      <w:bookmarkEnd w:id="84"/>
    </w:p>
    <w:p w:rsidR="001D5FCE" w:rsidRDefault="001D5FCE" w:rsidP="001D5FCE">
      <w:pPr>
        <w:pStyle w:val="PBOtext"/>
      </w:pPr>
      <w:r w:rsidRPr="007E48E3">
        <w:t>The period of analysis for this report is from 2002-03 to 2024-25.</w:t>
      </w:r>
    </w:p>
    <w:p w:rsidR="001D5FCE" w:rsidRDefault="001D5FCE" w:rsidP="001D5FCE">
      <w:pPr>
        <w:pStyle w:val="PBOtext"/>
      </w:pPr>
      <w:r>
        <w:t>T</w:t>
      </w:r>
      <w:r w:rsidRPr="007E48E3">
        <w:t>he ‘historical’ period of analysis commences in 2002-03 as there is greater data consistency from this year onwards and concludes in 2012-13, the last year for which actu</w:t>
      </w:r>
      <w:r w:rsidR="00621DCD">
        <w:t>al spending data is available.</w:t>
      </w:r>
    </w:p>
    <w:p w:rsidR="001D5FCE" w:rsidRPr="007E48E3" w:rsidRDefault="001D5FCE" w:rsidP="001D5FCE">
      <w:pPr>
        <w:pStyle w:val="PBOtext"/>
      </w:pPr>
      <w:r w:rsidRPr="007E48E3">
        <w:t>The ‘medium term’ analysis commences from the last year of the historical period and concludes in 2024</w:t>
      </w:r>
      <w:r w:rsidRPr="007E48E3">
        <w:noBreakHyphen/>
        <w:t>25</w:t>
      </w:r>
      <w:r w:rsidRPr="00E42E3F">
        <w:t xml:space="preserve"> </w:t>
      </w:r>
      <w:r w:rsidRPr="007E48E3">
        <w:t>which is the final year of the medium term projections period</w:t>
      </w:r>
      <w:r>
        <w:t xml:space="preserve"> published in the Budget Papers</w:t>
      </w:r>
      <w:r w:rsidRPr="007E48E3">
        <w:t>.</w:t>
      </w:r>
    </w:p>
    <w:p w:rsidR="001D5FCE" w:rsidRDefault="001D5FCE" w:rsidP="001D5FCE">
      <w:pPr>
        <w:pStyle w:val="PBOtext"/>
      </w:pPr>
      <w:r w:rsidRPr="00AD47CA">
        <w:t xml:space="preserve">Estimates of spending </w:t>
      </w:r>
      <w:r>
        <w:t xml:space="preserve">up to 2017-18 </w:t>
      </w:r>
      <w:r w:rsidRPr="00AD47CA">
        <w:t>are consistent with published 2014</w:t>
      </w:r>
      <w:r>
        <w:noBreakHyphen/>
      </w:r>
      <w:r w:rsidRPr="00AD47CA">
        <w:t>15</w:t>
      </w:r>
      <w:r>
        <w:t> </w:t>
      </w:r>
      <w:r w:rsidRPr="00AD47CA">
        <w:t>Budget figures</w:t>
      </w:r>
      <w:r>
        <w:t>.</w:t>
      </w:r>
    </w:p>
    <w:p w:rsidR="001D5FCE" w:rsidRDefault="001D5FCE" w:rsidP="001D5FCE">
      <w:pPr>
        <w:pStyle w:val="PBOtext"/>
      </w:pPr>
      <w:r>
        <w:t>Projected levels of spending on these programs beyond 2017</w:t>
      </w:r>
      <w:r>
        <w:noBreakHyphen/>
        <w:t>18 have been prepared by the PBO based on information provided by agencies and a range of models ba</w:t>
      </w:r>
      <w:r w:rsidR="00621DCD">
        <w:t>sed on current policy settings.</w:t>
      </w:r>
    </w:p>
    <w:p w:rsidR="001D5FCE" w:rsidRDefault="001D5FCE" w:rsidP="001D5FCE">
      <w:pPr>
        <w:pStyle w:val="PBOheading2"/>
      </w:pPr>
      <w:bookmarkStart w:id="85" w:name="_Toc396377833"/>
      <w:bookmarkStart w:id="86" w:name="_Toc396382658"/>
      <w:r w:rsidRPr="007E48E3">
        <w:t>Spending data</w:t>
      </w:r>
      <w:bookmarkEnd w:id="85"/>
      <w:bookmarkEnd w:id="86"/>
    </w:p>
    <w:p w:rsidR="001D5FCE" w:rsidRDefault="001D5FCE" w:rsidP="001D5FCE">
      <w:pPr>
        <w:pStyle w:val="PBOheading3"/>
      </w:pPr>
      <w:r>
        <w:t>Twenty-one major programs</w:t>
      </w:r>
    </w:p>
    <w:p w:rsidR="001D5FCE" w:rsidRDefault="001D5FCE" w:rsidP="001D5FCE">
      <w:pPr>
        <w:pStyle w:val="PBOtext"/>
      </w:pPr>
      <w:r w:rsidRPr="00AD47CA">
        <w:t xml:space="preserve">Rather than an exhaustive analysis of all the components of government spending, </w:t>
      </w:r>
      <w:r>
        <w:t xml:space="preserve">this report discusses twenty-one significant contributors to the growth in total </w:t>
      </w:r>
      <w:r w:rsidRPr="00AD47CA">
        <w:t>government spending</w:t>
      </w:r>
      <w:r>
        <w:t xml:space="preserve"> over the medium term.</w:t>
      </w:r>
    </w:p>
    <w:p w:rsidR="001D5FCE" w:rsidRDefault="003B385F" w:rsidP="001D5FCE">
      <w:pPr>
        <w:pStyle w:val="PBOtext"/>
      </w:pPr>
      <w:r>
        <w:t xml:space="preserve">Projections in this report are based on the Australian Government projection of total spending. </w:t>
      </w:r>
      <w:r w:rsidR="001D5FCE" w:rsidRPr="00511257">
        <w:t xml:space="preserve">Spending on other programs outside the twenty-one programs listed is not separately </w:t>
      </w:r>
      <w:r>
        <w:t>projected.</w:t>
      </w:r>
    </w:p>
    <w:p w:rsidR="001D5FCE" w:rsidRDefault="001D5FCE" w:rsidP="001D5FCE">
      <w:pPr>
        <w:pStyle w:val="PBOheading3"/>
      </w:pPr>
      <w:r>
        <w:t xml:space="preserve">Cash versus accruals </w:t>
      </w:r>
    </w:p>
    <w:p w:rsidR="001D5FCE" w:rsidRDefault="001D5FCE" w:rsidP="001D5FCE">
      <w:pPr>
        <w:pStyle w:val="PBOtext"/>
      </w:pPr>
      <w:r w:rsidRPr="0070764B">
        <w:t>Section 1 refers to total spending on a cash basis and is consistent with the projection of total payments to 2024</w:t>
      </w:r>
      <w:r w:rsidRPr="0070764B">
        <w:noBreakHyphen/>
        <w:t>25 in the 2014-15 Budget</w:t>
      </w:r>
      <w:r w:rsidR="00621DCD">
        <w:t xml:space="preserve"> papers.</w:t>
      </w:r>
    </w:p>
    <w:p w:rsidR="001D5FCE" w:rsidRDefault="001D5FCE" w:rsidP="001D5FCE">
      <w:pPr>
        <w:pStyle w:val="PBOtext"/>
      </w:pPr>
      <w:r w:rsidRPr="000D2B5C">
        <w:t>Section 2 refers to spending on an accrual basis as detailed information on programs is only available in accrual terms.</w:t>
      </w:r>
      <w:r>
        <w:t xml:space="preserve"> </w:t>
      </w:r>
      <w:r w:rsidR="00AF78D9">
        <w:t xml:space="preserve"> In most cases, over the medium term, the differences between cash and accrual aggregates will not be significant.</w:t>
      </w:r>
    </w:p>
    <w:p w:rsidR="001D5FCE" w:rsidRDefault="001D5FCE" w:rsidP="001D5FCE">
      <w:pPr>
        <w:pStyle w:val="PBOheading3"/>
      </w:pPr>
      <w:r>
        <w:t xml:space="preserve">Spending, expenses and net capital investment </w:t>
      </w:r>
    </w:p>
    <w:p w:rsidR="001D5FCE" w:rsidRDefault="001D5FCE" w:rsidP="001D5FCE">
      <w:pPr>
        <w:pStyle w:val="PBOtext"/>
      </w:pPr>
      <w:r>
        <w:t xml:space="preserve">Total government spending </w:t>
      </w:r>
      <w:r w:rsidR="003B385F">
        <w:t xml:space="preserve">on an accrual basis </w:t>
      </w:r>
      <w:r>
        <w:t>comprises expen</w:t>
      </w:r>
      <w:r w:rsidR="00621DCD">
        <w:t>ses and net capital investment.</w:t>
      </w:r>
    </w:p>
    <w:p w:rsidR="001D5FCE" w:rsidRDefault="001D5FCE" w:rsidP="001D5FCE">
      <w:pPr>
        <w:pStyle w:val="PBOtext"/>
      </w:pPr>
      <w:r>
        <w:t>The analysis of major programs in this report is based on expenses only.</w:t>
      </w:r>
      <w:r w:rsidR="00621DCD">
        <w:t xml:space="preserve"> </w:t>
      </w:r>
      <w:r>
        <w:t xml:space="preserve"> The exception to this is defence, which has the largest proportion of net capital investment of all government spending areas (largely reflecting the acquisition of specialist military equipment). </w:t>
      </w:r>
      <w:r w:rsidR="00621DCD">
        <w:t xml:space="preserve"> </w:t>
      </w:r>
      <w:r>
        <w:t xml:space="preserve">As such the analysis of total defence spending also includes </w:t>
      </w:r>
      <w:r w:rsidR="005A4697">
        <w:t xml:space="preserve">net </w:t>
      </w:r>
      <w:r>
        <w:t>capital investment.</w:t>
      </w:r>
    </w:p>
    <w:p w:rsidR="001D5FCE" w:rsidRDefault="001D5FCE" w:rsidP="001D5FCE">
      <w:pPr>
        <w:pStyle w:val="PBOheading3"/>
      </w:pPr>
      <w:r>
        <w:t>Associated revenue impacts</w:t>
      </w:r>
    </w:p>
    <w:p w:rsidR="001D5FCE" w:rsidRDefault="001D5FCE" w:rsidP="001D5FCE">
      <w:pPr>
        <w:pStyle w:val="PBOtext"/>
      </w:pPr>
      <w:r>
        <w:t xml:space="preserve">The tables and figures in the report only show the </w:t>
      </w:r>
      <w:r w:rsidRPr="00F95A0E">
        <w:t>spending</w:t>
      </w:r>
      <w:r>
        <w:t xml:space="preserve"> on particular programs – any associated re</w:t>
      </w:r>
      <w:r w:rsidR="00621DCD">
        <w:t>venue impacts are not included.</w:t>
      </w:r>
    </w:p>
    <w:p w:rsidR="001D5FCE" w:rsidRDefault="001D5FCE" w:rsidP="001D5FCE">
      <w:pPr>
        <w:pStyle w:val="PBOheading3"/>
      </w:pPr>
      <w:r w:rsidRPr="007E48E3">
        <w:t>Commonwealth own-purpose expenses and funding to States</w:t>
      </w:r>
    </w:p>
    <w:p w:rsidR="001D5FCE" w:rsidRDefault="00F813CC" w:rsidP="001D5FCE">
      <w:pPr>
        <w:pStyle w:val="PBOtext"/>
      </w:pPr>
      <w:r>
        <w:t>Program</w:t>
      </w:r>
      <w:r w:rsidR="001D5FCE">
        <w:t xml:space="preserve"> expenses discussed in this report reflect both direct Commonwealth spending on programs (own</w:t>
      </w:r>
      <w:r w:rsidR="001D5FCE">
        <w:noBreakHyphen/>
        <w:t>purpose expenses), and funding provided to States and Territories for programs.</w:t>
      </w:r>
      <w:r w:rsidR="00621DCD">
        <w:t xml:space="preserve"> </w:t>
      </w:r>
      <w:r w:rsidR="001D5FCE">
        <w:t xml:space="preserve"> For example, spending on public hospitals and schools largely comprise funding</w:t>
      </w:r>
      <w:r w:rsidR="00621DCD">
        <w:t xml:space="preserve"> to States for these purposes.</w:t>
      </w:r>
    </w:p>
    <w:p w:rsidR="001D5FCE" w:rsidRDefault="001D5FCE" w:rsidP="001D5FCE">
      <w:pPr>
        <w:pStyle w:val="PBOtext"/>
      </w:pPr>
      <w:r>
        <w:t>Spending on some programs comprises a mix of own-purpose expenses and funding to States.  Increased own</w:t>
      </w:r>
      <w:r>
        <w:noBreakHyphen/>
        <w:t>purpose spending in some areas discussed in this report may be partly offset by corresponding reductions in funding to States as the Commonwealth assumes a greater role as a direct funder of certain programs and services.  For example, increased Australian Government spending on aged care as the Commonwealth assumes a greater role in funding places is partly offset by reduced payments</w:t>
      </w:r>
      <w:r w:rsidR="00621DCD">
        <w:t xml:space="preserve"> to States for these services.</w:t>
      </w:r>
    </w:p>
    <w:p w:rsidR="001D5FCE" w:rsidRPr="00E42E3F" w:rsidRDefault="001D5FCE" w:rsidP="001D5FCE">
      <w:pPr>
        <w:pStyle w:val="PBOheading3"/>
      </w:pPr>
      <w:r>
        <w:t>Departmental and administered spending</w:t>
      </w:r>
    </w:p>
    <w:p w:rsidR="00306AB9" w:rsidRDefault="00306AB9" w:rsidP="00306AB9">
      <w:pPr>
        <w:pStyle w:val="PBOtext"/>
      </w:pPr>
      <w:r>
        <w:t>Spending projections for individual programs exclude departmental funding.  The exceptions to this are the NDIS and defence where departmental costs are integrally linked to the programs.</w:t>
      </w:r>
    </w:p>
    <w:p w:rsidR="001D5FCE" w:rsidRDefault="001D5FCE" w:rsidP="001D5FCE">
      <w:pPr>
        <w:pStyle w:val="PBOheading3"/>
      </w:pPr>
      <w:r>
        <w:t xml:space="preserve">GST </w:t>
      </w:r>
    </w:p>
    <w:p w:rsidR="00621DCD" w:rsidRPr="00621DCD" w:rsidRDefault="001D5FCE" w:rsidP="00621DCD">
      <w:pPr>
        <w:pStyle w:val="PBOtext"/>
      </w:pPr>
      <w:r w:rsidRPr="00621DCD">
        <w:t>Medium-term growth in GST transfers to the States is driven by the continuation of the assumption in the 2014-15 Budget of a projected increase in growth in the consumption of goods and services subject to the tax.</w:t>
      </w:r>
      <w:r w:rsidR="00621DCD" w:rsidRPr="00621DCD">
        <w:br w:type="page"/>
      </w:r>
    </w:p>
    <w:p w:rsidR="001D5FCE" w:rsidRDefault="001D5FCE" w:rsidP="001D5FCE">
      <w:pPr>
        <w:pStyle w:val="PBOheading3"/>
      </w:pPr>
      <w:r>
        <w:t xml:space="preserve">National Disability Insurance Scheme </w:t>
      </w:r>
    </w:p>
    <w:p w:rsidR="001D5FCE" w:rsidRDefault="001D5FCE" w:rsidP="001D5FCE">
      <w:pPr>
        <w:pStyle w:val="PBOtext"/>
      </w:pPr>
      <w:r>
        <w:t>Spending on the NDIS includes</w:t>
      </w:r>
      <w:r w:rsidRPr="0019598B">
        <w:t xml:space="preserve"> State contributions (which make up over 50 per cent of the total spending on the scheme in 2017-18) and funding provided through the existing National Disability Agreement.</w:t>
      </w:r>
    </w:p>
    <w:p w:rsidR="001D5FCE" w:rsidRDefault="001D5FCE" w:rsidP="001D5FCE">
      <w:pPr>
        <w:pStyle w:val="PBOtext"/>
      </w:pPr>
      <w:r>
        <w:t>Spending on the NDIS includes departmental costs as they are integrally linked to the establishment of the scheme.</w:t>
      </w:r>
    </w:p>
    <w:p w:rsidR="008C15DA" w:rsidRDefault="008C15DA" w:rsidP="008C15DA">
      <w:pPr>
        <w:pStyle w:val="PBOheading3"/>
      </w:pPr>
      <w:r>
        <w:t>Defence</w:t>
      </w:r>
    </w:p>
    <w:p w:rsidR="008C15DA" w:rsidRDefault="008C15DA" w:rsidP="008C15DA">
      <w:pPr>
        <w:pStyle w:val="PBOtext"/>
        <w:rPr>
          <w:rFonts w:ascii="Times New Roman" w:hAnsi="Times New Roman"/>
        </w:rPr>
      </w:pPr>
      <w:r>
        <w:t>Spending growth in the medium term has been projected by the PBO reflecting the long term funding commitments made in the 2009 Defence White Paper as amended by deferral decisions, and adjustments made in the 2014-15 Budget to smooth the funding profile over the medium term.</w:t>
      </w:r>
    </w:p>
    <w:p w:rsidR="00153ACB" w:rsidRDefault="00153ACB" w:rsidP="00153ACB">
      <w:pPr>
        <w:pStyle w:val="PBOheading2"/>
      </w:pPr>
      <w:bookmarkStart w:id="87" w:name="_Toc396377834"/>
      <w:bookmarkStart w:id="88" w:name="_Toc396382659"/>
      <w:r>
        <w:t>Impact of measures yet to be legislated</w:t>
      </w:r>
      <w:bookmarkEnd w:id="87"/>
      <w:bookmarkEnd w:id="88"/>
    </w:p>
    <w:p w:rsidR="00153ACB" w:rsidRDefault="00153ACB" w:rsidP="00153ACB">
      <w:pPr>
        <w:pStyle w:val="PBOtext"/>
      </w:pPr>
      <w:r>
        <w:t xml:space="preserve">2014-15 Budget savings measures that require legislation </w:t>
      </w:r>
      <w:r w:rsidR="00D557C8">
        <w:t>which have</w:t>
      </w:r>
      <w:r w:rsidR="0008361F">
        <w:t xml:space="preserve"> not yet been passed </w:t>
      </w:r>
      <w:r>
        <w:t xml:space="preserve">affect eleven of the programs discussed in this report.  This includes </w:t>
      </w:r>
      <w:r w:rsidRPr="002B09D1">
        <w:t xml:space="preserve">those measures currently before Parliament and those </w:t>
      </w:r>
      <w:r>
        <w:t xml:space="preserve">still </w:t>
      </w:r>
      <w:r w:rsidRPr="002B09D1">
        <w:t>to be introduced into the Parliament.</w:t>
      </w:r>
    </w:p>
    <w:p w:rsidR="00153ACB" w:rsidRDefault="00153ACB" w:rsidP="00153ACB">
      <w:pPr>
        <w:pStyle w:val="PBOtext"/>
      </w:pPr>
      <w:r>
        <w:t xml:space="preserve">The impact on government spending of the measures yet to be legislated is detailed at </w:t>
      </w:r>
      <w:hyperlink w:anchor="AttachmentB" w:history="1">
        <w:r w:rsidRPr="00621DCD">
          <w:rPr>
            <w:rStyle w:val="Hyperlink"/>
            <w:b/>
            <w:bCs/>
          </w:rPr>
          <w:t>Attachment B</w:t>
        </w:r>
      </w:hyperlink>
      <w:r>
        <w:t>.</w:t>
      </w:r>
    </w:p>
    <w:p w:rsidR="00153ACB" w:rsidRDefault="00153ACB" w:rsidP="00153ACB">
      <w:pPr>
        <w:pStyle w:val="PBOtext"/>
      </w:pPr>
      <w:r w:rsidRPr="00CA4DA0">
        <w:t>Commitments relating to f</w:t>
      </w:r>
      <w:r>
        <w:t xml:space="preserve">unding arrangements with </w:t>
      </w:r>
      <w:r w:rsidRPr="00CA4DA0">
        <w:t>States</w:t>
      </w:r>
      <w:r>
        <w:t>, in particular for schools and public hospitals, have not been included in the unlegislated savings measures.  T</w:t>
      </w:r>
      <w:r w:rsidRPr="00CA4DA0">
        <w:t>hese are not subject to the same legislative requirements as the other eleven affected programs.</w:t>
      </w:r>
    </w:p>
    <w:p w:rsidR="00153ACB" w:rsidRPr="00637E96" w:rsidRDefault="00153ACB" w:rsidP="00153ACB">
      <w:pPr>
        <w:pStyle w:val="PBOtext"/>
      </w:pPr>
      <w:r w:rsidRPr="00153ACB">
        <w:t>The public debt interest impact of the measures yet to be legislated is not included</w:t>
      </w:r>
      <w:r w:rsidR="00BB3872">
        <w:t xml:space="preserve"> in the projections.</w:t>
      </w:r>
    </w:p>
    <w:p w:rsidR="00CE15BA" w:rsidRDefault="00CE15BA" w:rsidP="001D5FCE">
      <w:pPr>
        <w:pStyle w:val="PBOtext"/>
      </w:pPr>
    </w:p>
    <w:p w:rsidR="001D5FCE" w:rsidRDefault="001D5FCE" w:rsidP="002872B7">
      <w:pPr>
        <w:pStyle w:val="PBOheading1"/>
        <w:numPr>
          <w:ilvl w:val="0"/>
          <w:numId w:val="36"/>
        </w:numPr>
        <w:ind w:left="720" w:hanging="720"/>
        <w:sectPr w:rsidR="001D5FCE" w:rsidSect="00837920">
          <w:headerReference w:type="first" r:id="rId64"/>
          <w:footerReference w:type="first" r:id="rId65"/>
          <w:pgSz w:w="11900" w:h="16840"/>
          <w:pgMar w:top="1440" w:right="1797" w:bottom="1440" w:left="1843" w:header="709" w:footer="709" w:gutter="0"/>
          <w:cols w:space="708"/>
          <w:titlePg/>
          <w:docGrid w:linePitch="326"/>
        </w:sectPr>
      </w:pPr>
    </w:p>
    <w:p w:rsidR="00CE15BA" w:rsidRDefault="003F577D" w:rsidP="003C0838">
      <w:pPr>
        <w:pStyle w:val="PBOheading1"/>
        <w:numPr>
          <w:ilvl w:val="0"/>
          <w:numId w:val="36"/>
        </w:numPr>
        <w:ind w:left="720" w:hanging="720"/>
      </w:pPr>
      <w:bookmarkStart w:id="89" w:name="_Toc396382660"/>
      <w:bookmarkStart w:id="90" w:name="AttachmentB"/>
      <w:r>
        <w:t>Data</w:t>
      </w:r>
      <w:r w:rsidR="00CE15BA">
        <w:t xml:space="preserve"> used in this report</w:t>
      </w:r>
      <w:bookmarkEnd w:id="89"/>
    </w:p>
    <w:bookmarkEnd w:id="90"/>
    <w:p w:rsidR="003F577D" w:rsidRDefault="000C50C3" w:rsidP="00CE15BA">
      <w:pPr>
        <w:pStyle w:val="PBOfiguretableheading"/>
      </w:pPr>
      <w:r>
        <w:t>Table</w:t>
      </w:r>
      <w:r w:rsidR="00BF21CF">
        <w:t xml:space="preserve"> B</w:t>
      </w:r>
      <w:r w:rsidR="00CE15BA">
        <w:t>.1: Nominal spending on pr</w:t>
      </w:r>
      <w:r w:rsidR="003C0838">
        <w:t>ograms discussed in this report</w:t>
      </w:r>
    </w:p>
    <w:tbl>
      <w:tblPr>
        <w:tblW w:w="20291" w:type="dxa"/>
        <w:tblInd w:w="108" w:type="dxa"/>
        <w:tblLook w:val="04A0" w:firstRow="1" w:lastRow="0" w:firstColumn="1" w:lastColumn="0" w:noHBand="0" w:noVBand="1"/>
      </w:tblPr>
      <w:tblGrid>
        <w:gridCol w:w="3409"/>
        <w:gridCol w:w="734"/>
        <w:gridCol w:w="734"/>
        <w:gridCol w:w="734"/>
        <w:gridCol w:w="734"/>
        <w:gridCol w:w="734"/>
        <w:gridCol w:w="734"/>
        <w:gridCol w:w="734"/>
        <w:gridCol w:w="734"/>
        <w:gridCol w:w="734"/>
        <w:gridCol w:w="734"/>
        <w:gridCol w:w="734"/>
        <w:gridCol w:w="734"/>
        <w:gridCol w:w="734"/>
        <w:gridCol w:w="734"/>
        <w:gridCol w:w="734"/>
        <w:gridCol w:w="734"/>
        <w:gridCol w:w="734"/>
        <w:gridCol w:w="734"/>
        <w:gridCol w:w="734"/>
        <w:gridCol w:w="734"/>
        <w:gridCol w:w="734"/>
        <w:gridCol w:w="734"/>
        <w:gridCol w:w="734"/>
      </w:tblGrid>
      <w:tr w:rsidR="002E1618" w:rsidRPr="002E1618" w:rsidTr="002E1618">
        <w:trPr>
          <w:trHeight w:val="259"/>
        </w:trPr>
        <w:tc>
          <w:tcPr>
            <w:tcW w:w="3409"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2E1618" w:rsidRPr="002E1618" w:rsidRDefault="002E1618" w:rsidP="002E1618">
            <w:pPr>
              <w:spacing w:before="0" w:after="0"/>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Nominal spending ($ b)</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2002-03</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2003-04</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2004-05</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2005-06</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2006-07</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2007-08</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2008-09</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2009-10</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2010-11</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2011-12</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2012-13</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2013-14</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2014-15</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2015-16</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2016-17</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2017-18</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2018-19</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2019-20</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2020-21</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2021-22</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2022-23</w:t>
            </w:r>
          </w:p>
        </w:tc>
        <w:tc>
          <w:tcPr>
            <w:tcW w:w="734" w:type="dxa"/>
            <w:tcBorders>
              <w:top w:val="single" w:sz="4" w:space="0" w:color="auto"/>
              <w:left w:val="nil"/>
              <w:bottom w:val="single" w:sz="4" w:space="0" w:color="auto"/>
              <w:right w:val="nil"/>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2023-24</w:t>
            </w:r>
          </w:p>
        </w:tc>
        <w:tc>
          <w:tcPr>
            <w:tcW w:w="734" w:type="dxa"/>
            <w:tcBorders>
              <w:top w:val="single" w:sz="4" w:space="0" w:color="auto"/>
              <w:left w:val="nil"/>
              <w:bottom w:val="single" w:sz="4" w:space="0" w:color="auto"/>
              <w:right w:val="single" w:sz="4" w:space="0" w:color="auto"/>
            </w:tcBorders>
            <w:shd w:val="clear" w:color="000000" w:fill="0070C0"/>
            <w:noWrap/>
            <w:vAlign w:val="center"/>
            <w:hideMark/>
          </w:tcPr>
          <w:p w:rsidR="002E1618" w:rsidRPr="002E1618" w:rsidRDefault="002E1618" w:rsidP="002E1618">
            <w:pPr>
              <w:spacing w:before="0" w:after="0"/>
              <w:jc w:val="center"/>
              <w:rPr>
                <w:rFonts w:ascii="Arial" w:eastAsia="Times New Roman" w:hAnsi="Arial" w:cs="Arial"/>
                <w:b/>
                <w:bCs/>
                <w:color w:val="FFFFFF"/>
                <w:sz w:val="14"/>
                <w:szCs w:val="14"/>
              </w:rPr>
            </w:pPr>
            <w:r w:rsidRPr="002E1618">
              <w:rPr>
                <w:rFonts w:ascii="Arial" w:eastAsia="Times New Roman" w:hAnsi="Arial" w:cs="Arial"/>
                <w:b/>
                <w:bCs/>
                <w:color w:val="FFFFFF"/>
                <w:sz w:val="14"/>
                <w:szCs w:val="14"/>
              </w:rPr>
              <w:t>2024-25</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000000" w:fill="D7DDE9"/>
            <w:noWrap/>
            <w:vAlign w:val="center"/>
            <w:hideMark/>
          </w:tcPr>
          <w:p w:rsidR="00044B49" w:rsidRDefault="00044B49" w:rsidP="00044B49">
            <w:pPr>
              <w:spacing w:before="0" w:after="0"/>
              <w:rPr>
                <w:rFonts w:ascii="Arial" w:hAnsi="Arial" w:cs="Arial"/>
                <w:b/>
                <w:bCs/>
                <w:color w:val="000000"/>
                <w:sz w:val="14"/>
                <w:szCs w:val="14"/>
              </w:rPr>
            </w:pPr>
            <w:r>
              <w:rPr>
                <w:rFonts w:ascii="Arial" w:hAnsi="Arial" w:cs="Arial"/>
                <w:b/>
                <w:bCs/>
                <w:color w:val="000000"/>
                <w:sz w:val="14"/>
                <w:szCs w:val="14"/>
              </w:rPr>
              <w:t>GST transfers to States</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30.7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33.2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35.1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37.4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39.6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42.4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41.2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44.0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45.9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46.0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48.1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50.7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53.7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57.0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60.4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63.8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67.3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71.4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75.8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80.3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84.8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89.5</w:t>
            </w:r>
          </w:p>
        </w:tc>
        <w:tc>
          <w:tcPr>
            <w:tcW w:w="734" w:type="dxa"/>
            <w:tcBorders>
              <w:top w:val="nil"/>
              <w:left w:val="nil"/>
              <w:bottom w:val="nil"/>
              <w:right w:val="single" w:sz="4" w:space="0" w:color="auto"/>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94.4</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auto" w:fill="auto"/>
            <w:noWrap/>
            <w:vAlign w:val="center"/>
            <w:hideMark/>
          </w:tcPr>
          <w:p w:rsidR="00044B49" w:rsidRDefault="00044B49" w:rsidP="00044B49">
            <w:pPr>
              <w:spacing w:before="0" w:after="0"/>
              <w:rPr>
                <w:rFonts w:ascii="Arial" w:hAnsi="Arial" w:cs="Arial"/>
                <w:b/>
                <w:bCs/>
                <w:color w:val="000000"/>
                <w:sz w:val="14"/>
                <w:szCs w:val="14"/>
              </w:rPr>
            </w:pPr>
            <w:r>
              <w:rPr>
                <w:rFonts w:ascii="Arial" w:hAnsi="Arial" w:cs="Arial"/>
                <w:b/>
                <w:bCs/>
                <w:color w:val="000000"/>
                <w:sz w:val="14"/>
                <w:szCs w:val="14"/>
              </w:rPr>
              <w:t>National Disability Insurance Scheme</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0.7</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17.7</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20.1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21.6</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22.7</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23.9</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25.1</w:t>
            </w:r>
          </w:p>
        </w:tc>
        <w:tc>
          <w:tcPr>
            <w:tcW w:w="734" w:type="dxa"/>
            <w:tcBorders>
              <w:top w:val="nil"/>
              <w:left w:val="nil"/>
              <w:bottom w:val="nil"/>
              <w:right w:val="single" w:sz="4" w:space="0" w:color="auto"/>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26.3</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000000" w:fill="D7DDE9"/>
            <w:noWrap/>
            <w:vAlign w:val="center"/>
            <w:hideMark/>
          </w:tcPr>
          <w:p w:rsidR="00044B49" w:rsidRDefault="00044B49" w:rsidP="00044B49">
            <w:pPr>
              <w:spacing w:before="0" w:after="0"/>
              <w:rPr>
                <w:rFonts w:ascii="Arial" w:hAnsi="Arial" w:cs="Arial"/>
                <w:b/>
                <w:bCs/>
                <w:color w:val="000000"/>
                <w:sz w:val="14"/>
                <w:szCs w:val="14"/>
              </w:rPr>
            </w:pPr>
            <w:r>
              <w:rPr>
                <w:rFonts w:ascii="Arial" w:hAnsi="Arial" w:cs="Arial"/>
                <w:b/>
                <w:bCs/>
                <w:color w:val="000000"/>
                <w:sz w:val="14"/>
                <w:szCs w:val="14"/>
              </w:rPr>
              <w:t>Age Pension</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17.7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20.0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20.6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22.6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24.6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28.1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29.4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32.2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34.7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36.3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39.4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42.0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44.5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47.5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49.6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52.4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54.3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57.3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59.0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62.4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64.4</w:t>
            </w:r>
          </w:p>
        </w:tc>
        <w:tc>
          <w:tcPr>
            <w:tcW w:w="734" w:type="dxa"/>
            <w:tcBorders>
              <w:top w:val="nil"/>
              <w:left w:val="nil"/>
              <w:bottom w:val="nil"/>
              <w:right w:val="single" w:sz="4" w:space="0" w:color="auto"/>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67.9</w:t>
            </w:r>
          </w:p>
        </w:tc>
      </w:tr>
      <w:tr w:rsidR="00E87524" w:rsidRPr="002E1618" w:rsidTr="00E87524">
        <w:trPr>
          <w:trHeight w:val="259"/>
        </w:trPr>
        <w:tc>
          <w:tcPr>
            <w:tcW w:w="3409" w:type="dxa"/>
            <w:tcBorders>
              <w:top w:val="nil"/>
              <w:left w:val="single" w:sz="4" w:space="0" w:color="auto"/>
              <w:bottom w:val="nil"/>
              <w:right w:val="single" w:sz="4" w:space="0" w:color="auto"/>
            </w:tcBorders>
            <w:shd w:val="clear" w:color="auto" w:fill="auto"/>
            <w:noWrap/>
            <w:vAlign w:val="center"/>
            <w:hideMark/>
          </w:tcPr>
          <w:p w:rsidR="00E87524" w:rsidRDefault="00E87524" w:rsidP="00044B49">
            <w:pPr>
              <w:spacing w:before="0" w:after="0"/>
              <w:rPr>
                <w:rFonts w:ascii="Arial" w:hAnsi="Arial" w:cs="Arial"/>
                <w:b/>
                <w:bCs/>
                <w:color w:val="000000"/>
                <w:sz w:val="14"/>
                <w:szCs w:val="14"/>
              </w:rPr>
            </w:pPr>
            <w:r>
              <w:rPr>
                <w:rFonts w:ascii="Arial" w:hAnsi="Arial" w:cs="Arial"/>
                <w:b/>
                <w:bCs/>
                <w:color w:val="000000"/>
                <w:sz w:val="14"/>
                <w:szCs w:val="14"/>
              </w:rPr>
              <w:t>Defence spending</w:t>
            </w:r>
          </w:p>
        </w:tc>
        <w:tc>
          <w:tcPr>
            <w:tcW w:w="734" w:type="dxa"/>
            <w:tcBorders>
              <w:top w:val="nil"/>
              <w:left w:val="nil"/>
              <w:bottom w:val="nil"/>
              <w:right w:val="nil"/>
            </w:tcBorders>
            <w:shd w:val="clear" w:color="auto" w:fill="auto"/>
            <w:noWrap/>
            <w:vAlign w:val="center"/>
            <w:hideMark/>
          </w:tcPr>
          <w:p w:rsidR="00E87524" w:rsidRDefault="00E87524" w:rsidP="00044B49">
            <w:pPr>
              <w:spacing w:before="0" w:after="0"/>
              <w:jc w:val="center"/>
              <w:rPr>
                <w:rFonts w:ascii="Arial" w:hAnsi="Arial" w:cs="Arial"/>
                <w:color w:val="000000"/>
                <w:sz w:val="14"/>
                <w:szCs w:val="14"/>
              </w:rPr>
            </w:pPr>
            <w:r>
              <w:rPr>
                <w:rFonts w:ascii="Arial" w:hAnsi="Arial" w:cs="Arial"/>
                <w:color w:val="000000"/>
                <w:sz w:val="14"/>
                <w:szCs w:val="14"/>
              </w:rPr>
              <w:t>14.2</w:t>
            </w:r>
          </w:p>
        </w:tc>
        <w:tc>
          <w:tcPr>
            <w:tcW w:w="734" w:type="dxa"/>
            <w:tcBorders>
              <w:top w:val="nil"/>
              <w:left w:val="nil"/>
              <w:bottom w:val="nil"/>
              <w:right w:val="nil"/>
            </w:tcBorders>
            <w:shd w:val="clear" w:color="auto" w:fill="auto"/>
            <w:noWrap/>
            <w:vAlign w:val="center"/>
            <w:hideMark/>
          </w:tcPr>
          <w:p w:rsidR="00E87524" w:rsidRDefault="00E87524" w:rsidP="00044B49">
            <w:pPr>
              <w:spacing w:before="0" w:after="0"/>
              <w:jc w:val="center"/>
              <w:rPr>
                <w:rFonts w:ascii="Arial" w:hAnsi="Arial" w:cs="Arial"/>
                <w:color w:val="000000"/>
                <w:sz w:val="14"/>
                <w:szCs w:val="14"/>
              </w:rPr>
            </w:pPr>
            <w:r>
              <w:rPr>
                <w:rFonts w:ascii="Arial" w:hAnsi="Arial" w:cs="Arial"/>
                <w:color w:val="000000"/>
                <w:sz w:val="14"/>
                <w:szCs w:val="14"/>
              </w:rPr>
              <w:t>14.7</w:t>
            </w:r>
          </w:p>
        </w:tc>
        <w:tc>
          <w:tcPr>
            <w:tcW w:w="734" w:type="dxa"/>
            <w:tcBorders>
              <w:top w:val="nil"/>
              <w:left w:val="nil"/>
              <w:bottom w:val="nil"/>
              <w:right w:val="nil"/>
            </w:tcBorders>
            <w:shd w:val="clear" w:color="auto" w:fill="auto"/>
            <w:noWrap/>
            <w:vAlign w:val="center"/>
            <w:hideMark/>
          </w:tcPr>
          <w:p w:rsidR="00E87524" w:rsidRDefault="00E87524" w:rsidP="00044B49">
            <w:pPr>
              <w:spacing w:before="0" w:after="0"/>
              <w:jc w:val="center"/>
              <w:rPr>
                <w:rFonts w:ascii="Arial" w:hAnsi="Arial" w:cs="Arial"/>
                <w:color w:val="000000"/>
                <w:sz w:val="14"/>
                <w:szCs w:val="14"/>
              </w:rPr>
            </w:pPr>
            <w:r>
              <w:rPr>
                <w:rFonts w:ascii="Arial" w:hAnsi="Arial" w:cs="Arial"/>
                <w:color w:val="000000"/>
                <w:sz w:val="14"/>
                <w:szCs w:val="14"/>
              </w:rPr>
              <w:t>16.4</w:t>
            </w:r>
          </w:p>
        </w:tc>
        <w:tc>
          <w:tcPr>
            <w:tcW w:w="734" w:type="dxa"/>
            <w:tcBorders>
              <w:top w:val="nil"/>
              <w:left w:val="nil"/>
              <w:bottom w:val="nil"/>
              <w:right w:val="nil"/>
            </w:tcBorders>
            <w:shd w:val="clear" w:color="auto" w:fill="auto"/>
            <w:noWrap/>
            <w:vAlign w:val="center"/>
            <w:hideMark/>
          </w:tcPr>
          <w:p w:rsidR="00E87524" w:rsidRDefault="00E87524" w:rsidP="00044B49">
            <w:pPr>
              <w:spacing w:before="0" w:after="0"/>
              <w:jc w:val="center"/>
              <w:rPr>
                <w:rFonts w:ascii="Arial" w:hAnsi="Arial" w:cs="Arial"/>
                <w:color w:val="000000"/>
                <w:sz w:val="14"/>
                <w:szCs w:val="14"/>
              </w:rPr>
            </w:pPr>
            <w:r>
              <w:rPr>
                <w:rFonts w:ascii="Arial" w:hAnsi="Arial" w:cs="Arial"/>
                <w:color w:val="000000"/>
                <w:sz w:val="14"/>
                <w:szCs w:val="14"/>
              </w:rPr>
              <w:t>15.6</w:t>
            </w:r>
          </w:p>
        </w:tc>
        <w:tc>
          <w:tcPr>
            <w:tcW w:w="734" w:type="dxa"/>
            <w:tcBorders>
              <w:top w:val="nil"/>
              <w:left w:val="nil"/>
              <w:bottom w:val="nil"/>
              <w:right w:val="nil"/>
            </w:tcBorders>
            <w:shd w:val="clear" w:color="auto" w:fill="auto"/>
            <w:noWrap/>
            <w:vAlign w:val="center"/>
            <w:hideMark/>
          </w:tcPr>
          <w:p w:rsidR="00E87524" w:rsidRDefault="00E87524" w:rsidP="00044B49">
            <w:pPr>
              <w:spacing w:before="0" w:after="0"/>
              <w:jc w:val="center"/>
              <w:rPr>
                <w:rFonts w:ascii="Arial" w:hAnsi="Arial" w:cs="Arial"/>
                <w:color w:val="000000"/>
                <w:sz w:val="14"/>
                <w:szCs w:val="14"/>
              </w:rPr>
            </w:pPr>
            <w:r>
              <w:rPr>
                <w:rFonts w:ascii="Arial" w:hAnsi="Arial" w:cs="Arial"/>
                <w:color w:val="000000"/>
                <w:sz w:val="14"/>
                <w:szCs w:val="14"/>
              </w:rPr>
              <w:t>18.0</w:t>
            </w:r>
          </w:p>
        </w:tc>
        <w:tc>
          <w:tcPr>
            <w:tcW w:w="734" w:type="dxa"/>
            <w:tcBorders>
              <w:top w:val="nil"/>
              <w:left w:val="nil"/>
              <w:bottom w:val="nil"/>
              <w:right w:val="nil"/>
            </w:tcBorders>
            <w:shd w:val="clear" w:color="auto" w:fill="auto"/>
            <w:noWrap/>
            <w:vAlign w:val="center"/>
            <w:hideMark/>
          </w:tcPr>
          <w:p w:rsidR="00E87524" w:rsidRDefault="00E87524" w:rsidP="00044B49">
            <w:pPr>
              <w:spacing w:before="0" w:after="0"/>
              <w:jc w:val="center"/>
              <w:rPr>
                <w:rFonts w:ascii="Arial" w:hAnsi="Arial" w:cs="Arial"/>
                <w:color w:val="000000"/>
                <w:sz w:val="14"/>
                <w:szCs w:val="14"/>
              </w:rPr>
            </w:pPr>
            <w:r>
              <w:rPr>
                <w:rFonts w:ascii="Arial" w:hAnsi="Arial" w:cs="Arial"/>
                <w:color w:val="000000"/>
                <w:sz w:val="14"/>
                <w:szCs w:val="14"/>
              </w:rPr>
              <w:t>20.2</w:t>
            </w:r>
          </w:p>
        </w:tc>
        <w:tc>
          <w:tcPr>
            <w:tcW w:w="734" w:type="dxa"/>
            <w:tcBorders>
              <w:top w:val="nil"/>
              <w:left w:val="nil"/>
              <w:bottom w:val="nil"/>
              <w:right w:val="nil"/>
            </w:tcBorders>
            <w:shd w:val="clear" w:color="auto" w:fill="auto"/>
            <w:noWrap/>
            <w:vAlign w:val="center"/>
            <w:hideMark/>
          </w:tcPr>
          <w:p w:rsidR="00E87524" w:rsidRDefault="00E87524" w:rsidP="00044B49">
            <w:pPr>
              <w:spacing w:before="0" w:after="0"/>
              <w:jc w:val="center"/>
              <w:rPr>
                <w:rFonts w:ascii="Arial" w:hAnsi="Arial" w:cs="Arial"/>
                <w:color w:val="000000"/>
                <w:sz w:val="14"/>
                <w:szCs w:val="14"/>
              </w:rPr>
            </w:pPr>
            <w:r>
              <w:rPr>
                <w:rFonts w:ascii="Arial" w:hAnsi="Arial" w:cs="Arial"/>
                <w:color w:val="000000"/>
                <w:sz w:val="14"/>
                <w:szCs w:val="14"/>
              </w:rPr>
              <w:t>21.8</w:t>
            </w:r>
          </w:p>
        </w:tc>
        <w:tc>
          <w:tcPr>
            <w:tcW w:w="734" w:type="dxa"/>
            <w:tcBorders>
              <w:top w:val="nil"/>
              <w:left w:val="nil"/>
              <w:bottom w:val="nil"/>
              <w:right w:val="nil"/>
            </w:tcBorders>
            <w:shd w:val="clear" w:color="auto" w:fill="auto"/>
            <w:noWrap/>
            <w:vAlign w:val="center"/>
            <w:hideMark/>
          </w:tcPr>
          <w:p w:rsidR="00E87524" w:rsidRDefault="00E87524" w:rsidP="00044B49">
            <w:pPr>
              <w:spacing w:before="0" w:after="0"/>
              <w:jc w:val="center"/>
              <w:rPr>
                <w:rFonts w:ascii="Arial" w:hAnsi="Arial" w:cs="Arial"/>
                <w:color w:val="000000"/>
                <w:sz w:val="14"/>
                <w:szCs w:val="14"/>
              </w:rPr>
            </w:pPr>
            <w:r>
              <w:rPr>
                <w:rFonts w:ascii="Arial" w:hAnsi="Arial" w:cs="Arial"/>
                <w:color w:val="000000"/>
                <w:sz w:val="14"/>
                <w:szCs w:val="14"/>
              </w:rPr>
              <w:t>24.5</w:t>
            </w:r>
          </w:p>
        </w:tc>
        <w:tc>
          <w:tcPr>
            <w:tcW w:w="734" w:type="dxa"/>
            <w:tcBorders>
              <w:top w:val="nil"/>
              <w:left w:val="nil"/>
              <w:bottom w:val="nil"/>
              <w:right w:val="nil"/>
            </w:tcBorders>
            <w:shd w:val="clear" w:color="auto" w:fill="auto"/>
            <w:noWrap/>
            <w:vAlign w:val="center"/>
            <w:hideMark/>
          </w:tcPr>
          <w:p w:rsidR="00E87524" w:rsidRDefault="00E87524" w:rsidP="00044B49">
            <w:pPr>
              <w:spacing w:before="0" w:after="0"/>
              <w:jc w:val="center"/>
              <w:rPr>
                <w:rFonts w:ascii="Arial" w:hAnsi="Arial" w:cs="Arial"/>
                <w:color w:val="000000"/>
                <w:sz w:val="14"/>
                <w:szCs w:val="14"/>
              </w:rPr>
            </w:pPr>
            <w:r>
              <w:rPr>
                <w:rFonts w:ascii="Arial" w:hAnsi="Arial" w:cs="Arial"/>
                <w:color w:val="000000"/>
                <w:sz w:val="14"/>
                <w:szCs w:val="14"/>
              </w:rPr>
              <w:t>24.2</w:t>
            </w:r>
          </w:p>
        </w:tc>
        <w:tc>
          <w:tcPr>
            <w:tcW w:w="734" w:type="dxa"/>
            <w:tcBorders>
              <w:top w:val="nil"/>
              <w:left w:val="nil"/>
              <w:bottom w:val="nil"/>
              <w:right w:val="nil"/>
            </w:tcBorders>
            <w:shd w:val="clear" w:color="auto" w:fill="auto"/>
            <w:noWrap/>
            <w:vAlign w:val="center"/>
            <w:hideMark/>
          </w:tcPr>
          <w:p w:rsidR="00E87524" w:rsidRDefault="00E87524" w:rsidP="00044B49">
            <w:pPr>
              <w:spacing w:before="0" w:after="0"/>
              <w:jc w:val="center"/>
              <w:rPr>
                <w:rFonts w:ascii="Arial" w:hAnsi="Arial" w:cs="Arial"/>
                <w:color w:val="000000"/>
                <w:sz w:val="14"/>
                <w:szCs w:val="14"/>
              </w:rPr>
            </w:pPr>
            <w:r>
              <w:rPr>
                <w:rFonts w:ascii="Arial" w:hAnsi="Arial" w:cs="Arial"/>
                <w:color w:val="000000"/>
                <w:sz w:val="14"/>
                <w:szCs w:val="14"/>
              </w:rPr>
              <w:t>24.6</w:t>
            </w:r>
          </w:p>
        </w:tc>
        <w:tc>
          <w:tcPr>
            <w:tcW w:w="734" w:type="dxa"/>
            <w:tcBorders>
              <w:top w:val="nil"/>
              <w:left w:val="nil"/>
              <w:bottom w:val="nil"/>
              <w:right w:val="nil"/>
            </w:tcBorders>
            <w:shd w:val="clear" w:color="auto" w:fill="auto"/>
            <w:noWrap/>
            <w:vAlign w:val="center"/>
            <w:hideMark/>
          </w:tcPr>
          <w:p w:rsidR="00E87524" w:rsidRDefault="00E87524" w:rsidP="00044B49">
            <w:pPr>
              <w:spacing w:before="0" w:after="0"/>
              <w:jc w:val="center"/>
              <w:rPr>
                <w:rFonts w:ascii="Arial" w:hAnsi="Arial" w:cs="Arial"/>
                <w:color w:val="000000"/>
                <w:sz w:val="14"/>
                <w:szCs w:val="14"/>
              </w:rPr>
            </w:pPr>
            <w:r>
              <w:rPr>
                <w:rFonts w:ascii="Arial" w:hAnsi="Arial" w:cs="Arial"/>
                <w:color w:val="000000"/>
                <w:sz w:val="14"/>
                <w:szCs w:val="14"/>
              </w:rPr>
              <w:t>22.6</w:t>
            </w:r>
          </w:p>
        </w:tc>
        <w:tc>
          <w:tcPr>
            <w:tcW w:w="734" w:type="dxa"/>
            <w:tcBorders>
              <w:top w:val="nil"/>
              <w:left w:val="nil"/>
              <w:bottom w:val="nil"/>
              <w:right w:val="nil"/>
            </w:tcBorders>
            <w:shd w:val="clear" w:color="auto" w:fill="auto"/>
            <w:noWrap/>
            <w:vAlign w:val="center"/>
            <w:hideMark/>
          </w:tcPr>
          <w:p w:rsidR="00E87524" w:rsidRDefault="00E87524" w:rsidP="00044B49">
            <w:pPr>
              <w:spacing w:before="0" w:after="0"/>
              <w:jc w:val="center"/>
              <w:rPr>
                <w:rFonts w:ascii="Arial" w:hAnsi="Arial" w:cs="Arial"/>
                <w:color w:val="000000"/>
                <w:sz w:val="14"/>
                <w:szCs w:val="14"/>
              </w:rPr>
            </w:pPr>
            <w:r>
              <w:rPr>
                <w:rFonts w:ascii="Arial" w:hAnsi="Arial" w:cs="Arial"/>
                <w:color w:val="000000"/>
                <w:sz w:val="14"/>
                <w:szCs w:val="14"/>
              </w:rPr>
              <w:t>26.2</w:t>
            </w:r>
          </w:p>
        </w:tc>
        <w:tc>
          <w:tcPr>
            <w:tcW w:w="734" w:type="dxa"/>
            <w:tcBorders>
              <w:top w:val="nil"/>
              <w:left w:val="nil"/>
              <w:bottom w:val="nil"/>
              <w:right w:val="nil"/>
            </w:tcBorders>
            <w:shd w:val="clear" w:color="auto" w:fill="auto"/>
            <w:noWrap/>
            <w:vAlign w:val="center"/>
            <w:hideMark/>
          </w:tcPr>
          <w:p w:rsidR="00E87524" w:rsidRDefault="00E87524" w:rsidP="00044B49">
            <w:pPr>
              <w:spacing w:before="0" w:after="0"/>
              <w:jc w:val="center"/>
              <w:rPr>
                <w:rFonts w:ascii="Arial" w:hAnsi="Arial" w:cs="Arial"/>
                <w:color w:val="000000"/>
                <w:sz w:val="14"/>
                <w:szCs w:val="14"/>
              </w:rPr>
            </w:pPr>
            <w:r>
              <w:rPr>
                <w:rFonts w:ascii="Arial" w:hAnsi="Arial" w:cs="Arial"/>
                <w:color w:val="000000"/>
                <w:sz w:val="14"/>
                <w:szCs w:val="14"/>
              </w:rPr>
              <w:t>28.4</w:t>
            </w:r>
          </w:p>
        </w:tc>
        <w:tc>
          <w:tcPr>
            <w:tcW w:w="734" w:type="dxa"/>
            <w:tcBorders>
              <w:top w:val="nil"/>
              <w:left w:val="nil"/>
              <w:bottom w:val="nil"/>
              <w:right w:val="nil"/>
            </w:tcBorders>
            <w:shd w:val="clear" w:color="auto" w:fill="auto"/>
            <w:noWrap/>
            <w:vAlign w:val="center"/>
            <w:hideMark/>
          </w:tcPr>
          <w:p w:rsidR="00E87524" w:rsidRDefault="00E87524" w:rsidP="00044B49">
            <w:pPr>
              <w:spacing w:before="0" w:after="0"/>
              <w:jc w:val="center"/>
              <w:rPr>
                <w:rFonts w:ascii="Arial" w:hAnsi="Arial" w:cs="Arial"/>
                <w:color w:val="000000"/>
                <w:sz w:val="14"/>
                <w:szCs w:val="14"/>
              </w:rPr>
            </w:pPr>
            <w:r>
              <w:rPr>
                <w:rFonts w:ascii="Arial" w:hAnsi="Arial" w:cs="Arial"/>
                <w:color w:val="000000"/>
                <w:sz w:val="14"/>
                <w:szCs w:val="14"/>
              </w:rPr>
              <w:t>29.4</w:t>
            </w:r>
          </w:p>
        </w:tc>
        <w:tc>
          <w:tcPr>
            <w:tcW w:w="734" w:type="dxa"/>
            <w:tcBorders>
              <w:top w:val="nil"/>
              <w:left w:val="nil"/>
              <w:bottom w:val="nil"/>
              <w:right w:val="nil"/>
            </w:tcBorders>
            <w:shd w:val="clear" w:color="auto" w:fill="auto"/>
            <w:noWrap/>
            <w:vAlign w:val="center"/>
            <w:hideMark/>
          </w:tcPr>
          <w:p w:rsidR="00E87524" w:rsidRDefault="00E87524" w:rsidP="00044B49">
            <w:pPr>
              <w:spacing w:before="0" w:after="0"/>
              <w:jc w:val="center"/>
              <w:rPr>
                <w:rFonts w:ascii="Arial" w:hAnsi="Arial" w:cs="Arial"/>
                <w:color w:val="000000"/>
                <w:sz w:val="14"/>
                <w:szCs w:val="14"/>
              </w:rPr>
            </w:pPr>
            <w:r>
              <w:rPr>
                <w:rFonts w:ascii="Arial" w:hAnsi="Arial" w:cs="Arial"/>
                <w:color w:val="000000"/>
                <w:sz w:val="14"/>
                <w:szCs w:val="14"/>
              </w:rPr>
              <w:t>29.6</w:t>
            </w:r>
          </w:p>
        </w:tc>
        <w:tc>
          <w:tcPr>
            <w:tcW w:w="734" w:type="dxa"/>
            <w:tcBorders>
              <w:top w:val="nil"/>
              <w:left w:val="nil"/>
              <w:bottom w:val="nil"/>
              <w:right w:val="nil"/>
            </w:tcBorders>
            <w:shd w:val="clear" w:color="auto" w:fill="auto"/>
            <w:noWrap/>
            <w:vAlign w:val="center"/>
            <w:hideMark/>
          </w:tcPr>
          <w:p w:rsidR="00E87524" w:rsidRDefault="00E87524" w:rsidP="00044B49">
            <w:pPr>
              <w:spacing w:before="0" w:after="0"/>
              <w:jc w:val="center"/>
              <w:rPr>
                <w:rFonts w:ascii="Arial" w:hAnsi="Arial" w:cs="Arial"/>
                <w:color w:val="000000"/>
                <w:sz w:val="14"/>
                <w:szCs w:val="14"/>
              </w:rPr>
            </w:pPr>
            <w:r>
              <w:rPr>
                <w:rFonts w:ascii="Arial" w:hAnsi="Arial" w:cs="Arial"/>
                <w:color w:val="000000"/>
                <w:sz w:val="14"/>
                <w:szCs w:val="14"/>
              </w:rPr>
              <w:t>32.4</w:t>
            </w:r>
          </w:p>
        </w:tc>
        <w:tc>
          <w:tcPr>
            <w:tcW w:w="734" w:type="dxa"/>
            <w:tcBorders>
              <w:top w:val="nil"/>
              <w:left w:val="nil"/>
              <w:bottom w:val="nil"/>
              <w:right w:val="nil"/>
            </w:tcBorders>
            <w:shd w:val="clear" w:color="auto" w:fill="auto"/>
            <w:noWrap/>
            <w:vAlign w:val="center"/>
            <w:hideMark/>
          </w:tcPr>
          <w:p w:rsidR="00E87524" w:rsidRDefault="00E87524" w:rsidP="00E87524">
            <w:pPr>
              <w:spacing w:before="0" w:after="0"/>
              <w:jc w:val="center"/>
              <w:rPr>
                <w:rFonts w:ascii="Arial" w:hAnsi="Arial" w:cs="Arial"/>
                <w:color w:val="000000"/>
                <w:sz w:val="14"/>
                <w:szCs w:val="14"/>
              </w:rPr>
            </w:pPr>
            <w:r>
              <w:rPr>
                <w:rFonts w:ascii="Arial" w:hAnsi="Arial" w:cs="Arial"/>
                <w:color w:val="000000"/>
                <w:sz w:val="14"/>
                <w:szCs w:val="14"/>
              </w:rPr>
              <w:t>34.2</w:t>
            </w:r>
          </w:p>
        </w:tc>
        <w:tc>
          <w:tcPr>
            <w:tcW w:w="734" w:type="dxa"/>
            <w:tcBorders>
              <w:top w:val="nil"/>
              <w:left w:val="nil"/>
              <w:bottom w:val="nil"/>
              <w:right w:val="nil"/>
            </w:tcBorders>
            <w:shd w:val="clear" w:color="auto" w:fill="auto"/>
            <w:noWrap/>
            <w:vAlign w:val="center"/>
            <w:hideMark/>
          </w:tcPr>
          <w:p w:rsidR="00E87524" w:rsidRDefault="00E87524" w:rsidP="00E87524">
            <w:pPr>
              <w:spacing w:before="0" w:after="0"/>
              <w:jc w:val="center"/>
              <w:rPr>
                <w:rFonts w:ascii="Arial" w:hAnsi="Arial" w:cs="Arial"/>
                <w:color w:val="000000"/>
                <w:sz w:val="14"/>
                <w:szCs w:val="14"/>
              </w:rPr>
            </w:pPr>
            <w:r>
              <w:rPr>
                <w:rFonts w:ascii="Arial" w:hAnsi="Arial" w:cs="Arial"/>
                <w:color w:val="000000"/>
                <w:sz w:val="14"/>
                <w:szCs w:val="14"/>
              </w:rPr>
              <w:t>36.0</w:t>
            </w:r>
          </w:p>
        </w:tc>
        <w:tc>
          <w:tcPr>
            <w:tcW w:w="734" w:type="dxa"/>
            <w:tcBorders>
              <w:top w:val="nil"/>
              <w:left w:val="nil"/>
              <w:bottom w:val="nil"/>
              <w:right w:val="nil"/>
            </w:tcBorders>
            <w:shd w:val="clear" w:color="auto" w:fill="auto"/>
            <w:noWrap/>
            <w:vAlign w:val="center"/>
            <w:hideMark/>
          </w:tcPr>
          <w:p w:rsidR="00E87524" w:rsidRDefault="00E87524" w:rsidP="00E87524">
            <w:pPr>
              <w:spacing w:before="0" w:after="0"/>
              <w:jc w:val="center"/>
              <w:rPr>
                <w:rFonts w:ascii="Arial" w:hAnsi="Arial" w:cs="Arial"/>
                <w:color w:val="000000"/>
                <w:sz w:val="14"/>
                <w:szCs w:val="14"/>
              </w:rPr>
            </w:pPr>
            <w:r>
              <w:rPr>
                <w:rFonts w:ascii="Arial" w:hAnsi="Arial" w:cs="Arial"/>
                <w:color w:val="000000"/>
                <w:sz w:val="14"/>
                <w:szCs w:val="14"/>
              </w:rPr>
              <w:t>38.0</w:t>
            </w:r>
          </w:p>
        </w:tc>
        <w:tc>
          <w:tcPr>
            <w:tcW w:w="734" w:type="dxa"/>
            <w:tcBorders>
              <w:top w:val="nil"/>
              <w:left w:val="nil"/>
              <w:bottom w:val="nil"/>
              <w:right w:val="nil"/>
            </w:tcBorders>
            <w:shd w:val="clear" w:color="auto" w:fill="auto"/>
            <w:noWrap/>
            <w:vAlign w:val="center"/>
            <w:hideMark/>
          </w:tcPr>
          <w:p w:rsidR="00E87524" w:rsidRDefault="00E87524" w:rsidP="00E87524">
            <w:pPr>
              <w:spacing w:before="0" w:after="0"/>
              <w:jc w:val="center"/>
              <w:rPr>
                <w:rFonts w:ascii="Arial" w:hAnsi="Arial" w:cs="Arial"/>
                <w:color w:val="000000"/>
                <w:sz w:val="14"/>
                <w:szCs w:val="14"/>
              </w:rPr>
            </w:pPr>
            <w:r>
              <w:rPr>
                <w:rFonts w:ascii="Arial" w:hAnsi="Arial" w:cs="Arial"/>
                <w:color w:val="000000"/>
                <w:sz w:val="14"/>
                <w:szCs w:val="14"/>
              </w:rPr>
              <w:t>40.1</w:t>
            </w:r>
          </w:p>
        </w:tc>
        <w:tc>
          <w:tcPr>
            <w:tcW w:w="734" w:type="dxa"/>
            <w:tcBorders>
              <w:top w:val="nil"/>
              <w:left w:val="nil"/>
              <w:bottom w:val="nil"/>
              <w:right w:val="nil"/>
            </w:tcBorders>
            <w:shd w:val="clear" w:color="auto" w:fill="auto"/>
            <w:noWrap/>
            <w:vAlign w:val="center"/>
            <w:hideMark/>
          </w:tcPr>
          <w:p w:rsidR="00E87524" w:rsidRDefault="00E87524" w:rsidP="00E87524">
            <w:pPr>
              <w:spacing w:before="0" w:after="0"/>
              <w:jc w:val="center"/>
              <w:rPr>
                <w:rFonts w:ascii="Arial" w:hAnsi="Arial" w:cs="Arial"/>
                <w:color w:val="000000"/>
                <w:sz w:val="14"/>
                <w:szCs w:val="14"/>
              </w:rPr>
            </w:pPr>
            <w:r>
              <w:rPr>
                <w:rFonts w:ascii="Arial" w:hAnsi="Arial" w:cs="Arial"/>
                <w:color w:val="000000"/>
                <w:sz w:val="14"/>
                <w:szCs w:val="14"/>
              </w:rPr>
              <w:t>42.3</w:t>
            </w:r>
          </w:p>
        </w:tc>
        <w:tc>
          <w:tcPr>
            <w:tcW w:w="734" w:type="dxa"/>
            <w:tcBorders>
              <w:top w:val="nil"/>
              <w:left w:val="nil"/>
              <w:bottom w:val="nil"/>
              <w:right w:val="nil"/>
            </w:tcBorders>
            <w:shd w:val="clear" w:color="auto" w:fill="auto"/>
            <w:noWrap/>
            <w:vAlign w:val="center"/>
            <w:hideMark/>
          </w:tcPr>
          <w:p w:rsidR="00E87524" w:rsidRDefault="00E87524" w:rsidP="00E87524">
            <w:pPr>
              <w:spacing w:before="0" w:after="0"/>
              <w:jc w:val="center"/>
              <w:rPr>
                <w:rFonts w:ascii="Arial" w:hAnsi="Arial" w:cs="Arial"/>
                <w:color w:val="000000"/>
                <w:sz w:val="14"/>
                <w:szCs w:val="14"/>
              </w:rPr>
            </w:pPr>
            <w:r>
              <w:rPr>
                <w:rFonts w:ascii="Arial" w:hAnsi="Arial" w:cs="Arial"/>
                <w:color w:val="000000"/>
                <w:sz w:val="14"/>
                <w:szCs w:val="14"/>
              </w:rPr>
              <w:t>44.6</w:t>
            </w:r>
          </w:p>
        </w:tc>
        <w:tc>
          <w:tcPr>
            <w:tcW w:w="734" w:type="dxa"/>
            <w:tcBorders>
              <w:top w:val="nil"/>
              <w:left w:val="nil"/>
              <w:bottom w:val="nil"/>
              <w:right w:val="single" w:sz="4" w:space="0" w:color="auto"/>
            </w:tcBorders>
            <w:shd w:val="clear" w:color="auto" w:fill="auto"/>
            <w:noWrap/>
            <w:vAlign w:val="center"/>
            <w:hideMark/>
          </w:tcPr>
          <w:p w:rsidR="00E87524" w:rsidRDefault="00E87524" w:rsidP="00E87524">
            <w:pPr>
              <w:spacing w:before="0" w:after="0"/>
              <w:jc w:val="center"/>
              <w:rPr>
                <w:rFonts w:ascii="Arial" w:hAnsi="Arial" w:cs="Arial"/>
                <w:color w:val="000000"/>
                <w:sz w:val="14"/>
                <w:szCs w:val="14"/>
              </w:rPr>
            </w:pPr>
            <w:r>
              <w:rPr>
                <w:rFonts w:ascii="Arial" w:hAnsi="Arial" w:cs="Arial"/>
                <w:color w:val="000000"/>
                <w:sz w:val="14"/>
                <w:szCs w:val="14"/>
              </w:rPr>
              <w:t>47.1</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000000" w:fill="D7DDE9"/>
            <w:noWrap/>
            <w:vAlign w:val="center"/>
            <w:hideMark/>
          </w:tcPr>
          <w:p w:rsidR="00044B49" w:rsidRDefault="00044B49" w:rsidP="00044B49">
            <w:pPr>
              <w:spacing w:before="0" w:after="0"/>
              <w:rPr>
                <w:rFonts w:ascii="Arial" w:hAnsi="Arial" w:cs="Arial"/>
                <w:b/>
                <w:bCs/>
                <w:color w:val="000000"/>
                <w:sz w:val="14"/>
                <w:szCs w:val="14"/>
              </w:rPr>
            </w:pPr>
            <w:r>
              <w:rPr>
                <w:rFonts w:ascii="Arial" w:hAnsi="Arial" w:cs="Arial"/>
                <w:b/>
                <w:bCs/>
                <w:color w:val="000000"/>
                <w:sz w:val="14"/>
                <w:szCs w:val="14"/>
              </w:rPr>
              <w:t>Aged care</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12.8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13.8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14.7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15.6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16.6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17.7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21.1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22.8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25.1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27.3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29.6</w:t>
            </w:r>
          </w:p>
        </w:tc>
        <w:tc>
          <w:tcPr>
            <w:tcW w:w="734" w:type="dxa"/>
            <w:tcBorders>
              <w:top w:val="nil"/>
              <w:left w:val="nil"/>
              <w:bottom w:val="nil"/>
              <w:right w:val="single" w:sz="4" w:space="0" w:color="auto"/>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32.1</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auto" w:fill="auto"/>
            <w:noWrap/>
            <w:vAlign w:val="center"/>
            <w:hideMark/>
          </w:tcPr>
          <w:p w:rsidR="00044B49" w:rsidRDefault="00044B49" w:rsidP="00044B49">
            <w:pPr>
              <w:spacing w:before="0" w:after="0"/>
              <w:rPr>
                <w:rFonts w:ascii="Arial" w:hAnsi="Arial" w:cs="Arial"/>
                <w:b/>
                <w:bCs/>
                <w:color w:val="000000"/>
                <w:sz w:val="14"/>
                <w:szCs w:val="14"/>
              </w:rPr>
            </w:pPr>
            <w:r>
              <w:rPr>
                <w:rFonts w:ascii="Arial" w:hAnsi="Arial" w:cs="Arial"/>
                <w:b/>
                <w:bCs/>
                <w:color w:val="000000"/>
                <w:sz w:val="14"/>
                <w:szCs w:val="14"/>
              </w:rPr>
              <w:t>Medicare Benefits Schedule</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11.7</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13.0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14.1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15.4</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16.3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17.8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18.6</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20.3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20.2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21.5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22.6</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24.1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25.5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27.1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28.8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30.5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32.4</w:t>
            </w:r>
          </w:p>
        </w:tc>
        <w:tc>
          <w:tcPr>
            <w:tcW w:w="734" w:type="dxa"/>
            <w:tcBorders>
              <w:top w:val="nil"/>
              <w:left w:val="nil"/>
              <w:bottom w:val="nil"/>
              <w:right w:val="single" w:sz="4" w:space="0" w:color="auto"/>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34.3</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000000" w:fill="D7DDE9"/>
            <w:noWrap/>
            <w:vAlign w:val="center"/>
            <w:hideMark/>
          </w:tcPr>
          <w:p w:rsidR="00044B49" w:rsidRDefault="00044B49" w:rsidP="00044B49">
            <w:pPr>
              <w:spacing w:before="0" w:after="0"/>
              <w:rPr>
                <w:rFonts w:ascii="Arial" w:hAnsi="Arial" w:cs="Arial"/>
                <w:b/>
                <w:bCs/>
                <w:color w:val="000000"/>
                <w:sz w:val="14"/>
                <w:szCs w:val="14"/>
              </w:rPr>
            </w:pPr>
            <w:r>
              <w:rPr>
                <w:rFonts w:ascii="Arial" w:hAnsi="Arial" w:cs="Arial"/>
                <w:b/>
                <w:bCs/>
                <w:color w:val="000000"/>
                <w:sz w:val="14"/>
                <w:szCs w:val="14"/>
              </w:rPr>
              <w:t>Schools</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13.2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14.4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15.6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17.0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18.1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20.8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21.8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22.8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23.8</w:t>
            </w:r>
          </w:p>
        </w:tc>
        <w:tc>
          <w:tcPr>
            <w:tcW w:w="734" w:type="dxa"/>
            <w:tcBorders>
              <w:top w:val="nil"/>
              <w:left w:val="nil"/>
              <w:bottom w:val="nil"/>
              <w:right w:val="single" w:sz="4" w:space="0" w:color="auto"/>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24.9</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auto" w:fill="auto"/>
            <w:noWrap/>
            <w:vAlign w:val="center"/>
            <w:hideMark/>
          </w:tcPr>
          <w:p w:rsidR="00044B49" w:rsidRDefault="00044B49" w:rsidP="00103B5F">
            <w:pPr>
              <w:spacing w:before="0" w:after="0"/>
              <w:rPr>
                <w:rFonts w:ascii="Arial" w:hAnsi="Arial" w:cs="Arial"/>
                <w:b/>
                <w:bCs/>
                <w:color w:val="000000"/>
                <w:sz w:val="14"/>
                <w:szCs w:val="14"/>
              </w:rPr>
            </w:pPr>
            <w:r>
              <w:rPr>
                <w:rFonts w:ascii="Arial" w:hAnsi="Arial" w:cs="Arial"/>
                <w:b/>
                <w:bCs/>
                <w:color w:val="000000"/>
                <w:sz w:val="14"/>
                <w:szCs w:val="14"/>
              </w:rPr>
              <w:t xml:space="preserve">Public </w:t>
            </w:r>
            <w:r w:rsidR="00103B5F">
              <w:rPr>
                <w:rFonts w:ascii="Arial" w:hAnsi="Arial" w:cs="Arial"/>
                <w:b/>
                <w:bCs/>
                <w:color w:val="000000"/>
                <w:sz w:val="14"/>
                <w:szCs w:val="14"/>
              </w:rPr>
              <w:t>h</w:t>
            </w:r>
            <w:r>
              <w:rPr>
                <w:rFonts w:ascii="Arial" w:hAnsi="Arial" w:cs="Arial"/>
                <w:b/>
                <w:bCs/>
                <w:color w:val="000000"/>
                <w:sz w:val="14"/>
                <w:szCs w:val="14"/>
              </w:rPr>
              <w:t>ospitals</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12.0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12.5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13.3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13.8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15.1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16.6</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18.1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18.9</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19.7</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20.5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21.4</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22.3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23.2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24.2</w:t>
            </w:r>
          </w:p>
        </w:tc>
        <w:tc>
          <w:tcPr>
            <w:tcW w:w="734" w:type="dxa"/>
            <w:tcBorders>
              <w:top w:val="nil"/>
              <w:left w:val="nil"/>
              <w:bottom w:val="nil"/>
              <w:right w:val="single" w:sz="4" w:space="0" w:color="auto"/>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25.2</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000000" w:fill="D7DDE9"/>
            <w:noWrap/>
            <w:vAlign w:val="center"/>
            <w:hideMark/>
          </w:tcPr>
          <w:p w:rsidR="00044B49" w:rsidRDefault="00044B49" w:rsidP="00044B49">
            <w:pPr>
              <w:spacing w:before="0" w:after="0"/>
              <w:rPr>
                <w:rFonts w:ascii="Arial" w:hAnsi="Arial" w:cs="Arial"/>
                <w:b/>
                <w:bCs/>
                <w:color w:val="000000"/>
                <w:sz w:val="14"/>
                <w:szCs w:val="14"/>
              </w:rPr>
            </w:pPr>
            <w:r>
              <w:rPr>
                <w:rFonts w:ascii="Arial" w:hAnsi="Arial" w:cs="Arial"/>
                <w:b/>
                <w:bCs/>
                <w:color w:val="000000"/>
                <w:sz w:val="14"/>
                <w:szCs w:val="14"/>
              </w:rPr>
              <w:t>Disability Support Pension</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13.4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14.6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15.0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16.1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16.7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17.2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17.8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18.3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20.3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21.5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22.7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23.8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25.0</w:t>
            </w:r>
          </w:p>
        </w:tc>
        <w:tc>
          <w:tcPr>
            <w:tcW w:w="734" w:type="dxa"/>
            <w:tcBorders>
              <w:top w:val="nil"/>
              <w:left w:val="nil"/>
              <w:bottom w:val="nil"/>
              <w:right w:val="single" w:sz="4" w:space="0" w:color="auto"/>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25.8</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auto" w:fill="auto"/>
            <w:noWrap/>
            <w:vAlign w:val="center"/>
            <w:hideMark/>
          </w:tcPr>
          <w:p w:rsidR="00044B49" w:rsidRDefault="00044B49" w:rsidP="00044B49">
            <w:pPr>
              <w:spacing w:before="0" w:after="0"/>
              <w:rPr>
                <w:rFonts w:ascii="Arial" w:hAnsi="Arial" w:cs="Arial"/>
                <w:b/>
                <w:bCs/>
                <w:color w:val="000000"/>
                <w:sz w:val="14"/>
                <w:szCs w:val="14"/>
              </w:rPr>
            </w:pPr>
            <w:r>
              <w:rPr>
                <w:rFonts w:ascii="Arial" w:hAnsi="Arial" w:cs="Arial"/>
                <w:b/>
                <w:bCs/>
                <w:color w:val="000000"/>
                <w:sz w:val="14"/>
                <w:szCs w:val="14"/>
              </w:rPr>
              <w:t>Paid Parental Leave</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0.6</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1.4</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5.4</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5.6</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5.9</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6.4</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6.7</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7.2</w:t>
            </w:r>
          </w:p>
        </w:tc>
        <w:tc>
          <w:tcPr>
            <w:tcW w:w="734" w:type="dxa"/>
            <w:tcBorders>
              <w:top w:val="nil"/>
              <w:left w:val="nil"/>
              <w:bottom w:val="nil"/>
              <w:right w:val="single" w:sz="4" w:space="0" w:color="auto"/>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7.5</w:t>
            </w:r>
          </w:p>
        </w:tc>
      </w:tr>
      <w:tr w:rsidR="00597B2A" w:rsidRPr="002E1618" w:rsidTr="00597B2A">
        <w:trPr>
          <w:trHeight w:val="259"/>
        </w:trPr>
        <w:tc>
          <w:tcPr>
            <w:tcW w:w="3409" w:type="dxa"/>
            <w:tcBorders>
              <w:top w:val="nil"/>
              <w:left w:val="single" w:sz="4" w:space="0" w:color="auto"/>
              <w:bottom w:val="nil"/>
              <w:right w:val="single" w:sz="4" w:space="0" w:color="auto"/>
            </w:tcBorders>
            <w:shd w:val="clear" w:color="000000" w:fill="D7DDE9"/>
            <w:noWrap/>
            <w:vAlign w:val="center"/>
            <w:hideMark/>
          </w:tcPr>
          <w:p w:rsidR="00597B2A" w:rsidRDefault="00597B2A" w:rsidP="00044B49">
            <w:pPr>
              <w:spacing w:before="0" w:after="0"/>
              <w:rPr>
                <w:rFonts w:ascii="Arial" w:hAnsi="Arial" w:cs="Arial"/>
                <w:b/>
                <w:bCs/>
                <w:color w:val="000000"/>
                <w:sz w:val="14"/>
                <w:szCs w:val="14"/>
              </w:rPr>
            </w:pPr>
            <w:r>
              <w:rPr>
                <w:rFonts w:ascii="Arial" w:hAnsi="Arial" w:cs="Arial"/>
                <w:b/>
                <w:bCs/>
                <w:color w:val="000000"/>
                <w:sz w:val="14"/>
                <w:szCs w:val="14"/>
              </w:rPr>
              <w:t>Carer income support</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1.8</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2.2</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2.5</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2.7</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3.0</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3.6</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4.5</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4.1</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5.1</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5.7</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6.2</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7.0</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7.6</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8.3</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9.0</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9.8</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10.3</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10.8</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11.3</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11.9</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12.4</w:t>
            </w:r>
          </w:p>
        </w:tc>
        <w:tc>
          <w:tcPr>
            <w:tcW w:w="734" w:type="dxa"/>
            <w:tcBorders>
              <w:top w:val="nil"/>
              <w:left w:val="nil"/>
              <w:bottom w:val="nil"/>
              <w:right w:val="nil"/>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13.0</w:t>
            </w:r>
          </w:p>
        </w:tc>
        <w:tc>
          <w:tcPr>
            <w:tcW w:w="734" w:type="dxa"/>
            <w:tcBorders>
              <w:top w:val="nil"/>
              <w:left w:val="nil"/>
              <w:bottom w:val="nil"/>
              <w:right w:val="single" w:sz="4" w:space="0" w:color="auto"/>
            </w:tcBorders>
            <w:shd w:val="clear" w:color="000000" w:fill="D7DDE9"/>
            <w:noWrap/>
            <w:vAlign w:val="center"/>
            <w:hideMark/>
          </w:tcPr>
          <w:p w:rsidR="00597B2A" w:rsidRDefault="00597B2A" w:rsidP="00597B2A">
            <w:pPr>
              <w:spacing w:before="0" w:after="0"/>
              <w:jc w:val="center"/>
              <w:rPr>
                <w:rFonts w:ascii="Arial" w:hAnsi="Arial" w:cs="Arial"/>
                <w:color w:val="000000"/>
                <w:sz w:val="14"/>
                <w:szCs w:val="14"/>
              </w:rPr>
            </w:pPr>
            <w:r>
              <w:rPr>
                <w:rFonts w:ascii="Arial" w:hAnsi="Arial" w:cs="Arial"/>
                <w:color w:val="000000"/>
                <w:sz w:val="14"/>
                <w:szCs w:val="14"/>
              </w:rPr>
              <w:t>13.5</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auto" w:fill="auto"/>
            <w:noWrap/>
            <w:vAlign w:val="center"/>
            <w:hideMark/>
          </w:tcPr>
          <w:p w:rsidR="00044B49" w:rsidRDefault="00044B49" w:rsidP="00044B49">
            <w:pPr>
              <w:spacing w:before="0" w:after="0"/>
              <w:rPr>
                <w:rFonts w:ascii="Arial" w:hAnsi="Arial" w:cs="Arial"/>
                <w:b/>
                <w:bCs/>
                <w:color w:val="000000"/>
                <w:sz w:val="14"/>
                <w:szCs w:val="14"/>
              </w:rPr>
            </w:pPr>
            <w:r>
              <w:rPr>
                <w:rFonts w:ascii="Arial" w:hAnsi="Arial" w:cs="Arial"/>
                <w:b/>
                <w:bCs/>
                <w:color w:val="000000"/>
                <w:sz w:val="14"/>
                <w:szCs w:val="14"/>
              </w:rPr>
              <w:t>Child care</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1.4</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1.4</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5.6</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7.4</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8.4</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8.9</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10.8</w:t>
            </w:r>
          </w:p>
        </w:tc>
        <w:tc>
          <w:tcPr>
            <w:tcW w:w="734" w:type="dxa"/>
            <w:tcBorders>
              <w:top w:val="nil"/>
              <w:left w:val="nil"/>
              <w:bottom w:val="nil"/>
              <w:right w:val="single" w:sz="4" w:space="0" w:color="auto"/>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11.3</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000000" w:fill="D7DDE9"/>
            <w:noWrap/>
            <w:vAlign w:val="center"/>
            <w:hideMark/>
          </w:tcPr>
          <w:p w:rsidR="00044B49" w:rsidRDefault="00044B49" w:rsidP="00044B49">
            <w:pPr>
              <w:spacing w:before="0" w:after="0"/>
              <w:rPr>
                <w:rFonts w:ascii="Arial" w:hAnsi="Arial" w:cs="Arial"/>
                <w:b/>
                <w:bCs/>
                <w:color w:val="000000"/>
                <w:sz w:val="14"/>
                <w:szCs w:val="14"/>
              </w:rPr>
            </w:pPr>
            <w:r>
              <w:rPr>
                <w:rFonts w:ascii="Arial" w:hAnsi="Arial" w:cs="Arial"/>
                <w:b/>
                <w:bCs/>
                <w:color w:val="000000"/>
                <w:sz w:val="14"/>
                <w:szCs w:val="14"/>
              </w:rPr>
              <w:t>Fuel Tax Credit Scheme</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11.1</w:t>
            </w:r>
          </w:p>
        </w:tc>
        <w:tc>
          <w:tcPr>
            <w:tcW w:w="734" w:type="dxa"/>
            <w:tcBorders>
              <w:top w:val="nil"/>
              <w:left w:val="nil"/>
              <w:bottom w:val="nil"/>
              <w:right w:val="single" w:sz="4" w:space="0" w:color="auto"/>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11.8</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auto" w:fill="auto"/>
            <w:noWrap/>
            <w:vAlign w:val="center"/>
            <w:hideMark/>
          </w:tcPr>
          <w:p w:rsidR="00044B49" w:rsidRDefault="00044B49" w:rsidP="00044B49">
            <w:pPr>
              <w:spacing w:before="0" w:after="0"/>
              <w:rPr>
                <w:rFonts w:ascii="Arial" w:hAnsi="Arial" w:cs="Arial"/>
                <w:b/>
                <w:bCs/>
                <w:color w:val="000000"/>
                <w:sz w:val="14"/>
                <w:szCs w:val="14"/>
              </w:rPr>
            </w:pPr>
            <w:r>
              <w:rPr>
                <w:rFonts w:ascii="Arial" w:hAnsi="Arial" w:cs="Arial"/>
                <w:b/>
                <w:bCs/>
                <w:color w:val="000000"/>
                <w:sz w:val="14"/>
                <w:szCs w:val="14"/>
              </w:rPr>
              <w:t>Government superannuation</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8.7</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9.4</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13.7</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13.2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12.3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12.6</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12.8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13.1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13.2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13.4</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13.8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14.1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14.3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14.6</w:t>
            </w:r>
          </w:p>
        </w:tc>
        <w:tc>
          <w:tcPr>
            <w:tcW w:w="734" w:type="dxa"/>
            <w:tcBorders>
              <w:top w:val="nil"/>
              <w:left w:val="nil"/>
              <w:bottom w:val="nil"/>
              <w:right w:val="single" w:sz="4" w:space="0" w:color="auto"/>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14.9</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000000" w:fill="D7DDE9"/>
            <w:noWrap/>
            <w:vAlign w:val="center"/>
            <w:hideMark/>
          </w:tcPr>
          <w:p w:rsidR="00044B49" w:rsidRDefault="00044B49" w:rsidP="00044B49">
            <w:pPr>
              <w:spacing w:before="0" w:after="0"/>
              <w:rPr>
                <w:rFonts w:ascii="Arial" w:hAnsi="Arial" w:cs="Arial"/>
                <w:b/>
                <w:bCs/>
                <w:color w:val="000000"/>
                <w:sz w:val="14"/>
                <w:szCs w:val="14"/>
              </w:rPr>
            </w:pPr>
            <w:r>
              <w:rPr>
                <w:rFonts w:ascii="Arial" w:hAnsi="Arial" w:cs="Arial"/>
                <w:b/>
                <w:bCs/>
                <w:color w:val="000000"/>
                <w:sz w:val="14"/>
                <w:szCs w:val="14"/>
              </w:rPr>
              <w:t>Family Tax Benefit</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12.9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12.8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13.5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14.0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14.1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17.3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18.0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18.0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18.3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18.9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17.6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17.6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16.8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17.6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18.4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20.0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20.8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21.7</w:t>
            </w:r>
          </w:p>
        </w:tc>
        <w:tc>
          <w:tcPr>
            <w:tcW w:w="734" w:type="dxa"/>
            <w:tcBorders>
              <w:top w:val="nil"/>
              <w:left w:val="nil"/>
              <w:bottom w:val="nil"/>
              <w:right w:val="single" w:sz="4" w:space="0" w:color="auto"/>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22.5</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auto" w:fill="auto"/>
            <w:noWrap/>
            <w:vAlign w:val="center"/>
            <w:hideMark/>
          </w:tcPr>
          <w:p w:rsidR="00044B49" w:rsidRDefault="00044B49" w:rsidP="00044B49">
            <w:pPr>
              <w:spacing w:before="0" w:after="0"/>
              <w:rPr>
                <w:rFonts w:ascii="Arial" w:hAnsi="Arial" w:cs="Arial"/>
                <w:b/>
                <w:bCs/>
                <w:color w:val="000000"/>
                <w:sz w:val="14"/>
                <w:szCs w:val="14"/>
              </w:rPr>
            </w:pPr>
            <w:r>
              <w:rPr>
                <w:rFonts w:ascii="Arial" w:hAnsi="Arial" w:cs="Arial"/>
                <w:b/>
                <w:bCs/>
                <w:color w:val="000000"/>
                <w:sz w:val="14"/>
                <w:szCs w:val="14"/>
              </w:rPr>
              <w:t>Private Health Insurance Rebate</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2.9</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4.9</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5.7</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5.4</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5.7</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6.7</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8.7</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9.1</w:t>
            </w:r>
          </w:p>
        </w:tc>
        <w:tc>
          <w:tcPr>
            <w:tcW w:w="734" w:type="dxa"/>
            <w:tcBorders>
              <w:top w:val="nil"/>
              <w:left w:val="nil"/>
              <w:bottom w:val="nil"/>
              <w:right w:val="single" w:sz="4" w:space="0" w:color="auto"/>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9.6</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000000" w:fill="D7DDE9"/>
            <w:noWrap/>
            <w:vAlign w:val="center"/>
            <w:hideMark/>
          </w:tcPr>
          <w:p w:rsidR="00044B49" w:rsidRDefault="00044B49" w:rsidP="00103B5F">
            <w:pPr>
              <w:spacing w:before="0" w:after="0"/>
              <w:rPr>
                <w:rFonts w:ascii="Arial" w:hAnsi="Arial" w:cs="Arial"/>
                <w:b/>
                <w:bCs/>
                <w:color w:val="000000"/>
                <w:sz w:val="14"/>
                <w:szCs w:val="14"/>
              </w:rPr>
            </w:pPr>
            <w:r>
              <w:rPr>
                <w:rFonts w:ascii="Arial" w:hAnsi="Arial" w:cs="Arial"/>
                <w:b/>
                <w:bCs/>
                <w:color w:val="000000"/>
                <w:sz w:val="14"/>
                <w:szCs w:val="14"/>
              </w:rPr>
              <w:t xml:space="preserve">Higher </w:t>
            </w:r>
            <w:r w:rsidR="00103B5F">
              <w:rPr>
                <w:rFonts w:ascii="Arial" w:hAnsi="Arial" w:cs="Arial"/>
                <w:b/>
                <w:bCs/>
                <w:color w:val="000000"/>
                <w:sz w:val="14"/>
                <w:szCs w:val="14"/>
              </w:rPr>
              <w:t>e</w:t>
            </w:r>
            <w:r>
              <w:rPr>
                <w:rFonts w:ascii="Arial" w:hAnsi="Arial" w:cs="Arial"/>
                <w:b/>
                <w:bCs/>
                <w:color w:val="000000"/>
                <w:sz w:val="14"/>
                <w:szCs w:val="14"/>
              </w:rPr>
              <w:t>ducation</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12.2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12.9</w:t>
            </w:r>
          </w:p>
        </w:tc>
        <w:tc>
          <w:tcPr>
            <w:tcW w:w="734" w:type="dxa"/>
            <w:tcBorders>
              <w:top w:val="nil"/>
              <w:left w:val="nil"/>
              <w:bottom w:val="nil"/>
              <w:right w:val="single" w:sz="4" w:space="0" w:color="auto"/>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13.6</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auto" w:fill="auto"/>
            <w:noWrap/>
            <w:vAlign w:val="center"/>
            <w:hideMark/>
          </w:tcPr>
          <w:p w:rsidR="00044B49" w:rsidRDefault="00044B49" w:rsidP="00044B49">
            <w:pPr>
              <w:spacing w:before="0" w:after="0"/>
              <w:rPr>
                <w:rFonts w:ascii="Arial" w:hAnsi="Arial" w:cs="Arial"/>
                <w:b/>
                <w:bCs/>
                <w:color w:val="000000"/>
                <w:sz w:val="14"/>
                <w:szCs w:val="14"/>
              </w:rPr>
            </w:pPr>
            <w:proofErr w:type="spellStart"/>
            <w:r>
              <w:rPr>
                <w:rFonts w:ascii="Arial" w:hAnsi="Arial" w:cs="Arial"/>
                <w:b/>
                <w:bCs/>
                <w:color w:val="000000"/>
                <w:sz w:val="14"/>
                <w:szCs w:val="14"/>
              </w:rPr>
              <w:t>Newstart</w:t>
            </w:r>
            <w:proofErr w:type="spellEnd"/>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4.6</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4.9</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6.6</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9.5</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10.6</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11.2</w:t>
            </w:r>
          </w:p>
        </w:tc>
        <w:tc>
          <w:tcPr>
            <w:tcW w:w="734" w:type="dxa"/>
            <w:tcBorders>
              <w:top w:val="nil"/>
              <w:left w:val="nil"/>
              <w:bottom w:val="nil"/>
              <w:right w:val="single" w:sz="4" w:space="0" w:color="auto"/>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11.5</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000000" w:fill="D7DDE9"/>
            <w:noWrap/>
            <w:vAlign w:val="center"/>
            <w:hideMark/>
          </w:tcPr>
          <w:p w:rsidR="00044B49" w:rsidRDefault="00044B49" w:rsidP="00044B49">
            <w:pPr>
              <w:spacing w:before="0" w:after="0"/>
              <w:rPr>
                <w:rFonts w:ascii="Arial" w:hAnsi="Arial" w:cs="Arial"/>
                <w:b/>
                <w:bCs/>
                <w:color w:val="000000"/>
                <w:sz w:val="14"/>
                <w:szCs w:val="14"/>
              </w:rPr>
            </w:pPr>
            <w:r>
              <w:rPr>
                <w:rFonts w:ascii="Arial" w:hAnsi="Arial" w:cs="Arial"/>
                <w:b/>
                <w:bCs/>
                <w:color w:val="000000"/>
                <w:sz w:val="14"/>
                <w:szCs w:val="14"/>
              </w:rPr>
              <w:t>Public debt interest</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12.5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13.5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14.7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16.1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17.2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17.9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19.3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18.7</w:t>
            </w:r>
          </w:p>
        </w:tc>
        <w:tc>
          <w:tcPr>
            <w:tcW w:w="734" w:type="dxa"/>
            <w:tcBorders>
              <w:top w:val="nil"/>
              <w:left w:val="nil"/>
              <w:bottom w:val="nil"/>
              <w:right w:val="single" w:sz="4" w:space="0" w:color="auto"/>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17.8</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auto" w:fill="auto"/>
            <w:noWrap/>
            <w:vAlign w:val="center"/>
            <w:hideMark/>
          </w:tcPr>
          <w:p w:rsidR="00044B49" w:rsidRDefault="00044B49" w:rsidP="00044B49">
            <w:pPr>
              <w:spacing w:before="0" w:after="0"/>
              <w:rPr>
                <w:rFonts w:ascii="Arial" w:hAnsi="Arial" w:cs="Arial"/>
                <w:b/>
                <w:bCs/>
                <w:color w:val="000000"/>
                <w:sz w:val="14"/>
                <w:szCs w:val="14"/>
              </w:rPr>
            </w:pPr>
            <w:r>
              <w:rPr>
                <w:rFonts w:ascii="Arial" w:hAnsi="Arial" w:cs="Arial"/>
                <w:b/>
                <w:bCs/>
                <w:color w:val="000000"/>
                <w:sz w:val="14"/>
                <w:szCs w:val="14"/>
              </w:rPr>
              <w:t>Official Development Assistance</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2.6</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3.8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4.4</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4.9</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5.1</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5.2</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5.3</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5.4</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5.6</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5.7</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5.8</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6.0</w:t>
            </w:r>
          </w:p>
        </w:tc>
        <w:tc>
          <w:tcPr>
            <w:tcW w:w="734" w:type="dxa"/>
            <w:tcBorders>
              <w:top w:val="nil"/>
              <w:left w:val="nil"/>
              <w:bottom w:val="nil"/>
              <w:right w:val="nil"/>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6.1</w:t>
            </w:r>
          </w:p>
        </w:tc>
        <w:tc>
          <w:tcPr>
            <w:tcW w:w="734" w:type="dxa"/>
            <w:tcBorders>
              <w:top w:val="nil"/>
              <w:left w:val="nil"/>
              <w:bottom w:val="nil"/>
              <w:right w:val="single" w:sz="4" w:space="0" w:color="auto"/>
            </w:tcBorders>
            <w:shd w:val="clear" w:color="auto" w:fill="auto"/>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6.3</w:t>
            </w:r>
          </w:p>
        </w:tc>
      </w:tr>
      <w:tr w:rsidR="00044B49" w:rsidRPr="002E1618" w:rsidTr="00044B49">
        <w:trPr>
          <w:trHeight w:val="259"/>
        </w:trPr>
        <w:tc>
          <w:tcPr>
            <w:tcW w:w="3409" w:type="dxa"/>
            <w:tcBorders>
              <w:top w:val="nil"/>
              <w:left w:val="single" w:sz="4" w:space="0" w:color="auto"/>
              <w:bottom w:val="nil"/>
              <w:right w:val="single" w:sz="4" w:space="0" w:color="auto"/>
            </w:tcBorders>
            <w:shd w:val="clear" w:color="000000" w:fill="D7DDE9"/>
            <w:noWrap/>
            <w:vAlign w:val="center"/>
            <w:hideMark/>
          </w:tcPr>
          <w:p w:rsidR="00044B49" w:rsidRDefault="00044B49" w:rsidP="00044B49">
            <w:pPr>
              <w:spacing w:before="0" w:after="0"/>
              <w:rPr>
                <w:rFonts w:ascii="Arial" w:hAnsi="Arial" w:cs="Arial"/>
                <w:b/>
                <w:bCs/>
                <w:color w:val="000000"/>
                <w:sz w:val="14"/>
                <w:szCs w:val="14"/>
              </w:rPr>
            </w:pPr>
            <w:r>
              <w:rPr>
                <w:rFonts w:ascii="Arial" w:hAnsi="Arial" w:cs="Arial"/>
                <w:b/>
                <w:bCs/>
                <w:color w:val="000000"/>
                <w:sz w:val="14"/>
                <w:szCs w:val="14"/>
              </w:rPr>
              <w:t>Pharmaceutical benefits and services</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5.5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6.9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7.5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8.8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9.5</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9.1</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9.6</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9.8</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10.3</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10.9</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11.2</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11.4</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11.7</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12.0</w:t>
            </w:r>
          </w:p>
        </w:tc>
        <w:tc>
          <w:tcPr>
            <w:tcW w:w="734" w:type="dxa"/>
            <w:tcBorders>
              <w:top w:val="nil"/>
              <w:left w:val="nil"/>
              <w:bottom w:val="nil"/>
              <w:right w:val="nil"/>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12.3</w:t>
            </w:r>
          </w:p>
        </w:tc>
        <w:tc>
          <w:tcPr>
            <w:tcW w:w="734" w:type="dxa"/>
            <w:tcBorders>
              <w:top w:val="nil"/>
              <w:left w:val="nil"/>
              <w:bottom w:val="nil"/>
              <w:right w:val="single" w:sz="4" w:space="0" w:color="auto"/>
            </w:tcBorders>
            <w:shd w:val="clear" w:color="000000" w:fill="D7DDE9"/>
            <w:noWrap/>
            <w:vAlign w:val="center"/>
            <w:hideMark/>
          </w:tcPr>
          <w:p w:rsidR="00044B49" w:rsidRDefault="00044B49" w:rsidP="00044B49">
            <w:pPr>
              <w:spacing w:before="0" w:after="0"/>
              <w:jc w:val="center"/>
              <w:rPr>
                <w:rFonts w:ascii="Arial" w:hAnsi="Arial" w:cs="Arial"/>
                <w:color w:val="000000"/>
                <w:sz w:val="14"/>
                <w:szCs w:val="14"/>
              </w:rPr>
            </w:pPr>
            <w:r>
              <w:rPr>
                <w:rFonts w:ascii="Arial" w:hAnsi="Arial" w:cs="Arial"/>
                <w:color w:val="000000"/>
                <w:sz w:val="14"/>
                <w:szCs w:val="14"/>
              </w:rPr>
              <w:t>12.6</w:t>
            </w:r>
          </w:p>
        </w:tc>
      </w:tr>
      <w:tr w:rsidR="00044B49" w:rsidRPr="002E1618" w:rsidTr="00044B49">
        <w:trPr>
          <w:trHeight w:val="259"/>
        </w:trPr>
        <w:tc>
          <w:tcPr>
            <w:tcW w:w="340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044B49" w:rsidRDefault="00044B49" w:rsidP="00044B49">
            <w:pPr>
              <w:spacing w:before="0" w:after="0"/>
              <w:rPr>
                <w:rFonts w:ascii="Arial" w:hAnsi="Arial" w:cs="Arial"/>
                <w:b/>
                <w:bCs/>
                <w:sz w:val="14"/>
                <w:szCs w:val="14"/>
              </w:rPr>
            </w:pPr>
            <w:r>
              <w:rPr>
                <w:rFonts w:ascii="Arial" w:hAnsi="Arial" w:cs="Arial"/>
                <w:b/>
                <w:bCs/>
                <w:sz w:val="14"/>
                <w:szCs w:val="14"/>
              </w:rPr>
              <w:t>Sub-total of above</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142.1</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152.3</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162.7</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169.4</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181.9</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195.8</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213.0</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232.3</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248.9</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265.1</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277.3</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297.4</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313.4</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329.3</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349.5</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372.6</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399.2</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419.7</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441.4</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462.1</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485.8</w:t>
            </w:r>
          </w:p>
        </w:tc>
        <w:tc>
          <w:tcPr>
            <w:tcW w:w="734" w:type="dxa"/>
            <w:tcBorders>
              <w:top w:val="single" w:sz="4" w:space="0" w:color="auto"/>
              <w:left w:val="nil"/>
              <w:bottom w:val="single" w:sz="4" w:space="0" w:color="auto"/>
              <w:right w:val="nil"/>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507.7</w:t>
            </w:r>
          </w:p>
        </w:tc>
        <w:tc>
          <w:tcPr>
            <w:tcW w:w="734" w:type="dxa"/>
            <w:tcBorders>
              <w:top w:val="single" w:sz="4" w:space="0" w:color="auto"/>
              <w:left w:val="nil"/>
              <w:bottom w:val="single" w:sz="4" w:space="0" w:color="auto"/>
              <w:right w:val="single" w:sz="4" w:space="0" w:color="auto"/>
            </w:tcBorders>
            <w:shd w:val="clear" w:color="000000" w:fill="C5D9F1"/>
            <w:noWrap/>
            <w:vAlign w:val="center"/>
            <w:hideMark/>
          </w:tcPr>
          <w:p w:rsidR="00044B49" w:rsidRDefault="00044B49" w:rsidP="00044B49">
            <w:pPr>
              <w:spacing w:before="0" w:after="0"/>
              <w:jc w:val="center"/>
              <w:rPr>
                <w:rFonts w:ascii="Arial" w:hAnsi="Arial" w:cs="Arial"/>
                <w:b/>
                <w:bCs/>
                <w:sz w:val="14"/>
                <w:szCs w:val="14"/>
              </w:rPr>
            </w:pPr>
            <w:r>
              <w:rPr>
                <w:rFonts w:ascii="Arial" w:hAnsi="Arial" w:cs="Arial"/>
                <w:b/>
                <w:bCs/>
                <w:sz w:val="14"/>
                <w:szCs w:val="14"/>
              </w:rPr>
              <w:t>531.2</w:t>
            </w:r>
          </w:p>
        </w:tc>
      </w:tr>
      <w:tr w:rsidR="00044B49" w:rsidRPr="002E1618" w:rsidTr="00044B49">
        <w:trPr>
          <w:trHeight w:val="259"/>
        </w:trPr>
        <w:tc>
          <w:tcPr>
            <w:tcW w:w="3409" w:type="dxa"/>
            <w:tcBorders>
              <w:top w:val="nil"/>
              <w:left w:val="single" w:sz="4" w:space="0" w:color="auto"/>
              <w:bottom w:val="single" w:sz="4" w:space="0" w:color="auto"/>
              <w:right w:val="single" w:sz="4" w:space="0" w:color="auto"/>
            </w:tcBorders>
            <w:shd w:val="clear" w:color="000000" w:fill="0070C0"/>
            <w:noWrap/>
            <w:vAlign w:val="center"/>
            <w:hideMark/>
          </w:tcPr>
          <w:p w:rsidR="00044B49" w:rsidRDefault="00044B49" w:rsidP="00044B49">
            <w:pPr>
              <w:spacing w:before="0" w:after="0"/>
              <w:rPr>
                <w:rFonts w:ascii="Arial" w:hAnsi="Arial" w:cs="Arial"/>
                <w:b/>
                <w:bCs/>
                <w:color w:val="FFFFFF"/>
                <w:sz w:val="14"/>
                <w:szCs w:val="14"/>
              </w:rPr>
            </w:pPr>
            <w:r>
              <w:rPr>
                <w:rFonts w:ascii="Arial" w:hAnsi="Arial" w:cs="Arial"/>
                <w:b/>
                <w:bCs/>
                <w:color w:val="FFFFFF"/>
                <w:sz w:val="14"/>
                <w:szCs w:val="14"/>
              </w:rPr>
              <w:t>Total spending</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201.5</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216.0</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230.3</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244.8</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261.6</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282.8</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328.7</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346.6</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361.7</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382.9</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383.6</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419.3</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417.2</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431.8</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456.4</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479.4</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510.9</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532.8</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560.8</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589.6</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619.7</w:t>
            </w:r>
          </w:p>
        </w:tc>
        <w:tc>
          <w:tcPr>
            <w:tcW w:w="734" w:type="dxa"/>
            <w:tcBorders>
              <w:top w:val="nil"/>
              <w:left w:val="nil"/>
              <w:bottom w:val="single" w:sz="4" w:space="0" w:color="auto"/>
              <w:right w:val="nil"/>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650.8</w:t>
            </w:r>
          </w:p>
        </w:tc>
        <w:tc>
          <w:tcPr>
            <w:tcW w:w="734" w:type="dxa"/>
            <w:tcBorders>
              <w:top w:val="nil"/>
              <w:left w:val="nil"/>
              <w:bottom w:val="single" w:sz="4" w:space="0" w:color="auto"/>
              <w:right w:val="single" w:sz="4" w:space="0" w:color="auto"/>
            </w:tcBorders>
            <w:shd w:val="clear" w:color="000000" w:fill="0070C0"/>
            <w:noWrap/>
            <w:vAlign w:val="center"/>
            <w:hideMark/>
          </w:tcPr>
          <w:p w:rsidR="00044B49" w:rsidRDefault="00044B49" w:rsidP="00044B49">
            <w:pPr>
              <w:spacing w:before="0" w:after="0"/>
              <w:jc w:val="center"/>
              <w:rPr>
                <w:rFonts w:ascii="Arial" w:hAnsi="Arial" w:cs="Arial"/>
                <w:b/>
                <w:bCs/>
                <w:color w:val="FFFFFF"/>
                <w:sz w:val="14"/>
                <w:szCs w:val="14"/>
              </w:rPr>
            </w:pPr>
            <w:r>
              <w:rPr>
                <w:rFonts w:ascii="Arial" w:hAnsi="Arial" w:cs="Arial"/>
                <w:b/>
                <w:bCs/>
                <w:color w:val="FFFFFF"/>
                <w:sz w:val="14"/>
                <w:szCs w:val="14"/>
              </w:rPr>
              <w:t>681.9</w:t>
            </w:r>
          </w:p>
        </w:tc>
      </w:tr>
    </w:tbl>
    <w:p w:rsidR="003F577D" w:rsidRDefault="003F577D" w:rsidP="00933068">
      <w:pPr>
        <w:pStyle w:val="PBOsource"/>
        <w:spacing w:before="0" w:after="0"/>
      </w:pPr>
      <w:r>
        <w:t>Source: Australian Government Budgets and PBO Analysis</w:t>
      </w:r>
    </w:p>
    <w:p w:rsidR="003F577D" w:rsidRDefault="000C50C3" w:rsidP="00CE15BA">
      <w:pPr>
        <w:pStyle w:val="PBOfiguretableheading"/>
      </w:pPr>
      <w:r>
        <w:t xml:space="preserve">Table </w:t>
      </w:r>
      <w:r w:rsidR="00C32066">
        <w:t>B</w:t>
      </w:r>
      <w:r>
        <w:t xml:space="preserve">.2: </w:t>
      </w:r>
      <w:r w:rsidR="0041170E">
        <w:t>Impact</w:t>
      </w:r>
      <w:r w:rsidR="00DF22AB">
        <w:t xml:space="preserve"> of 2014-15 Budget measures yet to be legislated</w:t>
      </w:r>
      <w:r w:rsidR="0041170E" w:rsidRPr="0041170E">
        <w:t xml:space="preserve"> </w:t>
      </w:r>
      <w:r w:rsidR="0041170E">
        <w:t>on spending programs discussed in this report</w:t>
      </w:r>
    </w:p>
    <w:tbl>
      <w:tblPr>
        <w:tblW w:w="20209" w:type="dxa"/>
        <w:tblInd w:w="108" w:type="dxa"/>
        <w:tblLook w:val="04A0" w:firstRow="1" w:lastRow="0" w:firstColumn="1" w:lastColumn="0" w:noHBand="0" w:noVBand="1"/>
      </w:tblPr>
      <w:tblGrid>
        <w:gridCol w:w="3396"/>
        <w:gridCol w:w="731"/>
        <w:gridCol w:w="731"/>
        <w:gridCol w:w="731"/>
        <w:gridCol w:w="731"/>
        <w:gridCol w:w="731"/>
        <w:gridCol w:w="731"/>
        <w:gridCol w:w="731"/>
        <w:gridCol w:w="731"/>
        <w:gridCol w:w="731"/>
        <w:gridCol w:w="731"/>
        <w:gridCol w:w="731"/>
        <w:gridCol w:w="731"/>
        <w:gridCol w:w="731"/>
        <w:gridCol w:w="731"/>
        <w:gridCol w:w="731"/>
        <w:gridCol w:w="731"/>
        <w:gridCol w:w="731"/>
        <w:gridCol w:w="731"/>
        <w:gridCol w:w="731"/>
        <w:gridCol w:w="731"/>
        <w:gridCol w:w="731"/>
        <w:gridCol w:w="731"/>
        <w:gridCol w:w="731"/>
      </w:tblGrid>
      <w:tr w:rsidR="002E1618" w:rsidRPr="0042419B" w:rsidTr="00777EE0">
        <w:trPr>
          <w:trHeight w:val="257"/>
        </w:trPr>
        <w:tc>
          <w:tcPr>
            <w:tcW w:w="3396"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2E1618" w:rsidRPr="0042419B" w:rsidRDefault="002E1618" w:rsidP="0042419B">
            <w:pPr>
              <w:spacing w:before="0" w:after="0"/>
              <w:rPr>
                <w:rFonts w:ascii="Arial" w:eastAsia="Times New Roman" w:hAnsi="Arial" w:cs="Arial"/>
                <w:b/>
                <w:bCs/>
                <w:color w:val="FFFFFF"/>
                <w:sz w:val="14"/>
                <w:szCs w:val="14"/>
              </w:rPr>
            </w:pPr>
            <w:r w:rsidRPr="0042419B">
              <w:rPr>
                <w:rFonts w:ascii="Arial" w:eastAsia="Times New Roman" w:hAnsi="Arial" w:cs="Arial"/>
                <w:b/>
                <w:bCs/>
                <w:color w:val="FFFFFF"/>
                <w:sz w:val="14"/>
                <w:szCs w:val="14"/>
              </w:rPr>
              <w:t>Nominal ($ b)</w:t>
            </w:r>
          </w:p>
        </w:tc>
        <w:tc>
          <w:tcPr>
            <w:tcW w:w="731" w:type="dxa"/>
            <w:tcBorders>
              <w:top w:val="single" w:sz="4" w:space="0" w:color="auto"/>
              <w:left w:val="nil"/>
              <w:bottom w:val="single" w:sz="4" w:space="0" w:color="auto"/>
              <w:right w:val="nil"/>
            </w:tcBorders>
            <w:shd w:val="clear" w:color="000000" w:fill="0070C0"/>
            <w:noWrap/>
            <w:vAlign w:val="center"/>
          </w:tcPr>
          <w:p w:rsidR="002E1618" w:rsidRPr="0042419B" w:rsidRDefault="002E1618" w:rsidP="0042419B">
            <w:pPr>
              <w:spacing w:before="0" w:after="0"/>
              <w:jc w:val="center"/>
              <w:rPr>
                <w:rFonts w:ascii="Arial" w:eastAsia="Times New Roman" w:hAnsi="Arial" w:cs="Arial"/>
                <w:b/>
                <w:bCs/>
                <w:color w:val="FFFFFF"/>
                <w:sz w:val="14"/>
                <w:szCs w:val="14"/>
              </w:rPr>
            </w:pPr>
          </w:p>
        </w:tc>
        <w:tc>
          <w:tcPr>
            <w:tcW w:w="731" w:type="dxa"/>
            <w:tcBorders>
              <w:top w:val="single" w:sz="4" w:space="0" w:color="auto"/>
              <w:left w:val="nil"/>
              <w:bottom w:val="single" w:sz="4" w:space="0" w:color="auto"/>
              <w:right w:val="nil"/>
            </w:tcBorders>
            <w:shd w:val="clear" w:color="000000" w:fill="0070C0"/>
            <w:noWrap/>
            <w:vAlign w:val="center"/>
          </w:tcPr>
          <w:p w:rsidR="002E1618" w:rsidRPr="0042419B" w:rsidRDefault="002E1618" w:rsidP="0042419B">
            <w:pPr>
              <w:spacing w:before="0" w:after="0"/>
              <w:jc w:val="center"/>
              <w:rPr>
                <w:rFonts w:ascii="Arial" w:eastAsia="Times New Roman" w:hAnsi="Arial" w:cs="Arial"/>
                <w:b/>
                <w:bCs/>
                <w:color w:val="FFFFFF"/>
                <w:sz w:val="14"/>
                <w:szCs w:val="14"/>
              </w:rPr>
            </w:pPr>
          </w:p>
        </w:tc>
        <w:tc>
          <w:tcPr>
            <w:tcW w:w="731" w:type="dxa"/>
            <w:tcBorders>
              <w:top w:val="single" w:sz="4" w:space="0" w:color="auto"/>
              <w:left w:val="nil"/>
              <w:bottom w:val="single" w:sz="4" w:space="0" w:color="auto"/>
              <w:right w:val="nil"/>
            </w:tcBorders>
            <w:shd w:val="clear" w:color="000000" w:fill="0070C0"/>
            <w:noWrap/>
            <w:vAlign w:val="center"/>
          </w:tcPr>
          <w:p w:rsidR="002E1618" w:rsidRPr="0042419B" w:rsidRDefault="002E1618" w:rsidP="0042419B">
            <w:pPr>
              <w:spacing w:before="0" w:after="0"/>
              <w:jc w:val="center"/>
              <w:rPr>
                <w:rFonts w:ascii="Arial" w:eastAsia="Times New Roman" w:hAnsi="Arial" w:cs="Arial"/>
                <w:b/>
                <w:bCs/>
                <w:color w:val="FFFFFF"/>
                <w:sz w:val="14"/>
                <w:szCs w:val="14"/>
              </w:rPr>
            </w:pPr>
          </w:p>
        </w:tc>
        <w:tc>
          <w:tcPr>
            <w:tcW w:w="731" w:type="dxa"/>
            <w:tcBorders>
              <w:top w:val="single" w:sz="4" w:space="0" w:color="auto"/>
              <w:left w:val="nil"/>
              <w:bottom w:val="single" w:sz="4" w:space="0" w:color="auto"/>
              <w:right w:val="nil"/>
            </w:tcBorders>
            <w:shd w:val="clear" w:color="000000" w:fill="0070C0"/>
            <w:noWrap/>
            <w:vAlign w:val="center"/>
          </w:tcPr>
          <w:p w:rsidR="002E1618" w:rsidRPr="0042419B" w:rsidRDefault="002E1618" w:rsidP="0042419B">
            <w:pPr>
              <w:spacing w:before="0" w:after="0"/>
              <w:jc w:val="center"/>
              <w:rPr>
                <w:rFonts w:ascii="Arial" w:eastAsia="Times New Roman" w:hAnsi="Arial" w:cs="Arial"/>
                <w:b/>
                <w:bCs/>
                <w:color w:val="FFFFFF"/>
                <w:sz w:val="14"/>
                <w:szCs w:val="14"/>
              </w:rPr>
            </w:pPr>
          </w:p>
        </w:tc>
        <w:tc>
          <w:tcPr>
            <w:tcW w:w="731" w:type="dxa"/>
            <w:tcBorders>
              <w:top w:val="single" w:sz="4" w:space="0" w:color="auto"/>
              <w:left w:val="nil"/>
              <w:bottom w:val="single" w:sz="4" w:space="0" w:color="auto"/>
              <w:right w:val="nil"/>
            </w:tcBorders>
            <w:shd w:val="clear" w:color="000000" w:fill="0070C0"/>
            <w:noWrap/>
            <w:vAlign w:val="center"/>
          </w:tcPr>
          <w:p w:rsidR="002E1618" w:rsidRPr="0042419B" w:rsidRDefault="002E1618" w:rsidP="0042419B">
            <w:pPr>
              <w:spacing w:before="0" w:after="0"/>
              <w:jc w:val="center"/>
              <w:rPr>
                <w:rFonts w:ascii="Arial" w:eastAsia="Times New Roman" w:hAnsi="Arial" w:cs="Arial"/>
                <w:b/>
                <w:bCs/>
                <w:color w:val="FFFFFF"/>
                <w:sz w:val="14"/>
                <w:szCs w:val="14"/>
              </w:rPr>
            </w:pPr>
          </w:p>
        </w:tc>
        <w:tc>
          <w:tcPr>
            <w:tcW w:w="731" w:type="dxa"/>
            <w:tcBorders>
              <w:top w:val="single" w:sz="4" w:space="0" w:color="auto"/>
              <w:left w:val="nil"/>
              <w:bottom w:val="single" w:sz="4" w:space="0" w:color="auto"/>
              <w:right w:val="nil"/>
            </w:tcBorders>
            <w:shd w:val="clear" w:color="000000" w:fill="0070C0"/>
            <w:noWrap/>
            <w:vAlign w:val="center"/>
          </w:tcPr>
          <w:p w:rsidR="002E1618" w:rsidRPr="0042419B" w:rsidRDefault="002E1618" w:rsidP="0042419B">
            <w:pPr>
              <w:spacing w:before="0" w:after="0"/>
              <w:jc w:val="center"/>
              <w:rPr>
                <w:rFonts w:ascii="Arial" w:eastAsia="Times New Roman" w:hAnsi="Arial" w:cs="Arial"/>
                <w:b/>
                <w:bCs/>
                <w:color w:val="FFFFFF"/>
                <w:sz w:val="14"/>
                <w:szCs w:val="14"/>
              </w:rPr>
            </w:pPr>
          </w:p>
        </w:tc>
        <w:tc>
          <w:tcPr>
            <w:tcW w:w="731" w:type="dxa"/>
            <w:tcBorders>
              <w:top w:val="single" w:sz="4" w:space="0" w:color="auto"/>
              <w:left w:val="nil"/>
              <w:bottom w:val="single" w:sz="4" w:space="0" w:color="auto"/>
              <w:right w:val="nil"/>
            </w:tcBorders>
            <w:shd w:val="clear" w:color="000000" w:fill="0070C0"/>
            <w:noWrap/>
            <w:vAlign w:val="center"/>
          </w:tcPr>
          <w:p w:rsidR="002E1618" w:rsidRPr="0042419B" w:rsidRDefault="002E1618" w:rsidP="0042419B">
            <w:pPr>
              <w:spacing w:before="0" w:after="0"/>
              <w:jc w:val="center"/>
              <w:rPr>
                <w:rFonts w:ascii="Arial" w:eastAsia="Times New Roman" w:hAnsi="Arial" w:cs="Arial"/>
                <w:b/>
                <w:bCs/>
                <w:color w:val="FFFFFF"/>
                <w:sz w:val="14"/>
                <w:szCs w:val="14"/>
              </w:rPr>
            </w:pPr>
          </w:p>
        </w:tc>
        <w:tc>
          <w:tcPr>
            <w:tcW w:w="731" w:type="dxa"/>
            <w:tcBorders>
              <w:top w:val="single" w:sz="4" w:space="0" w:color="auto"/>
              <w:left w:val="nil"/>
              <w:bottom w:val="single" w:sz="4" w:space="0" w:color="auto"/>
              <w:right w:val="nil"/>
            </w:tcBorders>
            <w:shd w:val="clear" w:color="000000" w:fill="0070C0"/>
            <w:noWrap/>
            <w:vAlign w:val="center"/>
          </w:tcPr>
          <w:p w:rsidR="002E1618" w:rsidRPr="0042419B" w:rsidRDefault="002E1618" w:rsidP="0042419B">
            <w:pPr>
              <w:spacing w:before="0" w:after="0"/>
              <w:jc w:val="center"/>
              <w:rPr>
                <w:rFonts w:ascii="Arial" w:eastAsia="Times New Roman" w:hAnsi="Arial" w:cs="Arial"/>
                <w:b/>
                <w:bCs/>
                <w:color w:val="FFFFFF"/>
                <w:sz w:val="14"/>
                <w:szCs w:val="14"/>
              </w:rPr>
            </w:pPr>
          </w:p>
        </w:tc>
        <w:tc>
          <w:tcPr>
            <w:tcW w:w="731" w:type="dxa"/>
            <w:tcBorders>
              <w:top w:val="single" w:sz="4" w:space="0" w:color="auto"/>
              <w:left w:val="nil"/>
              <w:bottom w:val="single" w:sz="4" w:space="0" w:color="auto"/>
              <w:right w:val="nil"/>
            </w:tcBorders>
            <w:shd w:val="clear" w:color="000000" w:fill="0070C0"/>
            <w:noWrap/>
            <w:vAlign w:val="center"/>
          </w:tcPr>
          <w:p w:rsidR="002E1618" w:rsidRPr="0042419B" w:rsidRDefault="002E1618" w:rsidP="0042419B">
            <w:pPr>
              <w:spacing w:before="0" w:after="0"/>
              <w:jc w:val="center"/>
              <w:rPr>
                <w:rFonts w:ascii="Arial" w:eastAsia="Times New Roman" w:hAnsi="Arial" w:cs="Arial"/>
                <w:b/>
                <w:bCs/>
                <w:color w:val="FFFFFF"/>
                <w:sz w:val="14"/>
                <w:szCs w:val="14"/>
              </w:rPr>
            </w:pPr>
          </w:p>
        </w:tc>
        <w:tc>
          <w:tcPr>
            <w:tcW w:w="731" w:type="dxa"/>
            <w:tcBorders>
              <w:top w:val="single" w:sz="4" w:space="0" w:color="auto"/>
              <w:left w:val="nil"/>
              <w:bottom w:val="single" w:sz="4" w:space="0" w:color="auto"/>
              <w:right w:val="nil"/>
            </w:tcBorders>
            <w:shd w:val="clear" w:color="000000" w:fill="0070C0"/>
            <w:noWrap/>
            <w:vAlign w:val="center"/>
          </w:tcPr>
          <w:p w:rsidR="002E1618" w:rsidRPr="0042419B" w:rsidRDefault="002E1618" w:rsidP="0042419B">
            <w:pPr>
              <w:spacing w:before="0" w:after="0"/>
              <w:jc w:val="center"/>
              <w:rPr>
                <w:rFonts w:ascii="Arial" w:eastAsia="Times New Roman" w:hAnsi="Arial" w:cs="Arial"/>
                <w:b/>
                <w:bCs/>
                <w:color w:val="FFFFFF"/>
                <w:sz w:val="14"/>
                <w:szCs w:val="14"/>
              </w:rPr>
            </w:pPr>
          </w:p>
        </w:tc>
        <w:tc>
          <w:tcPr>
            <w:tcW w:w="731" w:type="dxa"/>
            <w:tcBorders>
              <w:top w:val="single" w:sz="4" w:space="0" w:color="auto"/>
              <w:left w:val="nil"/>
              <w:bottom w:val="single" w:sz="4" w:space="0" w:color="auto"/>
              <w:right w:val="nil"/>
            </w:tcBorders>
            <w:shd w:val="clear" w:color="000000" w:fill="0070C0"/>
            <w:noWrap/>
            <w:vAlign w:val="center"/>
          </w:tcPr>
          <w:p w:rsidR="002E1618" w:rsidRPr="0042419B" w:rsidRDefault="002E1618" w:rsidP="0042419B">
            <w:pPr>
              <w:spacing w:before="0" w:after="0"/>
              <w:jc w:val="center"/>
              <w:rPr>
                <w:rFonts w:ascii="Arial" w:eastAsia="Times New Roman" w:hAnsi="Arial" w:cs="Arial"/>
                <w:b/>
                <w:bCs/>
                <w:color w:val="FFFFFF"/>
                <w:sz w:val="14"/>
                <w:szCs w:val="14"/>
              </w:rPr>
            </w:pPr>
          </w:p>
        </w:tc>
        <w:tc>
          <w:tcPr>
            <w:tcW w:w="731" w:type="dxa"/>
            <w:tcBorders>
              <w:top w:val="single" w:sz="4" w:space="0" w:color="auto"/>
              <w:left w:val="nil"/>
              <w:bottom w:val="single" w:sz="4" w:space="0" w:color="auto"/>
              <w:right w:val="nil"/>
            </w:tcBorders>
            <w:shd w:val="clear" w:color="000000" w:fill="0070C0"/>
            <w:noWrap/>
            <w:vAlign w:val="center"/>
          </w:tcPr>
          <w:p w:rsidR="002E1618" w:rsidRPr="0042419B" w:rsidRDefault="002E1618" w:rsidP="0042419B">
            <w:pPr>
              <w:spacing w:before="0" w:after="0"/>
              <w:jc w:val="center"/>
              <w:rPr>
                <w:rFonts w:ascii="Arial" w:eastAsia="Times New Roman" w:hAnsi="Arial" w:cs="Arial"/>
                <w:b/>
                <w:bCs/>
                <w:color w:val="FFFFFF"/>
                <w:sz w:val="14"/>
                <w:szCs w:val="14"/>
              </w:rPr>
            </w:pPr>
          </w:p>
        </w:tc>
        <w:tc>
          <w:tcPr>
            <w:tcW w:w="731" w:type="dxa"/>
            <w:tcBorders>
              <w:top w:val="single" w:sz="4" w:space="0" w:color="auto"/>
              <w:left w:val="nil"/>
              <w:bottom w:val="single" w:sz="4" w:space="0" w:color="auto"/>
              <w:right w:val="nil"/>
            </w:tcBorders>
            <w:shd w:val="clear" w:color="000000" w:fill="0070C0"/>
            <w:noWrap/>
            <w:vAlign w:val="center"/>
            <w:hideMark/>
          </w:tcPr>
          <w:p w:rsidR="002E1618" w:rsidRPr="0042419B" w:rsidRDefault="002E1618" w:rsidP="0042419B">
            <w:pPr>
              <w:spacing w:before="0" w:after="0"/>
              <w:jc w:val="center"/>
              <w:rPr>
                <w:rFonts w:ascii="Arial" w:eastAsia="Times New Roman" w:hAnsi="Arial" w:cs="Arial"/>
                <w:b/>
                <w:bCs/>
                <w:color w:val="FFFFFF"/>
                <w:sz w:val="14"/>
                <w:szCs w:val="14"/>
              </w:rPr>
            </w:pPr>
            <w:r w:rsidRPr="0042419B">
              <w:rPr>
                <w:rFonts w:ascii="Arial" w:eastAsia="Times New Roman" w:hAnsi="Arial" w:cs="Arial"/>
                <w:b/>
                <w:bCs/>
                <w:color w:val="FFFFFF"/>
                <w:sz w:val="14"/>
                <w:szCs w:val="14"/>
              </w:rPr>
              <w:t>2014-15</w:t>
            </w:r>
          </w:p>
        </w:tc>
        <w:tc>
          <w:tcPr>
            <w:tcW w:w="731" w:type="dxa"/>
            <w:tcBorders>
              <w:top w:val="single" w:sz="4" w:space="0" w:color="auto"/>
              <w:left w:val="nil"/>
              <w:bottom w:val="single" w:sz="4" w:space="0" w:color="auto"/>
              <w:right w:val="nil"/>
            </w:tcBorders>
            <w:shd w:val="clear" w:color="000000" w:fill="0070C0"/>
            <w:noWrap/>
            <w:vAlign w:val="center"/>
            <w:hideMark/>
          </w:tcPr>
          <w:p w:rsidR="002E1618" w:rsidRPr="0042419B" w:rsidRDefault="002E1618" w:rsidP="0042419B">
            <w:pPr>
              <w:spacing w:before="0" w:after="0"/>
              <w:jc w:val="center"/>
              <w:rPr>
                <w:rFonts w:ascii="Arial" w:eastAsia="Times New Roman" w:hAnsi="Arial" w:cs="Arial"/>
                <w:b/>
                <w:bCs/>
                <w:color w:val="FFFFFF"/>
                <w:sz w:val="14"/>
                <w:szCs w:val="14"/>
              </w:rPr>
            </w:pPr>
            <w:r w:rsidRPr="0042419B">
              <w:rPr>
                <w:rFonts w:ascii="Arial" w:eastAsia="Times New Roman" w:hAnsi="Arial" w:cs="Arial"/>
                <w:b/>
                <w:bCs/>
                <w:color w:val="FFFFFF"/>
                <w:sz w:val="14"/>
                <w:szCs w:val="14"/>
              </w:rPr>
              <w:t>2015-16</w:t>
            </w:r>
          </w:p>
        </w:tc>
        <w:tc>
          <w:tcPr>
            <w:tcW w:w="731" w:type="dxa"/>
            <w:tcBorders>
              <w:top w:val="single" w:sz="4" w:space="0" w:color="auto"/>
              <w:left w:val="nil"/>
              <w:bottom w:val="single" w:sz="4" w:space="0" w:color="auto"/>
              <w:right w:val="nil"/>
            </w:tcBorders>
            <w:shd w:val="clear" w:color="000000" w:fill="0070C0"/>
            <w:noWrap/>
            <w:vAlign w:val="center"/>
            <w:hideMark/>
          </w:tcPr>
          <w:p w:rsidR="002E1618" w:rsidRPr="0042419B" w:rsidRDefault="002E1618" w:rsidP="0042419B">
            <w:pPr>
              <w:spacing w:before="0" w:after="0"/>
              <w:jc w:val="center"/>
              <w:rPr>
                <w:rFonts w:ascii="Arial" w:eastAsia="Times New Roman" w:hAnsi="Arial" w:cs="Arial"/>
                <w:b/>
                <w:bCs/>
                <w:color w:val="FFFFFF"/>
                <w:sz w:val="14"/>
                <w:szCs w:val="14"/>
              </w:rPr>
            </w:pPr>
            <w:r w:rsidRPr="0042419B">
              <w:rPr>
                <w:rFonts w:ascii="Arial" w:eastAsia="Times New Roman" w:hAnsi="Arial" w:cs="Arial"/>
                <w:b/>
                <w:bCs/>
                <w:color w:val="FFFFFF"/>
                <w:sz w:val="14"/>
                <w:szCs w:val="14"/>
              </w:rPr>
              <w:t>2016-17</w:t>
            </w:r>
          </w:p>
        </w:tc>
        <w:tc>
          <w:tcPr>
            <w:tcW w:w="731" w:type="dxa"/>
            <w:tcBorders>
              <w:top w:val="single" w:sz="4" w:space="0" w:color="auto"/>
              <w:left w:val="nil"/>
              <w:bottom w:val="single" w:sz="4" w:space="0" w:color="auto"/>
              <w:right w:val="nil"/>
            </w:tcBorders>
            <w:shd w:val="clear" w:color="000000" w:fill="0070C0"/>
            <w:noWrap/>
            <w:vAlign w:val="center"/>
            <w:hideMark/>
          </w:tcPr>
          <w:p w:rsidR="002E1618" w:rsidRPr="0042419B" w:rsidRDefault="002E1618" w:rsidP="0042419B">
            <w:pPr>
              <w:spacing w:before="0" w:after="0"/>
              <w:jc w:val="center"/>
              <w:rPr>
                <w:rFonts w:ascii="Arial" w:eastAsia="Times New Roman" w:hAnsi="Arial" w:cs="Arial"/>
                <w:b/>
                <w:bCs/>
                <w:color w:val="FFFFFF"/>
                <w:sz w:val="14"/>
                <w:szCs w:val="14"/>
              </w:rPr>
            </w:pPr>
            <w:r w:rsidRPr="0042419B">
              <w:rPr>
                <w:rFonts w:ascii="Arial" w:eastAsia="Times New Roman" w:hAnsi="Arial" w:cs="Arial"/>
                <w:b/>
                <w:bCs/>
                <w:color w:val="FFFFFF"/>
                <w:sz w:val="14"/>
                <w:szCs w:val="14"/>
              </w:rPr>
              <w:t>2017-18</w:t>
            </w:r>
          </w:p>
        </w:tc>
        <w:tc>
          <w:tcPr>
            <w:tcW w:w="731" w:type="dxa"/>
            <w:tcBorders>
              <w:top w:val="single" w:sz="4" w:space="0" w:color="auto"/>
              <w:left w:val="nil"/>
              <w:bottom w:val="single" w:sz="4" w:space="0" w:color="auto"/>
              <w:right w:val="nil"/>
            </w:tcBorders>
            <w:shd w:val="clear" w:color="000000" w:fill="0070C0"/>
            <w:noWrap/>
            <w:vAlign w:val="center"/>
            <w:hideMark/>
          </w:tcPr>
          <w:p w:rsidR="002E1618" w:rsidRPr="0042419B" w:rsidRDefault="002E1618" w:rsidP="0042419B">
            <w:pPr>
              <w:spacing w:before="0" w:after="0"/>
              <w:jc w:val="center"/>
              <w:rPr>
                <w:rFonts w:ascii="Arial" w:eastAsia="Times New Roman" w:hAnsi="Arial" w:cs="Arial"/>
                <w:b/>
                <w:bCs/>
                <w:color w:val="FFFFFF"/>
                <w:sz w:val="14"/>
                <w:szCs w:val="14"/>
              </w:rPr>
            </w:pPr>
            <w:r w:rsidRPr="0042419B">
              <w:rPr>
                <w:rFonts w:ascii="Arial" w:eastAsia="Times New Roman" w:hAnsi="Arial" w:cs="Arial"/>
                <w:b/>
                <w:bCs/>
                <w:color w:val="FFFFFF"/>
                <w:sz w:val="14"/>
                <w:szCs w:val="14"/>
              </w:rPr>
              <w:t>2018-19</w:t>
            </w:r>
          </w:p>
        </w:tc>
        <w:tc>
          <w:tcPr>
            <w:tcW w:w="731" w:type="dxa"/>
            <w:tcBorders>
              <w:top w:val="single" w:sz="4" w:space="0" w:color="auto"/>
              <w:left w:val="nil"/>
              <w:bottom w:val="single" w:sz="4" w:space="0" w:color="auto"/>
              <w:right w:val="nil"/>
            </w:tcBorders>
            <w:shd w:val="clear" w:color="000000" w:fill="0070C0"/>
            <w:noWrap/>
            <w:vAlign w:val="center"/>
            <w:hideMark/>
          </w:tcPr>
          <w:p w:rsidR="002E1618" w:rsidRPr="0042419B" w:rsidRDefault="002E1618" w:rsidP="0042419B">
            <w:pPr>
              <w:spacing w:before="0" w:after="0"/>
              <w:jc w:val="center"/>
              <w:rPr>
                <w:rFonts w:ascii="Arial" w:eastAsia="Times New Roman" w:hAnsi="Arial" w:cs="Arial"/>
                <w:b/>
                <w:bCs/>
                <w:color w:val="FFFFFF"/>
                <w:sz w:val="14"/>
                <w:szCs w:val="14"/>
              </w:rPr>
            </w:pPr>
            <w:r w:rsidRPr="0042419B">
              <w:rPr>
                <w:rFonts w:ascii="Arial" w:eastAsia="Times New Roman" w:hAnsi="Arial" w:cs="Arial"/>
                <w:b/>
                <w:bCs/>
                <w:color w:val="FFFFFF"/>
                <w:sz w:val="14"/>
                <w:szCs w:val="14"/>
              </w:rPr>
              <w:t>2019-20</w:t>
            </w:r>
          </w:p>
        </w:tc>
        <w:tc>
          <w:tcPr>
            <w:tcW w:w="731" w:type="dxa"/>
            <w:tcBorders>
              <w:top w:val="single" w:sz="4" w:space="0" w:color="auto"/>
              <w:left w:val="nil"/>
              <w:bottom w:val="single" w:sz="4" w:space="0" w:color="auto"/>
              <w:right w:val="nil"/>
            </w:tcBorders>
            <w:shd w:val="clear" w:color="000000" w:fill="0070C0"/>
            <w:noWrap/>
            <w:vAlign w:val="center"/>
            <w:hideMark/>
          </w:tcPr>
          <w:p w:rsidR="002E1618" w:rsidRPr="0042419B" w:rsidRDefault="002E1618" w:rsidP="0042419B">
            <w:pPr>
              <w:spacing w:before="0" w:after="0"/>
              <w:jc w:val="center"/>
              <w:rPr>
                <w:rFonts w:ascii="Arial" w:eastAsia="Times New Roman" w:hAnsi="Arial" w:cs="Arial"/>
                <w:b/>
                <w:bCs/>
                <w:color w:val="FFFFFF"/>
                <w:sz w:val="14"/>
                <w:szCs w:val="14"/>
              </w:rPr>
            </w:pPr>
            <w:r w:rsidRPr="0042419B">
              <w:rPr>
                <w:rFonts w:ascii="Arial" w:eastAsia="Times New Roman" w:hAnsi="Arial" w:cs="Arial"/>
                <w:b/>
                <w:bCs/>
                <w:color w:val="FFFFFF"/>
                <w:sz w:val="14"/>
                <w:szCs w:val="14"/>
              </w:rPr>
              <w:t>2020-21</w:t>
            </w:r>
          </w:p>
        </w:tc>
        <w:tc>
          <w:tcPr>
            <w:tcW w:w="731" w:type="dxa"/>
            <w:tcBorders>
              <w:top w:val="single" w:sz="4" w:space="0" w:color="auto"/>
              <w:left w:val="nil"/>
              <w:bottom w:val="single" w:sz="4" w:space="0" w:color="auto"/>
              <w:right w:val="nil"/>
            </w:tcBorders>
            <w:shd w:val="clear" w:color="000000" w:fill="0070C0"/>
            <w:noWrap/>
            <w:vAlign w:val="center"/>
            <w:hideMark/>
          </w:tcPr>
          <w:p w:rsidR="002E1618" w:rsidRPr="0042419B" w:rsidRDefault="002E1618" w:rsidP="0042419B">
            <w:pPr>
              <w:spacing w:before="0" w:after="0"/>
              <w:jc w:val="center"/>
              <w:rPr>
                <w:rFonts w:ascii="Arial" w:eastAsia="Times New Roman" w:hAnsi="Arial" w:cs="Arial"/>
                <w:b/>
                <w:bCs/>
                <w:color w:val="FFFFFF"/>
                <w:sz w:val="14"/>
                <w:szCs w:val="14"/>
              </w:rPr>
            </w:pPr>
            <w:r w:rsidRPr="0042419B">
              <w:rPr>
                <w:rFonts w:ascii="Arial" w:eastAsia="Times New Roman" w:hAnsi="Arial" w:cs="Arial"/>
                <w:b/>
                <w:bCs/>
                <w:color w:val="FFFFFF"/>
                <w:sz w:val="14"/>
                <w:szCs w:val="14"/>
              </w:rPr>
              <w:t>2021-22</w:t>
            </w:r>
          </w:p>
        </w:tc>
        <w:tc>
          <w:tcPr>
            <w:tcW w:w="731" w:type="dxa"/>
            <w:tcBorders>
              <w:top w:val="single" w:sz="4" w:space="0" w:color="auto"/>
              <w:left w:val="nil"/>
              <w:bottom w:val="single" w:sz="4" w:space="0" w:color="auto"/>
              <w:right w:val="nil"/>
            </w:tcBorders>
            <w:shd w:val="clear" w:color="000000" w:fill="0070C0"/>
            <w:noWrap/>
            <w:vAlign w:val="center"/>
            <w:hideMark/>
          </w:tcPr>
          <w:p w:rsidR="002E1618" w:rsidRPr="0042419B" w:rsidRDefault="002E1618" w:rsidP="0042419B">
            <w:pPr>
              <w:spacing w:before="0" w:after="0"/>
              <w:jc w:val="center"/>
              <w:rPr>
                <w:rFonts w:ascii="Arial" w:eastAsia="Times New Roman" w:hAnsi="Arial" w:cs="Arial"/>
                <w:b/>
                <w:bCs/>
                <w:color w:val="FFFFFF"/>
                <w:sz w:val="14"/>
                <w:szCs w:val="14"/>
              </w:rPr>
            </w:pPr>
            <w:r w:rsidRPr="0042419B">
              <w:rPr>
                <w:rFonts w:ascii="Arial" w:eastAsia="Times New Roman" w:hAnsi="Arial" w:cs="Arial"/>
                <w:b/>
                <w:bCs/>
                <w:color w:val="FFFFFF"/>
                <w:sz w:val="14"/>
                <w:szCs w:val="14"/>
              </w:rPr>
              <w:t>2022-23</w:t>
            </w:r>
          </w:p>
        </w:tc>
        <w:tc>
          <w:tcPr>
            <w:tcW w:w="731" w:type="dxa"/>
            <w:tcBorders>
              <w:top w:val="single" w:sz="4" w:space="0" w:color="auto"/>
              <w:left w:val="nil"/>
              <w:bottom w:val="single" w:sz="4" w:space="0" w:color="auto"/>
              <w:right w:val="nil"/>
            </w:tcBorders>
            <w:shd w:val="clear" w:color="000000" w:fill="0070C0"/>
            <w:noWrap/>
            <w:vAlign w:val="center"/>
            <w:hideMark/>
          </w:tcPr>
          <w:p w:rsidR="002E1618" w:rsidRPr="0042419B" w:rsidRDefault="002E1618" w:rsidP="0042419B">
            <w:pPr>
              <w:spacing w:before="0" w:after="0"/>
              <w:jc w:val="center"/>
              <w:rPr>
                <w:rFonts w:ascii="Arial" w:eastAsia="Times New Roman" w:hAnsi="Arial" w:cs="Arial"/>
                <w:b/>
                <w:bCs/>
                <w:color w:val="FFFFFF"/>
                <w:sz w:val="14"/>
                <w:szCs w:val="14"/>
              </w:rPr>
            </w:pPr>
            <w:r w:rsidRPr="0042419B">
              <w:rPr>
                <w:rFonts w:ascii="Arial" w:eastAsia="Times New Roman" w:hAnsi="Arial" w:cs="Arial"/>
                <w:b/>
                <w:bCs/>
                <w:color w:val="FFFFFF"/>
                <w:sz w:val="14"/>
                <w:szCs w:val="14"/>
              </w:rPr>
              <w:t>2023-24</w:t>
            </w:r>
          </w:p>
        </w:tc>
        <w:tc>
          <w:tcPr>
            <w:tcW w:w="731" w:type="dxa"/>
            <w:tcBorders>
              <w:top w:val="single" w:sz="4" w:space="0" w:color="auto"/>
              <w:left w:val="nil"/>
              <w:bottom w:val="single" w:sz="4" w:space="0" w:color="auto"/>
              <w:right w:val="single" w:sz="4" w:space="0" w:color="auto"/>
            </w:tcBorders>
            <w:shd w:val="clear" w:color="000000" w:fill="0070C0"/>
            <w:noWrap/>
            <w:vAlign w:val="center"/>
            <w:hideMark/>
          </w:tcPr>
          <w:p w:rsidR="002E1618" w:rsidRPr="0042419B" w:rsidRDefault="002E1618" w:rsidP="0042419B">
            <w:pPr>
              <w:spacing w:before="0" w:after="0"/>
              <w:jc w:val="center"/>
              <w:rPr>
                <w:rFonts w:ascii="Arial" w:eastAsia="Times New Roman" w:hAnsi="Arial" w:cs="Arial"/>
                <w:b/>
                <w:bCs/>
                <w:color w:val="FFFFFF"/>
                <w:sz w:val="14"/>
                <w:szCs w:val="14"/>
              </w:rPr>
            </w:pPr>
            <w:r w:rsidRPr="0042419B">
              <w:rPr>
                <w:rFonts w:ascii="Arial" w:eastAsia="Times New Roman" w:hAnsi="Arial" w:cs="Arial"/>
                <w:b/>
                <w:bCs/>
                <w:color w:val="FFFFFF"/>
                <w:sz w:val="14"/>
                <w:szCs w:val="14"/>
              </w:rPr>
              <w:t>2024-25</w:t>
            </w:r>
          </w:p>
        </w:tc>
      </w:tr>
      <w:tr w:rsidR="0042419B" w:rsidRPr="0042419B" w:rsidTr="0042419B">
        <w:trPr>
          <w:trHeight w:val="257"/>
        </w:trPr>
        <w:tc>
          <w:tcPr>
            <w:tcW w:w="3396" w:type="dxa"/>
            <w:tcBorders>
              <w:top w:val="nil"/>
              <w:left w:val="single" w:sz="4" w:space="0" w:color="auto"/>
              <w:bottom w:val="nil"/>
              <w:right w:val="single" w:sz="4" w:space="0" w:color="auto"/>
            </w:tcBorders>
            <w:shd w:val="clear" w:color="000000" w:fill="D7DDE9"/>
            <w:noWrap/>
            <w:vAlign w:val="center"/>
            <w:hideMark/>
          </w:tcPr>
          <w:p w:rsidR="0042419B" w:rsidRPr="0042419B" w:rsidRDefault="0042419B" w:rsidP="0042419B">
            <w:pPr>
              <w:spacing w:before="0" w:after="0"/>
              <w:rPr>
                <w:rFonts w:ascii="Arial" w:hAnsi="Arial" w:cs="Arial"/>
                <w:b/>
                <w:bCs/>
                <w:color w:val="000000"/>
                <w:sz w:val="14"/>
                <w:szCs w:val="14"/>
              </w:rPr>
            </w:pPr>
            <w:r w:rsidRPr="0042419B">
              <w:rPr>
                <w:rFonts w:ascii="Arial" w:hAnsi="Arial" w:cs="Arial"/>
                <w:b/>
                <w:bCs/>
                <w:color w:val="000000"/>
                <w:sz w:val="14"/>
                <w:szCs w:val="14"/>
              </w:rPr>
              <w:t>Age Pension</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0.0</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0.0</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0.0</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-0.2</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-0.7</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-1.4</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-2.0</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-2.9</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-4.1</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-5.2</w:t>
            </w:r>
          </w:p>
        </w:tc>
        <w:tc>
          <w:tcPr>
            <w:tcW w:w="731" w:type="dxa"/>
            <w:tcBorders>
              <w:top w:val="nil"/>
              <w:left w:val="nil"/>
              <w:bottom w:val="nil"/>
              <w:right w:val="single" w:sz="4" w:space="0" w:color="auto"/>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-6.9</w:t>
            </w:r>
          </w:p>
        </w:tc>
      </w:tr>
      <w:tr w:rsidR="0042419B" w:rsidRPr="0042419B" w:rsidTr="0042419B">
        <w:trPr>
          <w:trHeight w:val="257"/>
        </w:trPr>
        <w:tc>
          <w:tcPr>
            <w:tcW w:w="3396" w:type="dxa"/>
            <w:tcBorders>
              <w:top w:val="nil"/>
              <w:left w:val="single" w:sz="4" w:space="0" w:color="auto"/>
              <w:bottom w:val="nil"/>
              <w:right w:val="single" w:sz="4" w:space="0" w:color="auto"/>
            </w:tcBorders>
            <w:shd w:val="clear" w:color="auto" w:fill="auto"/>
            <w:noWrap/>
            <w:vAlign w:val="center"/>
            <w:hideMark/>
          </w:tcPr>
          <w:p w:rsidR="0042419B" w:rsidRPr="0042419B" w:rsidRDefault="0042419B" w:rsidP="0042419B">
            <w:pPr>
              <w:spacing w:before="0" w:after="0"/>
              <w:rPr>
                <w:rFonts w:ascii="Arial" w:hAnsi="Arial" w:cs="Arial"/>
                <w:b/>
                <w:bCs/>
                <w:color w:val="000000"/>
                <w:sz w:val="14"/>
                <w:szCs w:val="14"/>
              </w:rPr>
            </w:pPr>
            <w:r w:rsidRPr="0042419B">
              <w:rPr>
                <w:rFonts w:ascii="Arial" w:hAnsi="Arial" w:cs="Arial"/>
                <w:b/>
                <w:bCs/>
                <w:color w:val="000000"/>
                <w:sz w:val="14"/>
                <w:szCs w:val="14"/>
              </w:rPr>
              <w:t>Medicare Benefits Schedule</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-0.1</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-1.5</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-1.6</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-1.7</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-1.7</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-1.8</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-1.9</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-2.0</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-2.0</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-2.1</w:t>
            </w:r>
          </w:p>
        </w:tc>
        <w:tc>
          <w:tcPr>
            <w:tcW w:w="731" w:type="dxa"/>
            <w:tcBorders>
              <w:top w:val="nil"/>
              <w:left w:val="nil"/>
              <w:bottom w:val="nil"/>
              <w:right w:val="single" w:sz="4" w:space="0" w:color="auto"/>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-2.2</w:t>
            </w:r>
          </w:p>
        </w:tc>
      </w:tr>
      <w:tr w:rsidR="0042419B" w:rsidRPr="0042419B" w:rsidTr="0042419B">
        <w:trPr>
          <w:trHeight w:val="257"/>
        </w:trPr>
        <w:tc>
          <w:tcPr>
            <w:tcW w:w="3396" w:type="dxa"/>
            <w:tcBorders>
              <w:top w:val="nil"/>
              <w:left w:val="single" w:sz="4" w:space="0" w:color="auto"/>
              <w:bottom w:val="nil"/>
              <w:right w:val="single" w:sz="4" w:space="0" w:color="auto"/>
            </w:tcBorders>
            <w:shd w:val="clear" w:color="000000" w:fill="D7DDE9"/>
            <w:noWrap/>
            <w:vAlign w:val="center"/>
            <w:hideMark/>
          </w:tcPr>
          <w:p w:rsidR="0042419B" w:rsidRPr="0042419B" w:rsidRDefault="0042419B" w:rsidP="0042419B">
            <w:pPr>
              <w:spacing w:before="0" w:after="0"/>
              <w:rPr>
                <w:rFonts w:ascii="Arial" w:hAnsi="Arial" w:cs="Arial"/>
                <w:b/>
                <w:bCs/>
                <w:color w:val="000000"/>
                <w:sz w:val="14"/>
                <w:szCs w:val="14"/>
              </w:rPr>
            </w:pPr>
            <w:r w:rsidRPr="0042419B">
              <w:rPr>
                <w:rFonts w:ascii="Arial" w:hAnsi="Arial" w:cs="Arial"/>
                <w:b/>
                <w:bCs/>
                <w:color w:val="000000"/>
                <w:sz w:val="14"/>
                <w:szCs w:val="14"/>
              </w:rPr>
              <w:t>Disability Support Pension</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0.0</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0.0</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0.0</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-0.1</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-0.3</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-0.5</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-0.7</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-1.0</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-1.4</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-1.7</w:t>
            </w:r>
          </w:p>
        </w:tc>
        <w:tc>
          <w:tcPr>
            <w:tcW w:w="731" w:type="dxa"/>
            <w:tcBorders>
              <w:top w:val="nil"/>
              <w:left w:val="nil"/>
              <w:bottom w:val="nil"/>
              <w:right w:val="single" w:sz="4" w:space="0" w:color="auto"/>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-2.2</w:t>
            </w:r>
          </w:p>
        </w:tc>
      </w:tr>
      <w:tr w:rsidR="0042419B" w:rsidRPr="0042419B" w:rsidTr="0042419B">
        <w:trPr>
          <w:trHeight w:val="257"/>
        </w:trPr>
        <w:tc>
          <w:tcPr>
            <w:tcW w:w="3396" w:type="dxa"/>
            <w:tcBorders>
              <w:top w:val="nil"/>
              <w:left w:val="single" w:sz="4" w:space="0" w:color="auto"/>
              <w:bottom w:val="nil"/>
              <w:right w:val="single" w:sz="4" w:space="0" w:color="auto"/>
            </w:tcBorders>
            <w:shd w:val="clear" w:color="auto" w:fill="auto"/>
            <w:noWrap/>
            <w:vAlign w:val="center"/>
            <w:hideMark/>
          </w:tcPr>
          <w:p w:rsidR="0042419B" w:rsidRPr="0042419B" w:rsidRDefault="0042419B" w:rsidP="0042419B">
            <w:pPr>
              <w:spacing w:before="0" w:after="0"/>
              <w:rPr>
                <w:rFonts w:ascii="Arial" w:hAnsi="Arial" w:cs="Arial"/>
                <w:b/>
                <w:bCs/>
                <w:color w:val="000000"/>
                <w:sz w:val="14"/>
                <w:szCs w:val="14"/>
              </w:rPr>
            </w:pPr>
            <w:r w:rsidRPr="0042419B">
              <w:rPr>
                <w:rFonts w:ascii="Arial" w:hAnsi="Arial" w:cs="Arial"/>
                <w:b/>
                <w:bCs/>
                <w:color w:val="000000"/>
                <w:sz w:val="14"/>
                <w:szCs w:val="14"/>
              </w:rPr>
              <w:t>Carer income support</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0.0</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0.0</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0.0</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0.0</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-0.1</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-0.2</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-0.3</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-0.4</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-0.5</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-0.7</w:t>
            </w:r>
          </w:p>
        </w:tc>
        <w:tc>
          <w:tcPr>
            <w:tcW w:w="731" w:type="dxa"/>
            <w:tcBorders>
              <w:top w:val="nil"/>
              <w:left w:val="nil"/>
              <w:bottom w:val="nil"/>
              <w:right w:val="single" w:sz="4" w:space="0" w:color="auto"/>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-0.8</w:t>
            </w:r>
          </w:p>
        </w:tc>
      </w:tr>
      <w:tr w:rsidR="0042419B" w:rsidRPr="0042419B" w:rsidTr="0042419B">
        <w:trPr>
          <w:trHeight w:val="257"/>
        </w:trPr>
        <w:tc>
          <w:tcPr>
            <w:tcW w:w="3396" w:type="dxa"/>
            <w:tcBorders>
              <w:top w:val="nil"/>
              <w:left w:val="single" w:sz="4" w:space="0" w:color="auto"/>
              <w:bottom w:val="nil"/>
              <w:right w:val="single" w:sz="4" w:space="0" w:color="auto"/>
            </w:tcBorders>
            <w:shd w:val="clear" w:color="000000" w:fill="D7DDE9"/>
            <w:noWrap/>
            <w:vAlign w:val="center"/>
            <w:hideMark/>
          </w:tcPr>
          <w:p w:rsidR="0042419B" w:rsidRPr="0042419B" w:rsidRDefault="0042419B" w:rsidP="0042419B">
            <w:pPr>
              <w:spacing w:before="0" w:after="0"/>
              <w:rPr>
                <w:rFonts w:ascii="Arial" w:hAnsi="Arial" w:cs="Arial"/>
                <w:b/>
                <w:bCs/>
                <w:color w:val="000000"/>
                <w:sz w:val="14"/>
                <w:szCs w:val="14"/>
              </w:rPr>
            </w:pPr>
            <w:r w:rsidRPr="0042419B">
              <w:rPr>
                <w:rFonts w:ascii="Arial" w:hAnsi="Arial" w:cs="Arial"/>
                <w:b/>
                <w:bCs/>
                <w:color w:val="000000"/>
                <w:sz w:val="14"/>
                <w:szCs w:val="14"/>
              </w:rPr>
              <w:t>Child care</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0.0</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0.0</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-0.1</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-0.1</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-0.1</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-0.1</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-0.1</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-0.1</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-0.1</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-0.1</w:t>
            </w:r>
          </w:p>
        </w:tc>
        <w:tc>
          <w:tcPr>
            <w:tcW w:w="731" w:type="dxa"/>
            <w:tcBorders>
              <w:top w:val="nil"/>
              <w:left w:val="nil"/>
              <w:bottom w:val="nil"/>
              <w:right w:val="single" w:sz="4" w:space="0" w:color="auto"/>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-0.1</w:t>
            </w:r>
          </w:p>
        </w:tc>
      </w:tr>
      <w:tr w:rsidR="0042419B" w:rsidRPr="0042419B" w:rsidTr="0042419B">
        <w:trPr>
          <w:trHeight w:val="257"/>
        </w:trPr>
        <w:tc>
          <w:tcPr>
            <w:tcW w:w="3396" w:type="dxa"/>
            <w:tcBorders>
              <w:top w:val="nil"/>
              <w:left w:val="single" w:sz="4" w:space="0" w:color="auto"/>
              <w:bottom w:val="nil"/>
              <w:right w:val="single" w:sz="4" w:space="0" w:color="auto"/>
            </w:tcBorders>
            <w:shd w:val="clear" w:color="auto" w:fill="auto"/>
            <w:noWrap/>
            <w:vAlign w:val="center"/>
            <w:hideMark/>
          </w:tcPr>
          <w:p w:rsidR="0042419B" w:rsidRPr="0042419B" w:rsidRDefault="0042419B" w:rsidP="0042419B">
            <w:pPr>
              <w:spacing w:before="0" w:after="0"/>
              <w:rPr>
                <w:rFonts w:ascii="Arial" w:hAnsi="Arial" w:cs="Arial"/>
                <w:b/>
                <w:bCs/>
                <w:color w:val="000000"/>
                <w:sz w:val="14"/>
                <w:szCs w:val="14"/>
              </w:rPr>
            </w:pPr>
            <w:r w:rsidRPr="0042419B">
              <w:rPr>
                <w:rFonts w:ascii="Arial" w:hAnsi="Arial" w:cs="Arial"/>
                <w:b/>
                <w:bCs/>
                <w:color w:val="000000"/>
                <w:sz w:val="14"/>
                <w:szCs w:val="14"/>
              </w:rPr>
              <w:t>Fuel Tax Credit Scheme</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0.1</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0.4</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0.6</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0.8</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1.1</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1.4</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1.8</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2.1</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2.5</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2.9</w:t>
            </w:r>
          </w:p>
        </w:tc>
        <w:tc>
          <w:tcPr>
            <w:tcW w:w="731" w:type="dxa"/>
            <w:tcBorders>
              <w:top w:val="nil"/>
              <w:left w:val="nil"/>
              <w:bottom w:val="nil"/>
              <w:right w:val="single" w:sz="4" w:space="0" w:color="auto"/>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3.3</w:t>
            </w:r>
          </w:p>
        </w:tc>
      </w:tr>
      <w:tr w:rsidR="0042419B" w:rsidRPr="0042419B" w:rsidTr="0042419B">
        <w:trPr>
          <w:trHeight w:val="257"/>
        </w:trPr>
        <w:tc>
          <w:tcPr>
            <w:tcW w:w="3396" w:type="dxa"/>
            <w:tcBorders>
              <w:top w:val="nil"/>
              <w:left w:val="single" w:sz="4" w:space="0" w:color="auto"/>
              <w:bottom w:val="nil"/>
              <w:right w:val="single" w:sz="4" w:space="0" w:color="auto"/>
            </w:tcBorders>
            <w:shd w:val="clear" w:color="000000" w:fill="D7DDE9"/>
            <w:noWrap/>
            <w:vAlign w:val="center"/>
            <w:hideMark/>
          </w:tcPr>
          <w:p w:rsidR="0042419B" w:rsidRPr="0042419B" w:rsidRDefault="0042419B" w:rsidP="0042419B">
            <w:pPr>
              <w:spacing w:before="0" w:after="0"/>
              <w:rPr>
                <w:rFonts w:ascii="Arial" w:hAnsi="Arial" w:cs="Arial"/>
                <w:b/>
                <w:bCs/>
                <w:color w:val="000000"/>
                <w:sz w:val="14"/>
                <w:szCs w:val="14"/>
              </w:rPr>
            </w:pPr>
            <w:r w:rsidRPr="0042419B">
              <w:rPr>
                <w:rFonts w:ascii="Arial" w:hAnsi="Arial" w:cs="Arial"/>
                <w:b/>
                <w:bCs/>
                <w:color w:val="000000"/>
                <w:sz w:val="14"/>
                <w:szCs w:val="14"/>
              </w:rPr>
              <w:t>Family Tax Benefit</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-0.5</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-2.0</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-2.3</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-3.7</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-3.9</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-4.1</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-4.3</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-4.5</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-4.7</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-5.0</w:t>
            </w:r>
          </w:p>
        </w:tc>
        <w:tc>
          <w:tcPr>
            <w:tcW w:w="731" w:type="dxa"/>
            <w:tcBorders>
              <w:top w:val="nil"/>
              <w:left w:val="nil"/>
              <w:bottom w:val="nil"/>
              <w:right w:val="single" w:sz="4" w:space="0" w:color="auto"/>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-5.2</w:t>
            </w:r>
          </w:p>
        </w:tc>
      </w:tr>
      <w:tr w:rsidR="0042419B" w:rsidRPr="0042419B" w:rsidTr="0042419B">
        <w:trPr>
          <w:trHeight w:val="257"/>
        </w:trPr>
        <w:tc>
          <w:tcPr>
            <w:tcW w:w="3396" w:type="dxa"/>
            <w:tcBorders>
              <w:top w:val="nil"/>
              <w:left w:val="single" w:sz="4" w:space="0" w:color="auto"/>
              <w:bottom w:val="nil"/>
              <w:right w:val="single" w:sz="4" w:space="0" w:color="auto"/>
            </w:tcBorders>
            <w:shd w:val="clear" w:color="auto" w:fill="auto"/>
            <w:noWrap/>
            <w:vAlign w:val="center"/>
            <w:hideMark/>
          </w:tcPr>
          <w:p w:rsidR="0042419B" w:rsidRPr="0042419B" w:rsidRDefault="0042419B" w:rsidP="0042419B">
            <w:pPr>
              <w:spacing w:before="0" w:after="0"/>
              <w:rPr>
                <w:rFonts w:ascii="Arial" w:hAnsi="Arial" w:cs="Arial"/>
                <w:b/>
                <w:bCs/>
                <w:color w:val="000000"/>
                <w:sz w:val="14"/>
                <w:szCs w:val="14"/>
              </w:rPr>
            </w:pPr>
            <w:r w:rsidRPr="0042419B">
              <w:rPr>
                <w:rFonts w:ascii="Arial" w:hAnsi="Arial" w:cs="Arial"/>
                <w:b/>
                <w:bCs/>
                <w:color w:val="000000"/>
                <w:sz w:val="14"/>
                <w:szCs w:val="14"/>
              </w:rPr>
              <w:t>Private Health Insurance Rebate</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0.0</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-0.1</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-0.2</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-0.3</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-0.3</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-0.3</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-0.4</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-0.4</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-0.4</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-0.5</w:t>
            </w:r>
          </w:p>
        </w:tc>
        <w:tc>
          <w:tcPr>
            <w:tcW w:w="731" w:type="dxa"/>
            <w:tcBorders>
              <w:top w:val="nil"/>
              <w:left w:val="nil"/>
              <w:bottom w:val="nil"/>
              <w:right w:val="single" w:sz="4" w:space="0" w:color="auto"/>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-0.5</w:t>
            </w:r>
          </w:p>
        </w:tc>
      </w:tr>
      <w:tr w:rsidR="0042419B" w:rsidRPr="0042419B" w:rsidTr="0042419B">
        <w:trPr>
          <w:trHeight w:val="257"/>
        </w:trPr>
        <w:tc>
          <w:tcPr>
            <w:tcW w:w="3396" w:type="dxa"/>
            <w:tcBorders>
              <w:top w:val="nil"/>
              <w:left w:val="single" w:sz="4" w:space="0" w:color="auto"/>
              <w:bottom w:val="nil"/>
              <w:right w:val="single" w:sz="4" w:space="0" w:color="auto"/>
            </w:tcBorders>
            <w:shd w:val="clear" w:color="000000" w:fill="D7DDE9"/>
            <w:noWrap/>
            <w:vAlign w:val="center"/>
            <w:hideMark/>
          </w:tcPr>
          <w:p w:rsidR="0042419B" w:rsidRPr="0042419B" w:rsidRDefault="00103B5F" w:rsidP="0042419B">
            <w:pPr>
              <w:spacing w:before="0" w:after="0"/>
              <w:rPr>
                <w:rFonts w:ascii="Arial" w:hAnsi="Arial" w:cs="Arial"/>
                <w:b/>
                <w:bCs/>
                <w:color w:val="000000"/>
                <w:sz w:val="14"/>
                <w:szCs w:val="14"/>
              </w:rPr>
            </w:pPr>
            <w:r>
              <w:rPr>
                <w:rFonts w:ascii="Arial" w:hAnsi="Arial" w:cs="Arial"/>
                <w:b/>
                <w:bCs/>
                <w:color w:val="000000"/>
                <w:sz w:val="14"/>
                <w:szCs w:val="14"/>
              </w:rPr>
              <w:t>Higher e</w:t>
            </w:r>
            <w:r w:rsidR="0042419B" w:rsidRPr="0042419B">
              <w:rPr>
                <w:rFonts w:ascii="Arial" w:hAnsi="Arial" w:cs="Arial"/>
                <w:b/>
                <w:bCs/>
                <w:color w:val="000000"/>
                <w:sz w:val="14"/>
                <w:szCs w:val="14"/>
              </w:rPr>
              <w:t>ducation</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-0.4</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-0.7</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-1.1</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-1.4</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-1.7</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-1.8</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-2.0</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-2.1</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-2.2</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-2.3</w:t>
            </w:r>
          </w:p>
        </w:tc>
        <w:tc>
          <w:tcPr>
            <w:tcW w:w="731" w:type="dxa"/>
            <w:tcBorders>
              <w:top w:val="nil"/>
              <w:left w:val="nil"/>
              <w:bottom w:val="nil"/>
              <w:right w:val="single" w:sz="4" w:space="0" w:color="auto"/>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-2.5</w:t>
            </w:r>
          </w:p>
        </w:tc>
      </w:tr>
      <w:tr w:rsidR="0042419B" w:rsidRPr="0042419B" w:rsidTr="0042419B">
        <w:trPr>
          <w:trHeight w:val="257"/>
        </w:trPr>
        <w:tc>
          <w:tcPr>
            <w:tcW w:w="3396" w:type="dxa"/>
            <w:tcBorders>
              <w:top w:val="nil"/>
              <w:left w:val="single" w:sz="4" w:space="0" w:color="auto"/>
              <w:bottom w:val="nil"/>
              <w:right w:val="single" w:sz="4" w:space="0" w:color="auto"/>
            </w:tcBorders>
            <w:shd w:val="clear" w:color="auto" w:fill="auto"/>
            <w:noWrap/>
            <w:vAlign w:val="center"/>
            <w:hideMark/>
          </w:tcPr>
          <w:p w:rsidR="0042419B" w:rsidRPr="0042419B" w:rsidRDefault="0042419B" w:rsidP="0042419B">
            <w:pPr>
              <w:spacing w:before="0" w:after="0"/>
              <w:rPr>
                <w:rFonts w:ascii="Arial" w:hAnsi="Arial" w:cs="Arial"/>
                <w:b/>
                <w:bCs/>
                <w:color w:val="000000"/>
                <w:sz w:val="14"/>
                <w:szCs w:val="14"/>
              </w:rPr>
            </w:pPr>
            <w:proofErr w:type="spellStart"/>
            <w:r w:rsidRPr="0042419B">
              <w:rPr>
                <w:rFonts w:ascii="Arial" w:hAnsi="Arial" w:cs="Arial"/>
                <w:b/>
                <w:bCs/>
                <w:color w:val="000000"/>
                <w:sz w:val="14"/>
                <w:szCs w:val="14"/>
              </w:rPr>
              <w:t>Newstart</w:t>
            </w:r>
            <w:proofErr w:type="spellEnd"/>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-0.2</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-1.1</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-1.3</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-1.3</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-1.3</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-1.2</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-1.3</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-1.3</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-1.3</w:t>
            </w:r>
          </w:p>
        </w:tc>
        <w:tc>
          <w:tcPr>
            <w:tcW w:w="731" w:type="dxa"/>
            <w:tcBorders>
              <w:top w:val="nil"/>
              <w:left w:val="nil"/>
              <w:bottom w:val="nil"/>
              <w:right w:val="nil"/>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-1.4</w:t>
            </w:r>
          </w:p>
        </w:tc>
        <w:tc>
          <w:tcPr>
            <w:tcW w:w="731" w:type="dxa"/>
            <w:tcBorders>
              <w:top w:val="nil"/>
              <w:left w:val="nil"/>
              <w:bottom w:val="nil"/>
              <w:right w:val="single" w:sz="4" w:space="0" w:color="auto"/>
            </w:tcBorders>
            <w:shd w:val="clear" w:color="auto" w:fill="auto"/>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-1.4</w:t>
            </w:r>
          </w:p>
        </w:tc>
      </w:tr>
      <w:tr w:rsidR="0042419B" w:rsidRPr="0042419B" w:rsidTr="0042419B">
        <w:trPr>
          <w:trHeight w:val="257"/>
        </w:trPr>
        <w:tc>
          <w:tcPr>
            <w:tcW w:w="3396" w:type="dxa"/>
            <w:tcBorders>
              <w:top w:val="nil"/>
              <w:left w:val="single" w:sz="4" w:space="0" w:color="auto"/>
              <w:bottom w:val="nil"/>
              <w:right w:val="single" w:sz="4" w:space="0" w:color="auto"/>
            </w:tcBorders>
            <w:shd w:val="clear" w:color="000000" w:fill="D7DDE9"/>
            <w:noWrap/>
            <w:vAlign w:val="center"/>
            <w:hideMark/>
          </w:tcPr>
          <w:p w:rsidR="0042419B" w:rsidRPr="0042419B" w:rsidRDefault="0042419B" w:rsidP="0042419B">
            <w:pPr>
              <w:spacing w:before="0" w:after="0"/>
              <w:rPr>
                <w:rFonts w:ascii="Arial" w:hAnsi="Arial" w:cs="Arial"/>
                <w:b/>
                <w:bCs/>
                <w:color w:val="000000"/>
                <w:sz w:val="14"/>
                <w:szCs w:val="14"/>
              </w:rPr>
            </w:pPr>
            <w:r w:rsidRPr="0042419B">
              <w:rPr>
                <w:rFonts w:ascii="Arial" w:hAnsi="Arial" w:cs="Arial"/>
                <w:b/>
                <w:bCs/>
                <w:color w:val="000000"/>
                <w:sz w:val="14"/>
                <w:szCs w:val="14"/>
              </w:rPr>
              <w:t>Pharmaceutical benefits and services</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-0.1</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-0.3</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-0.4</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-0.4</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-0.5</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-0.5</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-0.5</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-0.5</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-0.5</w:t>
            </w:r>
          </w:p>
        </w:tc>
        <w:tc>
          <w:tcPr>
            <w:tcW w:w="731" w:type="dxa"/>
            <w:tcBorders>
              <w:top w:val="nil"/>
              <w:left w:val="nil"/>
              <w:bottom w:val="nil"/>
              <w:right w:val="nil"/>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-0.5</w:t>
            </w:r>
          </w:p>
        </w:tc>
        <w:tc>
          <w:tcPr>
            <w:tcW w:w="731" w:type="dxa"/>
            <w:tcBorders>
              <w:top w:val="nil"/>
              <w:left w:val="nil"/>
              <w:bottom w:val="nil"/>
              <w:right w:val="single" w:sz="4" w:space="0" w:color="auto"/>
            </w:tcBorders>
            <w:shd w:val="clear" w:color="000000" w:fill="D7DDE9"/>
            <w:noWrap/>
            <w:vAlign w:val="center"/>
            <w:hideMark/>
          </w:tcPr>
          <w:p w:rsidR="0042419B" w:rsidRPr="0042419B" w:rsidRDefault="0042419B" w:rsidP="0042419B">
            <w:pPr>
              <w:spacing w:before="0" w:after="0"/>
              <w:jc w:val="center"/>
              <w:rPr>
                <w:rFonts w:ascii="Arial" w:hAnsi="Arial" w:cs="Arial"/>
                <w:color w:val="000000"/>
                <w:sz w:val="14"/>
                <w:szCs w:val="14"/>
              </w:rPr>
            </w:pPr>
            <w:r w:rsidRPr="0042419B">
              <w:rPr>
                <w:rFonts w:ascii="Arial" w:hAnsi="Arial" w:cs="Arial"/>
                <w:color w:val="000000"/>
                <w:sz w:val="14"/>
                <w:szCs w:val="14"/>
              </w:rPr>
              <w:t>-0.5</w:t>
            </w:r>
          </w:p>
        </w:tc>
      </w:tr>
      <w:tr w:rsidR="0042419B" w:rsidRPr="0042419B" w:rsidTr="0042419B">
        <w:trPr>
          <w:trHeight w:val="257"/>
        </w:trPr>
        <w:tc>
          <w:tcPr>
            <w:tcW w:w="3396" w:type="dxa"/>
            <w:tcBorders>
              <w:top w:val="nil"/>
              <w:left w:val="single" w:sz="4" w:space="0" w:color="auto"/>
              <w:bottom w:val="single" w:sz="4" w:space="0" w:color="auto"/>
              <w:right w:val="single" w:sz="4" w:space="0" w:color="auto"/>
            </w:tcBorders>
            <w:shd w:val="clear" w:color="000000" w:fill="0070C0"/>
            <w:noWrap/>
            <w:vAlign w:val="center"/>
            <w:hideMark/>
          </w:tcPr>
          <w:p w:rsidR="0042419B" w:rsidRPr="0042419B" w:rsidRDefault="0042419B" w:rsidP="0042419B">
            <w:pPr>
              <w:spacing w:before="0" w:after="0"/>
              <w:rPr>
                <w:rFonts w:ascii="Arial" w:hAnsi="Arial" w:cs="Arial"/>
                <w:b/>
                <w:bCs/>
                <w:color w:val="FFFFFF"/>
                <w:sz w:val="14"/>
                <w:szCs w:val="14"/>
              </w:rPr>
            </w:pPr>
            <w:r w:rsidRPr="0042419B">
              <w:rPr>
                <w:rFonts w:ascii="Arial" w:hAnsi="Arial" w:cs="Arial"/>
                <w:b/>
                <w:bCs/>
                <w:color w:val="FFFFFF"/>
                <w:sz w:val="14"/>
                <w:szCs w:val="14"/>
              </w:rPr>
              <w:t>Total effect of measures</w:t>
            </w: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r w:rsidRPr="0042419B">
              <w:rPr>
                <w:rFonts w:ascii="Arial" w:hAnsi="Arial" w:cs="Arial"/>
                <w:b/>
                <w:bCs/>
                <w:color w:val="FFFFFF"/>
                <w:sz w:val="14"/>
                <w:szCs w:val="14"/>
              </w:rPr>
              <w:t>-1.3</w:t>
            </w: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r w:rsidRPr="0042419B">
              <w:rPr>
                <w:rFonts w:ascii="Arial" w:hAnsi="Arial" w:cs="Arial"/>
                <w:b/>
                <w:bCs/>
                <w:color w:val="FFFFFF"/>
                <w:sz w:val="14"/>
                <w:szCs w:val="14"/>
              </w:rPr>
              <w:t>-5.4</w:t>
            </w: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r w:rsidRPr="0042419B">
              <w:rPr>
                <w:rFonts w:ascii="Arial" w:hAnsi="Arial" w:cs="Arial"/>
                <w:b/>
                <w:bCs/>
                <w:color w:val="FFFFFF"/>
                <w:sz w:val="14"/>
                <w:szCs w:val="14"/>
              </w:rPr>
              <w:t>-6.5</w:t>
            </w: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r w:rsidRPr="0042419B">
              <w:rPr>
                <w:rFonts w:ascii="Arial" w:hAnsi="Arial" w:cs="Arial"/>
                <w:b/>
                <w:bCs/>
                <w:color w:val="FFFFFF"/>
                <w:sz w:val="14"/>
                <w:szCs w:val="14"/>
              </w:rPr>
              <w:t>-8.4</w:t>
            </w: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r w:rsidRPr="0042419B">
              <w:rPr>
                <w:rFonts w:ascii="Arial" w:hAnsi="Arial" w:cs="Arial"/>
                <w:b/>
                <w:bCs/>
                <w:color w:val="FFFFFF"/>
                <w:sz w:val="14"/>
                <w:szCs w:val="14"/>
              </w:rPr>
              <w:t>-9.4</w:t>
            </w: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r w:rsidRPr="0042419B">
              <w:rPr>
                <w:rFonts w:ascii="Arial" w:hAnsi="Arial" w:cs="Arial"/>
                <w:b/>
                <w:bCs/>
                <w:color w:val="FFFFFF"/>
                <w:sz w:val="14"/>
                <w:szCs w:val="14"/>
              </w:rPr>
              <w:t>-10.6</w:t>
            </w: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r w:rsidRPr="0042419B">
              <w:rPr>
                <w:rFonts w:ascii="Arial" w:hAnsi="Arial" w:cs="Arial"/>
                <w:b/>
                <w:bCs/>
                <w:color w:val="FFFFFF"/>
                <w:sz w:val="14"/>
                <w:szCs w:val="14"/>
              </w:rPr>
              <w:t>-11.5</w:t>
            </w: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r w:rsidRPr="0042419B">
              <w:rPr>
                <w:rFonts w:ascii="Arial" w:hAnsi="Arial" w:cs="Arial"/>
                <w:b/>
                <w:bCs/>
                <w:color w:val="FFFFFF"/>
                <w:sz w:val="14"/>
                <w:szCs w:val="14"/>
              </w:rPr>
              <w:t>-13.0</w:t>
            </w: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r w:rsidRPr="0042419B">
              <w:rPr>
                <w:rFonts w:ascii="Arial" w:hAnsi="Arial" w:cs="Arial"/>
                <w:b/>
                <w:bCs/>
                <w:color w:val="FFFFFF"/>
                <w:sz w:val="14"/>
                <w:szCs w:val="14"/>
              </w:rPr>
              <w:t>-14.9</w:t>
            </w:r>
          </w:p>
        </w:tc>
        <w:tc>
          <w:tcPr>
            <w:tcW w:w="731" w:type="dxa"/>
            <w:tcBorders>
              <w:top w:val="nil"/>
              <w:left w:val="nil"/>
              <w:bottom w:val="single" w:sz="4" w:space="0" w:color="auto"/>
              <w:right w:val="nil"/>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r w:rsidRPr="0042419B">
              <w:rPr>
                <w:rFonts w:ascii="Arial" w:hAnsi="Arial" w:cs="Arial"/>
                <w:b/>
                <w:bCs/>
                <w:color w:val="FFFFFF"/>
                <w:sz w:val="14"/>
                <w:szCs w:val="14"/>
              </w:rPr>
              <w:t>-16.6</w:t>
            </w:r>
          </w:p>
        </w:tc>
        <w:tc>
          <w:tcPr>
            <w:tcW w:w="731" w:type="dxa"/>
            <w:tcBorders>
              <w:top w:val="nil"/>
              <w:left w:val="nil"/>
              <w:bottom w:val="single" w:sz="4" w:space="0" w:color="auto"/>
              <w:right w:val="single" w:sz="4" w:space="0" w:color="auto"/>
            </w:tcBorders>
            <w:shd w:val="clear" w:color="000000" w:fill="0070C0"/>
            <w:noWrap/>
            <w:vAlign w:val="center"/>
            <w:hideMark/>
          </w:tcPr>
          <w:p w:rsidR="0042419B" w:rsidRPr="0042419B" w:rsidRDefault="0042419B" w:rsidP="0042419B">
            <w:pPr>
              <w:spacing w:before="0" w:after="0"/>
              <w:jc w:val="center"/>
              <w:rPr>
                <w:rFonts w:ascii="Arial" w:hAnsi="Arial" w:cs="Arial"/>
                <w:b/>
                <w:bCs/>
                <w:color w:val="FFFFFF"/>
                <w:sz w:val="14"/>
                <w:szCs w:val="14"/>
              </w:rPr>
            </w:pPr>
            <w:r w:rsidRPr="0042419B">
              <w:rPr>
                <w:rFonts w:ascii="Arial" w:hAnsi="Arial" w:cs="Arial"/>
                <w:b/>
                <w:bCs/>
                <w:color w:val="FFFFFF"/>
                <w:sz w:val="14"/>
                <w:szCs w:val="14"/>
              </w:rPr>
              <w:t>-19.0</w:t>
            </w:r>
          </w:p>
        </w:tc>
      </w:tr>
    </w:tbl>
    <w:p w:rsidR="002E1618" w:rsidRDefault="002E1618" w:rsidP="0042419B">
      <w:pPr>
        <w:pStyle w:val="PBOsource"/>
        <w:spacing w:before="0" w:after="0"/>
      </w:pPr>
      <w:r w:rsidRPr="006B4F9B">
        <w:t>Note: A negative sign before a number indicates a reduction in spending, while a positive number indicates an increase in spending.</w:t>
      </w:r>
    </w:p>
    <w:p w:rsidR="002E1618" w:rsidRDefault="000C50C3" w:rsidP="0042419B">
      <w:pPr>
        <w:pStyle w:val="PBOsource"/>
        <w:spacing w:before="0" w:after="0"/>
      </w:pPr>
      <w:r>
        <w:t>Source: PBO Analysis</w:t>
      </w:r>
    </w:p>
    <w:p w:rsidR="006A13B6" w:rsidRDefault="006A13B6" w:rsidP="00891443">
      <w:pPr>
        <w:pStyle w:val="PBOsource"/>
        <w:sectPr w:rsidR="006A13B6" w:rsidSect="002872B7">
          <w:headerReference w:type="first" r:id="rId66"/>
          <w:footerReference w:type="first" r:id="rId67"/>
          <w:pgSz w:w="23814" w:h="16839" w:orient="landscape" w:code="8"/>
          <w:pgMar w:top="1843" w:right="1440" w:bottom="1797" w:left="1440" w:header="709" w:footer="709" w:gutter="0"/>
          <w:cols w:space="708"/>
          <w:titlePg/>
          <w:docGrid w:linePitch="326"/>
        </w:sectPr>
      </w:pPr>
    </w:p>
    <w:p w:rsidR="00CE15BA" w:rsidRPr="006A13B6" w:rsidRDefault="006A13B6" w:rsidP="006A13B6">
      <w:pPr>
        <w:pStyle w:val="PBOtext"/>
        <w:spacing w:before="13320" w:after="0"/>
        <w:jc w:val="center"/>
        <w:rPr>
          <w:rFonts w:ascii="Georgia" w:hAnsi="Georgia"/>
          <w:color w:val="FFFFFF" w:themeColor="background1"/>
          <w:sz w:val="28"/>
          <w:szCs w:val="28"/>
        </w:rPr>
      </w:pPr>
      <w:r w:rsidRPr="006A13B6">
        <w:rPr>
          <w:rFonts w:ascii="Georgia" w:hAnsi="Georgia"/>
          <w:noProof/>
          <w:color w:val="FFFFFF" w:themeColor="background1"/>
          <w:sz w:val="28"/>
          <w:szCs w:val="28"/>
        </w:rPr>
        <mc:AlternateContent>
          <mc:Choice Requires="wps">
            <w:drawing>
              <wp:anchor distT="0" distB="0" distL="114300" distR="114300" simplePos="0" relativeHeight="251681792" behindDoc="1" locked="0" layoutInCell="1" allowOverlap="1" wp14:anchorId="0B948DCC" wp14:editId="5D107152">
                <wp:simplePos x="0" y="0"/>
                <wp:positionH relativeFrom="column">
                  <wp:posOffset>-1141095</wp:posOffset>
                </wp:positionH>
                <wp:positionV relativeFrom="page">
                  <wp:posOffset>3130550</wp:posOffset>
                </wp:positionV>
                <wp:extent cx="7560310" cy="7560310"/>
                <wp:effectExtent l="38100" t="19050" r="40640" b="78740"/>
                <wp:wrapNone/>
                <wp:docPr id="9" name="Rectangle 9"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560310"/>
                        </a:xfrm>
                        <a:prstGeom prst="rect">
                          <a:avLst/>
                        </a:prstGeom>
                        <a:solidFill>
                          <a:srgbClr val="95A4C6"/>
                        </a:solidFill>
                        <a:ln w="19050">
                          <a:no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Decorative" style="position:absolute;margin-left:-89.85pt;margin-top:246.5pt;width:595.3pt;height:595.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" fillcolor="#95a4c6" stroked="f" strokeweight="1.5pt">
                <v:shadow on="t" opacity="22938f" offset="0"/>
                <v:textbox inset=",7.2pt,,7.2pt"/>
                <w10:wrap anchory="page"/>
              </v:rect>
            </w:pict>
          </mc:Fallback>
        </mc:AlternateContent>
      </w:r>
      <w:r w:rsidRPr="006A13B6">
        <w:rPr>
          <w:rFonts w:ascii="Georgia" w:hAnsi="Georgia"/>
          <w:color w:val="FFFFFF" w:themeColor="background1"/>
          <w:sz w:val="28"/>
          <w:szCs w:val="28"/>
        </w:rPr>
        <w:t>www.aph.gov.au/pbo</w:t>
      </w:r>
    </w:p>
    <w:sectPr w:rsidR="00CE15BA" w:rsidRPr="006A13B6" w:rsidSect="005A4D90">
      <w:headerReference w:type="default" r:id="rId68"/>
      <w:footerReference w:type="first" r:id="rId69"/>
      <w:pgSz w:w="11900" w:h="16840"/>
      <w:pgMar w:top="1440" w:right="1797" w:bottom="1440" w:left="1797" w:header="709" w:footer="709"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BAD" w:rsidRDefault="00266BAD">
      <w:pPr>
        <w:spacing w:before="0" w:after="0"/>
      </w:pPr>
      <w:r>
        <w:separator/>
      </w:r>
    </w:p>
  </w:endnote>
  <w:endnote w:type="continuationSeparator" w:id="0">
    <w:p w:rsidR="00266BAD" w:rsidRDefault="00266BA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05276"/>
      <w:docPartObj>
        <w:docPartGallery w:val="Page Numbers (Bottom of Page)"/>
        <w:docPartUnique/>
      </w:docPartObj>
    </w:sdtPr>
    <w:sdtEndPr>
      <w:rPr>
        <w:noProof/>
        <w:sz w:val="20"/>
      </w:rPr>
    </w:sdtEndPr>
    <w:sdtContent>
      <w:p w:rsidR="00266BAD" w:rsidRPr="00FA47A7" w:rsidRDefault="00266BAD" w:rsidP="00B81C47">
        <w:pPr>
          <w:pStyle w:val="Footer"/>
          <w:jc w:val="center"/>
          <w:rPr>
            <w:sz w:val="20"/>
          </w:rPr>
        </w:pPr>
        <w:r w:rsidRPr="00FA47A7">
          <w:rPr>
            <w:sz w:val="20"/>
          </w:rPr>
          <w:fldChar w:fldCharType="begin"/>
        </w:r>
        <w:r w:rsidRPr="00FA47A7">
          <w:rPr>
            <w:sz w:val="20"/>
          </w:rPr>
          <w:instrText xml:space="preserve"> PAGE   \* MERGEFORMAT </w:instrText>
        </w:r>
        <w:r w:rsidRPr="00FA47A7">
          <w:rPr>
            <w:sz w:val="20"/>
          </w:rPr>
          <w:fldChar w:fldCharType="separate"/>
        </w:r>
        <w:r w:rsidR="003F0B22">
          <w:rPr>
            <w:noProof/>
            <w:sz w:val="20"/>
          </w:rPr>
          <w:t>2</w:t>
        </w:r>
        <w:r w:rsidRPr="00FA47A7">
          <w:rPr>
            <w:noProof/>
            <w:sz w:val="20"/>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66BAD" w:rsidRPr="00FA47A7" w:rsidTr="00180633">
      <w:trPr>
        <w:trHeight w:val="340"/>
      </w:trPr>
      <w:tc>
        <w:tcPr>
          <w:tcW w:w="8164" w:type="dxa"/>
          <w:tcBorders>
            <w:right w:val="single" w:sz="4" w:space="0" w:color="95A4C6"/>
          </w:tcBorders>
          <w:vAlign w:val="center"/>
        </w:tcPr>
        <w:p w:rsidR="00266BAD" w:rsidRPr="00FA47A7" w:rsidRDefault="00266BAD" w:rsidP="00180633">
          <w:pPr>
            <w:pStyle w:val="FooterRight"/>
            <w:framePr w:wrap="auto" w:vAnchor="margin" w:hAnchor="text" w:xAlign="left" w:yAlign="inline"/>
            <w:rPr>
              <w:color w:val="auto"/>
              <w:sz w:val="20"/>
              <w:szCs w:val="20"/>
            </w:rPr>
          </w:pPr>
          <w:r w:rsidRPr="00FA47A7">
            <w:rPr>
              <w:color w:val="auto"/>
              <w:sz w:val="20"/>
              <w:szCs w:val="20"/>
            </w:rPr>
            <w:t>Drivers of growth in government spending</w:t>
          </w:r>
        </w:p>
      </w:tc>
      <w:tc>
        <w:tcPr>
          <w:tcW w:w="567" w:type="dxa"/>
          <w:tcBorders>
            <w:left w:val="single" w:sz="4" w:space="0" w:color="95A4C6"/>
          </w:tcBorders>
          <w:vAlign w:val="center"/>
        </w:tcPr>
        <w:p w:rsidR="00266BAD" w:rsidRPr="00FA47A7" w:rsidRDefault="00266BAD" w:rsidP="00180633">
          <w:pPr>
            <w:pStyle w:val="FooterRightPageNumber"/>
            <w:rPr>
              <w:color w:val="auto"/>
              <w:sz w:val="20"/>
              <w:szCs w:val="20"/>
            </w:rPr>
          </w:pPr>
          <w:r w:rsidRPr="00FA47A7">
            <w:rPr>
              <w:color w:val="auto"/>
              <w:sz w:val="20"/>
              <w:szCs w:val="20"/>
            </w:rPr>
            <w:fldChar w:fldCharType="begin"/>
          </w:r>
          <w:r w:rsidRPr="00FA47A7">
            <w:rPr>
              <w:color w:val="auto"/>
              <w:sz w:val="20"/>
              <w:szCs w:val="20"/>
            </w:rPr>
            <w:instrText xml:space="preserve"> PAGE   \* MERGEFORMAT </w:instrText>
          </w:r>
          <w:r w:rsidRPr="00FA47A7">
            <w:rPr>
              <w:color w:val="auto"/>
              <w:sz w:val="20"/>
              <w:szCs w:val="20"/>
            </w:rPr>
            <w:fldChar w:fldCharType="separate"/>
          </w:r>
          <w:r w:rsidR="003F0B22">
            <w:rPr>
              <w:color w:val="auto"/>
              <w:sz w:val="20"/>
              <w:szCs w:val="20"/>
            </w:rPr>
            <w:t>37</w:t>
          </w:r>
          <w:r w:rsidRPr="00FA47A7">
            <w:rPr>
              <w:color w:val="auto"/>
              <w:sz w:val="20"/>
              <w:szCs w:val="20"/>
            </w:rPr>
            <w:fldChar w:fldCharType="end"/>
          </w:r>
        </w:p>
      </w:tc>
    </w:tr>
    <w:tr w:rsidR="00266BAD" w:rsidRPr="00FA47A7" w:rsidTr="00180633">
      <w:trPr>
        <w:trHeight w:hRule="exact" w:val="403"/>
      </w:trPr>
      <w:tc>
        <w:tcPr>
          <w:tcW w:w="8164" w:type="dxa"/>
        </w:tcPr>
        <w:p w:rsidR="00266BAD" w:rsidRPr="00FA47A7" w:rsidRDefault="00266BAD" w:rsidP="00180633">
          <w:pPr>
            <w:rPr>
              <w:sz w:val="20"/>
              <w:szCs w:val="20"/>
            </w:rPr>
          </w:pPr>
        </w:p>
      </w:tc>
      <w:tc>
        <w:tcPr>
          <w:tcW w:w="567" w:type="dxa"/>
          <w:tcMar>
            <w:bottom w:w="284" w:type="dxa"/>
          </w:tcMar>
        </w:tcPr>
        <w:p w:rsidR="00266BAD" w:rsidRPr="00FA47A7" w:rsidRDefault="00266BAD" w:rsidP="00180633">
          <w:pPr>
            <w:rPr>
              <w:sz w:val="20"/>
              <w:szCs w:val="20"/>
            </w:rPr>
          </w:pPr>
        </w:p>
      </w:tc>
    </w:tr>
  </w:tbl>
  <w:p w:rsidR="00266BAD" w:rsidRPr="00FA47A7" w:rsidRDefault="00266BAD" w:rsidP="00401149">
    <w:pPr>
      <w:pStyle w:val="Footer"/>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Pr="00040E69" w:rsidRDefault="00266BAD" w:rsidP="00401149">
    <w:pPr>
      <w:pStyle w:val="PBOfooter"/>
      <w:spacing w:before="120" w:after="114"/>
      <w:jc w:val="center"/>
    </w:pPr>
    <w:r w:rsidRPr="007E005D">
      <w:fldChar w:fldCharType="begin"/>
    </w:r>
    <w:r w:rsidRPr="007E005D">
      <w:instrText xml:space="preserve">PAGE  </w:instrText>
    </w:r>
    <w:r w:rsidRPr="007E005D">
      <w:fldChar w:fldCharType="separate"/>
    </w:r>
    <w:r w:rsidR="003F0B22">
      <w:t>7</w:t>
    </w:r>
    <w:r w:rsidRPr="007E005D">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66BAD" w:rsidRPr="00FA47A7" w:rsidTr="00266BAD">
      <w:trPr>
        <w:trHeight w:val="340"/>
      </w:trPr>
      <w:tc>
        <w:tcPr>
          <w:tcW w:w="567" w:type="dxa"/>
          <w:tcBorders>
            <w:right w:val="single" w:sz="4" w:space="0" w:color="95A4C6"/>
          </w:tcBorders>
          <w:vAlign w:val="center"/>
        </w:tcPr>
        <w:p w:rsidR="00266BAD" w:rsidRPr="00FA47A7" w:rsidRDefault="00266BAD" w:rsidP="00266BAD">
          <w:pPr>
            <w:pStyle w:val="FooterLeftPageNumber"/>
            <w:framePr w:wrap="auto" w:vAnchor="margin" w:hAnchor="text" w:yAlign="inline"/>
            <w:rPr>
              <w:color w:val="auto"/>
              <w:sz w:val="20"/>
              <w:szCs w:val="20"/>
            </w:rPr>
          </w:pPr>
          <w:r w:rsidRPr="00FA47A7">
            <w:rPr>
              <w:color w:val="auto"/>
              <w:sz w:val="20"/>
              <w:szCs w:val="20"/>
            </w:rPr>
            <w:fldChar w:fldCharType="begin"/>
          </w:r>
          <w:r w:rsidRPr="00FA47A7">
            <w:rPr>
              <w:color w:val="auto"/>
              <w:sz w:val="20"/>
              <w:szCs w:val="20"/>
            </w:rPr>
            <w:instrText xml:space="preserve"> PAGE   \* MERGEFORMAT </w:instrText>
          </w:r>
          <w:r w:rsidRPr="00FA47A7">
            <w:rPr>
              <w:color w:val="auto"/>
              <w:sz w:val="20"/>
              <w:szCs w:val="20"/>
            </w:rPr>
            <w:fldChar w:fldCharType="separate"/>
          </w:r>
          <w:r w:rsidR="003F0B22">
            <w:rPr>
              <w:noProof/>
              <w:color w:val="auto"/>
              <w:sz w:val="20"/>
              <w:szCs w:val="20"/>
            </w:rPr>
            <w:t>22</w:t>
          </w:r>
          <w:r w:rsidRPr="00FA47A7">
            <w:rPr>
              <w:color w:val="auto"/>
              <w:sz w:val="20"/>
              <w:szCs w:val="20"/>
            </w:rPr>
            <w:fldChar w:fldCharType="end"/>
          </w:r>
        </w:p>
      </w:tc>
      <w:tc>
        <w:tcPr>
          <w:tcW w:w="8164" w:type="dxa"/>
          <w:tcBorders>
            <w:left w:val="single" w:sz="4" w:space="0" w:color="95A4C6"/>
          </w:tcBorders>
          <w:vAlign w:val="center"/>
        </w:tcPr>
        <w:p w:rsidR="00266BAD" w:rsidRPr="00FA47A7" w:rsidRDefault="00266BAD" w:rsidP="00266BAD">
          <w:pPr>
            <w:pStyle w:val="FooterLeft"/>
            <w:framePr w:wrap="auto" w:vAnchor="margin" w:hAnchor="text" w:yAlign="inline"/>
            <w:rPr>
              <w:color w:val="auto"/>
              <w:sz w:val="20"/>
              <w:szCs w:val="20"/>
            </w:rPr>
          </w:pPr>
          <w:r w:rsidRPr="00FA47A7">
            <w:rPr>
              <w:color w:val="auto"/>
              <w:sz w:val="20"/>
              <w:szCs w:val="20"/>
            </w:rPr>
            <w:t>Projections of government spending over the medium term</w:t>
          </w:r>
        </w:p>
      </w:tc>
    </w:tr>
    <w:tr w:rsidR="00266BAD" w:rsidRPr="00FA47A7" w:rsidTr="00266BAD">
      <w:trPr>
        <w:trHeight w:hRule="exact" w:val="340"/>
      </w:trPr>
      <w:tc>
        <w:tcPr>
          <w:tcW w:w="567" w:type="dxa"/>
          <w:tcMar>
            <w:bottom w:w="284" w:type="dxa"/>
          </w:tcMar>
        </w:tcPr>
        <w:p w:rsidR="00266BAD" w:rsidRPr="00FA47A7" w:rsidRDefault="00266BAD" w:rsidP="00266BAD">
          <w:pPr>
            <w:pStyle w:val="FooterRightPageNumber"/>
            <w:rPr>
              <w:sz w:val="20"/>
              <w:szCs w:val="20"/>
            </w:rPr>
          </w:pPr>
        </w:p>
      </w:tc>
      <w:tc>
        <w:tcPr>
          <w:tcW w:w="8164" w:type="dxa"/>
          <w:tcMar>
            <w:bottom w:w="284" w:type="dxa"/>
          </w:tcMar>
        </w:tcPr>
        <w:p w:rsidR="00266BAD" w:rsidRPr="00FA47A7" w:rsidRDefault="00266BAD" w:rsidP="00266BAD">
          <w:pPr>
            <w:rPr>
              <w:sz w:val="20"/>
              <w:szCs w:val="20"/>
            </w:rPr>
          </w:pPr>
        </w:p>
      </w:tc>
    </w:tr>
  </w:tbl>
  <w:p w:rsidR="00266BAD" w:rsidRPr="00FA47A7" w:rsidRDefault="00266BAD" w:rsidP="00F72EFB">
    <w:pPr>
      <w:pStyle w:val="Footer"/>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Pr="002872B7" w:rsidRDefault="00266BAD" w:rsidP="0023232F">
    <w:pPr>
      <w:pStyle w:val="PBOfooter"/>
      <w:spacing w:before="120" w:after="114"/>
      <w:jc w:val="center"/>
    </w:pPr>
    <w:r w:rsidRPr="007E005D">
      <w:fldChar w:fldCharType="begin"/>
    </w:r>
    <w:r w:rsidRPr="007E005D">
      <w:instrText xml:space="preserve">PAGE  </w:instrText>
    </w:r>
    <w:r w:rsidRPr="007E005D">
      <w:fldChar w:fldCharType="separate"/>
    </w:r>
    <w:r w:rsidR="003F0B22">
      <w:t>35</w:t>
    </w:r>
    <w:r w:rsidRPr="007E005D">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Pr="003C0838" w:rsidRDefault="00266BAD" w:rsidP="003C0838">
    <w:pPr>
      <w:pStyle w:val="PBOfooter"/>
    </w:pPr>
    <w:r w:rsidRPr="003C0838">
      <w:t>Data used in the report</w:t>
    </w:r>
    <w:r>
      <w:t>.</w:t>
    </w:r>
  </w:p>
  <w:p w:rsidR="00266BAD" w:rsidRDefault="00266BAD" w:rsidP="003C0838">
    <w:pPr>
      <w:pStyle w:val="PBOfooter"/>
      <w:spacing w:after="114"/>
      <w:jc w:val="center"/>
    </w:pPr>
    <w:r w:rsidRPr="007E005D">
      <w:fldChar w:fldCharType="begin"/>
    </w:r>
    <w:r w:rsidRPr="007E005D">
      <w:instrText xml:space="preserve">PAGE  </w:instrText>
    </w:r>
    <w:r w:rsidRPr="007E005D">
      <w:fldChar w:fldCharType="separate"/>
    </w:r>
    <w:r w:rsidR="003F0B22">
      <w:t>38</w:t>
    </w:r>
    <w:r w:rsidRPr="007E005D">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Pr="00C42EDE" w:rsidRDefault="00266BAD" w:rsidP="00C42E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322903"/>
      <w:docPartObj>
        <w:docPartGallery w:val="Page Numbers (Bottom of Page)"/>
        <w:docPartUnique/>
      </w:docPartObj>
    </w:sdtPr>
    <w:sdtEndPr>
      <w:rPr>
        <w:noProof/>
      </w:rPr>
    </w:sdtEndPr>
    <w:sdtContent>
      <w:p w:rsidR="00266BAD" w:rsidRDefault="00266BAD">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266BAD" w:rsidRDefault="00266B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444358"/>
      <w:docPartObj>
        <w:docPartGallery w:val="Page Numbers (Bottom of Page)"/>
        <w:docPartUnique/>
      </w:docPartObj>
    </w:sdtPr>
    <w:sdtEndPr>
      <w:rPr>
        <w:noProof/>
      </w:rPr>
    </w:sdtEndPr>
    <w:sdtContent>
      <w:p w:rsidR="00266BAD" w:rsidRDefault="00266BAD">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266BAD" w:rsidRDefault="00266BAD" w:rsidP="00837920">
    <w:pPr>
      <w:pStyle w:val="Footer"/>
    </w:pPr>
    <w:r>
      <w:t xml:space="preserve">Last saved: </w:t>
    </w:r>
    <w:r>
      <w:fldChar w:fldCharType="begin"/>
    </w:r>
    <w:r>
      <w:instrText xml:space="preserve"> DATE \@ "d/MM/yyyy h:mm am/pm" </w:instrText>
    </w:r>
    <w:r>
      <w:fldChar w:fldCharType="separate"/>
    </w:r>
    <w:r w:rsidR="003F0B22">
      <w:rPr>
        <w:noProof/>
      </w:rPr>
      <w:t>3/07/2015 8:50 AM</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Default="00266BAD" w:rsidP="00770CF8">
    <w:pPr>
      <w:pStyle w:val="PBOfooter"/>
      <w:spacing w:before="120" w:after="114"/>
      <w:jc w:val="center"/>
    </w:pPr>
    <w:r w:rsidRPr="007E005D">
      <w:fldChar w:fldCharType="begin"/>
    </w:r>
    <w:r w:rsidRPr="007E005D">
      <w:instrText xml:space="preserve">PAGE  </w:instrText>
    </w:r>
    <w:r w:rsidRPr="007E005D">
      <w:fldChar w:fldCharType="separate"/>
    </w:r>
    <w:r w:rsidR="003F0B22">
      <w:t>iii</w:t>
    </w:r>
    <w:r w:rsidRPr="007E005D">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Pr="00040E69" w:rsidRDefault="00266BAD" w:rsidP="00770CF8">
    <w:pPr>
      <w:pStyle w:val="PBOfooter"/>
      <w:spacing w:before="120" w:after="114"/>
      <w:jc w:val="center"/>
    </w:pPr>
    <w:r w:rsidRPr="007E005D">
      <w:fldChar w:fldCharType="begin"/>
    </w:r>
    <w:r w:rsidRPr="007E005D">
      <w:instrText xml:space="preserve">PAGE  </w:instrText>
    </w:r>
    <w:r w:rsidRPr="007E005D">
      <w:fldChar w:fldCharType="separate"/>
    </w:r>
    <w:r w:rsidR="003F0B22">
      <w:t>iv</w:t>
    </w:r>
    <w:r w:rsidRPr="007E005D">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916085"/>
      <w:docPartObj>
        <w:docPartGallery w:val="Page Numbers (Bottom of Page)"/>
        <w:docPartUnique/>
      </w:docPartObj>
    </w:sdtPr>
    <w:sdtEndPr>
      <w:rPr>
        <w:noProof/>
        <w:sz w:val="20"/>
      </w:rPr>
    </w:sdtEndPr>
    <w:sdtContent>
      <w:p w:rsidR="00266BAD" w:rsidRPr="00FA47A7" w:rsidRDefault="00266BAD" w:rsidP="00CA1A3E">
        <w:pPr>
          <w:pStyle w:val="Footer"/>
          <w:jc w:val="center"/>
          <w:rPr>
            <w:noProof/>
            <w:sz w:val="20"/>
          </w:rPr>
        </w:pPr>
        <w:r w:rsidRPr="00FA47A7">
          <w:rPr>
            <w:sz w:val="20"/>
          </w:rPr>
          <w:fldChar w:fldCharType="begin"/>
        </w:r>
        <w:r w:rsidRPr="00FA47A7">
          <w:rPr>
            <w:sz w:val="20"/>
          </w:rPr>
          <w:instrText xml:space="preserve"> PAGE   \* MERGEFORMAT </w:instrText>
        </w:r>
        <w:r w:rsidRPr="00FA47A7">
          <w:rPr>
            <w:sz w:val="20"/>
          </w:rPr>
          <w:fldChar w:fldCharType="separate"/>
        </w:r>
        <w:r w:rsidR="003F0B22">
          <w:rPr>
            <w:noProof/>
            <w:sz w:val="20"/>
          </w:rPr>
          <w:t>3</w:t>
        </w:r>
        <w:r w:rsidRPr="00FA47A7">
          <w:rPr>
            <w:noProof/>
            <w:sz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Pr="00040E69" w:rsidRDefault="00266BAD" w:rsidP="00401149">
    <w:pPr>
      <w:pStyle w:val="PBOfooter"/>
      <w:spacing w:before="120" w:after="114"/>
      <w:jc w:val="center"/>
    </w:pPr>
    <w:r w:rsidRPr="007E005D">
      <w:fldChar w:fldCharType="begin"/>
    </w:r>
    <w:r w:rsidRPr="007E005D">
      <w:instrText xml:space="preserve">PAGE  </w:instrText>
    </w:r>
    <w:r w:rsidRPr="007E005D">
      <w:fldChar w:fldCharType="separate"/>
    </w:r>
    <w:r w:rsidR="003F0B22">
      <w:t>4</w:t>
    </w:r>
    <w:r w:rsidRPr="007E005D">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66BAD" w:rsidRPr="00FA47A7" w:rsidTr="00180633">
      <w:trPr>
        <w:trHeight w:val="340"/>
      </w:trPr>
      <w:tc>
        <w:tcPr>
          <w:tcW w:w="567" w:type="dxa"/>
          <w:tcBorders>
            <w:right w:val="single" w:sz="4" w:space="0" w:color="95A4C6"/>
          </w:tcBorders>
          <w:vAlign w:val="center"/>
        </w:tcPr>
        <w:p w:rsidR="00266BAD" w:rsidRPr="00FA47A7" w:rsidRDefault="00266BAD" w:rsidP="00401149">
          <w:pPr>
            <w:pStyle w:val="FooterLeftPageNumber"/>
            <w:framePr w:wrap="auto" w:vAnchor="margin" w:hAnchor="text" w:yAlign="inline"/>
            <w:rPr>
              <w:color w:val="auto"/>
              <w:sz w:val="20"/>
              <w:szCs w:val="20"/>
            </w:rPr>
          </w:pPr>
          <w:r w:rsidRPr="00FA47A7">
            <w:rPr>
              <w:color w:val="auto"/>
              <w:sz w:val="20"/>
              <w:szCs w:val="20"/>
            </w:rPr>
            <w:fldChar w:fldCharType="begin"/>
          </w:r>
          <w:r w:rsidRPr="00FA47A7">
            <w:rPr>
              <w:color w:val="auto"/>
              <w:sz w:val="20"/>
              <w:szCs w:val="20"/>
            </w:rPr>
            <w:instrText xml:space="preserve"> PAGE   \* MERGEFORMAT </w:instrText>
          </w:r>
          <w:r w:rsidRPr="00FA47A7">
            <w:rPr>
              <w:color w:val="auto"/>
              <w:sz w:val="20"/>
              <w:szCs w:val="20"/>
            </w:rPr>
            <w:fldChar w:fldCharType="separate"/>
          </w:r>
          <w:r w:rsidR="003F0B22">
            <w:rPr>
              <w:noProof/>
              <w:color w:val="auto"/>
              <w:sz w:val="20"/>
              <w:szCs w:val="20"/>
            </w:rPr>
            <w:t>36</w:t>
          </w:r>
          <w:r w:rsidRPr="00FA47A7">
            <w:rPr>
              <w:color w:val="auto"/>
              <w:sz w:val="20"/>
              <w:szCs w:val="20"/>
            </w:rPr>
            <w:fldChar w:fldCharType="end"/>
          </w:r>
        </w:p>
      </w:tc>
      <w:tc>
        <w:tcPr>
          <w:tcW w:w="8164" w:type="dxa"/>
          <w:tcBorders>
            <w:left w:val="single" w:sz="4" w:space="0" w:color="95A4C6"/>
          </w:tcBorders>
          <w:vAlign w:val="center"/>
        </w:tcPr>
        <w:p w:rsidR="00266BAD" w:rsidRPr="00FA47A7" w:rsidRDefault="00266BAD" w:rsidP="00401149">
          <w:pPr>
            <w:pStyle w:val="FooterLeft"/>
            <w:framePr w:wrap="auto" w:vAnchor="margin" w:hAnchor="text" w:yAlign="inline"/>
            <w:rPr>
              <w:color w:val="auto"/>
              <w:sz w:val="20"/>
              <w:szCs w:val="20"/>
            </w:rPr>
          </w:pPr>
          <w:r w:rsidRPr="00FA47A7">
            <w:rPr>
              <w:color w:val="auto"/>
              <w:sz w:val="20"/>
              <w:szCs w:val="20"/>
            </w:rPr>
            <w:t>Projections of government spending over the medium term</w:t>
          </w:r>
        </w:p>
      </w:tc>
    </w:tr>
    <w:tr w:rsidR="00266BAD" w:rsidRPr="00FA47A7" w:rsidTr="00180633">
      <w:trPr>
        <w:trHeight w:hRule="exact" w:val="340"/>
      </w:trPr>
      <w:tc>
        <w:tcPr>
          <w:tcW w:w="567" w:type="dxa"/>
          <w:tcMar>
            <w:bottom w:w="284" w:type="dxa"/>
          </w:tcMar>
        </w:tcPr>
        <w:p w:rsidR="00266BAD" w:rsidRPr="00FA47A7" w:rsidRDefault="00266BAD" w:rsidP="00401149">
          <w:pPr>
            <w:pStyle w:val="FooterRightPageNumber"/>
            <w:rPr>
              <w:sz w:val="20"/>
              <w:szCs w:val="20"/>
            </w:rPr>
          </w:pPr>
        </w:p>
      </w:tc>
      <w:tc>
        <w:tcPr>
          <w:tcW w:w="8164" w:type="dxa"/>
          <w:tcMar>
            <w:bottom w:w="284" w:type="dxa"/>
          </w:tcMar>
        </w:tcPr>
        <w:p w:rsidR="00266BAD" w:rsidRPr="00FA47A7" w:rsidRDefault="00266BAD" w:rsidP="00401149">
          <w:pPr>
            <w:rPr>
              <w:sz w:val="20"/>
              <w:szCs w:val="20"/>
            </w:rPr>
          </w:pPr>
        </w:p>
      </w:tc>
    </w:tr>
  </w:tbl>
  <w:p w:rsidR="00266BAD" w:rsidRPr="00FA47A7" w:rsidRDefault="00266BAD" w:rsidP="00401149">
    <w:pPr>
      <w:pStyle w:val="Footer"/>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66BAD" w:rsidRPr="00FA47A7" w:rsidTr="00401149">
      <w:trPr>
        <w:trHeight w:val="340"/>
      </w:trPr>
      <w:tc>
        <w:tcPr>
          <w:tcW w:w="8164" w:type="dxa"/>
          <w:tcBorders>
            <w:right w:val="single" w:sz="4" w:space="0" w:color="95A4C6"/>
          </w:tcBorders>
          <w:vAlign w:val="center"/>
        </w:tcPr>
        <w:p w:rsidR="00266BAD" w:rsidRPr="00FA47A7" w:rsidRDefault="00266BAD" w:rsidP="00401149">
          <w:pPr>
            <w:pStyle w:val="FooterRight"/>
            <w:framePr w:wrap="auto" w:vAnchor="margin" w:hAnchor="text" w:xAlign="left" w:yAlign="inline"/>
            <w:rPr>
              <w:color w:val="auto"/>
              <w:sz w:val="20"/>
              <w:szCs w:val="20"/>
            </w:rPr>
          </w:pPr>
          <w:r w:rsidRPr="00FA47A7">
            <w:rPr>
              <w:color w:val="auto"/>
              <w:sz w:val="20"/>
              <w:szCs w:val="20"/>
            </w:rPr>
            <w:t>Projections of Total Australian Government payments</w:t>
          </w:r>
        </w:p>
      </w:tc>
      <w:tc>
        <w:tcPr>
          <w:tcW w:w="567" w:type="dxa"/>
          <w:tcBorders>
            <w:left w:val="single" w:sz="4" w:space="0" w:color="95A4C6"/>
          </w:tcBorders>
          <w:vAlign w:val="center"/>
        </w:tcPr>
        <w:p w:rsidR="00266BAD" w:rsidRPr="00FA47A7" w:rsidRDefault="00266BAD" w:rsidP="00180633">
          <w:pPr>
            <w:pStyle w:val="FooterRightPageNumber"/>
            <w:rPr>
              <w:color w:val="auto"/>
              <w:sz w:val="20"/>
              <w:szCs w:val="20"/>
            </w:rPr>
          </w:pPr>
          <w:r w:rsidRPr="00FA47A7">
            <w:rPr>
              <w:color w:val="auto"/>
              <w:sz w:val="20"/>
              <w:szCs w:val="20"/>
            </w:rPr>
            <w:fldChar w:fldCharType="begin"/>
          </w:r>
          <w:r w:rsidRPr="00FA47A7">
            <w:rPr>
              <w:color w:val="auto"/>
              <w:sz w:val="20"/>
              <w:szCs w:val="20"/>
            </w:rPr>
            <w:instrText xml:space="preserve"> PAGE   \* MERGEFORMAT </w:instrText>
          </w:r>
          <w:r w:rsidRPr="00FA47A7">
            <w:rPr>
              <w:color w:val="auto"/>
              <w:sz w:val="20"/>
              <w:szCs w:val="20"/>
            </w:rPr>
            <w:fldChar w:fldCharType="separate"/>
          </w:r>
          <w:r w:rsidR="003F0B22">
            <w:rPr>
              <w:color w:val="auto"/>
              <w:sz w:val="20"/>
              <w:szCs w:val="20"/>
            </w:rPr>
            <w:t>5</w:t>
          </w:r>
          <w:r w:rsidRPr="00FA47A7">
            <w:rPr>
              <w:color w:val="auto"/>
              <w:sz w:val="20"/>
              <w:szCs w:val="20"/>
            </w:rPr>
            <w:fldChar w:fldCharType="end"/>
          </w:r>
        </w:p>
      </w:tc>
    </w:tr>
    <w:tr w:rsidR="00266BAD" w:rsidRPr="00FA47A7" w:rsidTr="00180633">
      <w:trPr>
        <w:trHeight w:hRule="exact" w:val="403"/>
      </w:trPr>
      <w:tc>
        <w:tcPr>
          <w:tcW w:w="8164" w:type="dxa"/>
        </w:tcPr>
        <w:p w:rsidR="00266BAD" w:rsidRPr="00FA47A7" w:rsidRDefault="00266BAD" w:rsidP="00180633">
          <w:pPr>
            <w:rPr>
              <w:sz w:val="20"/>
              <w:szCs w:val="20"/>
            </w:rPr>
          </w:pPr>
        </w:p>
      </w:tc>
      <w:tc>
        <w:tcPr>
          <w:tcW w:w="567" w:type="dxa"/>
          <w:tcMar>
            <w:bottom w:w="284" w:type="dxa"/>
          </w:tcMar>
        </w:tcPr>
        <w:p w:rsidR="00266BAD" w:rsidRPr="00FA47A7" w:rsidRDefault="00266BAD" w:rsidP="00180633">
          <w:pPr>
            <w:rPr>
              <w:sz w:val="20"/>
              <w:szCs w:val="20"/>
            </w:rPr>
          </w:pPr>
        </w:p>
      </w:tc>
    </w:tr>
  </w:tbl>
  <w:p w:rsidR="00266BAD" w:rsidRPr="00FA47A7" w:rsidRDefault="00266BAD" w:rsidP="00401149">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BAD" w:rsidRDefault="00266BAD">
      <w:pPr>
        <w:spacing w:before="0" w:after="0"/>
      </w:pPr>
      <w:r>
        <w:separator/>
      </w:r>
    </w:p>
  </w:footnote>
  <w:footnote w:type="continuationSeparator" w:id="0">
    <w:p w:rsidR="00266BAD" w:rsidRDefault="00266BAD">
      <w:pPr>
        <w:spacing w:before="0" w:after="0"/>
      </w:pPr>
      <w:r>
        <w:continuationSeparator/>
      </w:r>
    </w:p>
  </w:footnote>
  <w:footnote w:id="1">
    <w:p w:rsidR="00266BAD" w:rsidRPr="0064736D" w:rsidRDefault="00266BAD" w:rsidP="00CA1A3E">
      <w:pPr>
        <w:pStyle w:val="FootnoteText"/>
        <w:ind w:left="284" w:hanging="284"/>
        <w:rPr>
          <w:i/>
        </w:rPr>
      </w:pPr>
      <w:r>
        <w:rPr>
          <w:rStyle w:val="FootnoteReference"/>
        </w:rPr>
        <w:footnoteRef/>
      </w:r>
      <w:r>
        <w:tab/>
      </w:r>
      <w:r w:rsidRPr="00BE6119">
        <w:rPr>
          <w:sz w:val="18"/>
        </w:rPr>
        <w:t xml:space="preserve">Parliamentary Budget Office, </w:t>
      </w:r>
      <w:hyperlink r:id="rId1" w:history="1">
        <w:r w:rsidRPr="0064736D">
          <w:rPr>
            <w:i/>
            <w:sz w:val="18"/>
          </w:rPr>
          <w:t>Australian Government spending—Part 1: Historical trends from 2002–03 to 2012–13</w:t>
        </w:r>
      </w:hyperlink>
      <w:r w:rsidRPr="0064736D">
        <w:rPr>
          <w:i/>
          <w:sz w:val="18"/>
        </w:rPr>
        <w:t>.</w:t>
      </w:r>
    </w:p>
  </w:footnote>
  <w:footnote w:id="2">
    <w:p w:rsidR="00266BAD" w:rsidRPr="001960FC" w:rsidRDefault="00266BAD" w:rsidP="00CA1A3E">
      <w:pPr>
        <w:pStyle w:val="FootnoteText"/>
        <w:ind w:left="284" w:hanging="284"/>
        <w:rPr>
          <w:sz w:val="18"/>
          <w:szCs w:val="18"/>
        </w:rPr>
      </w:pPr>
      <w:r w:rsidRPr="00D10E05">
        <w:rPr>
          <w:rStyle w:val="FootnoteReference"/>
        </w:rPr>
        <w:footnoteRef/>
      </w:r>
      <w:r>
        <w:rPr>
          <w:sz w:val="18"/>
          <w:szCs w:val="18"/>
        </w:rPr>
        <w:tab/>
      </w:r>
      <w:r w:rsidRPr="001960FC">
        <w:rPr>
          <w:sz w:val="18"/>
          <w:szCs w:val="18"/>
        </w:rPr>
        <w:t>This excludes the public debt interest impact of these measures.</w:t>
      </w:r>
    </w:p>
  </w:footnote>
  <w:footnote w:id="3">
    <w:p w:rsidR="00266BAD" w:rsidRPr="00D10E05" w:rsidRDefault="00266BAD" w:rsidP="00CA1A3E">
      <w:pPr>
        <w:pStyle w:val="FootnoteText"/>
        <w:tabs>
          <w:tab w:val="left" w:pos="284"/>
        </w:tabs>
        <w:ind w:left="284" w:hanging="284"/>
        <w:rPr>
          <w:sz w:val="18"/>
          <w:szCs w:val="18"/>
        </w:rPr>
      </w:pPr>
      <w:r>
        <w:rPr>
          <w:rStyle w:val="FootnoteReference"/>
        </w:rPr>
        <w:footnoteRef/>
      </w:r>
      <w:r>
        <w:rPr>
          <w:rStyle w:val="FootnoteReference"/>
          <w:vertAlign w:val="baseline"/>
        </w:rPr>
        <w:tab/>
      </w:r>
      <w:r w:rsidRPr="00D10E05">
        <w:rPr>
          <w:rStyle w:val="FootnoteReference"/>
          <w:sz w:val="18"/>
          <w:szCs w:val="18"/>
          <w:vertAlign w:val="baseline"/>
        </w:rPr>
        <w:t>Section 1 refers to spending on a cash basis and is consistent with the projection of total payments to 2024-25 in the 2014-15 Budget papers. The ‘historical’ period of analysis commences in 2002-03 as there is greater data consistency from this year onwards and concludes in 2012-13, the last year for which actual spending data is available. The ‘medium term’ analysis commences from the last year of the historical period and concludes in 2024-25.</w:t>
      </w:r>
    </w:p>
  </w:footnote>
  <w:footnote w:id="4">
    <w:p w:rsidR="00266BAD" w:rsidRDefault="00266BAD" w:rsidP="00CA1A3E">
      <w:pPr>
        <w:pStyle w:val="FootnoteText"/>
        <w:ind w:left="284" w:hanging="284"/>
      </w:pPr>
      <w:r w:rsidRPr="0064736D">
        <w:rPr>
          <w:rStyle w:val="FootnoteReference"/>
        </w:rPr>
        <w:footnoteRef/>
      </w:r>
      <w:r>
        <w:rPr>
          <w:sz w:val="18"/>
        </w:rPr>
        <w:tab/>
      </w:r>
      <w:r w:rsidRPr="0064736D">
        <w:rPr>
          <w:sz w:val="18"/>
        </w:rPr>
        <w:t xml:space="preserve">Parliamentary Budget Office, </w:t>
      </w:r>
      <w:hyperlink r:id="rId2" w:history="1">
        <w:r w:rsidRPr="0064736D">
          <w:rPr>
            <w:i/>
            <w:sz w:val="18"/>
          </w:rPr>
          <w:t>Trends in Australian Government receipts: 1982–83 to 2012–13</w:t>
        </w:r>
      </w:hyperlink>
      <w:r w:rsidRPr="0064736D">
        <w:rPr>
          <w:i/>
          <w:sz w:val="18"/>
        </w:rPr>
        <w:t>.</w:t>
      </w:r>
    </w:p>
  </w:footnote>
  <w:footnote w:id="5">
    <w:p w:rsidR="00266BAD" w:rsidRPr="00656AF8" w:rsidRDefault="00266BAD" w:rsidP="00CA1A3E">
      <w:pPr>
        <w:pStyle w:val="FootnoteText"/>
        <w:ind w:left="284" w:hanging="284"/>
        <w:rPr>
          <w:i/>
        </w:rPr>
      </w:pPr>
      <w:r>
        <w:rPr>
          <w:rStyle w:val="FootnoteReference"/>
        </w:rPr>
        <w:footnoteRef/>
      </w:r>
      <w:r>
        <w:tab/>
      </w:r>
      <w:r w:rsidRPr="00BE6119">
        <w:rPr>
          <w:sz w:val="18"/>
        </w:rPr>
        <w:t xml:space="preserve">Parliamentary Budget Office, </w:t>
      </w:r>
      <w:hyperlink r:id="rId3" w:history="1">
        <w:r w:rsidRPr="00656AF8">
          <w:rPr>
            <w:i/>
            <w:sz w:val="18"/>
          </w:rPr>
          <w:t>Australian Government spending—Part 1: Historical trends from 2002–03 to            2012–13</w:t>
        </w:r>
      </w:hyperlink>
      <w:r w:rsidRPr="00656AF8">
        <w:rPr>
          <w:i/>
          <w:sz w:val="18"/>
        </w:rPr>
        <w:t>.</w:t>
      </w:r>
    </w:p>
  </w:footnote>
  <w:footnote w:id="6">
    <w:p w:rsidR="00266BAD" w:rsidRPr="001B49B1" w:rsidRDefault="00266BAD" w:rsidP="00CA1A3E">
      <w:pPr>
        <w:pStyle w:val="FootnoteText"/>
        <w:ind w:left="284" w:hanging="284"/>
        <w:rPr>
          <w:sz w:val="18"/>
        </w:rPr>
      </w:pPr>
      <w:r w:rsidRPr="002D45CC">
        <w:rPr>
          <w:rStyle w:val="FootnoteReference"/>
        </w:rPr>
        <w:footnoteRef/>
      </w:r>
      <w:r>
        <w:tab/>
      </w:r>
      <w:r w:rsidRPr="002D45CC">
        <w:rPr>
          <w:sz w:val="18"/>
          <w:szCs w:val="18"/>
        </w:rPr>
        <w:t>The National Disability Insurance Scheme commences in 2013-14 and consequently does not record a growth rate over the two periods shown in this figure.</w:t>
      </w:r>
      <w:r>
        <w:rPr>
          <w:sz w:val="18"/>
        </w:rPr>
        <w:t xml:space="preserve">  </w:t>
      </w:r>
    </w:p>
  </w:footnote>
  <w:footnote w:id="7">
    <w:p w:rsidR="00266BAD" w:rsidRDefault="00266BAD" w:rsidP="00CA1A3E">
      <w:pPr>
        <w:spacing w:before="0" w:after="0" w:line="288" w:lineRule="auto"/>
        <w:ind w:left="284" w:hanging="284"/>
      </w:pPr>
      <w:r w:rsidRPr="00B14A66">
        <w:rPr>
          <w:rStyle w:val="FootnoteReference"/>
        </w:rPr>
        <w:footnoteRef/>
      </w:r>
      <w:r>
        <w:rPr>
          <w:sz w:val="18"/>
          <w:szCs w:val="18"/>
        </w:rPr>
        <w:tab/>
      </w:r>
      <w:r w:rsidRPr="00B14A66">
        <w:rPr>
          <w:sz w:val="18"/>
          <w:szCs w:val="18"/>
        </w:rPr>
        <w:t>Under the previous National Health Reform Agreement, the Commonwealth guaranteed funding of an additional $16.4 billion in funding over the period 2014-15 to 2019-20 to the States and Territories for public hospitals.  In the event the additional growth funding was less than $16.4 billion, the Commonwealth would have provided top-up funding of up to $16.4 billion to the States and Territories over that period.</w:t>
      </w:r>
    </w:p>
  </w:footnote>
  <w:footnote w:id="8">
    <w:p w:rsidR="00266BAD" w:rsidRDefault="00266BAD" w:rsidP="00CA1A3E">
      <w:pPr>
        <w:pStyle w:val="FootnoteText"/>
        <w:ind w:left="284" w:hanging="284"/>
      </w:pPr>
      <w:r>
        <w:rPr>
          <w:rStyle w:val="FootnoteReference"/>
        </w:rPr>
        <w:footnoteRef/>
      </w:r>
      <w:r>
        <w:tab/>
      </w:r>
      <w:r w:rsidRPr="00A46B82">
        <w:rPr>
          <w:sz w:val="18"/>
        </w:rPr>
        <w:t>The relatively small size of savings measures means that ‘Nominal spending on child care (without measures to be legislated)’ is almost the same as projected ‘Nominal spending on child care’.</w:t>
      </w:r>
    </w:p>
  </w:footnote>
  <w:footnote w:id="9">
    <w:p w:rsidR="00266BAD" w:rsidRDefault="00266BAD" w:rsidP="00CA1A3E">
      <w:pPr>
        <w:pStyle w:val="FootnoteText"/>
        <w:ind w:left="284" w:hanging="284"/>
      </w:pPr>
      <w:r>
        <w:rPr>
          <w:rStyle w:val="FootnoteReference"/>
        </w:rPr>
        <w:footnoteRef/>
      </w:r>
      <w:r>
        <w:tab/>
      </w:r>
      <w:r w:rsidRPr="001C274C">
        <w:rPr>
          <w:sz w:val="18"/>
        </w:rPr>
        <w:t>Spending on Family Tax Benefit excludes the School Kids Bonus.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Default="00266BA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Default="00266BA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Pr="00AE616C" w:rsidRDefault="00266BAD" w:rsidP="00AE616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Pr="00AE616C" w:rsidRDefault="00266BAD" w:rsidP="00AE616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Pr="00AE616C" w:rsidRDefault="00266BAD" w:rsidP="00AE616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Pr="00AE616C" w:rsidRDefault="00266BAD" w:rsidP="00AE616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Default="00266B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Default="00266B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Default="00266BAD" w:rsidP="002A5C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Default="00266BA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Default="00266BA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Default="00266BA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Default="00266BA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Default="00266BA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AD" w:rsidRDefault="00266B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D67B74"/>
    <w:lvl w:ilvl="0">
      <w:start w:val="1"/>
      <w:numFmt w:val="decimal"/>
      <w:lvlText w:val="%1."/>
      <w:lvlJc w:val="left"/>
      <w:pPr>
        <w:tabs>
          <w:tab w:val="num" w:pos="1634"/>
        </w:tabs>
        <w:ind w:left="1634" w:hanging="360"/>
      </w:pPr>
    </w:lvl>
  </w:abstractNum>
  <w:abstractNum w:abstractNumId="1">
    <w:nsid w:val="FFFFFF7D"/>
    <w:multiLevelType w:val="singleLevel"/>
    <w:tmpl w:val="8CC4A652"/>
    <w:lvl w:ilvl="0">
      <w:start w:val="1"/>
      <w:numFmt w:val="decimal"/>
      <w:lvlText w:val="%1."/>
      <w:lvlJc w:val="left"/>
      <w:pPr>
        <w:tabs>
          <w:tab w:val="num" w:pos="1209"/>
        </w:tabs>
        <w:ind w:left="1209" w:hanging="360"/>
      </w:pPr>
    </w:lvl>
  </w:abstractNum>
  <w:abstractNum w:abstractNumId="2">
    <w:nsid w:val="FFFFFF7E"/>
    <w:multiLevelType w:val="singleLevel"/>
    <w:tmpl w:val="3DECDACC"/>
    <w:lvl w:ilvl="0">
      <w:start w:val="1"/>
      <w:numFmt w:val="decimal"/>
      <w:lvlText w:val="%1."/>
      <w:lvlJc w:val="left"/>
      <w:pPr>
        <w:tabs>
          <w:tab w:val="num" w:pos="926"/>
        </w:tabs>
        <w:ind w:left="926" w:hanging="360"/>
      </w:pPr>
    </w:lvl>
  </w:abstractNum>
  <w:abstractNum w:abstractNumId="3">
    <w:nsid w:val="FFFFFF7F"/>
    <w:multiLevelType w:val="singleLevel"/>
    <w:tmpl w:val="BE881CAE"/>
    <w:lvl w:ilvl="0">
      <w:start w:val="1"/>
      <w:numFmt w:val="lowerLetter"/>
      <w:pStyle w:val="ListNumber2"/>
      <w:lvlText w:val="%1."/>
      <w:lvlJc w:val="left"/>
      <w:pPr>
        <w:ind w:left="643" w:hanging="360"/>
      </w:pPr>
    </w:lvl>
  </w:abstractNum>
  <w:abstractNum w:abstractNumId="4">
    <w:nsid w:val="FFFFFF80"/>
    <w:multiLevelType w:val="singleLevel"/>
    <w:tmpl w:val="17C8C5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CDCE0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31258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9A280A"/>
    <w:lvl w:ilvl="0">
      <w:start w:val="1"/>
      <w:numFmt w:val="bullet"/>
      <w:pStyle w:val="ListBullet2"/>
      <w:lvlText w:val=""/>
      <w:lvlJc w:val="left"/>
      <w:pPr>
        <w:ind w:left="644" w:hanging="360"/>
      </w:pPr>
      <w:rPr>
        <w:rFonts w:ascii="Symbol" w:hAnsi="Symbol" w:hint="default"/>
        <w:color w:val="224A76"/>
      </w:rPr>
    </w:lvl>
  </w:abstractNum>
  <w:abstractNum w:abstractNumId="8">
    <w:nsid w:val="FFFFFF88"/>
    <w:multiLevelType w:val="singleLevel"/>
    <w:tmpl w:val="C3320BB0"/>
    <w:lvl w:ilvl="0">
      <w:start w:val="1"/>
      <w:numFmt w:val="decimal"/>
      <w:pStyle w:val="ListNumber"/>
      <w:lvlText w:val="%1."/>
      <w:lvlJc w:val="left"/>
      <w:pPr>
        <w:tabs>
          <w:tab w:val="num" w:pos="360"/>
        </w:tabs>
        <w:ind w:left="360" w:hanging="360"/>
      </w:pPr>
    </w:lvl>
  </w:abstractNum>
  <w:abstractNum w:abstractNumId="9">
    <w:nsid w:val="FFFFFF89"/>
    <w:multiLevelType w:val="singleLevel"/>
    <w:tmpl w:val="DC86C364"/>
    <w:lvl w:ilvl="0">
      <w:start w:val="1"/>
      <w:numFmt w:val="bullet"/>
      <w:pStyle w:val="ListBullet"/>
      <w:lvlText w:val=""/>
      <w:lvlJc w:val="left"/>
      <w:pPr>
        <w:ind w:left="360" w:hanging="360"/>
      </w:pPr>
      <w:rPr>
        <w:rFonts w:ascii="Symbol" w:hAnsi="Symbol" w:hint="default"/>
        <w:color w:val="224A76"/>
      </w:rPr>
    </w:lvl>
  </w:abstractNum>
  <w:abstractNum w:abstractNumId="10">
    <w:nsid w:val="033E0858"/>
    <w:multiLevelType w:val="hybridMultilevel"/>
    <w:tmpl w:val="DBE20136"/>
    <w:lvl w:ilvl="0" w:tplc="CD02536C">
      <w:start w:val="1"/>
      <w:numFmt w:val="upperLetter"/>
      <w:lvlText w:val="%1"/>
      <w:lvlJc w:val="left"/>
      <w:pPr>
        <w:ind w:left="720" w:hanging="360"/>
      </w:pPr>
      <w:rPr>
        <w:rFonts w:hint="default"/>
        <w:b/>
        <w:sz w:val="50"/>
        <w:szCs w:val="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5EE1CBE"/>
    <w:multiLevelType w:val="hybridMultilevel"/>
    <w:tmpl w:val="CE0C1D58"/>
    <w:lvl w:ilvl="0" w:tplc="CCD81DA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0C960ECB"/>
    <w:multiLevelType w:val="multilevel"/>
    <w:tmpl w:val="197C0494"/>
    <w:lvl w:ilvl="0">
      <w:start w:val="1"/>
      <w:numFmt w:val="upperLetter"/>
      <w:lvlText w:val="%1"/>
      <w:lvlJc w:val="left"/>
      <w:pPr>
        <w:ind w:left="360" w:hanging="360"/>
      </w:pPr>
      <w:rPr>
        <w:rFonts w:hint="default"/>
        <w:b/>
        <w:sz w:val="50"/>
        <w:szCs w:val="50"/>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0F696838"/>
    <w:multiLevelType w:val="hybridMultilevel"/>
    <w:tmpl w:val="4678E15E"/>
    <w:lvl w:ilvl="0" w:tplc="99664FE0">
      <w:start w:val="1"/>
      <w:numFmt w:val="upperRoman"/>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12C002E6"/>
    <w:multiLevelType w:val="hybridMultilevel"/>
    <w:tmpl w:val="9BB29C88"/>
    <w:lvl w:ilvl="0" w:tplc="613A5464">
      <w:start w:val="1"/>
      <w:numFmt w:val="decimal"/>
      <w:lvlText w:val="%1 "/>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15173C5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BFA089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C745174"/>
    <w:multiLevelType w:val="hybridMultilevel"/>
    <w:tmpl w:val="27B0E85C"/>
    <w:lvl w:ilvl="0" w:tplc="90A44C34">
      <w:start w:val="1"/>
      <w:numFmt w:val="decimal"/>
      <w:lvlText w:val="%1 "/>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21AD1181"/>
    <w:multiLevelType w:val="hybridMultilevel"/>
    <w:tmpl w:val="7088A520"/>
    <w:lvl w:ilvl="0" w:tplc="AC584952">
      <w:start w:val="1"/>
      <w:numFmt w:val="decimal"/>
      <w:pStyle w:val="ListParagraph"/>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nsid w:val="237F07F2"/>
    <w:multiLevelType w:val="hybridMultilevel"/>
    <w:tmpl w:val="DFFC5572"/>
    <w:lvl w:ilvl="0" w:tplc="81D6587E">
      <w:start w:val="1"/>
      <w:numFmt w:val="bullet"/>
      <w:pStyle w:val="PBObullet"/>
      <w:lvlText w:val=""/>
      <w:lvlJc w:val="left"/>
      <w:pPr>
        <w:ind w:left="720" w:hanging="360"/>
      </w:pPr>
      <w:rPr>
        <w:rFonts w:ascii="Symbol" w:hAnsi="Symbol" w:hint="default"/>
        <w:color w:val="224A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426077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4C72F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65969F6"/>
    <w:multiLevelType w:val="hybridMultilevel"/>
    <w:tmpl w:val="C4C2B8E4"/>
    <w:lvl w:ilvl="0" w:tplc="1BE0BC5A">
      <w:start w:val="3"/>
      <w:numFmt w:val="decimal"/>
      <w:lvlText w:val="%1 "/>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02C42D1"/>
    <w:multiLevelType w:val="hybridMultilevel"/>
    <w:tmpl w:val="B7607BD0"/>
    <w:lvl w:ilvl="0" w:tplc="674EA4AC">
      <w:start w:val="1"/>
      <w:numFmt w:val="decimal"/>
      <w:lvlText w:val="%1    "/>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31EC6DB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43B08A8"/>
    <w:multiLevelType w:val="hybridMultilevel"/>
    <w:tmpl w:val="0F184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62371BB"/>
    <w:multiLevelType w:val="hybridMultilevel"/>
    <w:tmpl w:val="D7963BEE"/>
    <w:lvl w:ilvl="0" w:tplc="4066FE5A">
      <w:start w:val="2"/>
      <w:numFmt w:val="decimal"/>
      <w:lvlText w:val="%1    "/>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63A6145"/>
    <w:multiLevelType w:val="hybridMultilevel"/>
    <w:tmpl w:val="39B2B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B605862"/>
    <w:multiLevelType w:val="multilevel"/>
    <w:tmpl w:val="E9E6AF0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4B8B5AF6"/>
    <w:multiLevelType w:val="hybridMultilevel"/>
    <w:tmpl w:val="AEF0D7D4"/>
    <w:lvl w:ilvl="0" w:tplc="40C65D16">
      <w:start w:val="1"/>
      <w:numFmt w:val="decimal"/>
      <w:lvlText w:val="%1 "/>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518C1EE4"/>
    <w:multiLevelType w:val="hybridMultilevel"/>
    <w:tmpl w:val="726AD5BE"/>
    <w:lvl w:ilvl="0" w:tplc="C3228B2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AE6011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1AF31F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FFC78A8"/>
    <w:multiLevelType w:val="multilevel"/>
    <w:tmpl w:val="4AC4A1D8"/>
    <w:lvl w:ilvl="0">
      <w:start w:val="1"/>
      <w:numFmt w:val="decimal"/>
      <w:lvlText w:val="%1 "/>
      <w:lvlJc w:val="left"/>
      <w:pPr>
        <w:ind w:left="360" w:hanging="360"/>
      </w:pPr>
      <w:rPr>
        <w:rFonts w:hint="default"/>
        <w:b/>
        <w:sz w:val="50"/>
        <w:szCs w:val="50"/>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nsid w:val="7B540C88"/>
    <w:multiLevelType w:val="hybridMultilevel"/>
    <w:tmpl w:val="EEA8311E"/>
    <w:lvl w:ilvl="0" w:tplc="40C65D16">
      <w:start w:val="1"/>
      <w:numFmt w:val="decimal"/>
      <w:lvlText w:val="%1 "/>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16"/>
  </w:num>
  <w:num w:numId="13">
    <w:abstractNumId w:val="15"/>
  </w:num>
  <w:num w:numId="14">
    <w:abstractNumId w:val="24"/>
  </w:num>
  <w:num w:numId="15">
    <w:abstractNumId w:val="31"/>
  </w:num>
  <w:num w:numId="16">
    <w:abstractNumId w:val="20"/>
  </w:num>
  <w:num w:numId="17">
    <w:abstractNumId w:val="21"/>
  </w:num>
  <w:num w:numId="18">
    <w:abstractNumId w:val="19"/>
  </w:num>
  <w:num w:numId="19">
    <w:abstractNumId w:val="18"/>
  </w:num>
  <w:num w:numId="20">
    <w:abstractNumId w:val="17"/>
  </w:num>
  <w:num w:numId="21">
    <w:abstractNumId w:val="10"/>
  </w:num>
  <w:num w:numId="22">
    <w:abstractNumId w:val="11"/>
  </w:num>
  <w:num w:numId="23">
    <w:abstractNumId w:val="13"/>
  </w:num>
  <w:num w:numId="24">
    <w:abstractNumId w:val="23"/>
  </w:num>
  <w:num w:numId="25">
    <w:abstractNumId w:val="26"/>
  </w:num>
  <w:num w:numId="26">
    <w:abstractNumId w:val="33"/>
  </w:num>
  <w:num w:numId="27">
    <w:abstractNumId w:val="14"/>
  </w:num>
  <w:num w:numId="28">
    <w:abstractNumId w:val="27"/>
  </w:num>
  <w:num w:numId="29">
    <w:abstractNumId w:val="29"/>
  </w:num>
  <w:num w:numId="30">
    <w:abstractNumId w:val="30"/>
  </w:num>
  <w:num w:numId="31">
    <w:abstractNumId w:val="28"/>
  </w:num>
  <w:num w:numId="32">
    <w:abstractNumId w:val="34"/>
  </w:num>
  <w:num w:numId="33">
    <w:abstractNumId w:val="22"/>
  </w:num>
  <w:num w:numId="34">
    <w:abstractNumId w:val="25"/>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9873">
      <o:colormru v:ext="edit" colors="#c6d3e3,#d7dce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B6F"/>
    <w:rsid w:val="00000F89"/>
    <w:rsid w:val="00000FDD"/>
    <w:rsid w:val="000017AB"/>
    <w:rsid w:val="00002047"/>
    <w:rsid w:val="00002B62"/>
    <w:rsid w:val="00006F33"/>
    <w:rsid w:val="000108BC"/>
    <w:rsid w:val="00010C7D"/>
    <w:rsid w:val="00011D66"/>
    <w:rsid w:val="00012DF0"/>
    <w:rsid w:val="00013BD2"/>
    <w:rsid w:val="00017FA3"/>
    <w:rsid w:val="00020BEA"/>
    <w:rsid w:val="00021F6B"/>
    <w:rsid w:val="00024481"/>
    <w:rsid w:val="00026531"/>
    <w:rsid w:val="0002729B"/>
    <w:rsid w:val="00027343"/>
    <w:rsid w:val="000276CA"/>
    <w:rsid w:val="00027D4A"/>
    <w:rsid w:val="0003060C"/>
    <w:rsid w:val="00035523"/>
    <w:rsid w:val="00035F84"/>
    <w:rsid w:val="000367B0"/>
    <w:rsid w:val="00036A59"/>
    <w:rsid w:val="00036C32"/>
    <w:rsid w:val="000373D3"/>
    <w:rsid w:val="000374BA"/>
    <w:rsid w:val="00040BD5"/>
    <w:rsid w:val="00040E69"/>
    <w:rsid w:val="0004139C"/>
    <w:rsid w:val="00041539"/>
    <w:rsid w:val="000441CD"/>
    <w:rsid w:val="00044B49"/>
    <w:rsid w:val="00046926"/>
    <w:rsid w:val="00047510"/>
    <w:rsid w:val="0004754E"/>
    <w:rsid w:val="0005040E"/>
    <w:rsid w:val="000552BA"/>
    <w:rsid w:val="000554AF"/>
    <w:rsid w:val="00055EEC"/>
    <w:rsid w:val="00060FFC"/>
    <w:rsid w:val="00062872"/>
    <w:rsid w:val="00063306"/>
    <w:rsid w:val="000647DA"/>
    <w:rsid w:val="00065C15"/>
    <w:rsid w:val="00066674"/>
    <w:rsid w:val="00067C9A"/>
    <w:rsid w:val="000717CA"/>
    <w:rsid w:val="000718FD"/>
    <w:rsid w:val="00072FFF"/>
    <w:rsid w:val="0007603E"/>
    <w:rsid w:val="00076818"/>
    <w:rsid w:val="00077EA0"/>
    <w:rsid w:val="00081283"/>
    <w:rsid w:val="0008361F"/>
    <w:rsid w:val="00083895"/>
    <w:rsid w:val="00085D56"/>
    <w:rsid w:val="00085FC6"/>
    <w:rsid w:val="0008660D"/>
    <w:rsid w:val="000869E8"/>
    <w:rsid w:val="00086E9D"/>
    <w:rsid w:val="00086FBF"/>
    <w:rsid w:val="00092452"/>
    <w:rsid w:val="00092F4B"/>
    <w:rsid w:val="00094E9B"/>
    <w:rsid w:val="00094EC4"/>
    <w:rsid w:val="00094F62"/>
    <w:rsid w:val="0009556B"/>
    <w:rsid w:val="00095DF7"/>
    <w:rsid w:val="00097311"/>
    <w:rsid w:val="000A0653"/>
    <w:rsid w:val="000A084A"/>
    <w:rsid w:val="000A2E81"/>
    <w:rsid w:val="000A4784"/>
    <w:rsid w:val="000A5495"/>
    <w:rsid w:val="000B1B09"/>
    <w:rsid w:val="000B23D7"/>
    <w:rsid w:val="000B4266"/>
    <w:rsid w:val="000B483C"/>
    <w:rsid w:val="000B4BD2"/>
    <w:rsid w:val="000B5E39"/>
    <w:rsid w:val="000B5EB4"/>
    <w:rsid w:val="000B602B"/>
    <w:rsid w:val="000B6813"/>
    <w:rsid w:val="000C0878"/>
    <w:rsid w:val="000C1255"/>
    <w:rsid w:val="000C2544"/>
    <w:rsid w:val="000C301C"/>
    <w:rsid w:val="000C343F"/>
    <w:rsid w:val="000C457D"/>
    <w:rsid w:val="000C4EA8"/>
    <w:rsid w:val="000C50C3"/>
    <w:rsid w:val="000C56DE"/>
    <w:rsid w:val="000C698C"/>
    <w:rsid w:val="000C7089"/>
    <w:rsid w:val="000D026C"/>
    <w:rsid w:val="000D03F0"/>
    <w:rsid w:val="000D0756"/>
    <w:rsid w:val="000D2A6F"/>
    <w:rsid w:val="000D4AD4"/>
    <w:rsid w:val="000D6DCE"/>
    <w:rsid w:val="000D7131"/>
    <w:rsid w:val="000D7E70"/>
    <w:rsid w:val="000E081F"/>
    <w:rsid w:val="000E358C"/>
    <w:rsid w:val="000E4D2D"/>
    <w:rsid w:val="000E5EB6"/>
    <w:rsid w:val="000E63C0"/>
    <w:rsid w:val="000E6A60"/>
    <w:rsid w:val="000F003C"/>
    <w:rsid w:val="000F08BD"/>
    <w:rsid w:val="000F2111"/>
    <w:rsid w:val="000F21B3"/>
    <w:rsid w:val="000F286F"/>
    <w:rsid w:val="000F34B0"/>
    <w:rsid w:val="000F407E"/>
    <w:rsid w:val="000F4434"/>
    <w:rsid w:val="000F4C1F"/>
    <w:rsid w:val="000F4D1A"/>
    <w:rsid w:val="000F5B75"/>
    <w:rsid w:val="000F5F61"/>
    <w:rsid w:val="001024D6"/>
    <w:rsid w:val="00103B5F"/>
    <w:rsid w:val="001040F6"/>
    <w:rsid w:val="001046E2"/>
    <w:rsid w:val="001062CE"/>
    <w:rsid w:val="00110A6C"/>
    <w:rsid w:val="001118EE"/>
    <w:rsid w:val="001126D5"/>
    <w:rsid w:val="00113D7D"/>
    <w:rsid w:val="00113D91"/>
    <w:rsid w:val="00114EF6"/>
    <w:rsid w:val="00122798"/>
    <w:rsid w:val="001236B0"/>
    <w:rsid w:val="00124A39"/>
    <w:rsid w:val="00124DBF"/>
    <w:rsid w:val="00126D76"/>
    <w:rsid w:val="00130976"/>
    <w:rsid w:val="00135ED4"/>
    <w:rsid w:val="0013727E"/>
    <w:rsid w:val="001373F7"/>
    <w:rsid w:val="00140427"/>
    <w:rsid w:val="00141474"/>
    <w:rsid w:val="00142603"/>
    <w:rsid w:val="0014364D"/>
    <w:rsid w:val="0014367E"/>
    <w:rsid w:val="00145141"/>
    <w:rsid w:val="001452C2"/>
    <w:rsid w:val="00145FC9"/>
    <w:rsid w:val="00146F07"/>
    <w:rsid w:val="00147F5F"/>
    <w:rsid w:val="00151A80"/>
    <w:rsid w:val="00153A1D"/>
    <w:rsid w:val="00153ACB"/>
    <w:rsid w:val="00153E6C"/>
    <w:rsid w:val="001620D8"/>
    <w:rsid w:val="001626A7"/>
    <w:rsid w:val="0016655C"/>
    <w:rsid w:val="0016664E"/>
    <w:rsid w:val="00166700"/>
    <w:rsid w:val="00166C15"/>
    <w:rsid w:val="00170BA8"/>
    <w:rsid w:val="00172052"/>
    <w:rsid w:val="001763A1"/>
    <w:rsid w:val="0017726E"/>
    <w:rsid w:val="00177450"/>
    <w:rsid w:val="00177BFE"/>
    <w:rsid w:val="00180633"/>
    <w:rsid w:val="0018416B"/>
    <w:rsid w:val="001844DC"/>
    <w:rsid w:val="001854F9"/>
    <w:rsid w:val="00185C93"/>
    <w:rsid w:val="001862DC"/>
    <w:rsid w:val="00187B31"/>
    <w:rsid w:val="00191F02"/>
    <w:rsid w:val="00193D0E"/>
    <w:rsid w:val="00194EBF"/>
    <w:rsid w:val="001960FC"/>
    <w:rsid w:val="001A0B74"/>
    <w:rsid w:val="001A171F"/>
    <w:rsid w:val="001A23A7"/>
    <w:rsid w:val="001A2DDD"/>
    <w:rsid w:val="001A409F"/>
    <w:rsid w:val="001A50F6"/>
    <w:rsid w:val="001A5BFC"/>
    <w:rsid w:val="001A6FE0"/>
    <w:rsid w:val="001A701A"/>
    <w:rsid w:val="001A7636"/>
    <w:rsid w:val="001A7D37"/>
    <w:rsid w:val="001B2E0B"/>
    <w:rsid w:val="001B3F2E"/>
    <w:rsid w:val="001B49B1"/>
    <w:rsid w:val="001B4E32"/>
    <w:rsid w:val="001B545A"/>
    <w:rsid w:val="001B5EC3"/>
    <w:rsid w:val="001C274C"/>
    <w:rsid w:val="001C2830"/>
    <w:rsid w:val="001C3273"/>
    <w:rsid w:val="001C4613"/>
    <w:rsid w:val="001C664B"/>
    <w:rsid w:val="001C7353"/>
    <w:rsid w:val="001D0958"/>
    <w:rsid w:val="001D0E56"/>
    <w:rsid w:val="001D20CA"/>
    <w:rsid w:val="001D2663"/>
    <w:rsid w:val="001D58FC"/>
    <w:rsid w:val="001D5FCE"/>
    <w:rsid w:val="001D7F8C"/>
    <w:rsid w:val="001E07D3"/>
    <w:rsid w:val="001E0BBF"/>
    <w:rsid w:val="001E0D33"/>
    <w:rsid w:val="001E666D"/>
    <w:rsid w:val="001E7717"/>
    <w:rsid w:val="001E7E65"/>
    <w:rsid w:val="001F184A"/>
    <w:rsid w:val="001F1A88"/>
    <w:rsid w:val="001F2A2B"/>
    <w:rsid w:val="001F60BB"/>
    <w:rsid w:val="001F650D"/>
    <w:rsid w:val="001F6ADE"/>
    <w:rsid w:val="002051E6"/>
    <w:rsid w:val="00205CBC"/>
    <w:rsid w:val="002061C8"/>
    <w:rsid w:val="0020708E"/>
    <w:rsid w:val="002103D4"/>
    <w:rsid w:val="0021098C"/>
    <w:rsid w:val="00211D08"/>
    <w:rsid w:val="00212EA4"/>
    <w:rsid w:val="0021471A"/>
    <w:rsid w:val="00214973"/>
    <w:rsid w:val="00216DB9"/>
    <w:rsid w:val="002171EE"/>
    <w:rsid w:val="00217228"/>
    <w:rsid w:val="0022063C"/>
    <w:rsid w:val="00221CC1"/>
    <w:rsid w:val="00222B20"/>
    <w:rsid w:val="002238D9"/>
    <w:rsid w:val="0022406F"/>
    <w:rsid w:val="00224FAE"/>
    <w:rsid w:val="00225063"/>
    <w:rsid w:val="002253B2"/>
    <w:rsid w:val="0023232F"/>
    <w:rsid w:val="00232F6C"/>
    <w:rsid w:val="00233097"/>
    <w:rsid w:val="00234481"/>
    <w:rsid w:val="0023451C"/>
    <w:rsid w:val="002352C3"/>
    <w:rsid w:val="00235CB8"/>
    <w:rsid w:val="0023786D"/>
    <w:rsid w:val="00237E3F"/>
    <w:rsid w:val="002421BF"/>
    <w:rsid w:val="002469DD"/>
    <w:rsid w:val="0024772B"/>
    <w:rsid w:val="00251529"/>
    <w:rsid w:val="002515E1"/>
    <w:rsid w:val="0025504C"/>
    <w:rsid w:val="00260F5A"/>
    <w:rsid w:val="00261622"/>
    <w:rsid w:val="00261A20"/>
    <w:rsid w:val="00261F14"/>
    <w:rsid w:val="00262201"/>
    <w:rsid w:val="00264B79"/>
    <w:rsid w:val="00264C18"/>
    <w:rsid w:val="00265F15"/>
    <w:rsid w:val="00266BAD"/>
    <w:rsid w:val="002708AB"/>
    <w:rsid w:val="00270C53"/>
    <w:rsid w:val="00272621"/>
    <w:rsid w:val="00275E81"/>
    <w:rsid w:val="00276775"/>
    <w:rsid w:val="00280720"/>
    <w:rsid w:val="002823F1"/>
    <w:rsid w:val="00282EBD"/>
    <w:rsid w:val="002867F6"/>
    <w:rsid w:val="002872B7"/>
    <w:rsid w:val="00287FB7"/>
    <w:rsid w:val="00291AF3"/>
    <w:rsid w:val="00291DE9"/>
    <w:rsid w:val="0029227E"/>
    <w:rsid w:val="002948CF"/>
    <w:rsid w:val="00294B25"/>
    <w:rsid w:val="00295BE6"/>
    <w:rsid w:val="0029700F"/>
    <w:rsid w:val="002A16C6"/>
    <w:rsid w:val="002A1B57"/>
    <w:rsid w:val="002A1F68"/>
    <w:rsid w:val="002A56A8"/>
    <w:rsid w:val="002A5CB9"/>
    <w:rsid w:val="002A5EA6"/>
    <w:rsid w:val="002B09D1"/>
    <w:rsid w:val="002B2021"/>
    <w:rsid w:val="002B202C"/>
    <w:rsid w:val="002B4393"/>
    <w:rsid w:val="002B5267"/>
    <w:rsid w:val="002B6CC9"/>
    <w:rsid w:val="002C27DA"/>
    <w:rsid w:val="002C6763"/>
    <w:rsid w:val="002C6886"/>
    <w:rsid w:val="002C7A92"/>
    <w:rsid w:val="002D1B09"/>
    <w:rsid w:val="002D25BA"/>
    <w:rsid w:val="002D2904"/>
    <w:rsid w:val="002D2CBC"/>
    <w:rsid w:val="002D39CC"/>
    <w:rsid w:val="002D3BDC"/>
    <w:rsid w:val="002D45CC"/>
    <w:rsid w:val="002D6087"/>
    <w:rsid w:val="002E06D2"/>
    <w:rsid w:val="002E1618"/>
    <w:rsid w:val="002E28D0"/>
    <w:rsid w:val="002E34E6"/>
    <w:rsid w:val="002E3EA8"/>
    <w:rsid w:val="002E3EF9"/>
    <w:rsid w:val="002E5A17"/>
    <w:rsid w:val="002E5D5E"/>
    <w:rsid w:val="002F057E"/>
    <w:rsid w:val="002F0AEF"/>
    <w:rsid w:val="002F2BA7"/>
    <w:rsid w:val="002F2D9E"/>
    <w:rsid w:val="002F2F2B"/>
    <w:rsid w:val="002F3033"/>
    <w:rsid w:val="002F361B"/>
    <w:rsid w:val="002F4012"/>
    <w:rsid w:val="002F62B3"/>
    <w:rsid w:val="002F7A2A"/>
    <w:rsid w:val="002F7AD3"/>
    <w:rsid w:val="003003DA"/>
    <w:rsid w:val="0030109B"/>
    <w:rsid w:val="00301CEF"/>
    <w:rsid w:val="00302535"/>
    <w:rsid w:val="00302714"/>
    <w:rsid w:val="00303E10"/>
    <w:rsid w:val="00304BC8"/>
    <w:rsid w:val="00304F39"/>
    <w:rsid w:val="00305424"/>
    <w:rsid w:val="00305D27"/>
    <w:rsid w:val="00306AB9"/>
    <w:rsid w:val="00306CC2"/>
    <w:rsid w:val="00307603"/>
    <w:rsid w:val="00311990"/>
    <w:rsid w:val="0031341B"/>
    <w:rsid w:val="0031356E"/>
    <w:rsid w:val="00313AE9"/>
    <w:rsid w:val="00314183"/>
    <w:rsid w:val="00314EF1"/>
    <w:rsid w:val="0032349C"/>
    <w:rsid w:val="00323A2A"/>
    <w:rsid w:val="00323BCD"/>
    <w:rsid w:val="00323D0B"/>
    <w:rsid w:val="00324B86"/>
    <w:rsid w:val="00325AD4"/>
    <w:rsid w:val="00326529"/>
    <w:rsid w:val="003277D1"/>
    <w:rsid w:val="003314A7"/>
    <w:rsid w:val="00331599"/>
    <w:rsid w:val="003343A6"/>
    <w:rsid w:val="00334633"/>
    <w:rsid w:val="0033546E"/>
    <w:rsid w:val="0033571C"/>
    <w:rsid w:val="00340A6D"/>
    <w:rsid w:val="003413CC"/>
    <w:rsid w:val="003415BC"/>
    <w:rsid w:val="003416B4"/>
    <w:rsid w:val="00342C5F"/>
    <w:rsid w:val="003440D2"/>
    <w:rsid w:val="0034738F"/>
    <w:rsid w:val="00347AD1"/>
    <w:rsid w:val="00347AEF"/>
    <w:rsid w:val="00347EA5"/>
    <w:rsid w:val="00350153"/>
    <w:rsid w:val="00350D5F"/>
    <w:rsid w:val="00353158"/>
    <w:rsid w:val="00353364"/>
    <w:rsid w:val="003537CD"/>
    <w:rsid w:val="00354470"/>
    <w:rsid w:val="00355D62"/>
    <w:rsid w:val="00357234"/>
    <w:rsid w:val="00357A5E"/>
    <w:rsid w:val="0036197E"/>
    <w:rsid w:val="00361CF1"/>
    <w:rsid w:val="003635CB"/>
    <w:rsid w:val="00363D31"/>
    <w:rsid w:val="00365CC2"/>
    <w:rsid w:val="003716EC"/>
    <w:rsid w:val="00372E8C"/>
    <w:rsid w:val="0037350D"/>
    <w:rsid w:val="003738B5"/>
    <w:rsid w:val="0037632A"/>
    <w:rsid w:val="00376374"/>
    <w:rsid w:val="003809CB"/>
    <w:rsid w:val="00380BAF"/>
    <w:rsid w:val="00382474"/>
    <w:rsid w:val="0038303A"/>
    <w:rsid w:val="00384662"/>
    <w:rsid w:val="00384A63"/>
    <w:rsid w:val="003850E5"/>
    <w:rsid w:val="0038591C"/>
    <w:rsid w:val="00385B7D"/>
    <w:rsid w:val="003864DB"/>
    <w:rsid w:val="003903F7"/>
    <w:rsid w:val="00390D0B"/>
    <w:rsid w:val="00393DAF"/>
    <w:rsid w:val="00393F8E"/>
    <w:rsid w:val="00394B71"/>
    <w:rsid w:val="0039556B"/>
    <w:rsid w:val="003955A7"/>
    <w:rsid w:val="00395777"/>
    <w:rsid w:val="003959F6"/>
    <w:rsid w:val="0039605C"/>
    <w:rsid w:val="0039626B"/>
    <w:rsid w:val="00396625"/>
    <w:rsid w:val="003A1212"/>
    <w:rsid w:val="003A21C9"/>
    <w:rsid w:val="003A328A"/>
    <w:rsid w:val="003A3386"/>
    <w:rsid w:val="003A39E1"/>
    <w:rsid w:val="003A3FFB"/>
    <w:rsid w:val="003A4723"/>
    <w:rsid w:val="003A4950"/>
    <w:rsid w:val="003A4F40"/>
    <w:rsid w:val="003A5227"/>
    <w:rsid w:val="003A700A"/>
    <w:rsid w:val="003B385F"/>
    <w:rsid w:val="003B3EBB"/>
    <w:rsid w:val="003B5381"/>
    <w:rsid w:val="003B5EB1"/>
    <w:rsid w:val="003C0755"/>
    <w:rsid w:val="003C0838"/>
    <w:rsid w:val="003C1337"/>
    <w:rsid w:val="003C31FD"/>
    <w:rsid w:val="003C41EC"/>
    <w:rsid w:val="003C591F"/>
    <w:rsid w:val="003D1B87"/>
    <w:rsid w:val="003D297E"/>
    <w:rsid w:val="003D2989"/>
    <w:rsid w:val="003D3075"/>
    <w:rsid w:val="003D3081"/>
    <w:rsid w:val="003D3D25"/>
    <w:rsid w:val="003D3E20"/>
    <w:rsid w:val="003D4782"/>
    <w:rsid w:val="003D6977"/>
    <w:rsid w:val="003D7109"/>
    <w:rsid w:val="003D773B"/>
    <w:rsid w:val="003E0956"/>
    <w:rsid w:val="003E221E"/>
    <w:rsid w:val="003E3066"/>
    <w:rsid w:val="003E40E4"/>
    <w:rsid w:val="003E4DB8"/>
    <w:rsid w:val="003E77C6"/>
    <w:rsid w:val="003E7817"/>
    <w:rsid w:val="003E7839"/>
    <w:rsid w:val="003F0401"/>
    <w:rsid w:val="003F0A1A"/>
    <w:rsid w:val="003F0B22"/>
    <w:rsid w:val="003F223B"/>
    <w:rsid w:val="003F404E"/>
    <w:rsid w:val="003F41F8"/>
    <w:rsid w:val="003F420C"/>
    <w:rsid w:val="003F577D"/>
    <w:rsid w:val="003F5B1A"/>
    <w:rsid w:val="003F7C91"/>
    <w:rsid w:val="00401096"/>
    <w:rsid w:val="00401149"/>
    <w:rsid w:val="0040208D"/>
    <w:rsid w:val="00402A18"/>
    <w:rsid w:val="00402C52"/>
    <w:rsid w:val="004065A8"/>
    <w:rsid w:val="00410644"/>
    <w:rsid w:val="0041170E"/>
    <w:rsid w:val="00413D9F"/>
    <w:rsid w:val="00414346"/>
    <w:rsid w:val="00414352"/>
    <w:rsid w:val="00415237"/>
    <w:rsid w:val="004163B9"/>
    <w:rsid w:val="00416AC5"/>
    <w:rsid w:val="00416F5B"/>
    <w:rsid w:val="00421BFC"/>
    <w:rsid w:val="00422AF3"/>
    <w:rsid w:val="00423C18"/>
    <w:rsid w:val="00423FE1"/>
    <w:rsid w:val="0042419B"/>
    <w:rsid w:val="004252DB"/>
    <w:rsid w:val="004274AC"/>
    <w:rsid w:val="00431EF3"/>
    <w:rsid w:val="00433735"/>
    <w:rsid w:val="00433DE5"/>
    <w:rsid w:val="00435E17"/>
    <w:rsid w:val="004361A9"/>
    <w:rsid w:val="00436A95"/>
    <w:rsid w:val="0044062B"/>
    <w:rsid w:val="004406FF"/>
    <w:rsid w:val="00442AB5"/>
    <w:rsid w:val="004433DF"/>
    <w:rsid w:val="00450FA4"/>
    <w:rsid w:val="004513B9"/>
    <w:rsid w:val="00451754"/>
    <w:rsid w:val="00453400"/>
    <w:rsid w:val="00455B36"/>
    <w:rsid w:val="00457492"/>
    <w:rsid w:val="00457657"/>
    <w:rsid w:val="00460D1C"/>
    <w:rsid w:val="00461C91"/>
    <w:rsid w:val="00462295"/>
    <w:rsid w:val="004633F1"/>
    <w:rsid w:val="004635B9"/>
    <w:rsid w:val="00464B01"/>
    <w:rsid w:val="00466251"/>
    <w:rsid w:val="00466F72"/>
    <w:rsid w:val="00474FC0"/>
    <w:rsid w:val="00475044"/>
    <w:rsid w:val="00475B43"/>
    <w:rsid w:val="00476202"/>
    <w:rsid w:val="00477F0A"/>
    <w:rsid w:val="0048254B"/>
    <w:rsid w:val="00484F04"/>
    <w:rsid w:val="0048556B"/>
    <w:rsid w:val="00485B61"/>
    <w:rsid w:val="00486707"/>
    <w:rsid w:val="0048776B"/>
    <w:rsid w:val="00491FFB"/>
    <w:rsid w:val="00492B6F"/>
    <w:rsid w:val="00492FF5"/>
    <w:rsid w:val="00496025"/>
    <w:rsid w:val="00496F36"/>
    <w:rsid w:val="004A0C7C"/>
    <w:rsid w:val="004A0D40"/>
    <w:rsid w:val="004A104F"/>
    <w:rsid w:val="004A352F"/>
    <w:rsid w:val="004A6A10"/>
    <w:rsid w:val="004A7836"/>
    <w:rsid w:val="004A7A43"/>
    <w:rsid w:val="004B0390"/>
    <w:rsid w:val="004B03F1"/>
    <w:rsid w:val="004B18DB"/>
    <w:rsid w:val="004B1A41"/>
    <w:rsid w:val="004B383D"/>
    <w:rsid w:val="004B6134"/>
    <w:rsid w:val="004C0F0A"/>
    <w:rsid w:val="004C1161"/>
    <w:rsid w:val="004C36A7"/>
    <w:rsid w:val="004C3A20"/>
    <w:rsid w:val="004C4A06"/>
    <w:rsid w:val="004C4D4B"/>
    <w:rsid w:val="004C5367"/>
    <w:rsid w:val="004C6273"/>
    <w:rsid w:val="004C6D8F"/>
    <w:rsid w:val="004C72EC"/>
    <w:rsid w:val="004D0C6E"/>
    <w:rsid w:val="004D15E2"/>
    <w:rsid w:val="004D1EB5"/>
    <w:rsid w:val="004D1F99"/>
    <w:rsid w:val="004D3309"/>
    <w:rsid w:val="004E01A9"/>
    <w:rsid w:val="004E0364"/>
    <w:rsid w:val="004E0F20"/>
    <w:rsid w:val="004E1820"/>
    <w:rsid w:val="004E1EF3"/>
    <w:rsid w:val="004E27D4"/>
    <w:rsid w:val="004E2F98"/>
    <w:rsid w:val="004E3F07"/>
    <w:rsid w:val="004E490C"/>
    <w:rsid w:val="004E4F38"/>
    <w:rsid w:val="004E7446"/>
    <w:rsid w:val="004F5676"/>
    <w:rsid w:val="004F5C4B"/>
    <w:rsid w:val="004F5D6B"/>
    <w:rsid w:val="00500986"/>
    <w:rsid w:val="00502033"/>
    <w:rsid w:val="0050235F"/>
    <w:rsid w:val="00503748"/>
    <w:rsid w:val="005042D2"/>
    <w:rsid w:val="00504BD5"/>
    <w:rsid w:val="00506867"/>
    <w:rsid w:val="00506AD1"/>
    <w:rsid w:val="00507E0C"/>
    <w:rsid w:val="0051072A"/>
    <w:rsid w:val="0051098A"/>
    <w:rsid w:val="00512C46"/>
    <w:rsid w:val="00515166"/>
    <w:rsid w:val="00516023"/>
    <w:rsid w:val="00517207"/>
    <w:rsid w:val="005172A1"/>
    <w:rsid w:val="00521814"/>
    <w:rsid w:val="00521966"/>
    <w:rsid w:val="00522FD5"/>
    <w:rsid w:val="00524DCC"/>
    <w:rsid w:val="00525D5F"/>
    <w:rsid w:val="005265F2"/>
    <w:rsid w:val="00527B82"/>
    <w:rsid w:val="005306A2"/>
    <w:rsid w:val="00531EC4"/>
    <w:rsid w:val="005328A9"/>
    <w:rsid w:val="00533BCF"/>
    <w:rsid w:val="00536122"/>
    <w:rsid w:val="00536B05"/>
    <w:rsid w:val="00540940"/>
    <w:rsid w:val="0054098C"/>
    <w:rsid w:val="00540CA9"/>
    <w:rsid w:val="005410EB"/>
    <w:rsid w:val="005419E1"/>
    <w:rsid w:val="005442C6"/>
    <w:rsid w:val="00546034"/>
    <w:rsid w:val="005463B4"/>
    <w:rsid w:val="00546F2A"/>
    <w:rsid w:val="00550C8E"/>
    <w:rsid w:val="0055125D"/>
    <w:rsid w:val="00551B70"/>
    <w:rsid w:val="005545AB"/>
    <w:rsid w:val="005549A2"/>
    <w:rsid w:val="0055737B"/>
    <w:rsid w:val="00557AF1"/>
    <w:rsid w:val="005620A1"/>
    <w:rsid w:val="00565F3C"/>
    <w:rsid w:val="00566B80"/>
    <w:rsid w:val="00567C0F"/>
    <w:rsid w:val="005705DA"/>
    <w:rsid w:val="0057293F"/>
    <w:rsid w:val="00575A76"/>
    <w:rsid w:val="005775C8"/>
    <w:rsid w:val="00581CD1"/>
    <w:rsid w:val="005833B0"/>
    <w:rsid w:val="00584F61"/>
    <w:rsid w:val="005855E5"/>
    <w:rsid w:val="00585E3D"/>
    <w:rsid w:val="0058666A"/>
    <w:rsid w:val="00586A8B"/>
    <w:rsid w:val="005960A9"/>
    <w:rsid w:val="00597B2A"/>
    <w:rsid w:val="00597BFB"/>
    <w:rsid w:val="005A0D69"/>
    <w:rsid w:val="005A0DE1"/>
    <w:rsid w:val="005A2032"/>
    <w:rsid w:val="005A2883"/>
    <w:rsid w:val="005A298C"/>
    <w:rsid w:val="005A2B26"/>
    <w:rsid w:val="005A4697"/>
    <w:rsid w:val="005A4D90"/>
    <w:rsid w:val="005B2DAA"/>
    <w:rsid w:val="005B37E4"/>
    <w:rsid w:val="005B4E8D"/>
    <w:rsid w:val="005B6E80"/>
    <w:rsid w:val="005B7C24"/>
    <w:rsid w:val="005C0D0D"/>
    <w:rsid w:val="005C4992"/>
    <w:rsid w:val="005C4D1C"/>
    <w:rsid w:val="005C63B5"/>
    <w:rsid w:val="005D0AD5"/>
    <w:rsid w:val="005D17AB"/>
    <w:rsid w:val="005D2206"/>
    <w:rsid w:val="005D487E"/>
    <w:rsid w:val="005D4D63"/>
    <w:rsid w:val="005D50F0"/>
    <w:rsid w:val="005D5BC1"/>
    <w:rsid w:val="005D5FCB"/>
    <w:rsid w:val="005E045F"/>
    <w:rsid w:val="005E2085"/>
    <w:rsid w:val="005E2848"/>
    <w:rsid w:val="005E3345"/>
    <w:rsid w:val="005E3845"/>
    <w:rsid w:val="005E404F"/>
    <w:rsid w:val="005E5EFC"/>
    <w:rsid w:val="005E743F"/>
    <w:rsid w:val="005F0A5F"/>
    <w:rsid w:val="005F14A0"/>
    <w:rsid w:val="005F338C"/>
    <w:rsid w:val="005F40F6"/>
    <w:rsid w:val="005F52FC"/>
    <w:rsid w:val="0060067E"/>
    <w:rsid w:val="00600EB6"/>
    <w:rsid w:val="00601891"/>
    <w:rsid w:val="0060297F"/>
    <w:rsid w:val="00602C3D"/>
    <w:rsid w:val="006066BA"/>
    <w:rsid w:val="006077C4"/>
    <w:rsid w:val="006104A1"/>
    <w:rsid w:val="0061177E"/>
    <w:rsid w:val="00614B8F"/>
    <w:rsid w:val="00617202"/>
    <w:rsid w:val="00621DCD"/>
    <w:rsid w:val="00622089"/>
    <w:rsid w:val="00623FCA"/>
    <w:rsid w:val="00626F16"/>
    <w:rsid w:val="00631526"/>
    <w:rsid w:val="006325E8"/>
    <w:rsid w:val="0063456D"/>
    <w:rsid w:val="00634B73"/>
    <w:rsid w:val="006361CC"/>
    <w:rsid w:val="0063754A"/>
    <w:rsid w:val="00637BFC"/>
    <w:rsid w:val="00637D72"/>
    <w:rsid w:val="006401FE"/>
    <w:rsid w:val="00641411"/>
    <w:rsid w:val="00641CD1"/>
    <w:rsid w:val="00643096"/>
    <w:rsid w:val="00644F64"/>
    <w:rsid w:val="00645BF9"/>
    <w:rsid w:val="006502D0"/>
    <w:rsid w:val="006505B7"/>
    <w:rsid w:val="0065123D"/>
    <w:rsid w:val="006538BB"/>
    <w:rsid w:val="00656AF8"/>
    <w:rsid w:val="00656DAF"/>
    <w:rsid w:val="00657098"/>
    <w:rsid w:val="00657EE8"/>
    <w:rsid w:val="006603A0"/>
    <w:rsid w:val="006608FA"/>
    <w:rsid w:val="00661BAE"/>
    <w:rsid w:val="00662AA5"/>
    <w:rsid w:val="00664DD5"/>
    <w:rsid w:val="006663AC"/>
    <w:rsid w:val="00666762"/>
    <w:rsid w:val="00667AA1"/>
    <w:rsid w:val="00667C56"/>
    <w:rsid w:val="006717A6"/>
    <w:rsid w:val="006717DC"/>
    <w:rsid w:val="00671963"/>
    <w:rsid w:val="00672C61"/>
    <w:rsid w:val="0067534F"/>
    <w:rsid w:val="006755BB"/>
    <w:rsid w:val="0067780A"/>
    <w:rsid w:val="00680398"/>
    <w:rsid w:val="006815EB"/>
    <w:rsid w:val="006823B1"/>
    <w:rsid w:val="0068289A"/>
    <w:rsid w:val="00682FB3"/>
    <w:rsid w:val="006848CA"/>
    <w:rsid w:val="0068496C"/>
    <w:rsid w:val="00685945"/>
    <w:rsid w:val="0069045C"/>
    <w:rsid w:val="00690625"/>
    <w:rsid w:val="00693A41"/>
    <w:rsid w:val="006943D7"/>
    <w:rsid w:val="00694D4D"/>
    <w:rsid w:val="00696823"/>
    <w:rsid w:val="00697347"/>
    <w:rsid w:val="006A12D3"/>
    <w:rsid w:val="006A13B6"/>
    <w:rsid w:val="006A1D72"/>
    <w:rsid w:val="006A292A"/>
    <w:rsid w:val="006A2DAF"/>
    <w:rsid w:val="006A2FE3"/>
    <w:rsid w:val="006A6462"/>
    <w:rsid w:val="006A67A5"/>
    <w:rsid w:val="006A6D49"/>
    <w:rsid w:val="006B03AB"/>
    <w:rsid w:val="006B3E35"/>
    <w:rsid w:val="006B4034"/>
    <w:rsid w:val="006B4459"/>
    <w:rsid w:val="006B4F9B"/>
    <w:rsid w:val="006B5B40"/>
    <w:rsid w:val="006C0B66"/>
    <w:rsid w:val="006C1E26"/>
    <w:rsid w:val="006C2A5D"/>
    <w:rsid w:val="006C2CB3"/>
    <w:rsid w:val="006C3A2D"/>
    <w:rsid w:val="006C41AC"/>
    <w:rsid w:val="006C67F3"/>
    <w:rsid w:val="006C6AB8"/>
    <w:rsid w:val="006D032A"/>
    <w:rsid w:val="006D05CA"/>
    <w:rsid w:val="006D3F41"/>
    <w:rsid w:val="006D625C"/>
    <w:rsid w:val="006E0B22"/>
    <w:rsid w:val="006E412A"/>
    <w:rsid w:val="006E4C7E"/>
    <w:rsid w:val="006E5723"/>
    <w:rsid w:val="006E6C55"/>
    <w:rsid w:val="006E720C"/>
    <w:rsid w:val="006E7EA0"/>
    <w:rsid w:val="006F4AD5"/>
    <w:rsid w:val="006F4B80"/>
    <w:rsid w:val="006F6490"/>
    <w:rsid w:val="007037EE"/>
    <w:rsid w:val="00703FE5"/>
    <w:rsid w:val="007149C1"/>
    <w:rsid w:val="00715398"/>
    <w:rsid w:val="007157CD"/>
    <w:rsid w:val="00715F88"/>
    <w:rsid w:val="007173B1"/>
    <w:rsid w:val="00717444"/>
    <w:rsid w:val="0071794E"/>
    <w:rsid w:val="007210B1"/>
    <w:rsid w:val="0072160F"/>
    <w:rsid w:val="0072396B"/>
    <w:rsid w:val="0072422C"/>
    <w:rsid w:val="007252B1"/>
    <w:rsid w:val="00725329"/>
    <w:rsid w:val="0072586C"/>
    <w:rsid w:val="00725B3E"/>
    <w:rsid w:val="00726DE3"/>
    <w:rsid w:val="00731B33"/>
    <w:rsid w:val="00732652"/>
    <w:rsid w:val="00732868"/>
    <w:rsid w:val="00735719"/>
    <w:rsid w:val="0073611C"/>
    <w:rsid w:val="0073711F"/>
    <w:rsid w:val="007407E1"/>
    <w:rsid w:val="00745899"/>
    <w:rsid w:val="00746325"/>
    <w:rsid w:val="00751599"/>
    <w:rsid w:val="007532F0"/>
    <w:rsid w:val="00753F36"/>
    <w:rsid w:val="0075400C"/>
    <w:rsid w:val="00757DC8"/>
    <w:rsid w:val="00760A0E"/>
    <w:rsid w:val="007610B7"/>
    <w:rsid w:val="00761B1E"/>
    <w:rsid w:val="00762EA5"/>
    <w:rsid w:val="00763D87"/>
    <w:rsid w:val="007648B2"/>
    <w:rsid w:val="00764D87"/>
    <w:rsid w:val="007651CA"/>
    <w:rsid w:val="00765F30"/>
    <w:rsid w:val="00766D61"/>
    <w:rsid w:val="0076757F"/>
    <w:rsid w:val="00767CD4"/>
    <w:rsid w:val="00770C9A"/>
    <w:rsid w:val="00770CD6"/>
    <w:rsid w:val="00770CF8"/>
    <w:rsid w:val="00771C3A"/>
    <w:rsid w:val="0077350F"/>
    <w:rsid w:val="00773828"/>
    <w:rsid w:val="007760E7"/>
    <w:rsid w:val="00777EE0"/>
    <w:rsid w:val="0078196F"/>
    <w:rsid w:val="0078417E"/>
    <w:rsid w:val="007851B6"/>
    <w:rsid w:val="00786211"/>
    <w:rsid w:val="00791805"/>
    <w:rsid w:val="00792458"/>
    <w:rsid w:val="00792522"/>
    <w:rsid w:val="007929C8"/>
    <w:rsid w:val="007957BB"/>
    <w:rsid w:val="007970B9"/>
    <w:rsid w:val="007A2CFC"/>
    <w:rsid w:val="007A3729"/>
    <w:rsid w:val="007A41DA"/>
    <w:rsid w:val="007A4DF1"/>
    <w:rsid w:val="007A5B93"/>
    <w:rsid w:val="007A7CAB"/>
    <w:rsid w:val="007B1011"/>
    <w:rsid w:val="007B1B01"/>
    <w:rsid w:val="007B546B"/>
    <w:rsid w:val="007B62D8"/>
    <w:rsid w:val="007B7165"/>
    <w:rsid w:val="007C1E5C"/>
    <w:rsid w:val="007C39A8"/>
    <w:rsid w:val="007C3E50"/>
    <w:rsid w:val="007C5A67"/>
    <w:rsid w:val="007C5E4B"/>
    <w:rsid w:val="007D07A3"/>
    <w:rsid w:val="007D2CCC"/>
    <w:rsid w:val="007D2E5C"/>
    <w:rsid w:val="007D4F09"/>
    <w:rsid w:val="007D5B7F"/>
    <w:rsid w:val="007D5E52"/>
    <w:rsid w:val="007D6C05"/>
    <w:rsid w:val="007E05FF"/>
    <w:rsid w:val="007E27E5"/>
    <w:rsid w:val="007E3A36"/>
    <w:rsid w:val="007E4024"/>
    <w:rsid w:val="007E502E"/>
    <w:rsid w:val="007E5950"/>
    <w:rsid w:val="007E6F47"/>
    <w:rsid w:val="007E78CB"/>
    <w:rsid w:val="007F19BD"/>
    <w:rsid w:val="007F2926"/>
    <w:rsid w:val="007F2FC3"/>
    <w:rsid w:val="007F3951"/>
    <w:rsid w:val="007F484A"/>
    <w:rsid w:val="007F7DA8"/>
    <w:rsid w:val="008004D2"/>
    <w:rsid w:val="00803352"/>
    <w:rsid w:val="0080513E"/>
    <w:rsid w:val="008055D6"/>
    <w:rsid w:val="00805E01"/>
    <w:rsid w:val="008103DA"/>
    <w:rsid w:val="008116F6"/>
    <w:rsid w:val="008120F7"/>
    <w:rsid w:val="00812334"/>
    <w:rsid w:val="00812F70"/>
    <w:rsid w:val="00813827"/>
    <w:rsid w:val="00813EC8"/>
    <w:rsid w:val="008143F9"/>
    <w:rsid w:val="008158C6"/>
    <w:rsid w:val="00816398"/>
    <w:rsid w:val="00821839"/>
    <w:rsid w:val="00822EEE"/>
    <w:rsid w:val="008234E6"/>
    <w:rsid w:val="00823531"/>
    <w:rsid w:val="008239E4"/>
    <w:rsid w:val="0082470D"/>
    <w:rsid w:val="008248ED"/>
    <w:rsid w:val="0082553E"/>
    <w:rsid w:val="008266CD"/>
    <w:rsid w:val="008322AF"/>
    <w:rsid w:val="008346B5"/>
    <w:rsid w:val="008351ED"/>
    <w:rsid w:val="008352FE"/>
    <w:rsid w:val="008363DC"/>
    <w:rsid w:val="008367CC"/>
    <w:rsid w:val="00837920"/>
    <w:rsid w:val="00840883"/>
    <w:rsid w:val="00843CE6"/>
    <w:rsid w:val="00844CD2"/>
    <w:rsid w:val="00845065"/>
    <w:rsid w:val="0084529D"/>
    <w:rsid w:val="008459F2"/>
    <w:rsid w:val="00846DB9"/>
    <w:rsid w:val="008472BD"/>
    <w:rsid w:val="00850183"/>
    <w:rsid w:val="00850C9E"/>
    <w:rsid w:val="00852D5D"/>
    <w:rsid w:val="00852E67"/>
    <w:rsid w:val="00853292"/>
    <w:rsid w:val="008612D9"/>
    <w:rsid w:val="008625BB"/>
    <w:rsid w:val="0086285C"/>
    <w:rsid w:val="0086420F"/>
    <w:rsid w:val="0086424E"/>
    <w:rsid w:val="008642F9"/>
    <w:rsid w:val="008664A6"/>
    <w:rsid w:val="0086691A"/>
    <w:rsid w:val="0086697F"/>
    <w:rsid w:val="008670C0"/>
    <w:rsid w:val="0087054C"/>
    <w:rsid w:val="00872117"/>
    <w:rsid w:val="00875992"/>
    <w:rsid w:val="00876CB3"/>
    <w:rsid w:val="00876F4B"/>
    <w:rsid w:val="0087726F"/>
    <w:rsid w:val="00883EDD"/>
    <w:rsid w:val="00885B21"/>
    <w:rsid w:val="00886BBA"/>
    <w:rsid w:val="00887039"/>
    <w:rsid w:val="0088712D"/>
    <w:rsid w:val="00890DE8"/>
    <w:rsid w:val="00891443"/>
    <w:rsid w:val="0089498B"/>
    <w:rsid w:val="00894BAB"/>
    <w:rsid w:val="0089527C"/>
    <w:rsid w:val="008960E1"/>
    <w:rsid w:val="00896DEB"/>
    <w:rsid w:val="008A0381"/>
    <w:rsid w:val="008A0919"/>
    <w:rsid w:val="008A0B38"/>
    <w:rsid w:val="008A241F"/>
    <w:rsid w:val="008A31A9"/>
    <w:rsid w:val="008A679C"/>
    <w:rsid w:val="008A6E16"/>
    <w:rsid w:val="008A76BE"/>
    <w:rsid w:val="008B007B"/>
    <w:rsid w:val="008B0ED4"/>
    <w:rsid w:val="008B1A43"/>
    <w:rsid w:val="008B524E"/>
    <w:rsid w:val="008B6893"/>
    <w:rsid w:val="008B6F6F"/>
    <w:rsid w:val="008C0B4B"/>
    <w:rsid w:val="008C0D4D"/>
    <w:rsid w:val="008C15DA"/>
    <w:rsid w:val="008C358D"/>
    <w:rsid w:val="008C39AA"/>
    <w:rsid w:val="008C40A4"/>
    <w:rsid w:val="008D068F"/>
    <w:rsid w:val="008D06E3"/>
    <w:rsid w:val="008D0E86"/>
    <w:rsid w:val="008D1835"/>
    <w:rsid w:val="008D1E7E"/>
    <w:rsid w:val="008D2EBB"/>
    <w:rsid w:val="008D5BF1"/>
    <w:rsid w:val="008D7D1E"/>
    <w:rsid w:val="008E3E4B"/>
    <w:rsid w:val="008E41E9"/>
    <w:rsid w:val="008E4F10"/>
    <w:rsid w:val="008E524F"/>
    <w:rsid w:val="008E707E"/>
    <w:rsid w:val="008E74C2"/>
    <w:rsid w:val="008E7E67"/>
    <w:rsid w:val="008F19FA"/>
    <w:rsid w:val="008F2A9B"/>
    <w:rsid w:val="008F2CAB"/>
    <w:rsid w:val="008F3232"/>
    <w:rsid w:val="008F3A86"/>
    <w:rsid w:val="008F70D0"/>
    <w:rsid w:val="0090362C"/>
    <w:rsid w:val="00904E32"/>
    <w:rsid w:val="0090633A"/>
    <w:rsid w:val="009115E3"/>
    <w:rsid w:val="009120DF"/>
    <w:rsid w:val="00913930"/>
    <w:rsid w:val="0091778D"/>
    <w:rsid w:val="00917ACD"/>
    <w:rsid w:val="00922584"/>
    <w:rsid w:val="00922D4F"/>
    <w:rsid w:val="00922FAD"/>
    <w:rsid w:val="0092399D"/>
    <w:rsid w:val="00930019"/>
    <w:rsid w:val="00930E69"/>
    <w:rsid w:val="00931B64"/>
    <w:rsid w:val="00933068"/>
    <w:rsid w:val="00933115"/>
    <w:rsid w:val="0093765A"/>
    <w:rsid w:val="0094125C"/>
    <w:rsid w:val="0094152D"/>
    <w:rsid w:val="00941AC5"/>
    <w:rsid w:val="00941AFC"/>
    <w:rsid w:val="0094337E"/>
    <w:rsid w:val="0095252F"/>
    <w:rsid w:val="009530F3"/>
    <w:rsid w:val="0095346A"/>
    <w:rsid w:val="009550CE"/>
    <w:rsid w:val="00960B97"/>
    <w:rsid w:val="009628A1"/>
    <w:rsid w:val="00963C27"/>
    <w:rsid w:val="0096631E"/>
    <w:rsid w:val="00966917"/>
    <w:rsid w:val="00967B6A"/>
    <w:rsid w:val="009707A3"/>
    <w:rsid w:val="009729B5"/>
    <w:rsid w:val="00972A19"/>
    <w:rsid w:val="00973063"/>
    <w:rsid w:val="00973863"/>
    <w:rsid w:val="00975EA7"/>
    <w:rsid w:val="009809EF"/>
    <w:rsid w:val="0098289C"/>
    <w:rsid w:val="00983FFA"/>
    <w:rsid w:val="0098461C"/>
    <w:rsid w:val="00984FC9"/>
    <w:rsid w:val="00985047"/>
    <w:rsid w:val="009862F8"/>
    <w:rsid w:val="00992D25"/>
    <w:rsid w:val="00993101"/>
    <w:rsid w:val="009950A3"/>
    <w:rsid w:val="009962FA"/>
    <w:rsid w:val="009A013F"/>
    <w:rsid w:val="009A0458"/>
    <w:rsid w:val="009A32E6"/>
    <w:rsid w:val="009A4B86"/>
    <w:rsid w:val="009A6E92"/>
    <w:rsid w:val="009A7328"/>
    <w:rsid w:val="009B04C2"/>
    <w:rsid w:val="009B1AEF"/>
    <w:rsid w:val="009B2594"/>
    <w:rsid w:val="009B35AB"/>
    <w:rsid w:val="009B4404"/>
    <w:rsid w:val="009B6BCF"/>
    <w:rsid w:val="009B7314"/>
    <w:rsid w:val="009B7F15"/>
    <w:rsid w:val="009C2541"/>
    <w:rsid w:val="009C3150"/>
    <w:rsid w:val="009C376A"/>
    <w:rsid w:val="009C45D8"/>
    <w:rsid w:val="009C481A"/>
    <w:rsid w:val="009C4D71"/>
    <w:rsid w:val="009C4DAA"/>
    <w:rsid w:val="009C4E9F"/>
    <w:rsid w:val="009C600F"/>
    <w:rsid w:val="009C71A0"/>
    <w:rsid w:val="009C7A1C"/>
    <w:rsid w:val="009D009C"/>
    <w:rsid w:val="009D20CA"/>
    <w:rsid w:val="009D3253"/>
    <w:rsid w:val="009D46B3"/>
    <w:rsid w:val="009D4F6D"/>
    <w:rsid w:val="009D64D4"/>
    <w:rsid w:val="009D6D7D"/>
    <w:rsid w:val="009D70CA"/>
    <w:rsid w:val="009E1133"/>
    <w:rsid w:val="009E1555"/>
    <w:rsid w:val="009E1E10"/>
    <w:rsid w:val="009E2105"/>
    <w:rsid w:val="009E4C1D"/>
    <w:rsid w:val="009F1DED"/>
    <w:rsid w:val="009F2C52"/>
    <w:rsid w:val="009F33E5"/>
    <w:rsid w:val="009F70C6"/>
    <w:rsid w:val="009F71D0"/>
    <w:rsid w:val="00A0081D"/>
    <w:rsid w:val="00A00CC4"/>
    <w:rsid w:val="00A01955"/>
    <w:rsid w:val="00A02991"/>
    <w:rsid w:val="00A051CB"/>
    <w:rsid w:val="00A0547D"/>
    <w:rsid w:val="00A10A32"/>
    <w:rsid w:val="00A12F42"/>
    <w:rsid w:val="00A132DA"/>
    <w:rsid w:val="00A13701"/>
    <w:rsid w:val="00A138DA"/>
    <w:rsid w:val="00A14402"/>
    <w:rsid w:val="00A15FB1"/>
    <w:rsid w:val="00A25759"/>
    <w:rsid w:val="00A27254"/>
    <w:rsid w:val="00A31512"/>
    <w:rsid w:val="00A3199A"/>
    <w:rsid w:val="00A31BBB"/>
    <w:rsid w:val="00A3269C"/>
    <w:rsid w:val="00A32E85"/>
    <w:rsid w:val="00A342DF"/>
    <w:rsid w:val="00A34962"/>
    <w:rsid w:val="00A35FE5"/>
    <w:rsid w:val="00A3655D"/>
    <w:rsid w:val="00A372A2"/>
    <w:rsid w:val="00A403AB"/>
    <w:rsid w:val="00A4489F"/>
    <w:rsid w:val="00A46B82"/>
    <w:rsid w:val="00A4712A"/>
    <w:rsid w:val="00A4765A"/>
    <w:rsid w:val="00A50214"/>
    <w:rsid w:val="00A5198F"/>
    <w:rsid w:val="00A52577"/>
    <w:rsid w:val="00A52E71"/>
    <w:rsid w:val="00A5352B"/>
    <w:rsid w:val="00A54E4C"/>
    <w:rsid w:val="00A54E6D"/>
    <w:rsid w:val="00A55809"/>
    <w:rsid w:val="00A55992"/>
    <w:rsid w:val="00A56D52"/>
    <w:rsid w:val="00A606C1"/>
    <w:rsid w:val="00A6479B"/>
    <w:rsid w:val="00A66663"/>
    <w:rsid w:val="00A66771"/>
    <w:rsid w:val="00A73B7A"/>
    <w:rsid w:val="00A74049"/>
    <w:rsid w:val="00A74F69"/>
    <w:rsid w:val="00A757B8"/>
    <w:rsid w:val="00A761A3"/>
    <w:rsid w:val="00A82D47"/>
    <w:rsid w:val="00A87363"/>
    <w:rsid w:val="00A87408"/>
    <w:rsid w:val="00A91A32"/>
    <w:rsid w:val="00A9360B"/>
    <w:rsid w:val="00A94B67"/>
    <w:rsid w:val="00A95090"/>
    <w:rsid w:val="00A95274"/>
    <w:rsid w:val="00A960BB"/>
    <w:rsid w:val="00A96903"/>
    <w:rsid w:val="00A97B46"/>
    <w:rsid w:val="00AA0235"/>
    <w:rsid w:val="00AA2344"/>
    <w:rsid w:val="00AA30C3"/>
    <w:rsid w:val="00AA3795"/>
    <w:rsid w:val="00AA4ABA"/>
    <w:rsid w:val="00AA5CED"/>
    <w:rsid w:val="00AA5D19"/>
    <w:rsid w:val="00AA5D44"/>
    <w:rsid w:val="00AA6835"/>
    <w:rsid w:val="00AB1F4E"/>
    <w:rsid w:val="00AB27C1"/>
    <w:rsid w:val="00AB3322"/>
    <w:rsid w:val="00AB70FD"/>
    <w:rsid w:val="00AC2B6D"/>
    <w:rsid w:val="00AC418B"/>
    <w:rsid w:val="00AC5DBB"/>
    <w:rsid w:val="00AC6596"/>
    <w:rsid w:val="00AD0A90"/>
    <w:rsid w:val="00AD1BF4"/>
    <w:rsid w:val="00AD32F4"/>
    <w:rsid w:val="00AD4E2D"/>
    <w:rsid w:val="00AD67B0"/>
    <w:rsid w:val="00AE10F0"/>
    <w:rsid w:val="00AE34BD"/>
    <w:rsid w:val="00AE4EC5"/>
    <w:rsid w:val="00AE58A6"/>
    <w:rsid w:val="00AE616C"/>
    <w:rsid w:val="00AF2F7D"/>
    <w:rsid w:val="00AF2FC1"/>
    <w:rsid w:val="00AF3864"/>
    <w:rsid w:val="00AF398B"/>
    <w:rsid w:val="00AF4160"/>
    <w:rsid w:val="00AF4C4A"/>
    <w:rsid w:val="00AF5302"/>
    <w:rsid w:val="00AF78D9"/>
    <w:rsid w:val="00AF7F30"/>
    <w:rsid w:val="00B000EA"/>
    <w:rsid w:val="00B001B9"/>
    <w:rsid w:val="00B001C9"/>
    <w:rsid w:val="00B00814"/>
    <w:rsid w:val="00B0110C"/>
    <w:rsid w:val="00B015FB"/>
    <w:rsid w:val="00B03529"/>
    <w:rsid w:val="00B03A90"/>
    <w:rsid w:val="00B04185"/>
    <w:rsid w:val="00B04CFE"/>
    <w:rsid w:val="00B0577A"/>
    <w:rsid w:val="00B05914"/>
    <w:rsid w:val="00B074A7"/>
    <w:rsid w:val="00B12C49"/>
    <w:rsid w:val="00B14A66"/>
    <w:rsid w:val="00B14E8B"/>
    <w:rsid w:val="00B151AF"/>
    <w:rsid w:val="00B15233"/>
    <w:rsid w:val="00B15D49"/>
    <w:rsid w:val="00B216F2"/>
    <w:rsid w:val="00B21C38"/>
    <w:rsid w:val="00B220C1"/>
    <w:rsid w:val="00B258C2"/>
    <w:rsid w:val="00B26187"/>
    <w:rsid w:val="00B273A1"/>
    <w:rsid w:val="00B30198"/>
    <w:rsid w:val="00B32541"/>
    <w:rsid w:val="00B334CB"/>
    <w:rsid w:val="00B36525"/>
    <w:rsid w:val="00B3666B"/>
    <w:rsid w:val="00B41E50"/>
    <w:rsid w:val="00B43483"/>
    <w:rsid w:val="00B43F88"/>
    <w:rsid w:val="00B46386"/>
    <w:rsid w:val="00B464CF"/>
    <w:rsid w:val="00B47904"/>
    <w:rsid w:val="00B52C9F"/>
    <w:rsid w:val="00B53425"/>
    <w:rsid w:val="00B53495"/>
    <w:rsid w:val="00B558B1"/>
    <w:rsid w:val="00B565F6"/>
    <w:rsid w:val="00B56E76"/>
    <w:rsid w:val="00B61BB4"/>
    <w:rsid w:val="00B61E46"/>
    <w:rsid w:val="00B62070"/>
    <w:rsid w:val="00B62C1C"/>
    <w:rsid w:val="00B6326F"/>
    <w:rsid w:val="00B6535E"/>
    <w:rsid w:val="00B66396"/>
    <w:rsid w:val="00B708C4"/>
    <w:rsid w:val="00B72B97"/>
    <w:rsid w:val="00B74434"/>
    <w:rsid w:val="00B74779"/>
    <w:rsid w:val="00B74FF0"/>
    <w:rsid w:val="00B75404"/>
    <w:rsid w:val="00B75A45"/>
    <w:rsid w:val="00B767EC"/>
    <w:rsid w:val="00B771B1"/>
    <w:rsid w:val="00B77D54"/>
    <w:rsid w:val="00B801F2"/>
    <w:rsid w:val="00B81959"/>
    <w:rsid w:val="00B81BFF"/>
    <w:rsid w:val="00B81C47"/>
    <w:rsid w:val="00B825FF"/>
    <w:rsid w:val="00B840DE"/>
    <w:rsid w:val="00B8429E"/>
    <w:rsid w:val="00B84C1C"/>
    <w:rsid w:val="00B876FB"/>
    <w:rsid w:val="00B90BB2"/>
    <w:rsid w:val="00B9131B"/>
    <w:rsid w:val="00B932AE"/>
    <w:rsid w:val="00B974C7"/>
    <w:rsid w:val="00B97E98"/>
    <w:rsid w:val="00B97F75"/>
    <w:rsid w:val="00BA1485"/>
    <w:rsid w:val="00BA2119"/>
    <w:rsid w:val="00BA5923"/>
    <w:rsid w:val="00BA5E9E"/>
    <w:rsid w:val="00BA6756"/>
    <w:rsid w:val="00BA6A32"/>
    <w:rsid w:val="00BA77A9"/>
    <w:rsid w:val="00BB141B"/>
    <w:rsid w:val="00BB1D12"/>
    <w:rsid w:val="00BB347A"/>
    <w:rsid w:val="00BB3872"/>
    <w:rsid w:val="00BB39A2"/>
    <w:rsid w:val="00BB40E3"/>
    <w:rsid w:val="00BB457C"/>
    <w:rsid w:val="00BB45A9"/>
    <w:rsid w:val="00BB5C78"/>
    <w:rsid w:val="00BB7052"/>
    <w:rsid w:val="00BC382F"/>
    <w:rsid w:val="00BC3DE8"/>
    <w:rsid w:val="00BC5E91"/>
    <w:rsid w:val="00BD056B"/>
    <w:rsid w:val="00BD083C"/>
    <w:rsid w:val="00BD10AF"/>
    <w:rsid w:val="00BD15A6"/>
    <w:rsid w:val="00BD50E8"/>
    <w:rsid w:val="00BD5220"/>
    <w:rsid w:val="00BE2287"/>
    <w:rsid w:val="00BE46FE"/>
    <w:rsid w:val="00BE6119"/>
    <w:rsid w:val="00BE625E"/>
    <w:rsid w:val="00BF1391"/>
    <w:rsid w:val="00BF21CF"/>
    <w:rsid w:val="00C0155A"/>
    <w:rsid w:val="00C0200E"/>
    <w:rsid w:val="00C03C30"/>
    <w:rsid w:val="00C06D02"/>
    <w:rsid w:val="00C076DD"/>
    <w:rsid w:val="00C0789D"/>
    <w:rsid w:val="00C13BEB"/>
    <w:rsid w:val="00C145C7"/>
    <w:rsid w:val="00C153EF"/>
    <w:rsid w:val="00C17B31"/>
    <w:rsid w:val="00C201C9"/>
    <w:rsid w:val="00C206C4"/>
    <w:rsid w:val="00C20AB7"/>
    <w:rsid w:val="00C20E55"/>
    <w:rsid w:val="00C22781"/>
    <w:rsid w:val="00C22832"/>
    <w:rsid w:val="00C22C79"/>
    <w:rsid w:val="00C23E8E"/>
    <w:rsid w:val="00C2489C"/>
    <w:rsid w:val="00C25158"/>
    <w:rsid w:val="00C259FE"/>
    <w:rsid w:val="00C25AC4"/>
    <w:rsid w:val="00C26DD4"/>
    <w:rsid w:val="00C27399"/>
    <w:rsid w:val="00C27E03"/>
    <w:rsid w:val="00C27F80"/>
    <w:rsid w:val="00C32066"/>
    <w:rsid w:val="00C3206A"/>
    <w:rsid w:val="00C35800"/>
    <w:rsid w:val="00C35CAE"/>
    <w:rsid w:val="00C422BE"/>
    <w:rsid w:val="00C42922"/>
    <w:rsid w:val="00C42EDE"/>
    <w:rsid w:val="00C4317E"/>
    <w:rsid w:val="00C44BF1"/>
    <w:rsid w:val="00C4530D"/>
    <w:rsid w:val="00C50A8F"/>
    <w:rsid w:val="00C53E27"/>
    <w:rsid w:val="00C557E9"/>
    <w:rsid w:val="00C55D43"/>
    <w:rsid w:val="00C55E1A"/>
    <w:rsid w:val="00C5795B"/>
    <w:rsid w:val="00C61170"/>
    <w:rsid w:val="00C615FF"/>
    <w:rsid w:val="00C6431E"/>
    <w:rsid w:val="00C659C3"/>
    <w:rsid w:val="00C71AD1"/>
    <w:rsid w:val="00C73D95"/>
    <w:rsid w:val="00C74CEA"/>
    <w:rsid w:val="00C7601F"/>
    <w:rsid w:val="00C760A7"/>
    <w:rsid w:val="00C83CC8"/>
    <w:rsid w:val="00C9086D"/>
    <w:rsid w:val="00C91074"/>
    <w:rsid w:val="00C91277"/>
    <w:rsid w:val="00C931E2"/>
    <w:rsid w:val="00C93847"/>
    <w:rsid w:val="00C93F48"/>
    <w:rsid w:val="00C942FC"/>
    <w:rsid w:val="00C969C8"/>
    <w:rsid w:val="00C97073"/>
    <w:rsid w:val="00C971A4"/>
    <w:rsid w:val="00C97698"/>
    <w:rsid w:val="00CA1A3E"/>
    <w:rsid w:val="00CA1BC6"/>
    <w:rsid w:val="00CA3E15"/>
    <w:rsid w:val="00CA3F9B"/>
    <w:rsid w:val="00CA4386"/>
    <w:rsid w:val="00CA4E07"/>
    <w:rsid w:val="00CA552A"/>
    <w:rsid w:val="00CA5B47"/>
    <w:rsid w:val="00CA65BF"/>
    <w:rsid w:val="00CB0199"/>
    <w:rsid w:val="00CB37E6"/>
    <w:rsid w:val="00CB3DC1"/>
    <w:rsid w:val="00CB46CE"/>
    <w:rsid w:val="00CB7A99"/>
    <w:rsid w:val="00CC1EA4"/>
    <w:rsid w:val="00CC2268"/>
    <w:rsid w:val="00CC36EC"/>
    <w:rsid w:val="00CC68E2"/>
    <w:rsid w:val="00CC6BB4"/>
    <w:rsid w:val="00CD06AF"/>
    <w:rsid w:val="00CD1A59"/>
    <w:rsid w:val="00CD1D93"/>
    <w:rsid w:val="00CD21A6"/>
    <w:rsid w:val="00CD2CC6"/>
    <w:rsid w:val="00CD4FAC"/>
    <w:rsid w:val="00CD738C"/>
    <w:rsid w:val="00CE0306"/>
    <w:rsid w:val="00CE126A"/>
    <w:rsid w:val="00CE15BA"/>
    <w:rsid w:val="00CE257C"/>
    <w:rsid w:val="00CE3278"/>
    <w:rsid w:val="00CE4A8C"/>
    <w:rsid w:val="00CE4DC6"/>
    <w:rsid w:val="00CE5059"/>
    <w:rsid w:val="00CE6700"/>
    <w:rsid w:val="00CE6B53"/>
    <w:rsid w:val="00CF0724"/>
    <w:rsid w:val="00CF0B24"/>
    <w:rsid w:val="00CF4204"/>
    <w:rsid w:val="00CF6970"/>
    <w:rsid w:val="00D02363"/>
    <w:rsid w:val="00D0255E"/>
    <w:rsid w:val="00D027B8"/>
    <w:rsid w:val="00D0425C"/>
    <w:rsid w:val="00D046DB"/>
    <w:rsid w:val="00D04E78"/>
    <w:rsid w:val="00D05755"/>
    <w:rsid w:val="00D06839"/>
    <w:rsid w:val="00D06C99"/>
    <w:rsid w:val="00D06F12"/>
    <w:rsid w:val="00D07155"/>
    <w:rsid w:val="00D07285"/>
    <w:rsid w:val="00D075D9"/>
    <w:rsid w:val="00D10E05"/>
    <w:rsid w:val="00D12154"/>
    <w:rsid w:val="00D200B6"/>
    <w:rsid w:val="00D21C49"/>
    <w:rsid w:val="00D22AC3"/>
    <w:rsid w:val="00D22C2B"/>
    <w:rsid w:val="00D23706"/>
    <w:rsid w:val="00D24404"/>
    <w:rsid w:val="00D25608"/>
    <w:rsid w:val="00D26E84"/>
    <w:rsid w:val="00D3016E"/>
    <w:rsid w:val="00D304CE"/>
    <w:rsid w:val="00D30853"/>
    <w:rsid w:val="00D31955"/>
    <w:rsid w:val="00D33055"/>
    <w:rsid w:val="00D347D2"/>
    <w:rsid w:val="00D36344"/>
    <w:rsid w:val="00D36D7B"/>
    <w:rsid w:val="00D37C56"/>
    <w:rsid w:val="00D4132E"/>
    <w:rsid w:val="00D416AA"/>
    <w:rsid w:val="00D41760"/>
    <w:rsid w:val="00D454FE"/>
    <w:rsid w:val="00D46157"/>
    <w:rsid w:val="00D463BA"/>
    <w:rsid w:val="00D464EE"/>
    <w:rsid w:val="00D476E6"/>
    <w:rsid w:val="00D529C1"/>
    <w:rsid w:val="00D54607"/>
    <w:rsid w:val="00D54EE4"/>
    <w:rsid w:val="00D557C8"/>
    <w:rsid w:val="00D56187"/>
    <w:rsid w:val="00D56632"/>
    <w:rsid w:val="00D57B00"/>
    <w:rsid w:val="00D61C0F"/>
    <w:rsid w:val="00D63F92"/>
    <w:rsid w:val="00D6587D"/>
    <w:rsid w:val="00D65EF6"/>
    <w:rsid w:val="00D72BC2"/>
    <w:rsid w:val="00D72CD7"/>
    <w:rsid w:val="00D757C6"/>
    <w:rsid w:val="00D767FE"/>
    <w:rsid w:val="00D80D08"/>
    <w:rsid w:val="00D818D4"/>
    <w:rsid w:val="00D820F3"/>
    <w:rsid w:val="00D838BA"/>
    <w:rsid w:val="00D863AA"/>
    <w:rsid w:val="00D877AA"/>
    <w:rsid w:val="00D906C7"/>
    <w:rsid w:val="00D90CD4"/>
    <w:rsid w:val="00D91578"/>
    <w:rsid w:val="00D956C6"/>
    <w:rsid w:val="00D964BD"/>
    <w:rsid w:val="00D96FED"/>
    <w:rsid w:val="00D97231"/>
    <w:rsid w:val="00D97903"/>
    <w:rsid w:val="00DA3663"/>
    <w:rsid w:val="00DA56CA"/>
    <w:rsid w:val="00DA63DF"/>
    <w:rsid w:val="00DB1FEB"/>
    <w:rsid w:val="00DB200E"/>
    <w:rsid w:val="00DB2310"/>
    <w:rsid w:val="00DB2B2B"/>
    <w:rsid w:val="00DB33A4"/>
    <w:rsid w:val="00DB39BD"/>
    <w:rsid w:val="00DB3D6E"/>
    <w:rsid w:val="00DB4495"/>
    <w:rsid w:val="00DB6737"/>
    <w:rsid w:val="00DB68F1"/>
    <w:rsid w:val="00DC3636"/>
    <w:rsid w:val="00DC4577"/>
    <w:rsid w:val="00DC53C9"/>
    <w:rsid w:val="00DC5BE4"/>
    <w:rsid w:val="00DC7746"/>
    <w:rsid w:val="00DD08DD"/>
    <w:rsid w:val="00DD14F4"/>
    <w:rsid w:val="00DD3BEC"/>
    <w:rsid w:val="00DD58E6"/>
    <w:rsid w:val="00DD5D12"/>
    <w:rsid w:val="00DD62C6"/>
    <w:rsid w:val="00DD6B77"/>
    <w:rsid w:val="00DD6FA1"/>
    <w:rsid w:val="00DD75A0"/>
    <w:rsid w:val="00DD76DE"/>
    <w:rsid w:val="00DE02D0"/>
    <w:rsid w:val="00DE1609"/>
    <w:rsid w:val="00DE2125"/>
    <w:rsid w:val="00DE2538"/>
    <w:rsid w:val="00DE583E"/>
    <w:rsid w:val="00DE77EF"/>
    <w:rsid w:val="00DE7D59"/>
    <w:rsid w:val="00DF1E1A"/>
    <w:rsid w:val="00DF22AB"/>
    <w:rsid w:val="00DF5CEB"/>
    <w:rsid w:val="00DF67AC"/>
    <w:rsid w:val="00DF77B4"/>
    <w:rsid w:val="00DF7955"/>
    <w:rsid w:val="00E0005B"/>
    <w:rsid w:val="00E03FBC"/>
    <w:rsid w:val="00E04BC3"/>
    <w:rsid w:val="00E06D4F"/>
    <w:rsid w:val="00E06F40"/>
    <w:rsid w:val="00E07BAD"/>
    <w:rsid w:val="00E131C3"/>
    <w:rsid w:val="00E13ABA"/>
    <w:rsid w:val="00E14B01"/>
    <w:rsid w:val="00E15B94"/>
    <w:rsid w:val="00E1718A"/>
    <w:rsid w:val="00E17D4E"/>
    <w:rsid w:val="00E22929"/>
    <w:rsid w:val="00E25B31"/>
    <w:rsid w:val="00E263B8"/>
    <w:rsid w:val="00E265B4"/>
    <w:rsid w:val="00E2669E"/>
    <w:rsid w:val="00E26C67"/>
    <w:rsid w:val="00E2750B"/>
    <w:rsid w:val="00E27C5A"/>
    <w:rsid w:val="00E31078"/>
    <w:rsid w:val="00E34D82"/>
    <w:rsid w:val="00E3510B"/>
    <w:rsid w:val="00E3616F"/>
    <w:rsid w:val="00E36E31"/>
    <w:rsid w:val="00E37462"/>
    <w:rsid w:val="00E37C49"/>
    <w:rsid w:val="00E40A19"/>
    <w:rsid w:val="00E40B3A"/>
    <w:rsid w:val="00E40CEC"/>
    <w:rsid w:val="00E42220"/>
    <w:rsid w:val="00E50B67"/>
    <w:rsid w:val="00E510D1"/>
    <w:rsid w:val="00E51E34"/>
    <w:rsid w:val="00E5371F"/>
    <w:rsid w:val="00E54780"/>
    <w:rsid w:val="00E564B3"/>
    <w:rsid w:val="00E565B4"/>
    <w:rsid w:val="00E56888"/>
    <w:rsid w:val="00E57514"/>
    <w:rsid w:val="00E618A7"/>
    <w:rsid w:val="00E62B23"/>
    <w:rsid w:val="00E65F66"/>
    <w:rsid w:val="00E6797B"/>
    <w:rsid w:val="00E67A6B"/>
    <w:rsid w:val="00E70047"/>
    <w:rsid w:val="00E70481"/>
    <w:rsid w:val="00E71668"/>
    <w:rsid w:val="00E71EDF"/>
    <w:rsid w:val="00E72477"/>
    <w:rsid w:val="00E732ED"/>
    <w:rsid w:val="00E734DE"/>
    <w:rsid w:val="00E74042"/>
    <w:rsid w:val="00E74B13"/>
    <w:rsid w:val="00E75C24"/>
    <w:rsid w:val="00E767FE"/>
    <w:rsid w:val="00E8127F"/>
    <w:rsid w:val="00E825F7"/>
    <w:rsid w:val="00E84AAA"/>
    <w:rsid w:val="00E84D47"/>
    <w:rsid w:val="00E8531B"/>
    <w:rsid w:val="00E85373"/>
    <w:rsid w:val="00E86040"/>
    <w:rsid w:val="00E860FA"/>
    <w:rsid w:val="00E863FF"/>
    <w:rsid w:val="00E87524"/>
    <w:rsid w:val="00E90FF3"/>
    <w:rsid w:val="00E932C5"/>
    <w:rsid w:val="00E936A2"/>
    <w:rsid w:val="00E93955"/>
    <w:rsid w:val="00E93F84"/>
    <w:rsid w:val="00E9553D"/>
    <w:rsid w:val="00E959CD"/>
    <w:rsid w:val="00E976A2"/>
    <w:rsid w:val="00E97977"/>
    <w:rsid w:val="00EA2DE4"/>
    <w:rsid w:val="00EA420C"/>
    <w:rsid w:val="00EB20B8"/>
    <w:rsid w:val="00EB22CB"/>
    <w:rsid w:val="00EB70A1"/>
    <w:rsid w:val="00EB7D8E"/>
    <w:rsid w:val="00EC0EDE"/>
    <w:rsid w:val="00EC192E"/>
    <w:rsid w:val="00EC2B65"/>
    <w:rsid w:val="00EC3107"/>
    <w:rsid w:val="00EC3378"/>
    <w:rsid w:val="00EC5F10"/>
    <w:rsid w:val="00EC6A95"/>
    <w:rsid w:val="00EC78E4"/>
    <w:rsid w:val="00ED076C"/>
    <w:rsid w:val="00ED1A8E"/>
    <w:rsid w:val="00ED29C0"/>
    <w:rsid w:val="00ED47A0"/>
    <w:rsid w:val="00ED7DBD"/>
    <w:rsid w:val="00EE1099"/>
    <w:rsid w:val="00EE1AC0"/>
    <w:rsid w:val="00EE250D"/>
    <w:rsid w:val="00EE38F0"/>
    <w:rsid w:val="00EE41CD"/>
    <w:rsid w:val="00EE4C5A"/>
    <w:rsid w:val="00EE5602"/>
    <w:rsid w:val="00EE60D2"/>
    <w:rsid w:val="00EF0B3B"/>
    <w:rsid w:val="00EF14A2"/>
    <w:rsid w:val="00EF1DC1"/>
    <w:rsid w:val="00EF2075"/>
    <w:rsid w:val="00EF2EB0"/>
    <w:rsid w:val="00EF35E2"/>
    <w:rsid w:val="00EF4133"/>
    <w:rsid w:val="00EF4569"/>
    <w:rsid w:val="00EF4620"/>
    <w:rsid w:val="00EF5062"/>
    <w:rsid w:val="00F00F15"/>
    <w:rsid w:val="00F01C58"/>
    <w:rsid w:val="00F0291D"/>
    <w:rsid w:val="00F03102"/>
    <w:rsid w:val="00F04358"/>
    <w:rsid w:val="00F045AD"/>
    <w:rsid w:val="00F04F06"/>
    <w:rsid w:val="00F05358"/>
    <w:rsid w:val="00F1066B"/>
    <w:rsid w:val="00F10CD0"/>
    <w:rsid w:val="00F1124B"/>
    <w:rsid w:val="00F115DF"/>
    <w:rsid w:val="00F116CD"/>
    <w:rsid w:val="00F11A6F"/>
    <w:rsid w:val="00F13AC8"/>
    <w:rsid w:val="00F13B6A"/>
    <w:rsid w:val="00F14064"/>
    <w:rsid w:val="00F149E6"/>
    <w:rsid w:val="00F208FF"/>
    <w:rsid w:val="00F20ECC"/>
    <w:rsid w:val="00F210EC"/>
    <w:rsid w:val="00F2583B"/>
    <w:rsid w:val="00F26647"/>
    <w:rsid w:val="00F26C57"/>
    <w:rsid w:val="00F26DC6"/>
    <w:rsid w:val="00F308BF"/>
    <w:rsid w:val="00F30932"/>
    <w:rsid w:val="00F31271"/>
    <w:rsid w:val="00F3237D"/>
    <w:rsid w:val="00F4100E"/>
    <w:rsid w:val="00F42FB8"/>
    <w:rsid w:val="00F43BA1"/>
    <w:rsid w:val="00F45284"/>
    <w:rsid w:val="00F46296"/>
    <w:rsid w:val="00F47876"/>
    <w:rsid w:val="00F53A70"/>
    <w:rsid w:val="00F53DA5"/>
    <w:rsid w:val="00F54533"/>
    <w:rsid w:val="00F56706"/>
    <w:rsid w:val="00F57512"/>
    <w:rsid w:val="00F60424"/>
    <w:rsid w:val="00F671F2"/>
    <w:rsid w:val="00F67729"/>
    <w:rsid w:val="00F7008C"/>
    <w:rsid w:val="00F70108"/>
    <w:rsid w:val="00F7023B"/>
    <w:rsid w:val="00F70C4D"/>
    <w:rsid w:val="00F72C73"/>
    <w:rsid w:val="00F72EFB"/>
    <w:rsid w:val="00F7360C"/>
    <w:rsid w:val="00F7387D"/>
    <w:rsid w:val="00F743B5"/>
    <w:rsid w:val="00F7493E"/>
    <w:rsid w:val="00F754DF"/>
    <w:rsid w:val="00F77632"/>
    <w:rsid w:val="00F80BC2"/>
    <w:rsid w:val="00F813CC"/>
    <w:rsid w:val="00F8265A"/>
    <w:rsid w:val="00F83AB8"/>
    <w:rsid w:val="00F8518F"/>
    <w:rsid w:val="00F86148"/>
    <w:rsid w:val="00F86E7B"/>
    <w:rsid w:val="00F86FD5"/>
    <w:rsid w:val="00F90A7B"/>
    <w:rsid w:val="00F9157A"/>
    <w:rsid w:val="00F92117"/>
    <w:rsid w:val="00F93801"/>
    <w:rsid w:val="00F93F09"/>
    <w:rsid w:val="00F94DA2"/>
    <w:rsid w:val="00F952ED"/>
    <w:rsid w:val="00F953CB"/>
    <w:rsid w:val="00F9571A"/>
    <w:rsid w:val="00F961B3"/>
    <w:rsid w:val="00F9680F"/>
    <w:rsid w:val="00FA1232"/>
    <w:rsid w:val="00FA47A7"/>
    <w:rsid w:val="00FB0F2F"/>
    <w:rsid w:val="00FB17F5"/>
    <w:rsid w:val="00FB3CB3"/>
    <w:rsid w:val="00FB3DAA"/>
    <w:rsid w:val="00FB449C"/>
    <w:rsid w:val="00FB4E72"/>
    <w:rsid w:val="00FB6DB3"/>
    <w:rsid w:val="00FB7686"/>
    <w:rsid w:val="00FC058B"/>
    <w:rsid w:val="00FC1639"/>
    <w:rsid w:val="00FC4271"/>
    <w:rsid w:val="00FC52BD"/>
    <w:rsid w:val="00FC5DBF"/>
    <w:rsid w:val="00FC74BE"/>
    <w:rsid w:val="00FC7D75"/>
    <w:rsid w:val="00FD009B"/>
    <w:rsid w:val="00FD0646"/>
    <w:rsid w:val="00FD0D9D"/>
    <w:rsid w:val="00FD1DC8"/>
    <w:rsid w:val="00FE0AB7"/>
    <w:rsid w:val="00FE3CA3"/>
    <w:rsid w:val="00FE5F59"/>
    <w:rsid w:val="00FE68C4"/>
    <w:rsid w:val="00FF0FA9"/>
    <w:rsid w:val="00FF14A9"/>
    <w:rsid w:val="00FF16A4"/>
    <w:rsid w:val="00FF2A5E"/>
    <w:rsid w:val="00FF419A"/>
    <w:rsid w:val="00FF5368"/>
    <w:rsid w:val="00FF79A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colormru v:ext="edit" colors="#c6d3e3,#d7dce4"/>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mbria"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semiHidden="1" w:qFormat="1"/>
    <w:lsdException w:name="heading 3" w:locked="1" w:semiHidden="1" w:qFormat="1"/>
    <w:lsdException w:name="heading 4" w:locked="1" w:semiHidden="1" w:qFormat="1"/>
    <w:lsdException w:name="heading 5" w:locked="1" w:semiHidden="1" w:qFormat="1"/>
    <w:lsdException w:name="heading 6" w:locked="1" w:semiHidden="1" w:qFormat="1"/>
    <w:lsdException w:name="heading 7" w:locked="1" w:semiHidden="1" w:qFormat="1"/>
    <w:lsdException w:name="heading 8" w:locked="1" w:semiHidden="1" w:qFormat="1"/>
    <w:lsdException w:name="heading 9" w:locked="1" w:semiHidden="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uiPriority="5"/>
    <w:lsdException w:name="annotation text" w:semiHidden="1" w:unhideWhenUsed="1"/>
    <w:lsdException w:name="header" w:uiPriority="5"/>
    <w:lsdException w:name="footer" w:uiPriority="99" w:qFormat="1"/>
    <w:lsdException w:name="index heading" w:locked="1" w:semiHidden="1" w:unhideWhenUsed="1"/>
    <w:lsdException w:name="caption" w:semiHidden="1" w:unhideWhenUsed="1" w:qFormat="1"/>
    <w:lsdException w:name="envelope address" w:locked="1" w:semiHidden="1" w:unhideWhenUsed="1"/>
    <w:lsdException w:name="envelope return" w:locked="1" w:semiHidden="1" w:unhideWhenUsed="1"/>
    <w:lsdException w:name="footnote reference" w:uiPriority="5"/>
    <w:lsdException w:name="annotation reference" w:semiHidden="1" w:unhideWhenUsed="1"/>
    <w:lsdException w:name="line number" w:uiPriority="3"/>
    <w:lsdException w:name="page number" w:locked="1" w:qFormat="1"/>
    <w:lsdException w:name="endnote reference" w:semiHidden="1" w:unhideWhenUsed="1"/>
    <w:lsdException w:name="endnote text" w:semiHidden="1" w:unhideWhenUsed="1"/>
    <w:lsdException w:name="table of authorities" w:locked="1"/>
    <w:lsdException w:name="macro" w:locked="1" w:semiHidden="1" w:unhideWhenUsed="1"/>
    <w:lsdException w:name="toa heading" w:locked="1" w:semiHidden="1" w:unhideWhenUsed="1"/>
    <w:lsdException w:name="List" w:uiPriority="3"/>
    <w:lsdException w:name="List 2" w:uiPriority="3"/>
    <w:lsdException w:name="List 3" w:locked="1" w:semiHidden="1" w:unhideWhenUsed="1"/>
    <w:lsdException w:name="List 4" w:locked="1" w:semiHidden="1" w:unhideWhenUsed="1"/>
    <w:lsdException w:name="List 5"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semiHidden="1" w:unhideWhenUsed="1"/>
    <w:lsdException w:name="Signature" w:locked="1" w:semiHidden="1" w:unhideWhenUsed="1"/>
    <w:lsdException w:name="Body Text Indent"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semiHidden="1" w:unhideWhenUsed="1"/>
    <w:lsdException w:name="Body Text First Indent 2" w:semiHidden="1" w:unhideWhenUsed="1"/>
    <w:lsdException w:name="Note Heading"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uiPriority="99"/>
    <w:lsdException w:name="Strong" w:qFormat="1"/>
    <w:lsdException w:name="Emphasis" w:uiPriority="2" w:qFormat="1"/>
    <w:lsdException w:name="Document Map" w:semiHidden="1" w:unhideWhenUsed="1"/>
    <w:lsdException w:name="Plain Text" w:locked="1" w:semiHidden="1" w:unhideWhenUsed="1"/>
    <w:lsdException w:name="E-mail Signature"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uiPriority="99"/>
    <w:lsdException w:name="Table Web 1" w:locked="1"/>
    <w:lsdException w:name="Table Web 2" w:locked="1"/>
    <w:lsdException w:name="Table Web 3" w:locked="1"/>
    <w:lsdException w:name="Balloon Text" w:semiHidden="1" w:unhideWhenUsed="1"/>
    <w:lsdException w:name="Placeholder Text" w:locked="1" w:semiHidden="1" w:unhideWhenUsed="1"/>
    <w:lsdException w:name="No Spacing" w:locked="1" w:semiHidden="1" w:unhideWhenUsed="1" w:qFormat="1"/>
    <w:lsdException w:name="Medium Shading 1" w:locked="1"/>
    <w:lsdException w:name="Medium Shading 2" w:locked="1"/>
    <w:lsdException w:name="Medium List 1" w:locked="1"/>
    <w:lsdException w:name="Medium List 2" w:locked="1"/>
    <w:lsdException w:name="Medium Grid 1" w:locked="1"/>
    <w:lsdException w:name="Medium Grid 2" w:locked="1"/>
    <w:lsdException w:name="Medium Grid 3" w:locked="1"/>
    <w:lsdException w:name="Medium Shading 1 Accent 1" w:locked="1"/>
    <w:lsdException w:name="Medium Shading 2 Accent 1" w:locked="1"/>
    <w:lsdException w:name="Medium List 1 Accent 1" w:locked="1"/>
    <w:lsdException w:name="List Paragraph" w:uiPriority="3" w:qFormat="1"/>
    <w:lsdException w:name="Quote" w:qFormat="1"/>
    <w:lsdException w:name="Intense Quote" w:qFormat="1"/>
    <w:lsdException w:name="Medium List 2 Accent 1" w:locked="1"/>
    <w:lsdException w:name="Medium Grid 1 Accent 1" w:locked="1"/>
    <w:lsdException w:name="Medium Grid 2 Accent 1" w:locked="1"/>
    <w:lsdException w:name="Medium Grid 3 Accent 1" w:locked="1"/>
    <w:lsdException w:name="Medium Shading 1 Accent 2" w:locked="1"/>
    <w:lsdException w:name="Medium Shading 2 Accent 2" w:locked="1"/>
    <w:lsdException w:name="Medium List 1 Accent 2" w:locked="1"/>
    <w:lsdException w:name="Medium List 2 Accent 2" w:locked="1"/>
    <w:lsdException w:name="Medium Grid 1 Accent 2" w:locked="1"/>
    <w:lsdException w:name="Medium Grid 2 Accent 2" w:locked="1"/>
    <w:lsdException w:name="Medium Grid 3 Accent 2" w:locked="1"/>
    <w:lsdException w:name="Medium Shading 1 Accent 3" w:locked="1"/>
    <w:lsdException w:name="Medium Shading 2 Accent 3" w:locked="1"/>
    <w:lsdException w:name="Medium List 1 Accent 3" w:locked="1"/>
    <w:lsdException w:name="Medium List 2 Accent 3" w:locked="1"/>
    <w:lsdException w:name="Medium Grid 1 Accent 3" w:locked="1"/>
    <w:lsdException w:name="Medium Grid 2 Accent 3" w:locked="1"/>
    <w:lsdException w:name="Medium Grid 3 Accent 3" w:locked="1"/>
    <w:lsdException w:name="Medium Shading 1 Accent 4" w:locked="1"/>
    <w:lsdException w:name="Medium Shading 2 Accent 4" w:locked="1"/>
    <w:lsdException w:name="Medium List 1 Accent 4" w:locked="1"/>
    <w:lsdException w:name="Medium List 2 Accent 4" w:locked="1"/>
    <w:lsdException w:name="Medium Grid 1 Accent 4" w:locked="1"/>
    <w:lsdException w:name="Medium Grid 2 Accent 4" w:locked="1"/>
    <w:lsdException w:name="Medium Grid 3 Accent 4" w:locked="1"/>
    <w:lsdException w:name="Medium Shading 1 Accent 5" w:locked="1"/>
    <w:lsdException w:name="Medium Shading 2 Accent 5" w:locked="1"/>
    <w:lsdException w:name="Medium List 1 Accent 5" w:locked="1"/>
    <w:lsdException w:name="Medium List 2 Accent 5" w:locked="1"/>
    <w:lsdException w:name="Medium Grid 1 Accent 5" w:locked="1"/>
    <w:lsdException w:name="Medium Grid 2 Accent 5" w:locked="1"/>
    <w:lsdException w:name="Medium Grid 3 Accent 5" w:locked="1"/>
    <w:lsdException w:name="Medium Shading 1 Accent 6" w:locked="1"/>
    <w:lsdException w:name="Medium Shading 2 Accent 6" w:locked="1"/>
    <w:lsdException w:name="Medium List 1 Accent 6" w:locked="1"/>
    <w:lsdException w:name="Medium List 2 Accent 6" w:locked="1"/>
    <w:lsdException w:name="Medium Grid 1 Accent 6" w:locked="1"/>
    <w:lsdException w:name="Medium Grid 2 Accent 6" w:locked="1"/>
    <w:lsdException w:name="Medium Grid 3 Accent 6" w:locked="1"/>
    <w:lsdException w:name="Subtle Emphasis" w:qFormat="1"/>
    <w:lsdException w:name="Intense Emphasis" w:qFormat="1"/>
    <w:lsdException w:name="Subtle Reference" w:locked="1" w:semiHidden="1" w:unhideWhenUsed="1"/>
    <w:lsdException w:name="Intense Reference" w:locked="1" w:semiHidden="1" w:unhideWhenUsed="1"/>
    <w:lsdException w:name="Book Title" w:semiHidden="1" w:unhideWhenUsed="1" w:qFormat="1"/>
    <w:lsdException w:name="Bibliography" w:semiHidden="1" w:unhideWhenUsed="1"/>
    <w:lsdException w:name="TOC Heading" w:semiHidden="1" w:uiPriority="39" w:unhideWhenUsed="1" w:qFormat="1"/>
  </w:latentStyles>
  <w:style w:type="paragraph" w:default="1" w:styleId="Normal">
    <w:name w:val="Normal"/>
    <w:unhideWhenUsed/>
    <w:qFormat/>
    <w:rsid w:val="00142603"/>
    <w:pPr>
      <w:spacing w:before="120" w:after="113"/>
    </w:pPr>
  </w:style>
  <w:style w:type="paragraph" w:styleId="Heading1">
    <w:name w:val="heading 1"/>
    <w:basedOn w:val="Normal"/>
    <w:next w:val="Normal"/>
    <w:link w:val="Heading1Char"/>
    <w:semiHidden/>
    <w:qFormat/>
    <w:locked/>
    <w:rsid w:val="009C4DA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qFormat/>
    <w:locked/>
    <w:rsid w:val="00C93F48"/>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BOtables">
    <w:name w:val="PBO tables"/>
    <w:basedOn w:val="TableNormal"/>
    <w:qFormat/>
    <w:rsid w:val="007A74D9"/>
    <w:tblPr>
      <w:tblStyleRowBandSize w:val="1"/>
    </w:tblPr>
    <w:tcPr>
      <w:vAlign w:val="center"/>
    </w:tcPr>
    <w:tblStylePr w:type="firstRow">
      <w:pPr>
        <w:jc w:val="center"/>
      </w:pPr>
      <w:rPr>
        <w:rFonts w:ascii="Symbol" w:hAnsi="Symbol"/>
        <w:b/>
        <w:color w:val="FFFFFF"/>
        <w:sz w:val="19"/>
      </w:rPr>
      <w:tblPr/>
      <w:tcPr>
        <w:tcBorders>
          <w:insideV w:val="nil"/>
        </w:tcBorders>
        <w:shd w:val="clear" w:color="auto" w:fill="264A76"/>
        <w:vAlign w:val="center"/>
      </w:tcPr>
    </w:tblStylePr>
    <w:tblStylePr w:type="firstCol">
      <w:pPr>
        <w:jc w:val="left"/>
      </w:pPr>
      <w:rPr>
        <w:rFonts w:ascii="Symbol" w:hAnsi="Symbol"/>
        <w:b/>
      </w:rPr>
      <w:tblPr/>
      <w:tcPr>
        <w:vAlign w:val="center"/>
      </w:tcPr>
    </w:tblStylePr>
    <w:tblStylePr w:type="band1Horz">
      <w:pPr>
        <w:jc w:val="center"/>
      </w:pPr>
      <w:tblPr/>
      <w:tcPr>
        <w:shd w:val="clear" w:color="auto" w:fill="D7DCE4"/>
        <w:vAlign w:val="center"/>
      </w:tcPr>
    </w:tblStylePr>
    <w:tblStylePr w:type="band2Horz">
      <w:pPr>
        <w:jc w:val="center"/>
      </w:pPr>
      <w:rPr>
        <w:rFonts w:ascii="Symbol" w:hAnsi="Symbol"/>
        <w:sz w:val="20"/>
      </w:rPr>
      <w:tblPr/>
      <w:tcPr>
        <w:shd w:val="clear" w:color="auto" w:fill="FFFFFF"/>
        <w:vAlign w:val="center"/>
      </w:tcPr>
    </w:tblStylePr>
  </w:style>
  <w:style w:type="paragraph" w:customStyle="1" w:styleId="PBOtext">
    <w:name w:val="PBO text"/>
    <w:basedOn w:val="Normal"/>
    <w:link w:val="PBOtextChar"/>
    <w:qFormat/>
    <w:rsid w:val="00442AB5"/>
    <w:pPr>
      <w:spacing w:line="288" w:lineRule="auto"/>
    </w:pPr>
  </w:style>
  <w:style w:type="paragraph" w:customStyle="1" w:styleId="PBObullet">
    <w:name w:val="PBO bullet"/>
    <w:basedOn w:val="PBOtext"/>
    <w:qFormat/>
    <w:rsid w:val="00C91277"/>
    <w:pPr>
      <w:numPr>
        <w:numId w:val="18"/>
      </w:numPr>
      <w:ind w:left="357" w:hanging="357"/>
    </w:pPr>
  </w:style>
  <w:style w:type="paragraph" w:customStyle="1" w:styleId="PBOheading1">
    <w:name w:val="PBO heading 1"/>
    <w:basedOn w:val="Heading1"/>
    <w:uiPriority w:val="1"/>
    <w:qFormat/>
    <w:rsid w:val="00770CF8"/>
    <w:pPr>
      <w:spacing w:before="600" w:after="240"/>
    </w:pPr>
    <w:rPr>
      <w:rFonts w:ascii="Georgia" w:hAnsi="Georgia"/>
      <w:b w:val="0"/>
      <w:color w:val="2B3B5F"/>
      <w:sz w:val="36"/>
      <w:szCs w:val="24"/>
      <w:lang w:eastAsia="en-US"/>
    </w:rPr>
  </w:style>
  <w:style w:type="paragraph" w:customStyle="1" w:styleId="PBOheading2">
    <w:name w:val="PBO heading 2"/>
    <w:basedOn w:val="Heading2"/>
    <w:uiPriority w:val="1"/>
    <w:qFormat/>
    <w:rsid w:val="002872B7"/>
    <w:pPr>
      <w:spacing w:before="320" w:after="170" w:line="288" w:lineRule="auto"/>
    </w:pPr>
    <w:rPr>
      <w:rFonts w:ascii="Georgia" w:hAnsi="Georgia"/>
      <w:b w:val="0"/>
      <w:i w:val="0"/>
      <w:color w:val="2B3B5F"/>
    </w:rPr>
  </w:style>
  <w:style w:type="paragraph" w:customStyle="1" w:styleId="PBOfiguretableheading">
    <w:name w:val="PBO figure/table heading"/>
    <w:uiPriority w:val="2"/>
    <w:qFormat/>
    <w:rsid w:val="002872B7"/>
    <w:pPr>
      <w:keepNext/>
      <w:spacing w:before="200" w:after="113" w:line="288" w:lineRule="auto"/>
    </w:pPr>
    <w:rPr>
      <w:b/>
      <w:i/>
      <w:color w:val="2B3B5F"/>
      <w:szCs w:val="24"/>
      <w:lang w:eastAsia="en-US"/>
    </w:rPr>
  </w:style>
  <w:style w:type="paragraph" w:customStyle="1" w:styleId="PBOheading3">
    <w:name w:val="PBO heading 3"/>
    <w:link w:val="PBOheading3Char"/>
    <w:qFormat/>
    <w:rsid w:val="001A409F"/>
    <w:pPr>
      <w:keepNext/>
      <w:spacing w:before="200" w:after="200"/>
    </w:pPr>
    <w:rPr>
      <w:b/>
      <w:sz w:val="22"/>
      <w:szCs w:val="24"/>
      <w:lang w:eastAsia="en-US"/>
    </w:rPr>
  </w:style>
  <w:style w:type="paragraph" w:styleId="Title">
    <w:name w:val="Title"/>
    <w:basedOn w:val="Normal"/>
    <w:next w:val="Subtitle"/>
    <w:link w:val="TitleChar"/>
    <w:qFormat/>
    <w:rsid w:val="000F286F"/>
    <w:pPr>
      <w:spacing w:before="4300"/>
    </w:pPr>
    <w:rPr>
      <w:rFonts w:ascii="Georgia" w:hAnsi="Georgia"/>
      <w:color w:val="2B3B5F"/>
      <w:sz w:val="50"/>
    </w:rPr>
  </w:style>
  <w:style w:type="character" w:customStyle="1" w:styleId="TitleChar">
    <w:name w:val="Title Char"/>
    <w:link w:val="Title"/>
    <w:rsid w:val="000F286F"/>
    <w:rPr>
      <w:rFonts w:ascii="Georgia" w:hAnsi="Georgia"/>
      <w:color w:val="2B3B5F"/>
      <w:sz w:val="50"/>
    </w:rPr>
  </w:style>
  <w:style w:type="paragraph" w:styleId="Subtitle">
    <w:name w:val="Subtitle"/>
    <w:basedOn w:val="Normal"/>
    <w:next w:val="Normal"/>
    <w:link w:val="SubtitleChar"/>
    <w:uiPriority w:val="2"/>
    <w:qFormat/>
    <w:rsid w:val="000F286F"/>
    <w:pPr>
      <w:jc w:val="right"/>
    </w:pPr>
    <w:rPr>
      <w:rFonts w:ascii="Georgia" w:hAnsi="Georgia"/>
      <w:color w:val="2B3B5F"/>
      <w:sz w:val="28"/>
    </w:rPr>
  </w:style>
  <w:style w:type="character" w:customStyle="1" w:styleId="SubtitleChar">
    <w:name w:val="Subtitle Char"/>
    <w:link w:val="Subtitle"/>
    <w:uiPriority w:val="2"/>
    <w:rsid w:val="000F286F"/>
    <w:rPr>
      <w:rFonts w:ascii="Georgia" w:hAnsi="Georgia"/>
      <w:color w:val="2B3B5F"/>
      <w:sz w:val="28"/>
    </w:rPr>
  </w:style>
  <w:style w:type="paragraph" w:styleId="Header">
    <w:name w:val="header"/>
    <w:basedOn w:val="Normal"/>
    <w:link w:val="HeaderChar"/>
    <w:uiPriority w:val="5"/>
    <w:rsid w:val="00CD21A6"/>
    <w:pPr>
      <w:tabs>
        <w:tab w:val="center" w:pos="4513"/>
        <w:tab w:val="right" w:pos="9026"/>
      </w:tabs>
    </w:pPr>
    <w:rPr>
      <w:color w:val="808080"/>
    </w:rPr>
  </w:style>
  <w:style w:type="character" w:customStyle="1" w:styleId="HeaderChar">
    <w:name w:val="Header Char"/>
    <w:link w:val="Header"/>
    <w:uiPriority w:val="5"/>
    <w:rsid w:val="00CD21A6"/>
    <w:rPr>
      <w:color w:val="808080"/>
    </w:rPr>
  </w:style>
  <w:style w:type="paragraph" w:styleId="Footer">
    <w:name w:val="footer"/>
    <w:basedOn w:val="Normal"/>
    <w:link w:val="FooterChar"/>
    <w:uiPriority w:val="99"/>
    <w:qFormat/>
    <w:rsid w:val="00C27399"/>
    <w:rPr>
      <w:b/>
      <w:sz w:val="18"/>
    </w:rPr>
  </w:style>
  <w:style w:type="character" w:customStyle="1" w:styleId="FooterChar">
    <w:name w:val="Footer Char"/>
    <w:link w:val="Footer"/>
    <w:uiPriority w:val="99"/>
    <w:rsid w:val="00CD21A6"/>
    <w:rPr>
      <w:b/>
      <w:sz w:val="18"/>
    </w:rPr>
  </w:style>
  <w:style w:type="character" w:styleId="PageNumber">
    <w:name w:val="page number"/>
    <w:uiPriority w:val="4"/>
    <w:unhideWhenUsed/>
    <w:qFormat/>
    <w:locked/>
    <w:rsid w:val="009530F3"/>
    <w:rPr>
      <w:rFonts w:ascii="Calibri" w:hAnsi="Calibri"/>
      <w:b/>
      <w:color w:val="224A76"/>
      <w:sz w:val="18"/>
    </w:rPr>
  </w:style>
  <w:style w:type="paragraph" w:customStyle="1" w:styleId="Oddpagefooter">
    <w:name w:val="Odd page footer"/>
    <w:basedOn w:val="Footer"/>
    <w:semiHidden/>
    <w:unhideWhenUsed/>
    <w:qFormat/>
    <w:rsid w:val="00FC4271"/>
    <w:pPr>
      <w:jc w:val="right"/>
    </w:pPr>
  </w:style>
  <w:style w:type="table" w:styleId="TableGrid">
    <w:name w:val="Table Grid"/>
    <w:basedOn w:val="TableNormal"/>
    <w:rsid w:val="00953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heading4">
    <w:name w:val="PBO heading 4"/>
    <w:basedOn w:val="PBOheading3"/>
    <w:next w:val="PBOtext"/>
    <w:uiPriority w:val="1"/>
    <w:qFormat/>
    <w:rsid w:val="001A409F"/>
    <w:rPr>
      <w:b w:val="0"/>
      <w:i/>
      <w:sz w:val="24"/>
    </w:rPr>
  </w:style>
  <w:style w:type="paragraph" w:styleId="Quote">
    <w:name w:val="Quote"/>
    <w:basedOn w:val="Normal"/>
    <w:next w:val="Normal"/>
    <w:link w:val="QuoteChar"/>
    <w:uiPriority w:val="5"/>
    <w:qFormat/>
    <w:rsid w:val="00B771B1"/>
    <w:pPr>
      <w:spacing w:after="120"/>
      <w:ind w:left="720"/>
    </w:pPr>
    <w:rPr>
      <w:i/>
      <w:iCs/>
      <w:color w:val="000000"/>
    </w:rPr>
  </w:style>
  <w:style w:type="character" w:customStyle="1" w:styleId="QuoteChar">
    <w:name w:val="Quote Char"/>
    <w:link w:val="Quote"/>
    <w:uiPriority w:val="5"/>
    <w:rsid w:val="00CD21A6"/>
    <w:rPr>
      <w:i/>
      <w:iCs/>
      <w:color w:val="000000"/>
    </w:rPr>
  </w:style>
  <w:style w:type="character" w:styleId="Strong">
    <w:name w:val="Strong"/>
    <w:uiPriority w:val="2"/>
    <w:qFormat/>
    <w:rsid w:val="00B771B1"/>
    <w:rPr>
      <w:rFonts w:ascii="Calibri" w:hAnsi="Calibri"/>
      <w:b/>
      <w:bCs/>
      <w:sz w:val="20"/>
    </w:rPr>
  </w:style>
  <w:style w:type="paragraph" w:styleId="BodyText">
    <w:name w:val="Body Text"/>
    <w:basedOn w:val="PBOtext"/>
    <w:link w:val="BodyTextChar"/>
    <w:uiPriority w:val="2"/>
    <w:unhideWhenUsed/>
    <w:rsid w:val="00B771B1"/>
    <w:pPr>
      <w:spacing w:after="120"/>
    </w:pPr>
  </w:style>
  <w:style w:type="character" w:customStyle="1" w:styleId="BodyTextChar">
    <w:name w:val="Body Text Char"/>
    <w:basedOn w:val="DefaultParagraphFont"/>
    <w:link w:val="BodyText"/>
    <w:uiPriority w:val="2"/>
    <w:rsid w:val="00CD21A6"/>
  </w:style>
  <w:style w:type="paragraph" w:styleId="BodyText2">
    <w:name w:val="Body Text 2"/>
    <w:basedOn w:val="PBOtext"/>
    <w:link w:val="BodyText2Char"/>
    <w:uiPriority w:val="2"/>
    <w:unhideWhenUsed/>
    <w:rsid w:val="00B771B1"/>
    <w:pPr>
      <w:spacing w:after="120" w:line="480" w:lineRule="auto"/>
    </w:pPr>
  </w:style>
  <w:style w:type="character" w:customStyle="1" w:styleId="BodyText2Char">
    <w:name w:val="Body Text 2 Char"/>
    <w:basedOn w:val="DefaultParagraphFont"/>
    <w:link w:val="BodyText2"/>
    <w:uiPriority w:val="2"/>
    <w:rsid w:val="00CD21A6"/>
  </w:style>
  <w:style w:type="paragraph" w:styleId="BodyTextFirstIndent">
    <w:name w:val="Body Text First Indent"/>
    <w:basedOn w:val="BodyText"/>
    <w:link w:val="BodyTextFirstIndentChar"/>
    <w:autoRedefine/>
    <w:uiPriority w:val="2"/>
    <w:unhideWhenUsed/>
    <w:rsid w:val="00B771B1"/>
    <w:pPr>
      <w:spacing w:before="0" w:line="240" w:lineRule="auto"/>
      <w:ind w:firstLine="210"/>
    </w:pPr>
    <w:rPr>
      <w:rFonts w:ascii="Cambria" w:hAnsi="Cambria"/>
      <w:sz w:val="24"/>
    </w:rPr>
  </w:style>
  <w:style w:type="character" w:customStyle="1" w:styleId="BodyTextFirstIndentChar">
    <w:name w:val="Body Text First Indent Char"/>
    <w:link w:val="BodyTextFirstIndent"/>
    <w:uiPriority w:val="2"/>
    <w:rsid w:val="00CD21A6"/>
    <w:rPr>
      <w:rFonts w:ascii="Cambria" w:hAnsi="Cambria"/>
      <w:sz w:val="24"/>
    </w:rPr>
  </w:style>
  <w:style w:type="paragraph" w:styleId="Caption">
    <w:name w:val="caption"/>
    <w:basedOn w:val="Normal"/>
    <w:next w:val="Normal"/>
    <w:uiPriority w:val="5"/>
    <w:qFormat/>
    <w:rsid w:val="00872117"/>
    <w:rPr>
      <w:rFonts w:ascii="Cambria" w:hAnsi="Cambria"/>
      <w:b/>
      <w:bCs/>
      <w:color w:val="224A76"/>
    </w:rPr>
  </w:style>
  <w:style w:type="character" w:styleId="Emphasis">
    <w:name w:val="Emphasis"/>
    <w:uiPriority w:val="2"/>
    <w:qFormat/>
    <w:rsid w:val="00B771B1"/>
    <w:rPr>
      <w:i/>
      <w:iCs/>
    </w:rPr>
  </w:style>
  <w:style w:type="character" w:styleId="SubtleEmphasis">
    <w:name w:val="Subtle Emphasis"/>
    <w:uiPriority w:val="2"/>
    <w:qFormat/>
    <w:rsid w:val="009C4DAA"/>
    <w:rPr>
      <w:i/>
      <w:iCs/>
      <w:color w:val="808080"/>
    </w:rPr>
  </w:style>
  <w:style w:type="paragraph" w:styleId="TableofFigures">
    <w:name w:val="table of figures"/>
    <w:basedOn w:val="Normal"/>
    <w:next w:val="Normal"/>
    <w:uiPriority w:val="2"/>
    <w:unhideWhenUsed/>
    <w:rsid w:val="009C4DAA"/>
  </w:style>
  <w:style w:type="paragraph" w:styleId="TableofAuthorities">
    <w:name w:val="table of authorities"/>
    <w:basedOn w:val="Normal"/>
    <w:next w:val="Normal"/>
    <w:semiHidden/>
    <w:locked/>
    <w:rsid w:val="009C4DAA"/>
    <w:pPr>
      <w:ind w:left="240" w:hanging="240"/>
    </w:pPr>
  </w:style>
  <w:style w:type="character" w:customStyle="1" w:styleId="Heading1Char">
    <w:name w:val="Heading 1 Char"/>
    <w:link w:val="Heading1"/>
    <w:semiHidden/>
    <w:rsid w:val="00CD21A6"/>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382474"/>
    <w:pPr>
      <w:outlineLvl w:val="9"/>
    </w:pPr>
    <w:rPr>
      <w:color w:val="808080"/>
    </w:rPr>
  </w:style>
  <w:style w:type="paragraph" w:styleId="ListBullet">
    <w:name w:val="List Bullet"/>
    <w:basedOn w:val="PBObullet"/>
    <w:uiPriority w:val="3"/>
    <w:rsid w:val="009C4DAA"/>
    <w:pPr>
      <w:numPr>
        <w:numId w:val="1"/>
      </w:numPr>
      <w:contextualSpacing/>
    </w:pPr>
  </w:style>
  <w:style w:type="paragraph" w:styleId="ListBullet2">
    <w:name w:val="List Bullet 2"/>
    <w:basedOn w:val="ListBullet"/>
    <w:uiPriority w:val="3"/>
    <w:rsid w:val="009C4DAA"/>
    <w:pPr>
      <w:numPr>
        <w:numId w:val="2"/>
      </w:numPr>
    </w:pPr>
  </w:style>
  <w:style w:type="paragraph" w:styleId="ListContinue">
    <w:name w:val="List Continue"/>
    <w:basedOn w:val="PBOtext"/>
    <w:uiPriority w:val="3"/>
    <w:rsid w:val="009C4DAA"/>
    <w:pPr>
      <w:spacing w:after="120"/>
      <w:ind w:left="283"/>
      <w:contextualSpacing/>
    </w:pPr>
  </w:style>
  <w:style w:type="paragraph" w:styleId="ListContinue2">
    <w:name w:val="List Continue 2"/>
    <w:basedOn w:val="PBOtext"/>
    <w:uiPriority w:val="3"/>
    <w:rsid w:val="009C4DAA"/>
    <w:pPr>
      <w:spacing w:after="120"/>
      <w:ind w:left="566"/>
      <w:contextualSpacing/>
    </w:pPr>
  </w:style>
  <w:style w:type="paragraph" w:styleId="ListNumber">
    <w:name w:val="List Number"/>
    <w:basedOn w:val="PBOtext"/>
    <w:uiPriority w:val="3"/>
    <w:rsid w:val="009C4DAA"/>
    <w:pPr>
      <w:numPr>
        <w:numId w:val="6"/>
      </w:numPr>
      <w:contextualSpacing/>
    </w:pPr>
  </w:style>
  <w:style w:type="paragraph" w:styleId="ListNumber2">
    <w:name w:val="List Number 2"/>
    <w:basedOn w:val="PBOtext"/>
    <w:uiPriority w:val="3"/>
    <w:rsid w:val="009C4DAA"/>
    <w:pPr>
      <w:numPr>
        <w:numId w:val="7"/>
      </w:numPr>
      <w:contextualSpacing/>
    </w:pPr>
  </w:style>
  <w:style w:type="character" w:styleId="IntenseEmphasis">
    <w:name w:val="Intense Emphasis"/>
    <w:uiPriority w:val="5"/>
    <w:qFormat/>
    <w:rsid w:val="00CD21A6"/>
    <w:rPr>
      <w:b/>
      <w:bCs/>
      <w:i/>
      <w:iCs/>
      <w:color w:val="auto"/>
    </w:rPr>
  </w:style>
  <w:style w:type="paragraph" w:styleId="IntenseQuote">
    <w:name w:val="Intense Quote"/>
    <w:basedOn w:val="Normal"/>
    <w:next w:val="Normal"/>
    <w:link w:val="IntenseQuoteChar"/>
    <w:uiPriority w:val="5"/>
    <w:qFormat/>
    <w:rsid w:val="00CD21A6"/>
    <w:pPr>
      <w:pBdr>
        <w:bottom w:val="single" w:sz="4" w:space="4" w:color="D7DCE4"/>
      </w:pBdr>
      <w:spacing w:before="200" w:after="280"/>
      <w:ind w:left="936" w:right="936"/>
    </w:pPr>
    <w:rPr>
      <w:rFonts w:ascii="Cambria" w:hAnsi="Cambria"/>
      <w:b/>
      <w:bCs/>
      <w:i/>
      <w:iCs/>
      <w:color w:val="224A76"/>
      <w:sz w:val="22"/>
    </w:rPr>
  </w:style>
  <w:style w:type="character" w:customStyle="1" w:styleId="IntenseQuoteChar">
    <w:name w:val="Intense Quote Char"/>
    <w:link w:val="IntenseQuote"/>
    <w:uiPriority w:val="5"/>
    <w:rsid w:val="00CD21A6"/>
    <w:rPr>
      <w:rFonts w:ascii="Cambria" w:hAnsi="Cambria"/>
      <w:b/>
      <w:bCs/>
      <w:i/>
      <w:iCs/>
      <w:color w:val="224A76"/>
      <w:sz w:val="22"/>
    </w:rPr>
  </w:style>
  <w:style w:type="paragraph" w:styleId="ListParagraph">
    <w:name w:val="List Paragraph"/>
    <w:basedOn w:val="Normal"/>
    <w:uiPriority w:val="3"/>
    <w:qFormat/>
    <w:rsid w:val="00C91277"/>
    <w:pPr>
      <w:numPr>
        <w:numId w:val="19"/>
      </w:numPr>
      <w:ind w:left="357" w:hanging="357"/>
    </w:pPr>
  </w:style>
  <w:style w:type="paragraph" w:styleId="TOC1">
    <w:name w:val="toc 1"/>
    <w:basedOn w:val="Normal"/>
    <w:next w:val="Normal"/>
    <w:autoRedefine/>
    <w:uiPriority w:val="39"/>
    <w:qFormat/>
    <w:rsid w:val="008120F7"/>
    <w:pPr>
      <w:tabs>
        <w:tab w:val="left" w:pos="400"/>
        <w:tab w:val="right" w:leader="underscore" w:pos="8108"/>
      </w:tabs>
    </w:pPr>
    <w:rPr>
      <w:b/>
      <w:noProof/>
    </w:rPr>
  </w:style>
  <w:style w:type="character" w:customStyle="1" w:styleId="PBOtextChar">
    <w:name w:val="PBO text Char"/>
    <w:link w:val="PBOtext"/>
    <w:locked/>
    <w:rsid w:val="00442AB5"/>
  </w:style>
  <w:style w:type="paragraph" w:customStyle="1" w:styleId="PBOsource">
    <w:name w:val="PBO source"/>
    <w:basedOn w:val="PBOtext"/>
    <w:link w:val="PBOsourceChar"/>
    <w:qFormat/>
    <w:rsid w:val="00891443"/>
    <w:rPr>
      <w:rFonts w:cs="Arial"/>
      <w:sz w:val="18"/>
    </w:rPr>
  </w:style>
  <w:style w:type="character" w:customStyle="1" w:styleId="PBOsourceChar">
    <w:name w:val="PBO source Char"/>
    <w:link w:val="PBOsource"/>
    <w:rsid w:val="00891443"/>
    <w:rPr>
      <w:rFonts w:cs="Arial"/>
      <w:sz w:val="18"/>
    </w:rPr>
  </w:style>
  <w:style w:type="paragraph" w:styleId="BalloonText">
    <w:name w:val="Balloon Text"/>
    <w:basedOn w:val="Normal"/>
    <w:link w:val="BalloonTextChar"/>
    <w:semiHidden/>
    <w:unhideWhenUsed/>
    <w:rsid w:val="00661BAE"/>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661BAE"/>
    <w:rPr>
      <w:rFonts w:ascii="Tahoma" w:hAnsi="Tahoma" w:cs="Tahoma"/>
      <w:sz w:val="16"/>
      <w:szCs w:val="16"/>
    </w:rPr>
  </w:style>
  <w:style w:type="paragraph" w:styleId="NormalWeb">
    <w:name w:val="Normal (Web)"/>
    <w:basedOn w:val="Normal"/>
    <w:uiPriority w:val="99"/>
    <w:semiHidden/>
    <w:unhideWhenUsed/>
    <w:locked/>
    <w:rsid w:val="009862F8"/>
    <w:pPr>
      <w:spacing w:before="100" w:beforeAutospacing="1" w:after="100" w:afterAutospacing="1"/>
    </w:pPr>
    <w:rPr>
      <w:rFonts w:ascii="Times New Roman" w:eastAsiaTheme="minorEastAsia" w:hAnsi="Times New Roman"/>
      <w:sz w:val="24"/>
      <w:szCs w:val="24"/>
    </w:rPr>
  </w:style>
  <w:style w:type="character" w:customStyle="1" w:styleId="PBOheading3Char">
    <w:name w:val="PBO heading 3 Char"/>
    <w:link w:val="PBOheading3"/>
    <w:rsid w:val="00682FB3"/>
    <w:rPr>
      <w:b/>
      <w:sz w:val="22"/>
      <w:szCs w:val="24"/>
      <w:lang w:eastAsia="en-US"/>
    </w:rPr>
  </w:style>
  <w:style w:type="character" w:customStyle="1" w:styleId="Heading2Char">
    <w:name w:val="Heading 2 Char"/>
    <w:basedOn w:val="DefaultParagraphFont"/>
    <w:link w:val="Heading2"/>
    <w:semiHidden/>
    <w:rsid w:val="00C93F48"/>
    <w:rPr>
      <w:rFonts w:ascii="Cambria" w:eastAsia="Times New Roman" w:hAnsi="Cambria"/>
      <w:b/>
      <w:bCs/>
      <w:i/>
      <w:iCs/>
      <w:sz w:val="28"/>
      <w:szCs w:val="28"/>
    </w:rPr>
  </w:style>
  <w:style w:type="character" w:styleId="Hyperlink">
    <w:name w:val="Hyperlink"/>
    <w:basedOn w:val="DefaultParagraphFont"/>
    <w:uiPriority w:val="99"/>
    <w:unhideWhenUsed/>
    <w:rsid w:val="00DA3663"/>
    <w:rPr>
      <w:color w:val="0000FF"/>
      <w:u w:val="single"/>
    </w:rPr>
  </w:style>
  <w:style w:type="character" w:styleId="FollowedHyperlink">
    <w:name w:val="FollowedHyperlink"/>
    <w:basedOn w:val="DefaultParagraphFont"/>
    <w:uiPriority w:val="99"/>
    <w:unhideWhenUsed/>
    <w:rsid w:val="00DA3663"/>
    <w:rPr>
      <w:color w:val="800080"/>
      <w:u w:val="single"/>
    </w:rPr>
  </w:style>
  <w:style w:type="paragraph" w:customStyle="1" w:styleId="xl28842">
    <w:name w:val="xl28842"/>
    <w:basedOn w:val="Normal"/>
    <w:rsid w:val="00DA3663"/>
    <w:pPr>
      <w:pBdr>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28843">
    <w:name w:val="xl28843"/>
    <w:basedOn w:val="Normal"/>
    <w:rsid w:val="00DA3663"/>
    <w:pPr>
      <w:shd w:val="clear" w:color="000000" w:fill="C00000"/>
      <w:spacing w:before="100" w:beforeAutospacing="1" w:after="100" w:afterAutospacing="1"/>
    </w:pPr>
    <w:rPr>
      <w:rFonts w:ascii="Times New Roman" w:eastAsia="Times New Roman" w:hAnsi="Times New Roman"/>
      <w:sz w:val="24"/>
      <w:szCs w:val="24"/>
    </w:rPr>
  </w:style>
  <w:style w:type="paragraph" w:customStyle="1" w:styleId="xl28844">
    <w:name w:val="xl28844"/>
    <w:basedOn w:val="Normal"/>
    <w:rsid w:val="00DA3663"/>
    <w:pPr>
      <w:shd w:val="clear" w:color="000000" w:fill="F79646"/>
      <w:spacing w:before="100" w:beforeAutospacing="1" w:after="100" w:afterAutospacing="1"/>
    </w:pPr>
    <w:rPr>
      <w:rFonts w:ascii="Times New Roman" w:eastAsia="Times New Roman" w:hAnsi="Times New Roman"/>
      <w:sz w:val="24"/>
      <w:szCs w:val="24"/>
    </w:rPr>
  </w:style>
  <w:style w:type="paragraph" w:customStyle="1" w:styleId="xl28845">
    <w:name w:val="xl28845"/>
    <w:basedOn w:val="Normal"/>
    <w:rsid w:val="00DA3663"/>
    <w:pPr>
      <w:shd w:val="clear" w:color="000000" w:fill="A6CEE3"/>
      <w:spacing w:before="100" w:beforeAutospacing="1" w:after="100" w:afterAutospacing="1"/>
    </w:pPr>
    <w:rPr>
      <w:rFonts w:ascii="Times New Roman" w:eastAsia="Times New Roman" w:hAnsi="Times New Roman"/>
      <w:sz w:val="24"/>
      <w:szCs w:val="24"/>
    </w:rPr>
  </w:style>
  <w:style w:type="paragraph" w:customStyle="1" w:styleId="xl28846">
    <w:name w:val="xl28846"/>
    <w:basedOn w:val="Normal"/>
    <w:rsid w:val="00DA3663"/>
    <w:pPr>
      <w:spacing w:before="100" w:beforeAutospacing="1" w:after="100" w:afterAutospacing="1"/>
      <w:jc w:val="right"/>
    </w:pPr>
    <w:rPr>
      <w:rFonts w:ascii="Arial" w:eastAsia="Times New Roman" w:hAnsi="Arial" w:cs="Arial"/>
      <w:sz w:val="16"/>
      <w:szCs w:val="16"/>
    </w:rPr>
  </w:style>
  <w:style w:type="paragraph" w:customStyle="1" w:styleId="xl28847">
    <w:name w:val="xl28847"/>
    <w:basedOn w:val="Normal"/>
    <w:rsid w:val="00DA3663"/>
    <w:pPr>
      <w:shd w:val="clear" w:color="000000" w:fill="1F78B4"/>
      <w:spacing w:before="100" w:beforeAutospacing="1" w:after="100" w:afterAutospacing="1"/>
    </w:pPr>
    <w:rPr>
      <w:rFonts w:ascii="Times New Roman" w:eastAsia="Times New Roman" w:hAnsi="Times New Roman"/>
      <w:sz w:val="24"/>
      <w:szCs w:val="24"/>
    </w:rPr>
  </w:style>
  <w:style w:type="paragraph" w:customStyle="1" w:styleId="xl28848">
    <w:name w:val="xl28848"/>
    <w:basedOn w:val="Normal"/>
    <w:rsid w:val="00DA3663"/>
    <w:pPr>
      <w:spacing w:before="100" w:beforeAutospacing="1" w:after="100" w:afterAutospacing="1"/>
    </w:pPr>
    <w:rPr>
      <w:rFonts w:ascii="Times New Roman" w:eastAsia="Times New Roman" w:hAnsi="Times New Roman"/>
      <w:color w:val="FF0000"/>
      <w:sz w:val="24"/>
      <w:szCs w:val="24"/>
    </w:rPr>
  </w:style>
  <w:style w:type="paragraph" w:customStyle="1" w:styleId="xl28849">
    <w:name w:val="xl28849"/>
    <w:basedOn w:val="Normal"/>
    <w:rsid w:val="00DA3663"/>
    <w:pPr>
      <w:pBdr>
        <w:right w:val="single" w:sz="4" w:space="0" w:color="auto"/>
      </w:pBdr>
      <w:shd w:val="clear" w:color="000000" w:fill="F79646"/>
      <w:spacing w:before="100" w:beforeAutospacing="1" w:after="100" w:afterAutospacing="1"/>
    </w:pPr>
    <w:rPr>
      <w:rFonts w:ascii="Times New Roman" w:eastAsia="Times New Roman" w:hAnsi="Times New Roman"/>
      <w:sz w:val="24"/>
      <w:szCs w:val="24"/>
    </w:rPr>
  </w:style>
  <w:style w:type="paragraph" w:customStyle="1" w:styleId="xl28850">
    <w:name w:val="xl28850"/>
    <w:basedOn w:val="Normal"/>
    <w:rsid w:val="00DA3663"/>
    <w:pPr>
      <w:spacing w:before="100" w:beforeAutospacing="1" w:after="100" w:afterAutospacing="1"/>
      <w:jc w:val="right"/>
    </w:pPr>
    <w:rPr>
      <w:rFonts w:ascii="Arial" w:eastAsia="Times New Roman" w:hAnsi="Arial" w:cs="Arial"/>
      <w:b/>
      <w:bCs/>
      <w:sz w:val="16"/>
      <w:szCs w:val="16"/>
    </w:rPr>
  </w:style>
  <w:style w:type="paragraph" w:customStyle="1" w:styleId="xl28851">
    <w:name w:val="xl28851"/>
    <w:basedOn w:val="Normal"/>
    <w:rsid w:val="00DA3663"/>
    <w:pPr>
      <w:spacing w:before="100" w:beforeAutospacing="1" w:after="100" w:afterAutospacing="1"/>
    </w:pPr>
    <w:rPr>
      <w:rFonts w:ascii="Arial" w:eastAsia="Times New Roman" w:hAnsi="Arial" w:cs="Arial"/>
      <w:sz w:val="16"/>
      <w:szCs w:val="16"/>
    </w:rPr>
  </w:style>
  <w:style w:type="paragraph" w:customStyle="1" w:styleId="xl28852">
    <w:name w:val="xl28852"/>
    <w:basedOn w:val="Normal"/>
    <w:rsid w:val="00DA3663"/>
    <w:pPr>
      <w:spacing w:before="100" w:beforeAutospacing="1" w:after="100" w:afterAutospacing="1"/>
      <w:jc w:val="center"/>
    </w:pPr>
    <w:rPr>
      <w:rFonts w:ascii="Arial" w:eastAsia="Times New Roman" w:hAnsi="Arial" w:cs="Arial"/>
      <w:sz w:val="16"/>
      <w:szCs w:val="16"/>
    </w:rPr>
  </w:style>
  <w:style w:type="paragraph" w:customStyle="1" w:styleId="xl28853">
    <w:name w:val="xl28853"/>
    <w:basedOn w:val="Normal"/>
    <w:rsid w:val="00DA3663"/>
    <w:pPr>
      <w:pBdr>
        <w:top w:val="single" w:sz="4" w:space="0" w:color="auto"/>
        <w:left w:val="single" w:sz="4" w:space="0" w:color="auto"/>
      </w:pBdr>
      <w:spacing w:before="100" w:beforeAutospacing="1" w:after="100" w:afterAutospacing="1"/>
    </w:pPr>
    <w:rPr>
      <w:rFonts w:ascii="Arial" w:eastAsia="Times New Roman" w:hAnsi="Arial" w:cs="Arial"/>
      <w:sz w:val="16"/>
      <w:szCs w:val="16"/>
    </w:rPr>
  </w:style>
  <w:style w:type="paragraph" w:customStyle="1" w:styleId="xl28854">
    <w:name w:val="xl28854"/>
    <w:basedOn w:val="Normal"/>
    <w:rsid w:val="00DA3663"/>
    <w:pPr>
      <w:pBdr>
        <w:left w:val="single" w:sz="4" w:space="0" w:color="auto"/>
      </w:pBdr>
      <w:spacing w:before="100" w:beforeAutospacing="1" w:after="100" w:afterAutospacing="1"/>
    </w:pPr>
    <w:rPr>
      <w:rFonts w:ascii="Arial" w:eastAsia="Times New Roman" w:hAnsi="Arial" w:cs="Arial"/>
      <w:sz w:val="16"/>
      <w:szCs w:val="16"/>
    </w:rPr>
  </w:style>
  <w:style w:type="paragraph" w:customStyle="1" w:styleId="xl28855">
    <w:name w:val="xl28855"/>
    <w:basedOn w:val="Normal"/>
    <w:rsid w:val="00DA3663"/>
    <w:pPr>
      <w:spacing w:before="100" w:beforeAutospacing="1" w:after="100" w:afterAutospacing="1"/>
      <w:textAlignment w:val="center"/>
    </w:pPr>
    <w:rPr>
      <w:rFonts w:ascii="Arial" w:eastAsia="Times New Roman" w:hAnsi="Arial" w:cs="Arial"/>
      <w:sz w:val="16"/>
      <w:szCs w:val="16"/>
    </w:rPr>
  </w:style>
  <w:style w:type="paragraph" w:customStyle="1" w:styleId="xl28856">
    <w:name w:val="xl28856"/>
    <w:basedOn w:val="Normal"/>
    <w:rsid w:val="00DA3663"/>
    <w:pPr>
      <w:pBdr>
        <w:right w:val="single" w:sz="12" w:space="0" w:color="A6CEE3"/>
      </w:pBdr>
      <w:shd w:val="clear" w:color="000000" w:fill="1F78B4"/>
      <w:spacing w:before="100" w:beforeAutospacing="1" w:after="100" w:afterAutospacing="1"/>
    </w:pPr>
    <w:rPr>
      <w:rFonts w:ascii="Times New Roman" w:eastAsia="Times New Roman" w:hAnsi="Times New Roman"/>
      <w:sz w:val="24"/>
      <w:szCs w:val="24"/>
    </w:rPr>
  </w:style>
  <w:style w:type="paragraph" w:customStyle="1" w:styleId="xl28857">
    <w:name w:val="xl28857"/>
    <w:basedOn w:val="Normal"/>
    <w:rsid w:val="00DA3663"/>
    <w:pPr>
      <w:pBdr>
        <w:right w:val="single" w:sz="4" w:space="0" w:color="auto"/>
      </w:pBdr>
      <w:shd w:val="clear" w:color="000000" w:fill="C00000"/>
      <w:spacing w:before="100" w:beforeAutospacing="1" w:after="100" w:afterAutospacing="1"/>
    </w:pPr>
    <w:rPr>
      <w:rFonts w:ascii="Times New Roman" w:eastAsia="Times New Roman" w:hAnsi="Times New Roman"/>
      <w:sz w:val="24"/>
      <w:szCs w:val="24"/>
    </w:rPr>
  </w:style>
  <w:style w:type="paragraph" w:customStyle="1" w:styleId="xl28858">
    <w:name w:val="xl28858"/>
    <w:basedOn w:val="Normal"/>
    <w:rsid w:val="00DA3663"/>
    <w:pPr>
      <w:pBdr>
        <w:right w:val="single" w:sz="12" w:space="0" w:color="F79646"/>
      </w:pBdr>
      <w:shd w:val="clear" w:color="000000" w:fill="C00000"/>
      <w:spacing w:before="100" w:beforeAutospacing="1" w:after="100" w:afterAutospacing="1"/>
    </w:pPr>
    <w:rPr>
      <w:rFonts w:ascii="Times New Roman" w:eastAsia="Times New Roman" w:hAnsi="Times New Roman"/>
      <w:sz w:val="24"/>
      <w:szCs w:val="24"/>
    </w:rPr>
  </w:style>
  <w:style w:type="paragraph" w:customStyle="1" w:styleId="xl28859">
    <w:name w:val="xl28859"/>
    <w:basedOn w:val="Normal"/>
    <w:rsid w:val="00DA3663"/>
    <w:pPr>
      <w:pBdr>
        <w:right w:val="single" w:sz="4" w:space="0" w:color="auto"/>
      </w:pBdr>
      <w:shd w:val="clear" w:color="000000" w:fill="1F78B4"/>
      <w:spacing w:before="100" w:beforeAutospacing="1" w:after="100" w:afterAutospacing="1"/>
    </w:pPr>
    <w:rPr>
      <w:rFonts w:ascii="Times New Roman" w:eastAsia="Times New Roman" w:hAnsi="Times New Roman"/>
      <w:sz w:val="24"/>
      <w:szCs w:val="24"/>
    </w:rPr>
  </w:style>
  <w:style w:type="paragraph" w:customStyle="1" w:styleId="xl28860">
    <w:name w:val="xl28860"/>
    <w:basedOn w:val="Normal"/>
    <w:rsid w:val="00DA3663"/>
    <w:pPr>
      <w:pBdr>
        <w:bottom w:val="single" w:sz="4" w:space="0" w:color="auto"/>
      </w:pBdr>
      <w:spacing w:before="100" w:beforeAutospacing="1" w:after="100" w:afterAutospacing="1"/>
    </w:pPr>
    <w:rPr>
      <w:rFonts w:ascii="Arial" w:eastAsia="Times New Roman" w:hAnsi="Arial" w:cs="Arial"/>
      <w:sz w:val="16"/>
      <w:szCs w:val="16"/>
    </w:rPr>
  </w:style>
  <w:style w:type="paragraph" w:customStyle="1" w:styleId="xl28861">
    <w:name w:val="xl28861"/>
    <w:basedOn w:val="Normal"/>
    <w:rsid w:val="00DA3663"/>
    <w:pPr>
      <w:pBdr>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28862">
    <w:name w:val="xl28862"/>
    <w:basedOn w:val="Normal"/>
    <w:rsid w:val="00DA3663"/>
    <w:pPr>
      <w:pBdr>
        <w:top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28863">
    <w:name w:val="xl28863"/>
    <w:basedOn w:val="Normal"/>
    <w:rsid w:val="00DA3663"/>
    <w:pPr>
      <w:spacing w:before="100" w:beforeAutospacing="1" w:after="100" w:afterAutospacing="1"/>
      <w:jc w:val="right"/>
    </w:pPr>
    <w:rPr>
      <w:rFonts w:ascii="Arial" w:eastAsia="Times New Roman" w:hAnsi="Arial" w:cs="Arial"/>
      <w:b/>
      <w:bCs/>
      <w:sz w:val="18"/>
      <w:szCs w:val="18"/>
    </w:rPr>
  </w:style>
  <w:style w:type="paragraph" w:customStyle="1" w:styleId="xl28864">
    <w:name w:val="xl28864"/>
    <w:basedOn w:val="Normal"/>
    <w:rsid w:val="00DA3663"/>
    <w:pPr>
      <w:spacing w:before="100" w:beforeAutospacing="1" w:after="100" w:afterAutospacing="1"/>
      <w:jc w:val="right"/>
    </w:pPr>
    <w:rPr>
      <w:rFonts w:ascii="Arial" w:eastAsia="Times New Roman" w:hAnsi="Arial" w:cs="Arial"/>
      <w:sz w:val="18"/>
      <w:szCs w:val="18"/>
    </w:rPr>
  </w:style>
  <w:style w:type="paragraph" w:customStyle="1" w:styleId="xl28865">
    <w:name w:val="xl28865"/>
    <w:basedOn w:val="Normal"/>
    <w:rsid w:val="00DA3663"/>
    <w:pPr>
      <w:pBdr>
        <w:right w:val="single" w:sz="12" w:space="0" w:color="A6CEE3"/>
      </w:pBdr>
      <w:spacing w:before="100" w:beforeAutospacing="1" w:after="100" w:afterAutospacing="1"/>
    </w:pPr>
    <w:rPr>
      <w:rFonts w:ascii="Times New Roman" w:eastAsia="Times New Roman" w:hAnsi="Times New Roman"/>
      <w:color w:val="FF0000"/>
      <w:sz w:val="24"/>
      <w:szCs w:val="24"/>
    </w:rPr>
  </w:style>
  <w:style w:type="paragraph" w:customStyle="1" w:styleId="xl28866">
    <w:name w:val="xl28866"/>
    <w:basedOn w:val="Normal"/>
    <w:rsid w:val="00DA3663"/>
    <w:pPr>
      <w:shd w:val="clear" w:color="000000" w:fill="F79646"/>
      <w:spacing w:before="100" w:beforeAutospacing="1" w:after="100" w:afterAutospacing="1"/>
    </w:pPr>
    <w:rPr>
      <w:rFonts w:ascii="Times New Roman" w:eastAsia="Times New Roman" w:hAnsi="Times New Roman"/>
      <w:color w:val="A6CEE3"/>
      <w:sz w:val="24"/>
      <w:szCs w:val="24"/>
    </w:rPr>
  </w:style>
  <w:style w:type="paragraph" w:customStyle="1" w:styleId="xl28867">
    <w:name w:val="xl28867"/>
    <w:basedOn w:val="Normal"/>
    <w:rsid w:val="00DA3663"/>
    <w:pPr>
      <w:spacing w:before="100" w:beforeAutospacing="1" w:after="100" w:afterAutospacing="1"/>
      <w:jc w:val="center"/>
      <w:textAlignment w:val="center"/>
    </w:pPr>
    <w:rPr>
      <w:rFonts w:ascii="Arial" w:eastAsia="Times New Roman" w:hAnsi="Arial" w:cs="Arial"/>
      <w:sz w:val="16"/>
      <w:szCs w:val="16"/>
    </w:rPr>
  </w:style>
  <w:style w:type="paragraph" w:customStyle="1" w:styleId="xl28868">
    <w:name w:val="xl28868"/>
    <w:basedOn w:val="Normal"/>
    <w:rsid w:val="00DA3663"/>
    <w:pPr>
      <w:spacing w:before="100" w:beforeAutospacing="1" w:after="100" w:afterAutospacing="1"/>
      <w:textAlignment w:val="center"/>
    </w:pPr>
    <w:rPr>
      <w:rFonts w:ascii="Arial" w:eastAsia="Times New Roman" w:hAnsi="Arial" w:cs="Arial"/>
      <w:sz w:val="16"/>
      <w:szCs w:val="16"/>
    </w:rPr>
  </w:style>
  <w:style w:type="paragraph" w:customStyle="1" w:styleId="xl28869">
    <w:name w:val="xl28869"/>
    <w:basedOn w:val="Normal"/>
    <w:rsid w:val="00DA3663"/>
    <w:pPr>
      <w:spacing w:before="100" w:beforeAutospacing="1" w:after="100" w:afterAutospacing="1"/>
      <w:jc w:val="right"/>
      <w:textAlignment w:val="top"/>
    </w:pPr>
    <w:rPr>
      <w:rFonts w:ascii="Arial" w:eastAsia="Times New Roman" w:hAnsi="Arial" w:cs="Arial"/>
      <w:sz w:val="18"/>
      <w:szCs w:val="18"/>
    </w:rPr>
  </w:style>
  <w:style w:type="paragraph" w:customStyle="1" w:styleId="xl28870">
    <w:name w:val="xl28870"/>
    <w:basedOn w:val="Normal"/>
    <w:rsid w:val="00DA3663"/>
    <w:pPr>
      <w:shd w:val="clear" w:color="000000" w:fill="F79646"/>
      <w:spacing w:before="100" w:beforeAutospacing="1" w:after="100" w:afterAutospacing="1"/>
    </w:pPr>
    <w:rPr>
      <w:rFonts w:ascii="Times New Roman" w:eastAsia="Times New Roman" w:hAnsi="Times New Roman"/>
      <w:color w:val="FF0000"/>
      <w:sz w:val="24"/>
      <w:szCs w:val="24"/>
    </w:rPr>
  </w:style>
  <w:style w:type="paragraph" w:customStyle="1" w:styleId="xl28871">
    <w:name w:val="xl28871"/>
    <w:basedOn w:val="Normal"/>
    <w:rsid w:val="00DA3663"/>
    <w:pPr>
      <w:pBdr>
        <w:right w:val="single" w:sz="4" w:space="0" w:color="auto"/>
      </w:pBdr>
      <w:shd w:val="clear" w:color="000000" w:fill="F79646"/>
      <w:spacing w:before="100" w:beforeAutospacing="1" w:after="100" w:afterAutospacing="1"/>
    </w:pPr>
    <w:rPr>
      <w:rFonts w:ascii="Times New Roman" w:eastAsia="Times New Roman" w:hAnsi="Times New Roman"/>
      <w:color w:val="FF0000"/>
      <w:sz w:val="24"/>
      <w:szCs w:val="24"/>
    </w:rPr>
  </w:style>
  <w:style w:type="paragraph" w:styleId="FootnoteText">
    <w:name w:val="footnote text"/>
    <w:basedOn w:val="Normal"/>
    <w:link w:val="FootnoteTextChar"/>
    <w:uiPriority w:val="5"/>
    <w:rsid w:val="00BA6A32"/>
    <w:pPr>
      <w:spacing w:before="0" w:after="0"/>
    </w:pPr>
  </w:style>
  <w:style w:type="character" w:customStyle="1" w:styleId="FootnoteTextChar">
    <w:name w:val="Footnote Text Char"/>
    <w:basedOn w:val="DefaultParagraphFont"/>
    <w:link w:val="FootnoteText"/>
    <w:uiPriority w:val="5"/>
    <w:rsid w:val="00BA6A32"/>
  </w:style>
  <w:style w:type="character" w:styleId="FootnoteReference">
    <w:name w:val="footnote reference"/>
    <w:basedOn w:val="DefaultParagraphFont"/>
    <w:uiPriority w:val="5"/>
    <w:rsid w:val="00BA6A32"/>
    <w:rPr>
      <w:vertAlign w:val="superscript"/>
    </w:rPr>
  </w:style>
  <w:style w:type="paragraph" w:styleId="TOC2">
    <w:name w:val="toc 2"/>
    <w:basedOn w:val="Normal"/>
    <w:next w:val="Normal"/>
    <w:autoRedefine/>
    <w:uiPriority w:val="39"/>
    <w:rsid w:val="00FF5368"/>
    <w:pPr>
      <w:spacing w:after="100"/>
      <w:ind w:left="200"/>
    </w:pPr>
  </w:style>
  <w:style w:type="paragraph" w:styleId="TOC3">
    <w:name w:val="toc 3"/>
    <w:basedOn w:val="Normal"/>
    <w:next w:val="Normal"/>
    <w:autoRedefine/>
    <w:semiHidden/>
    <w:unhideWhenUsed/>
    <w:rsid w:val="00FF5368"/>
    <w:pPr>
      <w:spacing w:after="100"/>
      <w:ind w:left="400"/>
    </w:pPr>
  </w:style>
  <w:style w:type="paragraph" w:customStyle="1" w:styleId="PBOfooter">
    <w:name w:val="PBO footer"/>
    <w:basedOn w:val="PBOtext"/>
    <w:qFormat/>
    <w:rsid w:val="00040E69"/>
    <w:pPr>
      <w:spacing w:before="0" w:after="0"/>
    </w:pPr>
    <w:rPr>
      <w:b/>
      <w:noProof/>
      <w:szCs w:val="24"/>
      <w:lang w:eastAsia="en-US"/>
    </w:rPr>
  </w:style>
  <w:style w:type="paragraph" w:customStyle="1" w:styleId="FooterRight">
    <w:name w:val="Footer Right"/>
    <w:basedOn w:val="Normal"/>
    <w:next w:val="Footer"/>
    <w:rsid w:val="00401149"/>
    <w:pPr>
      <w:framePr w:wrap="around" w:vAnchor="page" w:hAnchor="margin" w:xAlign="right" w:yAlign="bottom"/>
      <w:spacing w:before="180" w:after="120"/>
      <w:ind w:left="397" w:right="397"/>
      <w:jc w:val="right"/>
    </w:pPr>
    <w:rPr>
      <w:rFonts w:asciiTheme="minorHAnsi" w:eastAsiaTheme="minorHAnsi" w:hAnsiTheme="minorHAnsi" w:cstheme="minorBidi"/>
      <w:b/>
      <w:color w:val="EEECE1" w:themeColor="background2"/>
      <w:spacing w:val="-2"/>
      <w:sz w:val="22"/>
      <w:szCs w:val="22"/>
      <w:lang w:eastAsia="en-US"/>
    </w:rPr>
  </w:style>
  <w:style w:type="paragraph" w:customStyle="1" w:styleId="FooterRightPageNumber">
    <w:name w:val="Footer Right Page Number"/>
    <w:basedOn w:val="Normal"/>
    <w:rsid w:val="00401149"/>
    <w:pPr>
      <w:spacing w:before="180" w:after="120"/>
      <w:jc w:val="right"/>
    </w:pPr>
    <w:rPr>
      <w:rFonts w:asciiTheme="minorHAnsi" w:eastAsiaTheme="minorHAnsi" w:hAnsiTheme="minorHAnsi" w:cstheme="minorBidi"/>
      <w:b/>
      <w:noProof/>
      <w:color w:val="EEECE1" w:themeColor="background2"/>
      <w:sz w:val="22"/>
      <w:szCs w:val="22"/>
      <w:lang w:eastAsia="en-US"/>
    </w:rPr>
  </w:style>
  <w:style w:type="table" w:customStyle="1" w:styleId="TableAsPlaceholder">
    <w:name w:val="Table As Placeholder"/>
    <w:basedOn w:val="TableNormal"/>
    <w:uiPriority w:val="99"/>
    <w:qFormat/>
    <w:rsid w:val="00401149"/>
    <w:pPr>
      <w:spacing w:line="300" w:lineRule="atLeast"/>
    </w:pPr>
    <w:rPr>
      <w:rFonts w:asciiTheme="minorHAnsi" w:eastAsia="Times New Roman" w:hAnsiTheme="minorHAnsi" w:cs="Arial"/>
      <w:sz w:val="22"/>
      <w:szCs w:val="22"/>
    </w:rPr>
    <w:tblPr>
      <w:tblCellMar>
        <w:left w:w="0" w:type="dxa"/>
        <w:right w:w="0" w:type="dxa"/>
      </w:tblCellMar>
    </w:tblPr>
  </w:style>
  <w:style w:type="paragraph" w:customStyle="1" w:styleId="FooterLeft">
    <w:name w:val="Footer Left"/>
    <w:basedOn w:val="Footer"/>
    <w:qFormat/>
    <w:rsid w:val="00401149"/>
    <w:pPr>
      <w:framePr w:wrap="around" w:vAnchor="page" w:hAnchor="margin" w:yAlign="bottom"/>
      <w:spacing w:before="180" w:after="120"/>
      <w:ind w:left="397"/>
    </w:pPr>
    <w:rPr>
      <w:rFonts w:asciiTheme="minorHAnsi" w:eastAsiaTheme="minorHAnsi" w:hAnsiTheme="minorHAnsi" w:cstheme="minorBidi"/>
      <w:color w:val="EEECE1" w:themeColor="background2"/>
      <w:spacing w:val="-2"/>
      <w:sz w:val="22"/>
      <w:szCs w:val="22"/>
      <w:lang w:eastAsia="en-US"/>
    </w:rPr>
  </w:style>
  <w:style w:type="paragraph" w:customStyle="1" w:styleId="FooterLeftPageNumber">
    <w:name w:val="Footer Left Page Number"/>
    <w:basedOn w:val="Footer"/>
    <w:rsid w:val="00401149"/>
    <w:pPr>
      <w:framePr w:wrap="around" w:vAnchor="page" w:hAnchor="margin" w:yAlign="bottom"/>
      <w:spacing w:before="180" w:after="120"/>
      <w:ind w:right="57"/>
    </w:pPr>
    <w:rPr>
      <w:rFonts w:asciiTheme="minorHAnsi" w:eastAsiaTheme="minorHAnsi" w:hAnsiTheme="minorHAnsi" w:cstheme="minorBidi"/>
      <w:color w:val="EEECE1" w:themeColor="background2"/>
      <w:sz w:val="22"/>
      <w:szCs w:val="22"/>
      <w:lang w:eastAsia="en-US"/>
    </w:rPr>
  </w:style>
  <w:style w:type="character" w:styleId="CommentReference">
    <w:name w:val="annotation reference"/>
    <w:basedOn w:val="DefaultParagraphFont"/>
    <w:semiHidden/>
    <w:unhideWhenUsed/>
    <w:rsid w:val="00114EF6"/>
    <w:rPr>
      <w:sz w:val="16"/>
      <w:szCs w:val="16"/>
    </w:rPr>
  </w:style>
  <w:style w:type="paragraph" w:styleId="CommentText">
    <w:name w:val="annotation text"/>
    <w:basedOn w:val="Normal"/>
    <w:link w:val="CommentTextChar"/>
    <w:semiHidden/>
    <w:unhideWhenUsed/>
    <w:rsid w:val="00114EF6"/>
  </w:style>
  <w:style w:type="character" w:customStyle="1" w:styleId="CommentTextChar">
    <w:name w:val="Comment Text Char"/>
    <w:basedOn w:val="DefaultParagraphFont"/>
    <w:link w:val="CommentText"/>
    <w:semiHidden/>
    <w:rsid w:val="00114E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mbria"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semiHidden="1" w:qFormat="1"/>
    <w:lsdException w:name="heading 3" w:locked="1" w:semiHidden="1" w:qFormat="1"/>
    <w:lsdException w:name="heading 4" w:locked="1" w:semiHidden="1" w:qFormat="1"/>
    <w:lsdException w:name="heading 5" w:locked="1" w:semiHidden="1" w:qFormat="1"/>
    <w:lsdException w:name="heading 6" w:locked="1" w:semiHidden="1" w:qFormat="1"/>
    <w:lsdException w:name="heading 7" w:locked="1" w:semiHidden="1" w:qFormat="1"/>
    <w:lsdException w:name="heading 8" w:locked="1" w:semiHidden="1" w:qFormat="1"/>
    <w:lsdException w:name="heading 9" w:locked="1" w:semiHidden="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uiPriority="5"/>
    <w:lsdException w:name="annotation text" w:semiHidden="1" w:unhideWhenUsed="1"/>
    <w:lsdException w:name="header" w:uiPriority="5"/>
    <w:lsdException w:name="footer" w:uiPriority="99" w:qFormat="1"/>
    <w:lsdException w:name="index heading" w:locked="1" w:semiHidden="1" w:unhideWhenUsed="1"/>
    <w:lsdException w:name="caption" w:semiHidden="1" w:unhideWhenUsed="1" w:qFormat="1"/>
    <w:lsdException w:name="envelope address" w:locked="1" w:semiHidden="1" w:unhideWhenUsed="1"/>
    <w:lsdException w:name="envelope return" w:locked="1" w:semiHidden="1" w:unhideWhenUsed="1"/>
    <w:lsdException w:name="footnote reference" w:uiPriority="5"/>
    <w:lsdException w:name="annotation reference" w:semiHidden="1" w:unhideWhenUsed="1"/>
    <w:lsdException w:name="line number" w:uiPriority="3"/>
    <w:lsdException w:name="page number" w:locked="1" w:qFormat="1"/>
    <w:lsdException w:name="endnote reference" w:semiHidden="1" w:unhideWhenUsed="1"/>
    <w:lsdException w:name="endnote text" w:semiHidden="1" w:unhideWhenUsed="1"/>
    <w:lsdException w:name="table of authorities" w:locked="1"/>
    <w:lsdException w:name="macro" w:locked="1" w:semiHidden="1" w:unhideWhenUsed="1"/>
    <w:lsdException w:name="toa heading" w:locked="1" w:semiHidden="1" w:unhideWhenUsed="1"/>
    <w:lsdException w:name="List" w:uiPriority="3"/>
    <w:lsdException w:name="List 2" w:uiPriority="3"/>
    <w:lsdException w:name="List 3" w:locked="1" w:semiHidden="1" w:unhideWhenUsed="1"/>
    <w:lsdException w:name="List 4" w:locked="1" w:semiHidden="1" w:unhideWhenUsed="1"/>
    <w:lsdException w:name="List 5"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semiHidden="1" w:unhideWhenUsed="1"/>
    <w:lsdException w:name="Signature" w:locked="1" w:semiHidden="1" w:unhideWhenUsed="1"/>
    <w:lsdException w:name="Body Text Indent"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semiHidden="1" w:unhideWhenUsed="1"/>
    <w:lsdException w:name="Body Text First Indent 2" w:semiHidden="1" w:unhideWhenUsed="1"/>
    <w:lsdException w:name="Note Heading"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uiPriority="99"/>
    <w:lsdException w:name="Strong" w:qFormat="1"/>
    <w:lsdException w:name="Emphasis" w:uiPriority="2" w:qFormat="1"/>
    <w:lsdException w:name="Document Map" w:semiHidden="1" w:unhideWhenUsed="1"/>
    <w:lsdException w:name="Plain Text" w:locked="1" w:semiHidden="1" w:unhideWhenUsed="1"/>
    <w:lsdException w:name="E-mail Signature"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uiPriority="99"/>
    <w:lsdException w:name="Table Web 1" w:locked="1"/>
    <w:lsdException w:name="Table Web 2" w:locked="1"/>
    <w:lsdException w:name="Table Web 3" w:locked="1"/>
    <w:lsdException w:name="Balloon Text" w:semiHidden="1" w:unhideWhenUsed="1"/>
    <w:lsdException w:name="Placeholder Text" w:locked="1" w:semiHidden="1" w:unhideWhenUsed="1"/>
    <w:lsdException w:name="No Spacing" w:locked="1" w:semiHidden="1" w:unhideWhenUsed="1" w:qFormat="1"/>
    <w:lsdException w:name="Medium Shading 1" w:locked="1"/>
    <w:lsdException w:name="Medium Shading 2" w:locked="1"/>
    <w:lsdException w:name="Medium List 1" w:locked="1"/>
    <w:lsdException w:name="Medium List 2" w:locked="1"/>
    <w:lsdException w:name="Medium Grid 1" w:locked="1"/>
    <w:lsdException w:name="Medium Grid 2" w:locked="1"/>
    <w:lsdException w:name="Medium Grid 3" w:locked="1"/>
    <w:lsdException w:name="Medium Shading 1 Accent 1" w:locked="1"/>
    <w:lsdException w:name="Medium Shading 2 Accent 1" w:locked="1"/>
    <w:lsdException w:name="Medium List 1 Accent 1" w:locked="1"/>
    <w:lsdException w:name="List Paragraph" w:uiPriority="3" w:qFormat="1"/>
    <w:lsdException w:name="Quote" w:qFormat="1"/>
    <w:lsdException w:name="Intense Quote" w:qFormat="1"/>
    <w:lsdException w:name="Medium List 2 Accent 1" w:locked="1"/>
    <w:lsdException w:name="Medium Grid 1 Accent 1" w:locked="1"/>
    <w:lsdException w:name="Medium Grid 2 Accent 1" w:locked="1"/>
    <w:lsdException w:name="Medium Grid 3 Accent 1" w:locked="1"/>
    <w:lsdException w:name="Medium Shading 1 Accent 2" w:locked="1"/>
    <w:lsdException w:name="Medium Shading 2 Accent 2" w:locked="1"/>
    <w:lsdException w:name="Medium List 1 Accent 2" w:locked="1"/>
    <w:lsdException w:name="Medium List 2 Accent 2" w:locked="1"/>
    <w:lsdException w:name="Medium Grid 1 Accent 2" w:locked="1"/>
    <w:lsdException w:name="Medium Grid 2 Accent 2" w:locked="1"/>
    <w:lsdException w:name="Medium Grid 3 Accent 2" w:locked="1"/>
    <w:lsdException w:name="Medium Shading 1 Accent 3" w:locked="1"/>
    <w:lsdException w:name="Medium Shading 2 Accent 3" w:locked="1"/>
    <w:lsdException w:name="Medium List 1 Accent 3" w:locked="1"/>
    <w:lsdException w:name="Medium List 2 Accent 3" w:locked="1"/>
    <w:lsdException w:name="Medium Grid 1 Accent 3" w:locked="1"/>
    <w:lsdException w:name="Medium Grid 2 Accent 3" w:locked="1"/>
    <w:lsdException w:name="Medium Grid 3 Accent 3" w:locked="1"/>
    <w:lsdException w:name="Medium Shading 1 Accent 4" w:locked="1"/>
    <w:lsdException w:name="Medium Shading 2 Accent 4" w:locked="1"/>
    <w:lsdException w:name="Medium List 1 Accent 4" w:locked="1"/>
    <w:lsdException w:name="Medium List 2 Accent 4" w:locked="1"/>
    <w:lsdException w:name="Medium Grid 1 Accent 4" w:locked="1"/>
    <w:lsdException w:name="Medium Grid 2 Accent 4" w:locked="1"/>
    <w:lsdException w:name="Medium Grid 3 Accent 4" w:locked="1"/>
    <w:lsdException w:name="Medium Shading 1 Accent 5" w:locked="1"/>
    <w:lsdException w:name="Medium Shading 2 Accent 5" w:locked="1"/>
    <w:lsdException w:name="Medium List 1 Accent 5" w:locked="1"/>
    <w:lsdException w:name="Medium List 2 Accent 5" w:locked="1"/>
    <w:lsdException w:name="Medium Grid 1 Accent 5" w:locked="1"/>
    <w:lsdException w:name="Medium Grid 2 Accent 5" w:locked="1"/>
    <w:lsdException w:name="Medium Grid 3 Accent 5" w:locked="1"/>
    <w:lsdException w:name="Medium Shading 1 Accent 6" w:locked="1"/>
    <w:lsdException w:name="Medium Shading 2 Accent 6" w:locked="1"/>
    <w:lsdException w:name="Medium List 1 Accent 6" w:locked="1"/>
    <w:lsdException w:name="Medium List 2 Accent 6" w:locked="1"/>
    <w:lsdException w:name="Medium Grid 1 Accent 6" w:locked="1"/>
    <w:lsdException w:name="Medium Grid 2 Accent 6" w:locked="1"/>
    <w:lsdException w:name="Medium Grid 3 Accent 6" w:locked="1"/>
    <w:lsdException w:name="Subtle Emphasis" w:qFormat="1"/>
    <w:lsdException w:name="Intense Emphasis" w:qFormat="1"/>
    <w:lsdException w:name="Subtle Reference" w:locked="1" w:semiHidden="1" w:unhideWhenUsed="1"/>
    <w:lsdException w:name="Intense Reference" w:locked="1" w:semiHidden="1" w:unhideWhenUsed="1"/>
    <w:lsdException w:name="Book Title" w:semiHidden="1" w:unhideWhenUsed="1" w:qFormat="1"/>
    <w:lsdException w:name="Bibliography" w:semiHidden="1" w:unhideWhenUsed="1"/>
    <w:lsdException w:name="TOC Heading" w:semiHidden="1" w:uiPriority="39" w:unhideWhenUsed="1" w:qFormat="1"/>
  </w:latentStyles>
  <w:style w:type="paragraph" w:default="1" w:styleId="Normal">
    <w:name w:val="Normal"/>
    <w:unhideWhenUsed/>
    <w:qFormat/>
    <w:rsid w:val="00142603"/>
    <w:pPr>
      <w:spacing w:before="120" w:after="113"/>
    </w:pPr>
  </w:style>
  <w:style w:type="paragraph" w:styleId="Heading1">
    <w:name w:val="heading 1"/>
    <w:basedOn w:val="Normal"/>
    <w:next w:val="Normal"/>
    <w:link w:val="Heading1Char"/>
    <w:semiHidden/>
    <w:qFormat/>
    <w:locked/>
    <w:rsid w:val="009C4DA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qFormat/>
    <w:locked/>
    <w:rsid w:val="00C93F48"/>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BOtables">
    <w:name w:val="PBO tables"/>
    <w:basedOn w:val="TableNormal"/>
    <w:qFormat/>
    <w:rsid w:val="007A74D9"/>
    <w:tblPr>
      <w:tblStyleRowBandSize w:val="1"/>
    </w:tblPr>
    <w:tcPr>
      <w:vAlign w:val="center"/>
    </w:tcPr>
    <w:tblStylePr w:type="firstRow">
      <w:pPr>
        <w:jc w:val="center"/>
      </w:pPr>
      <w:rPr>
        <w:rFonts w:ascii="Symbol" w:hAnsi="Symbol"/>
        <w:b/>
        <w:color w:val="FFFFFF"/>
        <w:sz w:val="19"/>
      </w:rPr>
      <w:tblPr/>
      <w:tcPr>
        <w:tcBorders>
          <w:insideV w:val="nil"/>
        </w:tcBorders>
        <w:shd w:val="clear" w:color="auto" w:fill="264A76"/>
        <w:vAlign w:val="center"/>
      </w:tcPr>
    </w:tblStylePr>
    <w:tblStylePr w:type="firstCol">
      <w:pPr>
        <w:jc w:val="left"/>
      </w:pPr>
      <w:rPr>
        <w:rFonts w:ascii="Symbol" w:hAnsi="Symbol"/>
        <w:b/>
      </w:rPr>
      <w:tblPr/>
      <w:tcPr>
        <w:vAlign w:val="center"/>
      </w:tcPr>
    </w:tblStylePr>
    <w:tblStylePr w:type="band1Horz">
      <w:pPr>
        <w:jc w:val="center"/>
      </w:pPr>
      <w:tblPr/>
      <w:tcPr>
        <w:shd w:val="clear" w:color="auto" w:fill="D7DCE4"/>
        <w:vAlign w:val="center"/>
      </w:tcPr>
    </w:tblStylePr>
    <w:tblStylePr w:type="band2Horz">
      <w:pPr>
        <w:jc w:val="center"/>
      </w:pPr>
      <w:rPr>
        <w:rFonts w:ascii="Symbol" w:hAnsi="Symbol"/>
        <w:sz w:val="20"/>
      </w:rPr>
      <w:tblPr/>
      <w:tcPr>
        <w:shd w:val="clear" w:color="auto" w:fill="FFFFFF"/>
        <w:vAlign w:val="center"/>
      </w:tcPr>
    </w:tblStylePr>
  </w:style>
  <w:style w:type="paragraph" w:customStyle="1" w:styleId="PBOtext">
    <w:name w:val="PBO text"/>
    <w:basedOn w:val="Normal"/>
    <w:link w:val="PBOtextChar"/>
    <w:qFormat/>
    <w:rsid w:val="00442AB5"/>
    <w:pPr>
      <w:spacing w:line="288" w:lineRule="auto"/>
    </w:pPr>
  </w:style>
  <w:style w:type="paragraph" w:customStyle="1" w:styleId="PBObullet">
    <w:name w:val="PBO bullet"/>
    <w:basedOn w:val="PBOtext"/>
    <w:qFormat/>
    <w:rsid w:val="00C91277"/>
    <w:pPr>
      <w:numPr>
        <w:numId w:val="18"/>
      </w:numPr>
      <w:ind w:left="357" w:hanging="357"/>
    </w:pPr>
  </w:style>
  <w:style w:type="paragraph" w:customStyle="1" w:styleId="PBOheading1">
    <w:name w:val="PBO heading 1"/>
    <w:basedOn w:val="Heading1"/>
    <w:uiPriority w:val="1"/>
    <w:qFormat/>
    <w:rsid w:val="00770CF8"/>
    <w:pPr>
      <w:spacing w:before="600" w:after="240"/>
    </w:pPr>
    <w:rPr>
      <w:rFonts w:ascii="Georgia" w:hAnsi="Georgia"/>
      <w:b w:val="0"/>
      <w:color w:val="2B3B5F"/>
      <w:sz w:val="36"/>
      <w:szCs w:val="24"/>
      <w:lang w:eastAsia="en-US"/>
    </w:rPr>
  </w:style>
  <w:style w:type="paragraph" w:customStyle="1" w:styleId="PBOheading2">
    <w:name w:val="PBO heading 2"/>
    <w:basedOn w:val="Heading2"/>
    <w:uiPriority w:val="1"/>
    <w:qFormat/>
    <w:rsid w:val="002872B7"/>
    <w:pPr>
      <w:spacing w:before="320" w:after="170" w:line="288" w:lineRule="auto"/>
    </w:pPr>
    <w:rPr>
      <w:rFonts w:ascii="Georgia" w:hAnsi="Georgia"/>
      <w:b w:val="0"/>
      <w:i w:val="0"/>
      <w:color w:val="2B3B5F"/>
    </w:rPr>
  </w:style>
  <w:style w:type="paragraph" w:customStyle="1" w:styleId="PBOfiguretableheading">
    <w:name w:val="PBO figure/table heading"/>
    <w:uiPriority w:val="2"/>
    <w:qFormat/>
    <w:rsid w:val="002872B7"/>
    <w:pPr>
      <w:keepNext/>
      <w:spacing w:before="200" w:after="113" w:line="288" w:lineRule="auto"/>
    </w:pPr>
    <w:rPr>
      <w:b/>
      <w:i/>
      <w:color w:val="2B3B5F"/>
      <w:szCs w:val="24"/>
      <w:lang w:eastAsia="en-US"/>
    </w:rPr>
  </w:style>
  <w:style w:type="paragraph" w:customStyle="1" w:styleId="PBOheading3">
    <w:name w:val="PBO heading 3"/>
    <w:link w:val="PBOheading3Char"/>
    <w:qFormat/>
    <w:rsid w:val="001A409F"/>
    <w:pPr>
      <w:keepNext/>
      <w:spacing w:before="200" w:after="200"/>
    </w:pPr>
    <w:rPr>
      <w:b/>
      <w:sz w:val="22"/>
      <w:szCs w:val="24"/>
      <w:lang w:eastAsia="en-US"/>
    </w:rPr>
  </w:style>
  <w:style w:type="paragraph" w:styleId="Title">
    <w:name w:val="Title"/>
    <w:basedOn w:val="Normal"/>
    <w:next w:val="Subtitle"/>
    <w:link w:val="TitleChar"/>
    <w:qFormat/>
    <w:rsid w:val="000F286F"/>
    <w:pPr>
      <w:spacing w:before="4300"/>
    </w:pPr>
    <w:rPr>
      <w:rFonts w:ascii="Georgia" w:hAnsi="Georgia"/>
      <w:color w:val="2B3B5F"/>
      <w:sz w:val="50"/>
    </w:rPr>
  </w:style>
  <w:style w:type="character" w:customStyle="1" w:styleId="TitleChar">
    <w:name w:val="Title Char"/>
    <w:link w:val="Title"/>
    <w:rsid w:val="000F286F"/>
    <w:rPr>
      <w:rFonts w:ascii="Georgia" w:hAnsi="Georgia"/>
      <w:color w:val="2B3B5F"/>
      <w:sz w:val="50"/>
    </w:rPr>
  </w:style>
  <w:style w:type="paragraph" w:styleId="Subtitle">
    <w:name w:val="Subtitle"/>
    <w:basedOn w:val="Normal"/>
    <w:next w:val="Normal"/>
    <w:link w:val="SubtitleChar"/>
    <w:uiPriority w:val="2"/>
    <w:qFormat/>
    <w:rsid w:val="000F286F"/>
    <w:pPr>
      <w:jc w:val="right"/>
    </w:pPr>
    <w:rPr>
      <w:rFonts w:ascii="Georgia" w:hAnsi="Georgia"/>
      <w:color w:val="2B3B5F"/>
      <w:sz w:val="28"/>
    </w:rPr>
  </w:style>
  <w:style w:type="character" w:customStyle="1" w:styleId="SubtitleChar">
    <w:name w:val="Subtitle Char"/>
    <w:link w:val="Subtitle"/>
    <w:uiPriority w:val="2"/>
    <w:rsid w:val="000F286F"/>
    <w:rPr>
      <w:rFonts w:ascii="Georgia" w:hAnsi="Georgia"/>
      <w:color w:val="2B3B5F"/>
      <w:sz w:val="28"/>
    </w:rPr>
  </w:style>
  <w:style w:type="paragraph" w:styleId="Header">
    <w:name w:val="header"/>
    <w:basedOn w:val="Normal"/>
    <w:link w:val="HeaderChar"/>
    <w:uiPriority w:val="5"/>
    <w:rsid w:val="00CD21A6"/>
    <w:pPr>
      <w:tabs>
        <w:tab w:val="center" w:pos="4513"/>
        <w:tab w:val="right" w:pos="9026"/>
      </w:tabs>
    </w:pPr>
    <w:rPr>
      <w:color w:val="808080"/>
    </w:rPr>
  </w:style>
  <w:style w:type="character" w:customStyle="1" w:styleId="HeaderChar">
    <w:name w:val="Header Char"/>
    <w:link w:val="Header"/>
    <w:uiPriority w:val="5"/>
    <w:rsid w:val="00CD21A6"/>
    <w:rPr>
      <w:color w:val="808080"/>
    </w:rPr>
  </w:style>
  <w:style w:type="paragraph" w:styleId="Footer">
    <w:name w:val="footer"/>
    <w:basedOn w:val="Normal"/>
    <w:link w:val="FooterChar"/>
    <w:uiPriority w:val="99"/>
    <w:qFormat/>
    <w:rsid w:val="00C27399"/>
    <w:rPr>
      <w:b/>
      <w:sz w:val="18"/>
    </w:rPr>
  </w:style>
  <w:style w:type="character" w:customStyle="1" w:styleId="FooterChar">
    <w:name w:val="Footer Char"/>
    <w:link w:val="Footer"/>
    <w:uiPriority w:val="99"/>
    <w:rsid w:val="00CD21A6"/>
    <w:rPr>
      <w:b/>
      <w:sz w:val="18"/>
    </w:rPr>
  </w:style>
  <w:style w:type="character" w:styleId="PageNumber">
    <w:name w:val="page number"/>
    <w:uiPriority w:val="4"/>
    <w:unhideWhenUsed/>
    <w:qFormat/>
    <w:locked/>
    <w:rsid w:val="009530F3"/>
    <w:rPr>
      <w:rFonts w:ascii="Calibri" w:hAnsi="Calibri"/>
      <w:b/>
      <w:color w:val="224A76"/>
      <w:sz w:val="18"/>
    </w:rPr>
  </w:style>
  <w:style w:type="paragraph" w:customStyle="1" w:styleId="Oddpagefooter">
    <w:name w:val="Odd page footer"/>
    <w:basedOn w:val="Footer"/>
    <w:semiHidden/>
    <w:unhideWhenUsed/>
    <w:qFormat/>
    <w:rsid w:val="00FC4271"/>
    <w:pPr>
      <w:jc w:val="right"/>
    </w:pPr>
  </w:style>
  <w:style w:type="table" w:styleId="TableGrid">
    <w:name w:val="Table Grid"/>
    <w:basedOn w:val="TableNormal"/>
    <w:rsid w:val="00953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heading4">
    <w:name w:val="PBO heading 4"/>
    <w:basedOn w:val="PBOheading3"/>
    <w:next w:val="PBOtext"/>
    <w:uiPriority w:val="1"/>
    <w:qFormat/>
    <w:rsid w:val="001A409F"/>
    <w:rPr>
      <w:b w:val="0"/>
      <w:i/>
      <w:sz w:val="24"/>
    </w:rPr>
  </w:style>
  <w:style w:type="paragraph" w:styleId="Quote">
    <w:name w:val="Quote"/>
    <w:basedOn w:val="Normal"/>
    <w:next w:val="Normal"/>
    <w:link w:val="QuoteChar"/>
    <w:uiPriority w:val="5"/>
    <w:qFormat/>
    <w:rsid w:val="00B771B1"/>
    <w:pPr>
      <w:spacing w:after="120"/>
      <w:ind w:left="720"/>
    </w:pPr>
    <w:rPr>
      <w:i/>
      <w:iCs/>
      <w:color w:val="000000"/>
    </w:rPr>
  </w:style>
  <w:style w:type="character" w:customStyle="1" w:styleId="QuoteChar">
    <w:name w:val="Quote Char"/>
    <w:link w:val="Quote"/>
    <w:uiPriority w:val="5"/>
    <w:rsid w:val="00CD21A6"/>
    <w:rPr>
      <w:i/>
      <w:iCs/>
      <w:color w:val="000000"/>
    </w:rPr>
  </w:style>
  <w:style w:type="character" w:styleId="Strong">
    <w:name w:val="Strong"/>
    <w:uiPriority w:val="2"/>
    <w:qFormat/>
    <w:rsid w:val="00B771B1"/>
    <w:rPr>
      <w:rFonts w:ascii="Calibri" w:hAnsi="Calibri"/>
      <w:b/>
      <w:bCs/>
      <w:sz w:val="20"/>
    </w:rPr>
  </w:style>
  <w:style w:type="paragraph" w:styleId="BodyText">
    <w:name w:val="Body Text"/>
    <w:basedOn w:val="PBOtext"/>
    <w:link w:val="BodyTextChar"/>
    <w:uiPriority w:val="2"/>
    <w:unhideWhenUsed/>
    <w:rsid w:val="00B771B1"/>
    <w:pPr>
      <w:spacing w:after="120"/>
    </w:pPr>
  </w:style>
  <w:style w:type="character" w:customStyle="1" w:styleId="BodyTextChar">
    <w:name w:val="Body Text Char"/>
    <w:basedOn w:val="DefaultParagraphFont"/>
    <w:link w:val="BodyText"/>
    <w:uiPriority w:val="2"/>
    <w:rsid w:val="00CD21A6"/>
  </w:style>
  <w:style w:type="paragraph" w:styleId="BodyText2">
    <w:name w:val="Body Text 2"/>
    <w:basedOn w:val="PBOtext"/>
    <w:link w:val="BodyText2Char"/>
    <w:uiPriority w:val="2"/>
    <w:unhideWhenUsed/>
    <w:rsid w:val="00B771B1"/>
    <w:pPr>
      <w:spacing w:after="120" w:line="480" w:lineRule="auto"/>
    </w:pPr>
  </w:style>
  <w:style w:type="character" w:customStyle="1" w:styleId="BodyText2Char">
    <w:name w:val="Body Text 2 Char"/>
    <w:basedOn w:val="DefaultParagraphFont"/>
    <w:link w:val="BodyText2"/>
    <w:uiPriority w:val="2"/>
    <w:rsid w:val="00CD21A6"/>
  </w:style>
  <w:style w:type="paragraph" w:styleId="BodyTextFirstIndent">
    <w:name w:val="Body Text First Indent"/>
    <w:basedOn w:val="BodyText"/>
    <w:link w:val="BodyTextFirstIndentChar"/>
    <w:autoRedefine/>
    <w:uiPriority w:val="2"/>
    <w:unhideWhenUsed/>
    <w:rsid w:val="00B771B1"/>
    <w:pPr>
      <w:spacing w:before="0" w:line="240" w:lineRule="auto"/>
      <w:ind w:firstLine="210"/>
    </w:pPr>
    <w:rPr>
      <w:rFonts w:ascii="Cambria" w:hAnsi="Cambria"/>
      <w:sz w:val="24"/>
    </w:rPr>
  </w:style>
  <w:style w:type="character" w:customStyle="1" w:styleId="BodyTextFirstIndentChar">
    <w:name w:val="Body Text First Indent Char"/>
    <w:link w:val="BodyTextFirstIndent"/>
    <w:uiPriority w:val="2"/>
    <w:rsid w:val="00CD21A6"/>
    <w:rPr>
      <w:rFonts w:ascii="Cambria" w:hAnsi="Cambria"/>
      <w:sz w:val="24"/>
    </w:rPr>
  </w:style>
  <w:style w:type="paragraph" w:styleId="Caption">
    <w:name w:val="caption"/>
    <w:basedOn w:val="Normal"/>
    <w:next w:val="Normal"/>
    <w:uiPriority w:val="5"/>
    <w:qFormat/>
    <w:rsid w:val="00872117"/>
    <w:rPr>
      <w:rFonts w:ascii="Cambria" w:hAnsi="Cambria"/>
      <w:b/>
      <w:bCs/>
      <w:color w:val="224A76"/>
    </w:rPr>
  </w:style>
  <w:style w:type="character" w:styleId="Emphasis">
    <w:name w:val="Emphasis"/>
    <w:uiPriority w:val="2"/>
    <w:qFormat/>
    <w:rsid w:val="00B771B1"/>
    <w:rPr>
      <w:i/>
      <w:iCs/>
    </w:rPr>
  </w:style>
  <w:style w:type="character" w:styleId="SubtleEmphasis">
    <w:name w:val="Subtle Emphasis"/>
    <w:uiPriority w:val="2"/>
    <w:qFormat/>
    <w:rsid w:val="009C4DAA"/>
    <w:rPr>
      <w:i/>
      <w:iCs/>
      <w:color w:val="808080"/>
    </w:rPr>
  </w:style>
  <w:style w:type="paragraph" w:styleId="TableofFigures">
    <w:name w:val="table of figures"/>
    <w:basedOn w:val="Normal"/>
    <w:next w:val="Normal"/>
    <w:uiPriority w:val="2"/>
    <w:unhideWhenUsed/>
    <w:rsid w:val="009C4DAA"/>
  </w:style>
  <w:style w:type="paragraph" w:styleId="TableofAuthorities">
    <w:name w:val="table of authorities"/>
    <w:basedOn w:val="Normal"/>
    <w:next w:val="Normal"/>
    <w:semiHidden/>
    <w:locked/>
    <w:rsid w:val="009C4DAA"/>
    <w:pPr>
      <w:ind w:left="240" w:hanging="240"/>
    </w:pPr>
  </w:style>
  <w:style w:type="character" w:customStyle="1" w:styleId="Heading1Char">
    <w:name w:val="Heading 1 Char"/>
    <w:link w:val="Heading1"/>
    <w:semiHidden/>
    <w:rsid w:val="00CD21A6"/>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382474"/>
    <w:pPr>
      <w:outlineLvl w:val="9"/>
    </w:pPr>
    <w:rPr>
      <w:color w:val="808080"/>
    </w:rPr>
  </w:style>
  <w:style w:type="paragraph" w:styleId="ListBullet">
    <w:name w:val="List Bullet"/>
    <w:basedOn w:val="PBObullet"/>
    <w:uiPriority w:val="3"/>
    <w:rsid w:val="009C4DAA"/>
    <w:pPr>
      <w:numPr>
        <w:numId w:val="1"/>
      </w:numPr>
      <w:contextualSpacing/>
    </w:pPr>
  </w:style>
  <w:style w:type="paragraph" w:styleId="ListBullet2">
    <w:name w:val="List Bullet 2"/>
    <w:basedOn w:val="ListBullet"/>
    <w:uiPriority w:val="3"/>
    <w:rsid w:val="009C4DAA"/>
    <w:pPr>
      <w:numPr>
        <w:numId w:val="2"/>
      </w:numPr>
    </w:pPr>
  </w:style>
  <w:style w:type="paragraph" w:styleId="ListContinue">
    <w:name w:val="List Continue"/>
    <w:basedOn w:val="PBOtext"/>
    <w:uiPriority w:val="3"/>
    <w:rsid w:val="009C4DAA"/>
    <w:pPr>
      <w:spacing w:after="120"/>
      <w:ind w:left="283"/>
      <w:contextualSpacing/>
    </w:pPr>
  </w:style>
  <w:style w:type="paragraph" w:styleId="ListContinue2">
    <w:name w:val="List Continue 2"/>
    <w:basedOn w:val="PBOtext"/>
    <w:uiPriority w:val="3"/>
    <w:rsid w:val="009C4DAA"/>
    <w:pPr>
      <w:spacing w:after="120"/>
      <w:ind w:left="566"/>
      <w:contextualSpacing/>
    </w:pPr>
  </w:style>
  <w:style w:type="paragraph" w:styleId="ListNumber">
    <w:name w:val="List Number"/>
    <w:basedOn w:val="PBOtext"/>
    <w:uiPriority w:val="3"/>
    <w:rsid w:val="009C4DAA"/>
    <w:pPr>
      <w:numPr>
        <w:numId w:val="6"/>
      </w:numPr>
      <w:contextualSpacing/>
    </w:pPr>
  </w:style>
  <w:style w:type="paragraph" w:styleId="ListNumber2">
    <w:name w:val="List Number 2"/>
    <w:basedOn w:val="PBOtext"/>
    <w:uiPriority w:val="3"/>
    <w:rsid w:val="009C4DAA"/>
    <w:pPr>
      <w:numPr>
        <w:numId w:val="7"/>
      </w:numPr>
      <w:contextualSpacing/>
    </w:pPr>
  </w:style>
  <w:style w:type="character" w:styleId="IntenseEmphasis">
    <w:name w:val="Intense Emphasis"/>
    <w:uiPriority w:val="5"/>
    <w:qFormat/>
    <w:rsid w:val="00CD21A6"/>
    <w:rPr>
      <w:b/>
      <w:bCs/>
      <w:i/>
      <w:iCs/>
      <w:color w:val="auto"/>
    </w:rPr>
  </w:style>
  <w:style w:type="paragraph" w:styleId="IntenseQuote">
    <w:name w:val="Intense Quote"/>
    <w:basedOn w:val="Normal"/>
    <w:next w:val="Normal"/>
    <w:link w:val="IntenseQuoteChar"/>
    <w:uiPriority w:val="5"/>
    <w:qFormat/>
    <w:rsid w:val="00CD21A6"/>
    <w:pPr>
      <w:pBdr>
        <w:bottom w:val="single" w:sz="4" w:space="4" w:color="D7DCE4"/>
      </w:pBdr>
      <w:spacing w:before="200" w:after="280"/>
      <w:ind w:left="936" w:right="936"/>
    </w:pPr>
    <w:rPr>
      <w:rFonts w:ascii="Cambria" w:hAnsi="Cambria"/>
      <w:b/>
      <w:bCs/>
      <w:i/>
      <w:iCs/>
      <w:color w:val="224A76"/>
      <w:sz w:val="22"/>
    </w:rPr>
  </w:style>
  <w:style w:type="character" w:customStyle="1" w:styleId="IntenseQuoteChar">
    <w:name w:val="Intense Quote Char"/>
    <w:link w:val="IntenseQuote"/>
    <w:uiPriority w:val="5"/>
    <w:rsid w:val="00CD21A6"/>
    <w:rPr>
      <w:rFonts w:ascii="Cambria" w:hAnsi="Cambria"/>
      <w:b/>
      <w:bCs/>
      <w:i/>
      <w:iCs/>
      <w:color w:val="224A76"/>
      <w:sz w:val="22"/>
    </w:rPr>
  </w:style>
  <w:style w:type="paragraph" w:styleId="ListParagraph">
    <w:name w:val="List Paragraph"/>
    <w:basedOn w:val="Normal"/>
    <w:uiPriority w:val="3"/>
    <w:qFormat/>
    <w:rsid w:val="00C91277"/>
    <w:pPr>
      <w:numPr>
        <w:numId w:val="19"/>
      </w:numPr>
      <w:ind w:left="357" w:hanging="357"/>
    </w:pPr>
  </w:style>
  <w:style w:type="paragraph" w:styleId="TOC1">
    <w:name w:val="toc 1"/>
    <w:basedOn w:val="Normal"/>
    <w:next w:val="Normal"/>
    <w:autoRedefine/>
    <w:uiPriority w:val="39"/>
    <w:qFormat/>
    <w:rsid w:val="008120F7"/>
    <w:pPr>
      <w:tabs>
        <w:tab w:val="left" w:pos="400"/>
        <w:tab w:val="right" w:leader="underscore" w:pos="8108"/>
      </w:tabs>
    </w:pPr>
    <w:rPr>
      <w:b/>
      <w:noProof/>
    </w:rPr>
  </w:style>
  <w:style w:type="character" w:customStyle="1" w:styleId="PBOtextChar">
    <w:name w:val="PBO text Char"/>
    <w:link w:val="PBOtext"/>
    <w:locked/>
    <w:rsid w:val="00442AB5"/>
  </w:style>
  <w:style w:type="paragraph" w:customStyle="1" w:styleId="PBOsource">
    <w:name w:val="PBO source"/>
    <w:basedOn w:val="PBOtext"/>
    <w:link w:val="PBOsourceChar"/>
    <w:qFormat/>
    <w:rsid w:val="00891443"/>
    <w:rPr>
      <w:rFonts w:cs="Arial"/>
      <w:sz w:val="18"/>
    </w:rPr>
  </w:style>
  <w:style w:type="character" w:customStyle="1" w:styleId="PBOsourceChar">
    <w:name w:val="PBO source Char"/>
    <w:link w:val="PBOsource"/>
    <w:rsid w:val="00891443"/>
    <w:rPr>
      <w:rFonts w:cs="Arial"/>
      <w:sz w:val="18"/>
    </w:rPr>
  </w:style>
  <w:style w:type="paragraph" w:styleId="BalloonText">
    <w:name w:val="Balloon Text"/>
    <w:basedOn w:val="Normal"/>
    <w:link w:val="BalloonTextChar"/>
    <w:semiHidden/>
    <w:unhideWhenUsed/>
    <w:rsid w:val="00661BAE"/>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661BAE"/>
    <w:rPr>
      <w:rFonts w:ascii="Tahoma" w:hAnsi="Tahoma" w:cs="Tahoma"/>
      <w:sz w:val="16"/>
      <w:szCs w:val="16"/>
    </w:rPr>
  </w:style>
  <w:style w:type="paragraph" w:styleId="NormalWeb">
    <w:name w:val="Normal (Web)"/>
    <w:basedOn w:val="Normal"/>
    <w:uiPriority w:val="99"/>
    <w:semiHidden/>
    <w:unhideWhenUsed/>
    <w:locked/>
    <w:rsid w:val="009862F8"/>
    <w:pPr>
      <w:spacing w:before="100" w:beforeAutospacing="1" w:after="100" w:afterAutospacing="1"/>
    </w:pPr>
    <w:rPr>
      <w:rFonts w:ascii="Times New Roman" w:eastAsiaTheme="minorEastAsia" w:hAnsi="Times New Roman"/>
      <w:sz w:val="24"/>
      <w:szCs w:val="24"/>
    </w:rPr>
  </w:style>
  <w:style w:type="character" w:customStyle="1" w:styleId="PBOheading3Char">
    <w:name w:val="PBO heading 3 Char"/>
    <w:link w:val="PBOheading3"/>
    <w:rsid w:val="00682FB3"/>
    <w:rPr>
      <w:b/>
      <w:sz w:val="22"/>
      <w:szCs w:val="24"/>
      <w:lang w:eastAsia="en-US"/>
    </w:rPr>
  </w:style>
  <w:style w:type="character" w:customStyle="1" w:styleId="Heading2Char">
    <w:name w:val="Heading 2 Char"/>
    <w:basedOn w:val="DefaultParagraphFont"/>
    <w:link w:val="Heading2"/>
    <w:semiHidden/>
    <w:rsid w:val="00C93F48"/>
    <w:rPr>
      <w:rFonts w:ascii="Cambria" w:eastAsia="Times New Roman" w:hAnsi="Cambria"/>
      <w:b/>
      <w:bCs/>
      <w:i/>
      <w:iCs/>
      <w:sz w:val="28"/>
      <w:szCs w:val="28"/>
    </w:rPr>
  </w:style>
  <w:style w:type="character" w:styleId="Hyperlink">
    <w:name w:val="Hyperlink"/>
    <w:basedOn w:val="DefaultParagraphFont"/>
    <w:uiPriority w:val="99"/>
    <w:unhideWhenUsed/>
    <w:rsid w:val="00DA3663"/>
    <w:rPr>
      <w:color w:val="0000FF"/>
      <w:u w:val="single"/>
    </w:rPr>
  </w:style>
  <w:style w:type="character" w:styleId="FollowedHyperlink">
    <w:name w:val="FollowedHyperlink"/>
    <w:basedOn w:val="DefaultParagraphFont"/>
    <w:uiPriority w:val="99"/>
    <w:unhideWhenUsed/>
    <w:rsid w:val="00DA3663"/>
    <w:rPr>
      <w:color w:val="800080"/>
      <w:u w:val="single"/>
    </w:rPr>
  </w:style>
  <w:style w:type="paragraph" w:customStyle="1" w:styleId="xl28842">
    <w:name w:val="xl28842"/>
    <w:basedOn w:val="Normal"/>
    <w:rsid w:val="00DA3663"/>
    <w:pPr>
      <w:pBdr>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28843">
    <w:name w:val="xl28843"/>
    <w:basedOn w:val="Normal"/>
    <w:rsid w:val="00DA3663"/>
    <w:pPr>
      <w:shd w:val="clear" w:color="000000" w:fill="C00000"/>
      <w:spacing w:before="100" w:beforeAutospacing="1" w:after="100" w:afterAutospacing="1"/>
    </w:pPr>
    <w:rPr>
      <w:rFonts w:ascii="Times New Roman" w:eastAsia="Times New Roman" w:hAnsi="Times New Roman"/>
      <w:sz w:val="24"/>
      <w:szCs w:val="24"/>
    </w:rPr>
  </w:style>
  <w:style w:type="paragraph" w:customStyle="1" w:styleId="xl28844">
    <w:name w:val="xl28844"/>
    <w:basedOn w:val="Normal"/>
    <w:rsid w:val="00DA3663"/>
    <w:pPr>
      <w:shd w:val="clear" w:color="000000" w:fill="F79646"/>
      <w:spacing w:before="100" w:beforeAutospacing="1" w:after="100" w:afterAutospacing="1"/>
    </w:pPr>
    <w:rPr>
      <w:rFonts w:ascii="Times New Roman" w:eastAsia="Times New Roman" w:hAnsi="Times New Roman"/>
      <w:sz w:val="24"/>
      <w:szCs w:val="24"/>
    </w:rPr>
  </w:style>
  <w:style w:type="paragraph" w:customStyle="1" w:styleId="xl28845">
    <w:name w:val="xl28845"/>
    <w:basedOn w:val="Normal"/>
    <w:rsid w:val="00DA3663"/>
    <w:pPr>
      <w:shd w:val="clear" w:color="000000" w:fill="A6CEE3"/>
      <w:spacing w:before="100" w:beforeAutospacing="1" w:after="100" w:afterAutospacing="1"/>
    </w:pPr>
    <w:rPr>
      <w:rFonts w:ascii="Times New Roman" w:eastAsia="Times New Roman" w:hAnsi="Times New Roman"/>
      <w:sz w:val="24"/>
      <w:szCs w:val="24"/>
    </w:rPr>
  </w:style>
  <w:style w:type="paragraph" w:customStyle="1" w:styleId="xl28846">
    <w:name w:val="xl28846"/>
    <w:basedOn w:val="Normal"/>
    <w:rsid w:val="00DA3663"/>
    <w:pPr>
      <w:spacing w:before="100" w:beforeAutospacing="1" w:after="100" w:afterAutospacing="1"/>
      <w:jc w:val="right"/>
    </w:pPr>
    <w:rPr>
      <w:rFonts w:ascii="Arial" w:eastAsia="Times New Roman" w:hAnsi="Arial" w:cs="Arial"/>
      <w:sz w:val="16"/>
      <w:szCs w:val="16"/>
    </w:rPr>
  </w:style>
  <w:style w:type="paragraph" w:customStyle="1" w:styleId="xl28847">
    <w:name w:val="xl28847"/>
    <w:basedOn w:val="Normal"/>
    <w:rsid w:val="00DA3663"/>
    <w:pPr>
      <w:shd w:val="clear" w:color="000000" w:fill="1F78B4"/>
      <w:spacing w:before="100" w:beforeAutospacing="1" w:after="100" w:afterAutospacing="1"/>
    </w:pPr>
    <w:rPr>
      <w:rFonts w:ascii="Times New Roman" w:eastAsia="Times New Roman" w:hAnsi="Times New Roman"/>
      <w:sz w:val="24"/>
      <w:szCs w:val="24"/>
    </w:rPr>
  </w:style>
  <w:style w:type="paragraph" w:customStyle="1" w:styleId="xl28848">
    <w:name w:val="xl28848"/>
    <w:basedOn w:val="Normal"/>
    <w:rsid w:val="00DA3663"/>
    <w:pPr>
      <w:spacing w:before="100" w:beforeAutospacing="1" w:after="100" w:afterAutospacing="1"/>
    </w:pPr>
    <w:rPr>
      <w:rFonts w:ascii="Times New Roman" w:eastAsia="Times New Roman" w:hAnsi="Times New Roman"/>
      <w:color w:val="FF0000"/>
      <w:sz w:val="24"/>
      <w:szCs w:val="24"/>
    </w:rPr>
  </w:style>
  <w:style w:type="paragraph" w:customStyle="1" w:styleId="xl28849">
    <w:name w:val="xl28849"/>
    <w:basedOn w:val="Normal"/>
    <w:rsid w:val="00DA3663"/>
    <w:pPr>
      <w:pBdr>
        <w:right w:val="single" w:sz="4" w:space="0" w:color="auto"/>
      </w:pBdr>
      <w:shd w:val="clear" w:color="000000" w:fill="F79646"/>
      <w:spacing w:before="100" w:beforeAutospacing="1" w:after="100" w:afterAutospacing="1"/>
    </w:pPr>
    <w:rPr>
      <w:rFonts w:ascii="Times New Roman" w:eastAsia="Times New Roman" w:hAnsi="Times New Roman"/>
      <w:sz w:val="24"/>
      <w:szCs w:val="24"/>
    </w:rPr>
  </w:style>
  <w:style w:type="paragraph" w:customStyle="1" w:styleId="xl28850">
    <w:name w:val="xl28850"/>
    <w:basedOn w:val="Normal"/>
    <w:rsid w:val="00DA3663"/>
    <w:pPr>
      <w:spacing w:before="100" w:beforeAutospacing="1" w:after="100" w:afterAutospacing="1"/>
      <w:jc w:val="right"/>
    </w:pPr>
    <w:rPr>
      <w:rFonts w:ascii="Arial" w:eastAsia="Times New Roman" w:hAnsi="Arial" w:cs="Arial"/>
      <w:b/>
      <w:bCs/>
      <w:sz w:val="16"/>
      <w:szCs w:val="16"/>
    </w:rPr>
  </w:style>
  <w:style w:type="paragraph" w:customStyle="1" w:styleId="xl28851">
    <w:name w:val="xl28851"/>
    <w:basedOn w:val="Normal"/>
    <w:rsid w:val="00DA3663"/>
    <w:pPr>
      <w:spacing w:before="100" w:beforeAutospacing="1" w:after="100" w:afterAutospacing="1"/>
    </w:pPr>
    <w:rPr>
      <w:rFonts w:ascii="Arial" w:eastAsia="Times New Roman" w:hAnsi="Arial" w:cs="Arial"/>
      <w:sz w:val="16"/>
      <w:szCs w:val="16"/>
    </w:rPr>
  </w:style>
  <w:style w:type="paragraph" w:customStyle="1" w:styleId="xl28852">
    <w:name w:val="xl28852"/>
    <w:basedOn w:val="Normal"/>
    <w:rsid w:val="00DA3663"/>
    <w:pPr>
      <w:spacing w:before="100" w:beforeAutospacing="1" w:after="100" w:afterAutospacing="1"/>
      <w:jc w:val="center"/>
    </w:pPr>
    <w:rPr>
      <w:rFonts w:ascii="Arial" w:eastAsia="Times New Roman" w:hAnsi="Arial" w:cs="Arial"/>
      <w:sz w:val="16"/>
      <w:szCs w:val="16"/>
    </w:rPr>
  </w:style>
  <w:style w:type="paragraph" w:customStyle="1" w:styleId="xl28853">
    <w:name w:val="xl28853"/>
    <w:basedOn w:val="Normal"/>
    <w:rsid w:val="00DA3663"/>
    <w:pPr>
      <w:pBdr>
        <w:top w:val="single" w:sz="4" w:space="0" w:color="auto"/>
        <w:left w:val="single" w:sz="4" w:space="0" w:color="auto"/>
      </w:pBdr>
      <w:spacing w:before="100" w:beforeAutospacing="1" w:after="100" w:afterAutospacing="1"/>
    </w:pPr>
    <w:rPr>
      <w:rFonts w:ascii="Arial" w:eastAsia="Times New Roman" w:hAnsi="Arial" w:cs="Arial"/>
      <w:sz w:val="16"/>
      <w:szCs w:val="16"/>
    </w:rPr>
  </w:style>
  <w:style w:type="paragraph" w:customStyle="1" w:styleId="xl28854">
    <w:name w:val="xl28854"/>
    <w:basedOn w:val="Normal"/>
    <w:rsid w:val="00DA3663"/>
    <w:pPr>
      <w:pBdr>
        <w:left w:val="single" w:sz="4" w:space="0" w:color="auto"/>
      </w:pBdr>
      <w:spacing w:before="100" w:beforeAutospacing="1" w:after="100" w:afterAutospacing="1"/>
    </w:pPr>
    <w:rPr>
      <w:rFonts w:ascii="Arial" w:eastAsia="Times New Roman" w:hAnsi="Arial" w:cs="Arial"/>
      <w:sz w:val="16"/>
      <w:szCs w:val="16"/>
    </w:rPr>
  </w:style>
  <w:style w:type="paragraph" w:customStyle="1" w:styleId="xl28855">
    <w:name w:val="xl28855"/>
    <w:basedOn w:val="Normal"/>
    <w:rsid w:val="00DA3663"/>
    <w:pPr>
      <w:spacing w:before="100" w:beforeAutospacing="1" w:after="100" w:afterAutospacing="1"/>
      <w:textAlignment w:val="center"/>
    </w:pPr>
    <w:rPr>
      <w:rFonts w:ascii="Arial" w:eastAsia="Times New Roman" w:hAnsi="Arial" w:cs="Arial"/>
      <w:sz w:val="16"/>
      <w:szCs w:val="16"/>
    </w:rPr>
  </w:style>
  <w:style w:type="paragraph" w:customStyle="1" w:styleId="xl28856">
    <w:name w:val="xl28856"/>
    <w:basedOn w:val="Normal"/>
    <w:rsid w:val="00DA3663"/>
    <w:pPr>
      <w:pBdr>
        <w:right w:val="single" w:sz="12" w:space="0" w:color="A6CEE3"/>
      </w:pBdr>
      <w:shd w:val="clear" w:color="000000" w:fill="1F78B4"/>
      <w:spacing w:before="100" w:beforeAutospacing="1" w:after="100" w:afterAutospacing="1"/>
    </w:pPr>
    <w:rPr>
      <w:rFonts w:ascii="Times New Roman" w:eastAsia="Times New Roman" w:hAnsi="Times New Roman"/>
      <w:sz w:val="24"/>
      <w:szCs w:val="24"/>
    </w:rPr>
  </w:style>
  <w:style w:type="paragraph" w:customStyle="1" w:styleId="xl28857">
    <w:name w:val="xl28857"/>
    <w:basedOn w:val="Normal"/>
    <w:rsid w:val="00DA3663"/>
    <w:pPr>
      <w:pBdr>
        <w:right w:val="single" w:sz="4" w:space="0" w:color="auto"/>
      </w:pBdr>
      <w:shd w:val="clear" w:color="000000" w:fill="C00000"/>
      <w:spacing w:before="100" w:beforeAutospacing="1" w:after="100" w:afterAutospacing="1"/>
    </w:pPr>
    <w:rPr>
      <w:rFonts w:ascii="Times New Roman" w:eastAsia="Times New Roman" w:hAnsi="Times New Roman"/>
      <w:sz w:val="24"/>
      <w:szCs w:val="24"/>
    </w:rPr>
  </w:style>
  <w:style w:type="paragraph" w:customStyle="1" w:styleId="xl28858">
    <w:name w:val="xl28858"/>
    <w:basedOn w:val="Normal"/>
    <w:rsid w:val="00DA3663"/>
    <w:pPr>
      <w:pBdr>
        <w:right w:val="single" w:sz="12" w:space="0" w:color="F79646"/>
      </w:pBdr>
      <w:shd w:val="clear" w:color="000000" w:fill="C00000"/>
      <w:spacing w:before="100" w:beforeAutospacing="1" w:after="100" w:afterAutospacing="1"/>
    </w:pPr>
    <w:rPr>
      <w:rFonts w:ascii="Times New Roman" w:eastAsia="Times New Roman" w:hAnsi="Times New Roman"/>
      <w:sz w:val="24"/>
      <w:szCs w:val="24"/>
    </w:rPr>
  </w:style>
  <w:style w:type="paragraph" w:customStyle="1" w:styleId="xl28859">
    <w:name w:val="xl28859"/>
    <w:basedOn w:val="Normal"/>
    <w:rsid w:val="00DA3663"/>
    <w:pPr>
      <w:pBdr>
        <w:right w:val="single" w:sz="4" w:space="0" w:color="auto"/>
      </w:pBdr>
      <w:shd w:val="clear" w:color="000000" w:fill="1F78B4"/>
      <w:spacing w:before="100" w:beforeAutospacing="1" w:after="100" w:afterAutospacing="1"/>
    </w:pPr>
    <w:rPr>
      <w:rFonts w:ascii="Times New Roman" w:eastAsia="Times New Roman" w:hAnsi="Times New Roman"/>
      <w:sz w:val="24"/>
      <w:szCs w:val="24"/>
    </w:rPr>
  </w:style>
  <w:style w:type="paragraph" w:customStyle="1" w:styleId="xl28860">
    <w:name w:val="xl28860"/>
    <w:basedOn w:val="Normal"/>
    <w:rsid w:val="00DA3663"/>
    <w:pPr>
      <w:pBdr>
        <w:bottom w:val="single" w:sz="4" w:space="0" w:color="auto"/>
      </w:pBdr>
      <w:spacing w:before="100" w:beforeAutospacing="1" w:after="100" w:afterAutospacing="1"/>
    </w:pPr>
    <w:rPr>
      <w:rFonts w:ascii="Arial" w:eastAsia="Times New Roman" w:hAnsi="Arial" w:cs="Arial"/>
      <w:sz w:val="16"/>
      <w:szCs w:val="16"/>
    </w:rPr>
  </w:style>
  <w:style w:type="paragraph" w:customStyle="1" w:styleId="xl28861">
    <w:name w:val="xl28861"/>
    <w:basedOn w:val="Normal"/>
    <w:rsid w:val="00DA3663"/>
    <w:pPr>
      <w:pBdr>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28862">
    <w:name w:val="xl28862"/>
    <w:basedOn w:val="Normal"/>
    <w:rsid w:val="00DA3663"/>
    <w:pPr>
      <w:pBdr>
        <w:top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28863">
    <w:name w:val="xl28863"/>
    <w:basedOn w:val="Normal"/>
    <w:rsid w:val="00DA3663"/>
    <w:pPr>
      <w:spacing w:before="100" w:beforeAutospacing="1" w:after="100" w:afterAutospacing="1"/>
      <w:jc w:val="right"/>
    </w:pPr>
    <w:rPr>
      <w:rFonts w:ascii="Arial" w:eastAsia="Times New Roman" w:hAnsi="Arial" w:cs="Arial"/>
      <w:b/>
      <w:bCs/>
      <w:sz w:val="18"/>
      <w:szCs w:val="18"/>
    </w:rPr>
  </w:style>
  <w:style w:type="paragraph" w:customStyle="1" w:styleId="xl28864">
    <w:name w:val="xl28864"/>
    <w:basedOn w:val="Normal"/>
    <w:rsid w:val="00DA3663"/>
    <w:pPr>
      <w:spacing w:before="100" w:beforeAutospacing="1" w:after="100" w:afterAutospacing="1"/>
      <w:jc w:val="right"/>
    </w:pPr>
    <w:rPr>
      <w:rFonts w:ascii="Arial" w:eastAsia="Times New Roman" w:hAnsi="Arial" w:cs="Arial"/>
      <w:sz w:val="18"/>
      <w:szCs w:val="18"/>
    </w:rPr>
  </w:style>
  <w:style w:type="paragraph" w:customStyle="1" w:styleId="xl28865">
    <w:name w:val="xl28865"/>
    <w:basedOn w:val="Normal"/>
    <w:rsid w:val="00DA3663"/>
    <w:pPr>
      <w:pBdr>
        <w:right w:val="single" w:sz="12" w:space="0" w:color="A6CEE3"/>
      </w:pBdr>
      <w:spacing w:before="100" w:beforeAutospacing="1" w:after="100" w:afterAutospacing="1"/>
    </w:pPr>
    <w:rPr>
      <w:rFonts w:ascii="Times New Roman" w:eastAsia="Times New Roman" w:hAnsi="Times New Roman"/>
      <w:color w:val="FF0000"/>
      <w:sz w:val="24"/>
      <w:szCs w:val="24"/>
    </w:rPr>
  </w:style>
  <w:style w:type="paragraph" w:customStyle="1" w:styleId="xl28866">
    <w:name w:val="xl28866"/>
    <w:basedOn w:val="Normal"/>
    <w:rsid w:val="00DA3663"/>
    <w:pPr>
      <w:shd w:val="clear" w:color="000000" w:fill="F79646"/>
      <w:spacing w:before="100" w:beforeAutospacing="1" w:after="100" w:afterAutospacing="1"/>
    </w:pPr>
    <w:rPr>
      <w:rFonts w:ascii="Times New Roman" w:eastAsia="Times New Roman" w:hAnsi="Times New Roman"/>
      <w:color w:val="A6CEE3"/>
      <w:sz w:val="24"/>
      <w:szCs w:val="24"/>
    </w:rPr>
  </w:style>
  <w:style w:type="paragraph" w:customStyle="1" w:styleId="xl28867">
    <w:name w:val="xl28867"/>
    <w:basedOn w:val="Normal"/>
    <w:rsid w:val="00DA3663"/>
    <w:pPr>
      <w:spacing w:before="100" w:beforeAutospacing="1" w:after="100" w:afterAutospacing="1"/>
      <w:jc w:val="center"/>
      <w:textAlignment w:val="center"/>
    </w:pPr>
    <w:rPr>
      <w:rFonts w:ascii="Arial" w:eastAsia="Times New Roman" w:hAnsi="Arial" w:cs="Arial"/>
      <w:sz w:val="16"/>
      <w:szCs w:val="16"/>
    </w:rPr>
  </w:style>
  <w:style w:type="paragraph" w:customStyle="1" w:styleId="xl28868">
    <w:name w:val="xl28868"/>
    <w:basedOn w:val="Normal"/>
    <w:rsid w:val="00DA3663"/>
    <w:pPr>
      <w:spacing w:before="100" w:beforeAutospacing="1" w:after="100" w:afterAutospacing="1"/>
      <w:textAlignment w:val="center"/>
    </w:pPr>
    <w:rPr>
      <w:rFonts w:ascii="Arial" w:eastAsia="Times New Roman" w:hAnsi="Arial" w:cs="Arial"/>
      <w:sz w:val="16"/>
      <w:szCs w:val="16"/>
    </w:rPr>
  </w:style>
  <w:style w:type="paragraph" w:customStyle="1" w:styleId="xl28869">
    <w:name w:val="xl28869"/>
    <w:basedOn w:val="Normal"/>
    <w:rsid w:val="00DA3663"/>
    <w:pPr>
      <w:spacing w:before="100" w:beforeAutospacing="1" w:after="100" w:afterAutospacing="1"/>
      <w:jc w:val="right"/>
      <w:textAlignment w:val="top"/>
    </w:pPr>
    <w:rPr>
      <w:rFonts w:ascii="Arial" w:eastAsia="Times New Roman" w:hAnsi="Arial" w:cs="Arial"/>
      <w:sz w:val="18"/>
      <w:szCs w:val="18"/>
    </w:rPr>
  </w:style>
  <w:style w:type="paragraph" w:customStyle="1" w:styleId="xl28870">
    <w:name w:val="xl28870"/>
    <w:basedOn w:val="Normal"/>
    <w:rsid w:val="00DA3663"/>
    <w:pPr>
      <w:shd w:val="clear" w:color="000000" w:fill="F79646"/>
      <w:spacing w:before="100" w:beforeAutospacing="1" w:after="100" w:afterAutospacing="1"/>
    </w:pPr>
    <w:rPr>
      <w:rFonts w:ascii="Times New Roman" w:eastAsia="Times New Roman" w:hAnsi="Times New Roman"/>
      <w:color w:val="FF0000"/>
      <w:sz w:val="24"/>
      <w:szCs w:val="24"/>
    </w:rPr>
  </w:style>
  <w:style w:type="paragraph" w:customStyle="1" w:styleId="xl28871">
    <w:name w:val="xl28871"/>
    <w:basedOn w:val="Normal"/>
    <w:rsid w:val="00DA3663"/>
    <w:pPr>
      <w:pBdr>
        <w:right w:val="single" w:sz="4" w:space="0" w:color="auto"/>
      </w:pBdr>
      <w:shd w:val="clear" w:color="000000" w:fill="F79646"/>
      <w:spacing w:before="100" w:beforeAutospacing="1" w:after="100" w:afterAutospacing="1"/>
    </w:pPr>
    <w:rPr>
      <w:rFonts w:ascii="Times New Roman" w:eastAsia="Times New Roman" w:hAnsi="Times New Roman"/>
      <w:color w:val="FF0000"/>
      <w:sz w:val="24"/>
      <w:szCs w:val="24"/>
    </w:rPr>
  </w:style>
  <w:style w:type="paragraph" w:styleId="FootnoteText">
    <w:name w:val="footnote text"/>
    <w:basedOn w:val="Normal"/>
    <w:link w:val="FootnoteTextChar"/>
    <w:uiPriority w:val="5"/>
    <w:rsid w:val="00BA6A32"/>
    <w:pPr>
      <w:spacing w:before="0" w:after="0"/>
    </w:pPr>
  </w:style>
  <w:style w:type="character" w:customStyle="1" w:styleId="FootnoteTextChar">
    <w:name w:val="Footnote Text Char"/>
    <w:basedOn w:val="DefaultParagraphFont"/>
    <w:link w:val="FootnoteText"/>
    <w:uiPriority w:val="5"/>
    <w:rsid w:val="00BA6A32"/>
  </w:style>
  <w:style w:type="character" w:styleId="FootnoteReference">
    <w:name w:val="footnote reference"/>
    <w:basedOn w:val="DefaultParagraphFont"/>
    <w:uiPriority w:val="5"/>
    <w:rsid w:val="00BA6A32"/>
    <w:rPr>
      <w:vertAlign w:val="superscript"/>
    </w:rPr>
  </w:style>
  <w:style w:type="paragraph" w:styleId="TOC2">
    <w:name w:val="toc 2"/>
    <w:basedOn w:val="Normal"/>
    <w:next w:val="Normal"/>
    <w:autoRedefine/>
    <w:uiPriority w:val="39"/>
    <w:rsid w:val="00FF5368"/>
    <w:pPr>
      <w:spacing w:after="100"/>
      <w:ind w:left="200"/>
    </w:pPr>
  </w:style>
  <w:style w:type="paragraph" w:styleId="TOC3">
    <w:name w:val="toc 3"/>
    <w:basedOn w:val="Normal"/>
    <w:next w:val="Normal"/>
    <w:autoRedefine/>
    <w:semiHidden/>
    <w:unhideWhenUsed/>
    <w:rsid w:val="00FF5368"/>
    <w:pPr>
      <w:spacing w:after="100"/>
      <w:ind w:left="400"/>
    </w:pPr>
  </w:style>
  <w:style w:type="paragraph" w:customStyle="1" w:styleId="PBOfooter">
    <w:name w:val="PBO footer"/>
    <w:basedOn w:val="PBOtext"/>
    <w:qFormat/>
    <w:rsid w:val="00040E69"/>
    <w:pPr>
      <w:spacing w:before="0" w:after="0"/>
    </w:pPr>
    <w:rPr>
      <w:b/>
      <w:noProof/>
      <w:szCs w:val="24"/>
      <w:lang w:eastAsia="en-US"/>
    </w:rPr>
  </w:style>
  <w:style w:type="paragraph" w:customStyle="1" w:styleId="FooterRight">
    <w:name w:val="Footer Right"/>
    <w:basedOn w:val="Normal"/>
    <w:next w:val="Footer"/>
    <w:rsid w:val="00401149"/>
    <w:pPr>
      <w:framePr w:wrap="around" w:vAnchor="page" w:hAnchor="margin" w:xAlign="right" w:yAlign="bottom"/>
      <w:spacing w:before="180" w:after="120"/>
      <w:ind w:left="397" w:right="397"/>
      <w:jc w:val="right"/>
    </w:pPr>
    <w:rPr>
      <w:rFonts w:asciiTheme="minorHAnsi" w:eastAsiaTheme="minorHAnsi" w:hAnsiTheme="minorHAnsi" w:cstheme="minorBidi"/>
      <w:b/>
      <w:color w:val="EEECE1" w:themeColor="background2"/>
      <w:spacing w:val="-2"/>
      <w:sz w:val="22"/>
      <w:szCs w:val="22"/>
      <w:lang w:eastAsia="en-US"/>
    </w:rPr>
  </w:style>
  <w:style w:type="paragraph" w:customStyle="1" w:styleId="FooterRightPageNumber">
    <w:name w:val="Footer Right Page Number"/>
    <w:basedOn w:val="Normal"/>
    <w:rsid w:val="00401149"/>
    <w:pPr>
      <w:spacing w:before="180" w:after="120"/>
      <w:jc w:val="right"/>
    </w:pPr>
    <w:rPr>
      <w:rFonts w:asciiTheme="minorHAnsi" w:eastAsiaTheme="minorHAnsi" w:hAnsiTheme="minorHAnsi" w:cstheme="minorBidi"/>
      <w:b/>
      <w:noProof/>
      <w:color w:val="EEECE1" w:themeColor="background2"/>
      <w:sz w:val="22"/>
      <w:szCs w:val="22"/>
      <w:lang w:eastAsia="en-US"/>
    </w:rPr>
  </w:style>
  <w:style w:type="table" w:customStyle="1" w:styleId="TableAsPlaceholder">
    <w:name w:val="Table As Placeholder"/>
    <w:basedOn w:val="TableNormal"/>
    <w:uiPriority w:val="99"/>
    <w:qFormat/>
    <w:rsid w:val="00401149"/>
    <w:pPr>
      <w:spacing w:line="300" w:lineRule="atLeast"/>
    </w:pPr>
    <w:rPr>
      <w:rFonts w:asciiTheme="minorHAnsi" w:eastAsia="Times New Roman" w:hAnsiTheme="minorHAnsi" w:cs="Arial"/>
      <w:sz w:val="22"/>
      <w:szCs w:val="22"/>
    </w:rPr>
    <w:tblPr>
      <w:tblCellMar>
        <w:left w:w="0" w:type="dxa"/>
        <w:right w:w="0" w:type="dxa"/>
      </w:tblCellMar>
    </w:tblPr>
  </w:style>
  <w:style w:type="paragraph" w:customStyle="1" w:styleId="FooterLeft">
    <w:name w:val="Footer Left"/>
    <w:basedOn w:val="Footer"/>
    <w:qFormat/>
    <w:rsid w:val="00401149"/>
    <w:pPr>
      <w:framePr w:wrap="around" w:vAnchor="page" w:hAnchor="margin" w:yAlign="bottom"/>
      <w:spacing w:before="180" w:after="120"/>
      <w:ind w:left="397"/>
    </w:pPr>
    <w:rPr>
      <w:rFonts w:asciiTheme="minorHAnsi" w:eastAsiaTheme="minorHAnsi" w:hAnsiTheme="minorHAnsi" w:cstheme="minorBidi"/>
      <w:color w:val="EEECE1" w:themeColor="background2"/>
      <w:spacing w:val="-2"/>
      <w:sz w:val="22"/>
      <w:szCs w:val="22"/>
      <w:lang w:eastAsia="en-US"/>
    </w:rPr>
  </w:style>
  <w:style w:type="paragraph" w:customStyle="1" w:styleId="FooterLeftPageNumber">
    <w:name w:val="Footer Left Page Number"/>
    <w:basedOn w:val="Footer"/>
    <w:rsid w:val="00401149"/>
    <w:pPr>
      <w:framePr w:wrap="around" w:vAnchor="page" w:hAnchor="margin" w:yAlign="bottom"/>
      <w:spacing w:before="180" w:after="120"/>
      <w:ind w:right="57"/>
    </w:pPr>
    <w:rPr>
      <w:rFonts w:asciiTheme="minorHAnsi" w:eastAsiaTheme="minorHAnsi" w:hAnsiTheme="minorHAnsi" w:cstheme="minorBidi"/>
      <w:color w:val="EEECE1" w:themeColor="background2"/>
      <w:sz w:val="22"/>
      <w:szCs w:val="22"/>
      <w:lang w:eastAsia="en-US"/>
    </w:rPr>
  </w:style>
  <w:style w:type="character" w:styleId="CommentReference">
    <w:name w:val="annotation reference"/>
    <w:basedOn w:val="DefaultParagraphFont"/>
    <w:semiHidden/>
    <w:unhideWhenUsed/>
    <w:rsid w:val="00114EF6"/>
    <w:rPr>
      <w:sz w:val="16"/>
      <w:szCs w:val="16"/>
    </w:rPr>
  </w:style>
  <w:style w:type="paragraph" w:styleId="CommentText">
    <w:name w:val="annotation text"/>
    <w:basedOn w:val="Normal"/>
    <w:link w:val="CommentTextChar"/>
    <w:semiHidden/>
    <w:unhideWhenUsed/>
    <w:rsid w:val="00114EF6"/>
  </w:style>
  <w:style w:type="character" w:customStyle="1" w:styleId="CommentTextChar">
    <w:name w:val="Comment Text Char"/>
    <w:basedOn w:val="DefaultParagraphFont"/>
    <w:link w:val="CommentText"/>
    <w:semiHidden/>
    <w:rsid w:val="00114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171">
      <w:bodyDiv w:val="1"/>
      <w:marLeft w:val="0"/>
      <w:marRight w:val="0"/>
      <w:marTop w:val="0"/>
      <w:marBottom w:val="0"/>
      <w:divBdr>
        <w:top w:val="none" w:sz="0" w:space="0" w:color="auto"/>
        <w:left w:val="none" w:sz="0" w:space="0" w:color="auto"/>
        <w:bottom w:val="none" w:sz="0" w:space="0" w:color="auto"/>
        <w:right w:val="none" w:sz="0" w:space="0" w:color="auto"/>
      </w:divBdr>
    </w:div>
    <w:div w:id="26218356">
      <w:bodyDiv w:val="1"/>
      <w:marLeft w:val="0"/>
      <w:marRight w:val="0"/>
      <w:marTop w:val="0"/>
      <w:marBottom w:val="0"/>
      <w:divBdr>
        <w:top w:val="none" w:sz="0" w:space="0" w:color="auto"/>
        <w:left w:val="none" w:sz="0" w:space="0" w:color="auto"/>
        <w:bottom w:val="none" w:sz="0" w:space="0" w:color="auto"/>
        <w:right w:val="none" w:sz="0" w:space="0" w:color="auto"/>
      </w:divBdr>
    </w:div>
    <w:div w:id="89742527">
      <w:bodyDiv w:val="1"/>
      <w:marLeft w:val="0"/>
      <w:marRight w:val="0"/>
      <w:marTop w:val="0"/>
      <w:marBottom w:val="0"/>
      <w:divBdr>
        <w:top w:val="none" w:sz="0" w:space="0" w:color="auto"/>
        <w:left w:val="none" w:sz="0" w:space="0" w:color="auto"/>
        <w:bottom w:val="none" w:sz="0" w:space="0" w:color="auto"/>
        <w:right w:val="none" w:sz="0" w:space="0" w:color="auto"/>
      </w:divBdr>
    </w:div>
    <w:div w:id="92090001">
      <w:bodyDiv w:val="1"/>
      <w:marLeft w:val="0"/>
      <w:marRight w:val="0"/>
      <w:marTop w:val="0"/>
      <w:marBottom w:val="0"/>
      <w:divBdr>
        <w:top w:val="none" w:sz="0" w:space="0" w:color="auto"/>
        <w:left w:val="none" w:sz="0" w:space="0" w:color="auto"/>
        <w:bottom w:val="none" w:sz="0" w:space="0" w:color="auto"/>
        <w:right w:val="none" w:sz="0" w:space="0" w:color="auto"/>
      </w:divBdr>
    </w:div>
    <w:div w:id="115687477">
      <w:bodyDiv w:val="1"/>
      <w:marLeft w:val="0"/>
      <w:marRight w:val="0"/>
      <w:marTop w:val="0"/>
      <w:marBottom w:val="0"/>
      <w:divBdr>
        <w:top w:val="none" w:sz="0" w:space="0" w:color="auto"/>
        <w:left w:val="none" w:sz="0" w:space="0" w:color="auto"/>
        <w:bottom w:val="none" w:sz="0" w:space="0" w:color="auto"/>
        <w:right w:val="none" w:sz="0" w:space="0" w:color="auto"/>
      </w:divBdr>
    </w:div>
    <w:div w:id="130097358">
      <w:bodyDiv w:val="1"/>
      <w:marLeft w:val="0"/>
      <w:marRight w:val="0"/>
      <w:marTop w:val="0"/>
      <w:marBottom w:val="0"/>
      <w:divBdr>
        <w:top w:val="none" w:sz="0" w:space="0" w:color="auto"/>
        <w:left w:val="none" w:sz="0" w:space="0" w:color="auto"/>
        <w:bottom w:val="none" w:sz="0" w:space="0" w:color="auto"/>
        <w:right w:val="none" w:sz="0" w:space="0" w:color="auto"/>
      </w:divBdr>
    </w:div>
    <w:div w:id="134875353">
      <w:bodyDiv w:val="1"/>
      <w:marLeft w:val="0"/>
      <w:marRight w:val="0"/>
      <w:marTop w:val="0"/>
      <w:marBottom w:val="0"/>
      <w:divBdr>
        <w:top w:val="none" w:sz="0" w:space="0" w:color="auto"/>
        <w:left w:val="none" w:sz="0" w:space="0" w:color="auto"/>
        <w:bottom w:val="none" w:sz="0" w:space="0" w:color="auto"/>
        <w:right w:val="none" w:sz="0" w:space="0" w:color="auto"/>
      </w:divBdr>
    </w:div>
    <w:div w:id="141581974">
      <w:bodyDiv w:val="1"/>
      <w:marLeft w:val="0"/>
      <w:marRight w:val="0"/>
      <w:marTop w:val="0"/>
      <w:marBottom w:val="0"/>
      <w:divBdr>
        <w:top w:val="none" w:sz="0" w:space="0" w:color="auto"/>
        <w:left w:val="none" w:sz="0" w:space="0" w:color="auto"/>
        <w:bottom w:val="none" w:sz="0" w:space="0" w:color="auto"/>
        <w:right w:val="none" w:sz="0" w:space="0" w:color="auto"/>
      </w:divBdr>
    </w:div>
    <w:div w:id="150946059">
      <w:bodyDiv w:val="1"/>
      <w:marLeft w:val="0"/>
      <w:marRight w:val="0"/>
      <w:marTop w:val="0"/>
      <w:marBottom w:val="0"/>
      <w:divBdr>
        <w:top w:val="none" w:sz="0" w:space="0" w:color="auto"/>
        <w:left w:val="none" w:sz="0" w:space="0" w:color="auto"/>
        <w:bottom w:val="none" w:sz="0" w:space="0" w:color="auto"/>
        <w:right w:val="none" w:sz="0" w:space="0" w:color="auto"/>
      </w:divBdr>
    </w:div>
    <w:div w:id="181164239">
      <w:bodyDiv w:val="1"/>
      <w:marLeft w:val="0"/>
      <w:marRight w:val="0"/>
      <w:marTop w:val="0"/>
      <w:marBottom w:val="0"/>
      <w:divBdr>
        <w:top w:val="none" w:sz="0" w:space="0" w:color="auto"/>
        <w:left w:val="none" w:sz="0" w:space="0" w:color="auto"/>
        <w:bottom w:val="none" w:sz="0" w:space="0" w:color="auto"/>
        <w:right w:val="none" w:sz="0" w:space="0" w:color="auto"/>
      </w:divBdr>
    </w:div>
    <w:div w:id="212742363">
      <w:bodyDiv w:val="1"/>
      <w:marLeft w:val="0"/>
      <w:marRight w:val="0"/>
      <w:marTop w:val="0"/>
      <w:marBottom w:val="0"/>
      <w:divBdr>
        <w:top w:val="none" w:sz="0" w:space="0" w:color="auto"/>
        <w:left w:val="none" w:sz="0" w:space="0" w:color="auto"/>
        <w:bottom w:val="none" w:sz="0" w:space="0" w:color="auto"/>
        <w:right w:val="none" w:sz="0" w:space="0" w:color="auto"/>
      </w:divBdr>
    </w:div>
    <w:div w:id="254439478">
      <w:bodyDiv w:val="1"/>
      <w:marLeft w:val="0"/>
      <w:marRight w:val="0"/>
      <w:marTop w:val="0"/>
      <w:marBottom w:val="0"/>
      <w:divBdr>
        <w:top w:val="none" w:sz="0" w:space="0" w:color="auto"/>
        <w:left w:val="none" w:sz="0" w:space="0" w:color="auto"/>
        <w:bottom w:val="none" w:sz="0" w:space="0" w:color="auto"/>
        <w:right w:val="none" w:sz="0" w:space="0" w:color="auto"/>
      </w:divBdr>
    </w:div>
    <w:div w:id="260645900">
      <w:bodyDiv w:val="1"/>
      <w:marLeft w:val="0"/>
      <w:marRight w:val="0"/>
      <w:marTop w:val="0"/>
      <w:marBottom w:val="0"/>
      <w:divBdr>
        <w:top w:val="none" w:sz="0" w:space="0" w:color="auto"/>
        <w:left w:val="none" w:sz="0" w:space="0" w:color="auto"/>
        <w:bottom w:val="none" w:sz="0" w:space="0" w:color="auto"/>
        <w:right w:val="none" w:sz="0" w:space="0" w:color="auto"/>
      </w:divBdr>
    </w:div>
    <w:div w:id="294145388">
      <w:bodyDiv w:val="1"/>
      <w:marLeft w:val="0"/>
      <w:marRight w:val="0"/>
      <w:marTop w:val="0"/>
      <w:marBottom w:val="0"/>
      <w:divBdr>
        <w:top w:val="none" w:sz="0" w:space="0" w:color="auto"/>
        <w:left w:val="none" w:sz="0" w:space="0" w:color="auto"/>
        <w:bottom w:val="none" w:sz="0" w:space="0" w:color="auto"/>
        <w:right w:val="none" w:sz="0" w:space="0" w:color="auto"/>
      </w:divBdr>
    </w:div>
    <w:div w:id="295261850">
      <w:bodyDiv w:val="1"/>
      <w:marLeft w:val="0"/>
      <w:marRight w:val="0"/>
      <w:marTop w:val="0"/>
      <w:marBottom w:val="0"/>
      <w:divBdr>
        <w:top w:val="none" w:sz="0" w:space="0" w:color="auto"/>
        <w:left w:val="none" w:sz="0" w:space="0" w:color="auto"/>
        <w:bottom w:val="none" w:sz="0" w:space="0" w:color="auto"/>
        <w:right w:val="none" w:sz="0" w:space="0" w:color="auto"/>
      </w:divBdr>
    </w:div>
    <w:div w:id="301081310">
      <w:bodyDiv w:val="1"/>
      <w:marLeft w:val="0"/>
      <w:marRight w:val="0"/>
      <w:marTop w:val="0"/>
      <w:marBottom w:val="0"/>
      <w:divBdr>
        <w:top w:val="none" w:sz="0" w:space="0" w:color="auto"/>
        <w:left w:val="none" w:sz="0" w:space="0" w:color="auto"/>
        <w:bottom w:val="none" w:sz="0" w:space="0" w:color="auto"/>
        <w:right w:val="none" w:sz="0" w:space="0" w:color="auto"/>
      </w:divBdr>
    </w:div>
    <w:div w:id="301891162">
      <w:bodyDiv w:val="1"/>
      <w:marLeft w:val="0"/>
      <w:marRight w:val="0"/>
      <w:marTop w:val="0"/>
      <w:marBottom w:val="0"/>
      <w:divBdr>
        <w:top w:val="none" w:sz="0" w:space="0" w:color="auto"/>
        <w:left w:val="none" w:sz="0" w:space="0" w:color="auto"/>
        <w:bottom w:val="none" w:sz="0" w:space="0" w:color="auto"/>
        <w:right w:val="none" w:sz="0" w:space="0" w:color="auto"/>
      </w:divBdr>
    </w:div>
    <w:div w:id="332681130">
      <w:bodyDiv w:val="1"/>
      <w:marLeft w:val="0"/>
      <w:marRight w:val="0"/>
      <w:marTop w:val="0"/>
      <w:marBottom w:val="0"/>
      <w:divBdr>
        <w:top w:val="none" w:sz="0" w:space="0" w:color="auto"/>
        <w:left w:val="none" w:sz="0" w:space="0" w:color="auto"/>
        <w:bottom w:val="none" w:sz="0" w:space="0" w:color="auto"/>
        <w:right w:val="none" w:sz="0" w:space="0" w:color="auto"/>
      </w:divBdr>
    </w:div>
    <w:div w:id="361171830">
      <w:bodyDiv w:val="1"/>
      <w:marLeft w:val="0"/>
      <w:marRight w:val="0"/>
      <w:marTop w:val="0"/>
      <w:marBottom w:val="0"/>
      <w:divBdr>
        <w:top w:val="none" w:sz="0" w:space="0" w:color="auto"/>
        <w:left w:val="none" w:sz="0" w:space="0" w:color="auto"/>
        <w:bottom w:val="none" w:sz="0" w:space="0" w:color="auto"/>
        <w:right w:val="none" w:sz="0" w:space="0" w:color="auto"/>
      </w:divBdr>
    </w:div>
    <w:div w:id="363412382">
      <w:bodyDiv w:val="1"/>
      <w:marLeft w:val="0"/>
      <w:marRight w:val="0"/>
      <w:marTop w:val="0"/>
      <w:marBottom w:val="0"/>
      <w:divBdr>
        <w:top w:val="none" w:sz="0" w:space="0" w:color="auto"/>
        <w:left w:val="none" w:sz="0" w:space="0" w:color="auto"/>
        <w:bottom w:val="none" w:sz="0" w:space="0" w:color="auto"/>
        <w:right w:val="none" w:sz="0" w:space="0" w:color="auto"/>
      </w:divBdr>
    </w:div>
    <w:div w:id="469908513">
      <w:bodyDiv w:val="1"/>
      <w:marLeft w:val="0"/>
      <w:marRight w:val="0"/>
      <w:marTop w:val="0"/>
      <w:marBottom w:val="0"/>
      <w:divBdr>
        <w:top w:val="none" w:sz="0" w:space="0" w:color="auto"/>
        <w:left w:val="none" w:sz="0" w:space="0" w:color="auto"/>
        <w:bottom w:val="none" w:sz="0" w:space="0" w:color="auto"/>
        <w:right w:val="none" w:sz="0" w:space="0" w:color="auto"/>
      </w:divBdr>
    </w:div>
    <w:div w:id="479420794">
      <w:bodyDiv w:val="1"/>
      <w:marLeft w:val="0"/>
      <w:marRight w:val="0"/>
      <w:marTop w:val="0"/>
      <w:marBottom w:val="0"/>
      <w:divBdr>
        <w:top w:val="none" w:sz="0" w:space="0" w:color="auto"/>
        <w:left w:val="none" w:sz="0" w:space="0" w:color="auto"/>
        <w:bottom w:val="none" w:sz="0" w:space="0" w:color="auto"/>
        <w:right w:val="none" w:sz="0" w:space="0" w:color="auto"/>
      </w:divBdr>
    </w:div>
    <w:div w:id="504054469">
      <w:bodyDiv w:val="1"/>
      <w:marLeft w:val="0"/>
      <w:marRight w:val="0"/>
      <w:marTop w:val="0"/>
      <w:marBottom w:val="0"/>
      <w:divBdr>
        <w:top w:val="none" w:sz="0" w:space="0" w:color="auto"/>
        <w:left w:val="none" w:sz="0" w:space="0" w:color="auto"/>
        <w:bottom w:val="none" w:sz="0" w:space="0" w:color="auto"/>
        <w:right w:val="none" w:sz="0" w:space="0" w:color="auto"/>
      </w:divBdr>
    </w:div>
    <w:div w:id="527449587">
      <w:bodyDiv w:val="1"/>
      <w:marLeft w:val="0"/>
      <w:marRight w:val="0"/>
      <w:marTop w:val="0"/>
      <w:marBottom w:val="0"/>
      <w:divBdr>
        <w:top w:val="none" w:sz="0" w:space="0" w:color="auto"/>
        <w:left w:val="none" w:sz="0" w:space="0" w:color="auto"/>
        <w:bottom w:val="none" w:sz="0" w:space="0" w:color="auto"/>
        <w:right w:val="none" w:sz="0" w:space="0" w:color="auto"/>
      </w:divBdr>
    </w:div>
    <w:div w:id="532114473">
      <w:bodyDiv w:val="1"/>
      <w:marLeft w:val="0"/>
      <w:marRight w:val="0"/>
      <w:marTop w:val="0"/>
      <w:marBottom w:val="0"/>
      <w:divBdr>
        <w:top w:val="none" w:sz="0" w:space="0" w:color="auto"/>
        <w:left w:val="none" w:sz="0" w:space="0" w:color="auto"/>
        <w:bottom w:val="none" w:sz="0" w:space="0" w:color="auto"/>
        <w:right w:val="none" w:sz="0" w:space="0" w:color="auto"/>
      </w:divBdr>
    </w:div>
    <w:div w:id="547649914">
      <w:bodyDiv w:val="1"/>
      <w:marLeft w:val="0"/>
      <w:marRight w:val="0"/>
      <w:marTop w:val="0"/>
      <w:marBottom w:val="0"/>
      <w:divBdr>
        <w:top w:val="none" w:sz="0" w:space="0" w:color="auto"/>
        <w:left w:val="none" w:sz="0" w:space="0" w:color="auto"/>
        <w:bottom w:val="none" w:sz="0" w:space="0" w:color="auto"/>
        <w:right w:val="none" w:sz="0" w:space="0" w:color="auto"/>
      </w:divBdr>
    </w:div>
    <w:div w:id="553930715">
      <w:bodyDiv w:val="1"/>
      <w:marLeft w:val="0"/>
      <w:marRight w:val="0"/>
      <w:marTop w:val="0"/>
      <w:marBottom w:val="0"/>
      <w:divBdr>
        <w:top w:val="none" w:sz="0" w:space="0" w:color="auto"/>
        <w:left w:val="none" w:sz="0" w:space="0" w:color="auto"/>
        <w:bottom w:val="none" w:sz="0" w:space="0" w:color="auto"/>
        <w:right w:val="none" w:sz="0" w:space="0" w:color="auto"/>
      </w:divBdr>
    </w:div>
    <w:div w:id="596981713">
      <w:bodyDiv w:val="1"/>
      <w:marLeft w:val="0"/>
      <w:marRight w:val="0"/>
      <w:marTop w:val="0"/>
      <w:marBottom w:val="0"/>
      <w:divBdr>
        <w:top w:val="none" w:sz="0" w:space="0" w:color="auto"/>
        <w:left w:val="none" w:sz="0" w:space="0" w:color="auto"/>
        <w:bottom w:val="none" w:sz="0" w:space="0" w:color="auto"/>
        <w:right w:val="none" w:sz="0" w:space="0" w:color="auto"/>
      </w:divBdr>
    </w:div>
    <w:div w:id="613946612">
      <w:bodyDiv w:val="1"/>
      <w:marLeft w:val="0"/>
      <w:marRight w:val="0"/>
      <w:marTop w:val="0"/>
      <w:marBottom w:val="0"/>
      <w:divBdr>
        <w:top w:val="none" w:sz="0" w:space="0" w:color="auto"/>
        <w:left w:val="none" w:sz="0" w:space="0" w:color="auto"/>
        <w:bottom w:val="none" w:sz="0" w:space="0" w:color="auto"/>
        <w:right w:val="none" w:sz="0" w:space="0" w:color="auto"/>
      </w:divBdr>
    </w:div>
    <w:div w:id="638730915">
      <w:bodyDiv w:val="1"/>
      <w:marLeft w:val="0"/>
      <w:marRight w:val="0"/>
      <w:marTop w:val="0"/>
      <w:marBottom w:val="0"/>
      <w:divBdr>
        <w:top w:val="none" w:sz="0" w:space="0" w:color="auto"/>
        <w:left w:val="none" w:sz="0" w:space="0" w:color="auto"/>
        <w:bottom w:val="none" w:sz="0" w:space="0" w:color="auto"/>
        <w:right w:val="none" w:sz="0" w:space="0" w:color="auto"/>
      </w:divBdr>
    </w:div>
    <w:div w:id="658730326">
      <w:bodyDiv w:val="1"/>
      <w:marLeft w:val="0"/>
      <w:marRight w:val="0"/>
      <w:marTop w:val="0"/>
      <w:marBottom w:val="0"/>
      <w:divBdr>
        <w:top w:val="none" w:sz="0" w:space="0" w:color="auto"/>
        <w:left w:val="none" w:sz="0" w:space="0" w:color="auto"/>
        <w:bottom w:val="none" w:sz="0" w:space="0" w:color="auto"/>
        <w:right w:val="none" w:sz="0" w:space="0" w:color="auto"/>
      </w:divBdr>
    </w:div>
    <w:div w:id="686253363">
      <w:bodyDiv w:val="1"/>
      <w:marLeft w:val="0"/>
      <w:marRight w:val="0"/>
      <w:marTop w:val="0"/>
      <w:marBottom w:val="0"/>
      <w:divBdr>
        <w:top w:val="none" w:sz="0" w:space="0" w:color="auto"/>
        <w:left w:val="none" w:sz="0" w:space="0" w:color="auto"/>
        <w:bottom w:val="none" w:sz="0" w:space="0" w:color="auto"/>
        <w:right w:val="none" w:sz="0" w:space="0" w:color="auto"/>
      </w:divBdr>
    </w:div>
    <w:div w:id="692878029">
      <w:bodyDiv w:val="1"/>
      <w:marLeft w:val="0"/>
      <w:marRight w:val="0"/>
      <w:marTop w:val="0"/>
      <w:marBottom w:val="0"/>
      <w:divBdr>
        <w:top w:val="none" w:sz="0" w:space="0" w:color="auto"/>
        <w:left w:val="none" w:sz="0" w:space="0" w:color="auto"/>
        <w:bottom w:val="none" w:sz="0" w:space="0" w:color="auto"/>
        <w:right w:val="none" w:sz="0" w:space="0" w:color="auto"/>
      </w:divBdr>
    </w:div>
    <w:div w:id="694356134">
      <w:bodyDiv w:val="1"/>
      <w:marLeft w:val="0"/>
      <w:marRight w:val="0"/>
      <w:marTop w:val="0"/>
      <w:marBottom w:val="0"/>
      <w:divBdr>
        <w:top w:val="none" w:sz="0" w:space="0" w:color="auto"/>
        <w:left w:val="none" w:sz="0" w:space="0" w:color="auto"/>
        <w:bottom w:val="none" w:sz="0" w:space="0" w:color="auto"/>
        <w:right w:val="none" w:sz="0" w:space="0" w:color="auto"/>
      </w:divBdr>
    </w:div>
    <w:div w:id="725179766">
      <w:bodyDiv w:val="1"/>
      <w:marLeft w:val="0"/>
      <w:marRight w:val="0"/>
      <w:marTop w:val="0"/>
      <w:marBottom w:val="0"/>
      <w:divBdr>
        <w:top w:val="none" w:sz="0" w:space="0" w:color="auto"/>
        <w:left w:val="none" w:sz="0" w:space="0" w:color="auto"/>
        <w:bottom w:val="none" w:sz="0" w:space="0" w:color="auto"/>
        <w:right w:val="none" w:sz="0" w:space="0" w:color="auto"/>
      </w:divBdr>
    </w:div>
    <w:div w:id="743187720">
      <w:bodyDiv w:val="1"/>
      <w:marLeft w:val="0"/>
      <w:marRight w:val="0"/>
      <w:marTop w:val="0"/>
      <w:marBottom w:val="0"/>
      <w:divBdr>
        <w:top w:val="none" w:sz="0" w:space="0" w:color="auto"/>
        <w:left w:val="none" w:sz="0" w:space="0" w:color="auto"/>
        <w:bottom w:val="none" w:sz="0" w:space="0" w:color="auto"/>
        <w:right w:val="none" w:sz="0" w:space="0" w:color="auto"/>
      </w:divBdr>
    </w:div>
    <w:div w:id="751245860">
      <w:bodyDiv w:val="1"/>
      <w:marLeft w:val="0"/>
      <w:marRight w:val="0"/>
      <w:marTop w:val="0"/>
      <w:marBottom w:val="0"/>
      <w:divBdr>
        <w:top w:val="none" w:sz="0" w:space="0" w:color="auto"/>
        <w:left w:val="none" w:sz="0" w:space="0" w:color="auto"/>
        <w:bottom w:val="none" w:sz="0" w:space="0" w:color="auto"/>
        <w:right w:val="none" w:sz="0" w:space="0" w:color="auto"/>
      </w:divBdr>
    </w:div>
    <w:div w:id="993409468">
      <w:bodyDiv w:val="1"/>
      <w:marLeft w:val="0"/>
      <w:marRight w:val="0"/>
      <w:marTop w:val="0"/>
      <w:marBottom w:val="0"/>
      <w:divBdr>
        <w:top w:val="none" w:sz="0" w:space="0" w:color="auto"/>
        <w:left w:val="none" w:sz="0" w:space="0" w:color="auto"/>
        <w:bottom w:val="none" w:sz="0" w:space="0" w:color="auto"/>
        <w:right w:val="none" w:sz="0" w:space="0" w:color="auto"/>
      </w:divBdr>
    </w:div>
    <w:div w:id="995105782">
      <w:bodyDiv w:val="1"/>
      <w:marLeft w:val="0"/>
      <w:marRight w:val="0"/>
      <w:marTop w:val="0"/>
      <w:marBottom w:val="0"/>
      <w:divBdr>
        <w:top w:val="none" w:sz="0" w:space="0" w:color="auto"/>
        <w:left w:val="none" w:sz="0" w:space="0" w:color="auto"/>
        <w:bottom w:val="none" w:sz="0" w:space="0" w:color="auto"/>
        <w:right w:val="none" w:sz="0" w:space="0" w:color="auto"/>
      </w:divBdr>
    </w:div>
    <w:div w:id="1080516131">
      <w:bodyDiv w:val="1"/>
      <w:marLeft w:val="0"/>
      <w:marRight w:val="0"/>
      <w:marTop w:val="0"/>
      <w:marBottom w:val="0"/>
      <w:divBdr>
        <w:top w:val="none" w:sz="0" w:space="0" w:color="auto"/>
        <w:left w:val="none" w:sz="0" w:space="0" w:color="auto"/>
        <w:bottom w:val="none" w:sz="0" w:space="0" w:color="auto"/>
        <w:right w:val="none" w:sz="0" w:space="0" w:color="auto"/>
      </w:divBdr>
    </w:div>
    <w:div w:id="1081440765">
      <w:bodyDiv w:val="1"/>
      <w:marLeft w:val="0"/>
      <w:marRight w:val="0"/>
      <w:marTop w:val="0"/>
      <w:marBottom w:val="0"/>
      <w:divBdr>
        <w:top w:val="none" w:sz="0" w:space="0" w:color="auto"/>
        <w:left w:val="none" w:sz="0" w:space="0" w:color="auto"/>
        <w:bottom w:val="none" w:sz="0" w:space="0" w:color="auto"/>
        <w:right w:val="none" w:sz="0" w:space="0" w:color="auto"/>
      </w:divBdr>
    </w:div>
    <w:div w:id="1087656318">
      <w:bodyDiv w:val="1"/>
      <w:marLeft w:val="0"/>
      <w:marRight w:val="0"/>
      <w:marTop w:val="0"/>
      <w:marBottom w:val="0"/>
      <w:divBdr>
        <w:top w:val="none" w:sz="0" w:space="0" w:color="auto"/>
        <w:left w:val="none" w:sz="0" w:space="0" w:color="auto"/>
        <w:bottom w:val="none" w:sz="0" w:space="0" w:color="auto"/>
        <w:right w:val="none" w:sz="0" w:space="0" w:color="auto"/>
      </w:divBdr>
    </w:div>
    <w:div w:id="1088309998">
      <w:bodyDiv w:val="1"/>
      <w:marLeft w:val="0"/>
      <w:marRight w:val="0"/>
      <w:marTop w:val="0"/>
      <w:marBottom w:val="0"/>
      <w:divBdr>
        <w:top w:val="none" w:sz="0" w:space="0" w:color="auto"/>
        <w:left w:val="none" w:sz="0" w:space="0" w:color="auto"/>
        <w:bottom w:val="none" w:sz="0" w:space="0" w:color="auto"/>
        <w:right w:val="none" w:sz="0" w:space="0" w:color="auto"/>
      </w:divBdr>
    </w:div>
    <w:div w:id="1138186711">
      <w:bodyDiv w:val="1"/>
      <w:marLeft w:val="0"/>
      <w:marRight w:val="0"/>
      <w:marTop w:val="0"/>
      <w:marBottom w:val="0"/>
      <w:divBdr>
        <w:top w:val="none" w:sz="0" w:space="0" w:color="auto"/>
        <w:left w:val="none" w:sz="0" w:space="0" w:color="auto"/>
        <w:bottom w:val="none" w:sz="0" w:space="0" w:color="auto"/>
        <w:right w:val="none" w:sz="0" w:space="0" w:color="auto"/>
      </w:divBdr>
    </w:div>
    <w:div w:id="1151558795">
      <w:bodyDiv w:val="1"/>
      <w:marLeft w:val="0"/>
      <w:marRight w:val="0"/>
      <w:marTop w:val="0"/>
      <w:marBottom w:val="0"/>
      <w:divBdr>
        <w:top w:val="none" w:sz="0" w:space="0" w:color="auto"/>
        <w:left w:val="none" w:sz="0" w:space="0" w:color="auto"/>
        <w:bottom w:val="none" w:sz="0" w:space="0" w:color="auto"/>
        <w:right w:val="none" w:sz="0" w:space="0" w:color="auto"/>
      </w:divBdr>
    </w:div>
    <w:div w:id="1196694829">
      <w:bodyDiv w:val="1"/>
      <w:marLeft w:val="0"/>
      <w:marRight w:val="0"/>
      <w:marTop w:val="0"/>
      <w:marBottom w:val="0"/>
      <w:divBdr>
        <w:top w:val="none" w:sz="0" w:space="0" w:color="auto"/>
        <w:left w:val="none" w:sz="0" w:space="0" w:color="auto"/>
        <w:bottom w:val="none" w:sz="0" w:space="0" w:color="auto"/>
        <w:right w:val="none" w:sz="0" w:space="0" w:color="auto"/>
      </w:divBdr>
    </w:div>
    <w:div w:id="1205676402">
      <w:bodyDiv w:val="1"/>
      <w:marLeft w:val="0"/>
      <w:marRight w:val="0"/>
      <w:marTop w:val="0"/>
      <w:marBottom w:val="0"/>
      <w:divBdr>
        <w:top w:val="none" w:sz="0" w:space="0" w:color="auto"/>
        <w:left w:val="none" w:sz="0" w:space="0" w:color="auto"/>
        <w:bottom w:val="none" w:sz="0" w:space="0" w:color="auto"/>
        <w:right w:val="none" w:sz="0" w:space="0" w:color="auto"/>
      </w:divBdr>
    </w:div>
    <w:div w:id="1207718212">
      <w:bodyDiv w:val="1"/>
      <w:marLeft w:val="0"/>
      <w:marRight w:val="0"/>
      <w:marTop w:val="0"/>
      <w:marBottom w:val="0"/>
      <w:divBdr>
        <w:top w:val="none" w:sz="0" w:space="0" w:color="auto"/>
        <w:left w:val="none" w:sz="0" w:space="0" w:color="auto"/>
        <w:bottom w:val="none" w:sz="0" w:space="0" w:color="auto"/>
        <w:right w:val="none" w:sz="0" w:space="0" w:color="auto"/>
      </w:divBdr>
    </w:div>
    <w:div w:id="1222787418">
      <w:bodyDiv w:val="1"/>
      <w:marLeft w:val="0"/>
      <w:marRight w:val="0"/>
      <w:marTop w:val="0"/>
      <w:marBottom w:val="0"/>
      <w:divBdr>
        <w:top w:val="none" w:sz="0" w:space="0" w:color="auto"/>
        <w:left w:val="none" w:sz="0" w:space="0" w:color="auto"/>
        <w:bottom w:val="none" w:sz="0" w:space="0" w:color="auto"/>
        <w:right w:val="none" w:sz="0" w:space="0" w:color="auto"/>
      </w:divBdr>
    </w:div>
    <w:div w:id="1240019777">
      <w:bodyDiv w:val="1"/>
      <w:marLeft w:val="0"/>
      <w:marRight w:val="0"/>
      <w:marTop w:val="0"/>
      <w:marBottom w:val="0"/>
      <w:divBdr>
        <w:top w:val="none" w:sz="0" w:space="0" w:color="auto"/>
        <w:left w:val="none" w:sz="0" w:space="0" w:color="auto"/>
        <w:bottom w:val="none" w:sz="0" w:space="0" w:color="auto"/>
        <w:right w:val="none" w:sz="0" w:space="0" w:color="auto"/>
      </w:divBdr>
    </w:div>
    <w:div w:id="1256012987">
      <w:bodyDiv w:val="1"/>
      <w:marLeft w:val="0"/>
      <w:marRight w:val="0"/>
      <w:marTop w:val="0"/>
      <w:marBottom w:val="0"/>
      <w:divBdr>
        <w:top w:val="none" w:sz="0" w:space="0" w:color="auto"/>
        <w:left w:val="none" w:sz="0" w:space="0" w:color="auto"/>
        <w:bottom w:val="none" w:sz="0" w:space="0" w:color="auto"/>
        <w:right w:val="none" w:sz="0" w:space="0" w:color="auto"/>
      </w:divBdr>
    </w:div>
    <w:div w:id="1278297323">
      <w:bodyDiv w:val="1"/>
      <w:marLeft w:val="0"/>
      <w:marRight w:val="0"/>
      <w:marTop w:val="0"/>
      <w:marBottom w:val="0"/>
      <w:divBdr>
        <w:top w:val="none" w:sz="0" w:space="0" w:color="auto"/>
        <w:left w:val="none" w:sz="0" w:space="0" w:color="auto"/>
        <w:bottom w:val="none" w:sz="0" w:space="0" w:color="auto"/>
        <w:right w:val="none" w:sz="0" w:space="0" w:color="auto"/>
      </w:divBdr>
    </w:div>
    <w:div w:id="1340691549">
      <w:bodyDiv w:val="1"/>
      <w:marLeft w:val="0"/>
      <w:marRight w:val="0"/>
      <w:marTop w:val="0"/>
      <w:marBottom w:val="0"/>
      <w:divBdr>
        <w:top w:val="none" w:sz="0" w:space="0" w:color="auto"/>
        <w:left w:val="none" w:sz="0" w:space="0" w:color="auto"/>
        <w:bottom w:val="none" w:sz="0" w:space="0" w:color="auto"/>
        <w:right w:val="none" w:sz="0" w:space="0" w:color="auto"/>
      </w:divBdr>
    </w:div>
    <w:div w:id="1357199481">
      <w:bodyDiv w:val="1"/>
      <w:marLeft w:val="0"/>
      <w:marRight w:val="0"/>
      <w:marTop w:val="0"/>
      <w:marBottom w:val="0"/>
      <w:divBdr>
        <w:top w:val="none" w:sz="0" w:space="0" w:color="auto"/>
        <w:left w:val="none" w:sz="0" w:space="0" w:color="auto"/>
        <w:bottom w:val="none" w:sz="0" w:space="0" w:color="auto"/>
        <w:right w:val="none" w:sz="0" w:space="0" w:color="auto"/>
      </w:divBdr>
    </w:div>
    <w:div w:id="1365787318">
      <w:bodyDiv w:val="1"/>
      <w:marLeft w:val="0"/>
      <w:marRight w:val="0"/>
      <w:marTop w:val="0"/>
      <w:marBottom w:val="0"/>
      <w:divBdr>
        <w:top w:val="none" w:sz="0" w:space="0" w:color="auto"/>
        <w:left w:val="none" w:sz="0" w:space="0" w:color="auto"/>
        <w:bottom w:val="none" w:sz="0" w:space="0" w:color="auto"/>
        <w:right w:val="none" w:sz="0" w:space="0" w:color="auto"/>
      </w:divBdr>
    </w:div>
    <w:div w:id="1366635898">
      <w:bodyDiv w:val="1"/>
      <w:marLeft w:val="0"/>
      <w:marRight w:val="0"/>
      <w:marTop w:val="0"/>
      <w:marBottom w:val="0"/>
      <w:divBdr>
        <w:top w:val="none" w:sz="0" w:space="0" w:color="auto"/>
        <w:left w:val="none" w:sz="0" w:space="0" w:color="auto"/>
        <w:bottom w:val="none" w:sz="0" w:space="0" w:color="auto"/>
        <w:right w:val="none" w:sz="0" w:space="0" w:color="auto"/>
      </w:divBdr>
    </w:div>
    <w:div w:id="1432235100">
      <w:bodyDiv w:val="1"/>
      <w:marLeft w:val="0"/>
      <w:marRight w:val="0"/>
      <w:marTop w:val="0"/>
      <w:marBottom w:val="0"/>
      <w:divBdr>
        <w:top w:val="none" w:sz="0" w:space="0" w:color="auto"/>
        <w:left w:val="none" w:sz="0" w:space="0" w:color="auto"/>
        <w:bottom w:val="none" w:sz="0" w:space="0" w:color="auto"/>
        <w:right w:val="none" w:sz="0" w:space="0" w:color="auto"/>
      </w:divBdr>
    </w:div>
    <w:div w:id="1522546201">
      <w:bodyDiv w:val="1"/>
      <w:marLeft w:val="0"/>
      <w:marRight w:val="0"/>
      <w:marTop w:val="0"/>
      <w:marBottom w:val="0"/>
      <w:divBdr>
        <w:top w:val="none" w:sz="0" w:space="0" w:color="auto"/>
        <w:left w:val="none" w:sz="0" w:space="0" w:color="auto"/>
        <w:bottom w:val="none" w:sz="0" w:space="0" w:color="auto"/>
        <w:right w:val="none" w:sz="0" w:space="0" w:color="auto"/>
      </w:divBdr>
    </w:div>
    <w:div w:id="1533229889">
      <w:bodyDiv w:val="1"/>
      <w:marLeft w:val="0"/>
      <w:marRight w:val="0"/>
      <w:marTop w:val="0"/>
      <w:marBottom w:val="0"/>
      <w:divBdr>
        <w:top w:val="none" w:sz="0" w:space="0" w:color="auto"/>
        <w:left w:val="none" w:sz="0" w:space="0" w:color="auto"/>
        <w:bottom w:val="none" w:sz="0" w:space="0" w:color="auto"/>
        <w:right w:val="none" w:sz="0" w:space="0" w:color="auto"/>
      </w:divBdr>
    </w:div>
    <w:div w:id="1604459749">
      <w:bodyDiv w:val="1"/>
      <w:marLeft w:val="0"/>
      <w:marRight w:val="0"/>
      <w:marTop w:val="0"/>
      <w:marBottom w:val="0"/>
      <w:divBdr>
        <w:top w:val="none" w:sz="0" w:space="0" w:color="auto"/>
        <w:left w:val="none" w:sz="0" w:space="0" w:color="auto"/>
        <w:bottom w:val="none" w:sz="0" w:space="0" w:color="auto"/>
        <w:right w:val="none" w:sz="0" w:space="0" w:color="auto"/>
      </w:divBdr>
    </w:div>
    <w:div w:id="1605532646">
      <w:bodyDiv w:val="1"/>
      <w:marLeft w:val="0"/>
      <w:marRight w:val="0"/>
      <w:marTop w:val="0"/>
      <w:marBottom w:val="0"/>
      <w:divBdr>
        <w:top w:val="none" w:sz="0" w:space="0" w:color="auto"/>
        <w:left w:val="none" w:sz="0" w:space="0" w:color="auto"/>
        <w:bottom w:val="none" w:sz="0" w:space="0" w:color="auto"/>
        <w:right w:val="none" w:sz="0" w:space="0" w:color="auto"/>
      </w:divBdr>
    </w:div>
    <w:div w:id="1654407849">
      <w:bodyDiv w:val="1"/>
      <w:marLeft w:val="0"/>
      <w:marRight w:val="0"/>
      <w:marTop w:val="0"/>
      <w:marBottom w:val="0"/>
      <w:divBdr>
        <w:top w:val="none" w:sz="0" w:space="0" w:color="auto"/>
        <w:left w:val="none" w:sz="0" w:space="0" w:color="auto"/>
        <w:bottom w:val="none" w:sz="0" w:space="0" w:color="auto"/>
        <w:right w:val="none" w:sz="0" w:space="0" w:color="auto"/>
      </w:divBdr>
    </w:div>
    <w:div w:id="1658681221">
      <w:bodyDiv w:val="1"/>
      <w:marLeft w:val="0"/>
      <w:marRight w:val="0"/>
      <w:marTop w:val="0"/>
      <w:marBottom w:val="0"/>
      <w:divBdr>
        <w:top w:val="none" w:sz="0" w:space="0" w:color="auto"/>
        <w:left w:val="none" w:sz="0" w:space="0" w:color="auto"/>
        <w:bottom w:val="none" w:sz="0" w:space="0" w:color="auto"/>
        <w:right w:val="none" w:sz="0" w:space="0" w:color="auto"/>
      </w:divBdr>
    </w:div>
    <w:div w:id="1756512867">
      <w:bodyDiv w:val="1"/>
      <w:marLeft w:val="0"/>
      <w:marRight w:val="0"/>
      <w:marTop w:val="0"/>
      <w:marBottom w:val="0"/>
      <w:divBdr>
        <w:top w:val="none" w:sz="0" w:space="0" w:color="auto"/>
        <w:left w:val="none" w:sz="0" w:space="0" w:color="auto"/>
        <w:bottom w:val="none" w:sz="0" w:space="0" w:color="auto"/>
        <w:right w:val="none" w:sz="0" w:space="0" w:color="auto"/>
      </w:divBdr>
    </w:div>
    <w:div w:id="1836067319">
      <w:bodyDiv w:val="1"/>
      <w:marLeft w:val="0"/>
      <w:marRight w:val="0"/>
      <w:marTop w:val="0"/>
      <w:marBottom w:val="0"/>
      <w:divBdr>
        <w:top w:val="none" w:sz="0" w:space="0" w:color="auto"/>
        <w:left w:val="none" w:sz="0" w:space="0" w:color="auto"/>
        <w:bottom w:val="none" w:sz="0" w:space="0" w:color="auto"/>
        <w:right w:val="none" w:sz="0" w:space="0" w:color="auto"/>
      </w:divBdr>
    </w:div>
    <w:div w:id="1858227617">
      <w:bodyDiv w:val="1"/>
      <w:marLeft w:val="0"/>
      <w:marRight w:val="0"/>
      <w:marTop w:val="0"/>
      <w:marBottom w:val="0"/>
      <w:divBdr>
        <w:top w:val="none" w:sz="0" w:space="0" w:color="auto"/>
        <w:left w:val="none" w:sz="0" w:space="0" w:color="auto"/>
        <w:bottom w:val="none" w:sz="0" w:space="0" w:color="auto"/>
        <w:right w:val="none" w:sz="0" w:space="0" w:color="auto"/>
      </w:divBdr>
    </w:div>
    <w:div w:id="1876968085">
      <w:bodyDiv w:val="1"/>
      <w:marLeft w:val="0"/>
      <w:marRight w:val="0"/>
      <w:marTop w:val="0"/>
      <w:marBottom w:val="0"/>
      <w:divBdr>
        <w:top w:val="none" w:sz="0" w:space="0" w:color="auto"/>
        <w:left w:val="none" w:sz="0" w:space="0" w:color="auto"/>
        <w:bottom w:val="none" w:sz="0" w:space="0" w:color="auto"/>
        <w:right w:val="none" w:sz="0" w:space="0" w:color="auto"/>
      </w:divBdr>
    </w:div>
    <w:div w:id="1882085169">
      <w:bodyDiv w:val="1"/>
      <w:marLeft w:val="0"/>
      <w:marRight w:val="0"/>
      <w:marTop w:val="0"/>
      <w:marBottom w:val="0"/>
      <w:divBdr>
        <w:top w:val="none" w:sz="0" w:space="0" w:color="auto"/>
        <w:left w:val="none" w:sz="0" w:space="0" w:color="auto"/>
        <w:bottom w:val="none" w:sz="0" w:space="0" w:color="auto"/>
        <w:right w:val="none" w:sz="0" w:space="0" w:color="auto"/>
      </w:divBdr>
    </w:div>
    <w:div w:id="1946379413">
      <w:bodyDiv w:val="1"/>
      <w:marLeft w:val="0"/>
      <w:marRight w:val="0"/>
      <w:marTop w:val="0"/>
      <w:marBottom w:val="0"/>
      <w:divBdr>
        <w:top w:val="none" w:sz="0" w:space="0" w:color="auto"/>
        <w:left w:val="none" w:sz="0" w:space="0" w:color="auto"/>
        <w:bottom w:val="none" w:sz="0" w:space="0" w:color="auto"/>
        <w:right w:val="none" w:sz="0" w:space="0" w:color="auto"/>
      </w:divBdr>
    </w:div>
    <w:div w:id="1954314772">
      <w:bodyDiv w:val="1"/>
      <w:marLeft w:val="0"/>
      <w:marRight w:val="0"/>
      <w:marTop w:val="0"/>
      <w:marBottom w:val="0"/>
      <w:divBdr>
        <w:top w:val="none" w:sz="0" w:space="0" w:color="auto"/>
        <w:left w:val="none" w:sz="0" w:space="0" w:color="auto"/>
        <w:bottom w:val="none" w:sz="0" w:space="0" w:color="auto"/>
        <w:right w:val="none" w:sz="0" w:space="0" w:color="auto"/>
      </w:divBdr>
    </w:div>
    <w:div w:id="1995134744">
      <w:bodyDiv w:val="1"/>
      <w:marLeft w:val="0"/>
      <w:marRight w:val="0"/>
      <w:marTop w:val="0"/>
      <w:marBottom w:val="0"/>
      <w:divBdr>
        <w:top w:val="none" w:sz="0" w:space="0" w:color="auto"/>
        <w:left w:val="none" w:sz="0" w:space="0" w:color="auto"/>
        <w:bottom w:val="none" w:sz="0" w:space="0" w:color="auto"/>
        <w:right w:val="none" w:sz="0" w:space="0" w:color="auto"/>
      </w:divBdr>
    </w:div>
    <w:div w:id="2002198768">
      <w:bodyDiv w:val="1"/>
      <w:marLeft w:val="0"/>
      <w:marRight w:val="0"/>
      <w:marTop w:val="0"/>
      <w:marBottom w:val="0"/>
      <w:divBdr>
        <w:top w:val="none" w:sz="0" w:space="0" w:color="auto"/>
        <w:left w:val="none" w:sz="0" w:space="0" w:color="auto"/>
        <w:bottom w:val="none" w:sz="0" w:space="0" w:color="auto"/>
        <w:right w:val="none" w:sz="0" w:space="0" w:color="auto"/>
      </w:divBdr>
    </w:div>
    <w:div w:id="2002392981">
      <w:bodyDiv w:val="1"/>
      <w:marLeft w:val="0"/>
      <w:marRight w:val="0"/>
      <w:marTop w:val="0"/>
      <w:marBottom w:val="0"/>
      <w:divBdr>
        <w:top w:val="none" w:sz="0" w:space="0" w:color="auto"/>
        <w:left w:val="none" w:sz="0" w:space="0" w:color="auto"/>
        <w:bottom w:val="none" w:sz="0" w:space="0" w:color="auto"/>
        <w:right w:val="none" w:sz="0" w:space="0" w:color="auto"/>
      </w:divBdr>
    </w:div>
    <w:div w:id="2004385327">
      <w:bodyDiv w:val="1"/>
      <w:marLeft w:val="0"/>
      <w:marRight w:val="0"/>
      <w:marTop w:val="0"/>
      <w:marBottom w:val="0"/>
      <w:divBdr>
        <w:top w:val="none" w:sz="0" w:space="0" w:color="auto"/>
        <w:left w:val="none" w:sz="0" w:space="0" w:color="auto"/>
        <w:bottom w:val="none" w:sz="0" w:space="0" w:color="auto"/>
        <w:right w:val="none" w:sz="0" w:space="0" w:color="auto"/>
      </w:divBdr>
    </w:div>
    <w:div w:id="2015496296">
      <w:bodyDiv w:val="1"/>
      <w:marLeft w:val="0"/>
      <w:marRight w:val="0"/>
      <w:marTop w:val="0"/>
      <w:marBottom w:val="0"/>
      <w:divBdr>
        <w:top w:val="none" w:sz="0" w:space="0" w:color="auto"/>
        <w:left w:val="none" w:sz="0" w:space="0" w:color="auto"/>
        <w:bottom w:val="none" w:sz="0" w:space="0" w:color="auto"/>
        <w:right w:val="none" w:sz="0" w:space="0" w:color="auto"/>
      </w:divBdr>
    </w:div>
    <w:div w:id="2029672873">
      <w:bodyDiv w:val="1"/>
      <w:marLeft w:val="0"/>
      <w:marRight w:val="0"/>
      <w:marTop w:val="0"/>
      <w:marBottom w:val="0"/>
      <w:divBdr>
        <w:top w:val="none" w:sz="0" w:space="0" w:color="auto"/>
        <w:left w:val="none" w:sz="0" w:space="0" w:color="auto"/>
        <w:bottom w:val="none" w:sz="0" w:space="0" w:color="auto"/>
        <w:right w:val="none" w:sz="0" w:space="0" w:color="auto"/>
      </w:divBdr>
    </w:div>
    <w:div w:id="2040934778">
      <w:bodyDiv w:val="1"/>
      <w:marLeft w:val="0"/>
      <w:marRight w:val="0"/>
      <w:marTop w:val="0"/>
      <w:marBottom w:val="0"/>
      <w:divBdr>
        <w:top w:val="none" w:sz="0" w:space="0" w:color="auto"/>
        <w:left w:val="none" w:sz="0" w:space="0" w:color="auto"/>
        <w:bottom w:val="none" w:sz="0" w:space="0" w:color="auto"/>
        <w:right w:val="none" w:sz="0" w:space="0" w:color="auto"/>
      </w:divBdr>
    </w:div>
    <w:div w:id="2044820481">
      <w:bodyDiv w:val="1"/>
      <w:marLeft w:val="0"/>
      <w:marRight w:val="0"/>
      <w:marTop w:val="0"/>
      <w:marBottom w:val="0"/>
      <w:divBdr>
        <w:top w:val="none" w:sz="0" w:space="0" w:color="auto"/>
        <w:left w:val="none" w:sz="0" w:space="0" w:color="auto"/>
        <w:bottom w:val="none" w:sz="0" w:space="0" w:color="auto"/>
        <w:right w:val="none" w:sz="0" w:space="0" w:color="auto"/>
      </w:divBdr>
    </w:div>
    <w:div w:id="2083678373">
      <w:bodyDiv w:val="1"/>
      <w:marLeft w:val="0"/>
      <w:marRight w:val="0"/>
      <w:marTop w:val="0"/>
      <w:marBottom w:val="0"/>
      <w:divBdr>
        <w:top w:val="none" w:sz="0" w:space="0" w:color="auto"/>
        <w:left w:val="none" w:sz="0" w:space="0" w:color="auto"/>
        <w:bottom w:val="none" w:sz="0" w:space="0" w:color="auto"/>
        <w:right w:val="none" w:sz="0" w:space="0" w:color="auto"/>
      </w:divBdr>
    </w:div>
    <w:div w:id="2124111050">
      <w:bodyDiv w:val="1"/>
      <w:marLeft w:val="0"/>
      <w:marRight w:val="0"/>
      <w:marTop w:val="0"/>
      <w:marBottom w:val="0"/>
      <w:divBdr>
        <w:top w:val="none" w:sz="0" w:space="0" w:color="auto"/>
        <w:left w:val="none" w:sz="0" w:space="0" w:color="auto"/>
        <w:bottom w:val="none" w:sz="0" w:space="0" w:color="auto"/>
        <w:right w:val="none" w:sz="0" w:space="0" w:color="auto"/>
      </w:divBdr>
    </w:div>
    <w:div w:id="2133862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nd/3.0/au/" TargetMode="Externa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11.png"/><Relationship Id="rId21" Type="http://schemas.openxmlformats.org/officeDocument/2006/relationships/footer" Target="footer4.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eader" Target="header12.xml"/><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hyperlink" Target="http://www.aph.gov.au/About_Parliament/Parliamentary_Departments/Parliamentary_Budget_Office/reports/Australian_Government_spending" TargetMode="External"/><Relationship Id="rId68"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oter" Target="footer9.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1.xml"/><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image" Target="media/image8.png"/><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8.xml"/><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footer" Target="footer11.xml"/><Relationship Id="rId56" Type="http://schemas.openxmlformats.org/officeDocument/2006/relationships/image" Target="media/image24.png"/><Relationship Id="rId64" Type="http://schemas.openxmlformats.org/officeDocument/2006/relationships/header" Target="header13.xml"/><Relationship Id="rId69"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0.xml"/><Relationship Id="rId38" Type="http://schemas.openxmlformats.org/officeDocument/2006/relationships/image" Target="media/image10.png"/><Relationship Id="rId46" Type="http://schemas.openxmlformats.org/officeDocument/2006/relationships/footer" Target="footer10.xml"/><Relationship Id="rId59" Type="http://schemas.openxmlformats.org/officeDocument/2006/relationships/image" Target="media/image27.png"/><Relationship Id="rId67" Type="http://schemas.openxmlformats.org/officeDocument/2006/relationships/footer" Target="footer14.xml"/><Relationship Id="rId20" Type="http://schemas.openxmlformats.org/officeDocument/2006/relationships/header" Target="header6.xml"/><Relationship Id="rId41" Type="http://schemas.openxmlformats.org/officeDocument/2006/relationships/image" Target="media/image13.png"/><Relationship Id="rId54" Type="http://schemas.openxmlformats.org/officeDocument/2006/relationships/image" Target="media/image22.png"/><Relationship Id="rId62" Type="http://schemas.openxmlformats.org/officeDocument/2006/relationships/footer" Target="footer12.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ph.gov.au/About_Parliament/Parliamentary_Departments/Parliamentary_Budget_Office/reports/Australian_Government_spending" TargetMode="External"/><Relationship Id="rId2" Type="http://schemas.openxmlformats.org/officeDocument/2006/relationships/hyperlink" Target="http://www.aph.gov.au/About_Parliament/Parliamentary_Departments/Parliamentary_Budget_Office/reports/Trends_in_Australian_Government_receipts" TargetMode="External"/><Relationship Id="rId1" Type="http://schemas.openxmlformats.org/officeDocument/2006/relationships/hyperlink" Target="http://www.aph.gov.au/About_Parliament/Parliamentary_Departments/Parliamentary_Budget_Office/reports/Australian_Government_spe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9BD14-E4D3-4982-9134-857833B43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14567</Words>
  <Characters>75724</Characters>
  <Application>Microsoft Office Word</Application>
  <DocSecurity>0</DocSecurity>
  <Lines>631</Lines>
  <Paragraphs>180</Paragraphs>
  <ScaleCrop>false</ScaleCrop>
  <HeadingPairs>
    <vt:vector size="2" baseType="variant">
      <vt:variant>
        <vt:lpstr>Title</vt:lpstr>
      </vt:variant>
      <vt:variant>
        <vt:i4>1</vt:i4>
      </vt:variant>
    </vt:vector>
  </HeadingPairs>
  <TitlesOfParts>
    <vt:vector size="1" baseType="lpstr">
      <vt:lpstr>Parliamentary Budget Office template</vt:lpstr>
    </vt:vector>
  </TitlesOfParts>
  <Company>Kylie Smith Design</Company>
  <LinksUpToDate>false</LinksUpToDate>
  <CharactersWithSpaces>90111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Projectons of Government spending over the medium term</dc:title>
  <dc:creator>PBO@pbo.gov.au</dc:creator>
  <cp:lastModifiedBy>Milligan, Louise (PBO)</cp:lastModifiedBy>
  <cp:revision>3</cp:revision>
  <cp:lastPrinted>2014-08-21T23:22:00Z</cp:lastPrinted>
  <dcterms:created xsi:type="dcterms:W3CDTF">2015-07-02T22:50:00Z</dcterms:created>
  <dcterms:modified xsi:type="dcterms:W3CDTF">2015-07-02T22:51:00Z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