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3.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C5F" w:rsidRPr="009F5F36" w:rsidRDefault="003E04E1" w:rsidP="00ED5CDA">
      <w:pPr>
        <w:pStyle w:val="Title"/>
      </w:pPr>
      <w:r>
        <w:t>Australian G</w:t>
      </w:r>
      <w:r w:rsidR="00F6245A" w:rsidRPr="009F5F36">
        <w:t>overnment spending</w:t>
      </w:r>
    </w:p>
    <w:p w:rsidR="003A3130" w:rsidRPr="000B50F5" w:rsidRDefault="00AB5396" w:rsidP="000B50F5">
      <w:pPr>
        <w:pStyle w:val="Subtitle"/>
      </w:pPr>
      <w:r w:rsidRPr="000B50F5">
        <w:t>Part 1</w:t>
      </w:r>
      <w:r w:rsidR="0041689A" w:rsidRPr="000B50F5">
        <w:t>: Historical trends from 2002</w:t>
      </w:r>
      <w:r w:rsidR="0041689A" w:rsidRPr="000B50F5">
        <w:noBreakHyphen/>
        <w:t>03 to 2012</w:t>
      </w:r>
      <w:r w:rsidR="0041689A" w:rsidRPr="000B50F5">
        <w:noBreakHyphen/>
      </w:r>
      <w:r w:rsidR="00F6245A" w:rsidRPr="000B50F5">
        <w:t>13</w:t>
      </w:r>
    </w:p>
    <w:p w:rsidR="00D54741" w:rsidRPr="000B50F5" w:rsidRDefault="003A3130" w:rsidP="000B50F5">
      <w:pPr>
        <w:pStyle w:val="Subtitle"/>
        <w:spacing w:before="480"/>
        <w:rPr>
          <w:i/>
        </w:rPr>
      </w:pPr>
      <w:r w:rsidRPr="000B50F5">
        <w:rPr>
          <w:i/>
        </w:rPr>
        <w:t>02/2013</w:t>
      </w:r>
    </w:p>
    <w:p w:rsidR="004F0C5F" w:rsidRPr="003A3130" w:rsidRDefault="004F0C5F" w:rsidP="00D54741">
      <w:pPr>
        <w:pStyle w:val="PBOheading2"/>
        <w:spacing w:before="480" w:after="114"/>
      </w:pPr>
    </w:p>
    <w:p w:rsidR="004F0C5F" w:rsidRDefault="004F0C5F" w:rsidP="00403A0B">
      <w:pPr>
        <w:pStyle w:val="Title"/>
        <w:sectPr w:rsidR="004F0C5F" w:rsidSect="00DA4DAA">
          <w:footerReference w:type="default" r:id="rId9"/>
          <w:pgSz w:w="11900" w:h="16840"/>
          <w:pgMar w:top="1440" w:right="1797" w:bottom="1440" w:left="1797" w:header="709" w:footer="709" w:gutter="0"/>
          <w:pgNumType w:fmt="lowerRoman" w:start="1"/>
          <w:cols w:space="708"/>
          <w:titlePg/>
          <w:docGrid w:linePitch="326"/>
        </w:sectPr>
      </w:pPr>
    </w:p>
    <w:p w:rsidR="005F24F2" w:rsidRDefault="005F24F2" w:rsidP="003A3130">
      <w:pPr>
        <w:pStyle w:val="PBOtext"/>
        <w:spacing w:before="6000"/>
      </w:pPr>
      <w:r w:rsidRPr="006461A3">
        <w:lastRenderedPageBreak/>
        <w:t>© Commonwealth of Australia 2013</w:t>
      </w:r>
    </w:p>
    <w:p w:rsidR="005F24F2" w:rsidRDefault="005F24F2" w:rsidP="003A3130">
      <w:pPr>
        <w:pStyle w:val="PBOtext"/>
        <w:spacing w:before="0" w:after="0"/>
      </w:pPr>
      <w:r>
        <w:t xml:space="preserve">ISBN </w:t>
      </w:r>
      <w:r w:rsidR="0051761E">
        <w:t xml:space="preserve">978-0-9874429-5-6 </w:t>
      </w:r>
      <w:r>
        <w:t>(Print)</w:t>
      </w:r>
    </w:p>
    <w:p w:rsidR="005F24F2" w:rsidRDefault="0051761E" w:rsidP="003A3130">
      <w:pPr>
        <w:pStyle w:val="PBOtext"/>
        <w:spacing w:before="0" w:after="240"/>
      </w:pPr>
      <w:r>
        <w:t>ISBN 978-0-9874429-6-3</w:t>
      </w:r>
      <w:r w:rsidR="005F24F2">
        <w:t xml:space="preserve"> (Online)</w:t>
      </w:r>
    </w:p>
    <w:p w:rsidR="005F24F2" w:rsidRDefault="005F24F2" w:rsidP="003A3130">
      <w:pPr>
        <w:pStyle w:val="PBOtext"/>
        <w:spacing w:before="0"/>
      </w:pPr>
      <w:r w:rsidRPr="00E5279B">
        <w:t>This work is licensed under the Creative Commons Attribution-</w:t>
      </w:r>
      <w:proofErr w:type="spellStart"/>
      <w:r w:rsidRPr="00E5279B">
        <w:t>NonCommercial</w:t>
      </w:r>
      <w:proofErr w:type="spellEnd"/>
      <w:r w:rsidRPr="00E5279B">
        <w:t>-</w:t>
      </w:r>
      <w:proofErr w:type="spellStart"/>
      <w:r w:rsidRPr="00E5279B">
        <w:t>NoDerivs</w:t>
      </w:r>
      <w:proofErr w:type="spellEnd"/>
      <w:r w:rsidRPr="00E5279B">
        <w:t xml:space="preserve"> 3.0 Australia License.</w:t>
      </w:r>
    </w:p>
    <w:p w:rsidR="005F24F2" w:rsidRDefault="005F24F2" w:rsidP="003A3130">
      <w:pPr>
        <w:pStyle w:val="PBOtext"/>
        <w:spacing w:before="0"/>
      </w:pPr>
      <w:r>
        <w:rPr>
          <w:noProof/>
        </w:rPr>
        <w:drawing>
          <wp:inline distT="0" distB="0" distL="0" distR="0" wp14:anchorId="56C88CD0" wp14:editId="66CEDF87">
            <wp:extent cx="1110615" cy="391795"/>
            <wp:effectExtent l="0" t="0" r="0" b="8255"/>
            <wp:docPr id="13"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0615" cy="391795"/>
                    </a:xfrm>
                    <a:prstGeom prst="rect">
                      <a:avLst/>
                    </a:prstGeom>
                    <a:noFill/>
                    <a:ln>
                      <a:noFill/>
                    </a:ln>
                  </pic:spPr>
                </pic:pic>
              </a:graphicData>
            </a:graphic>
          </wp:inline>
        </w:drawing>
      </w:r>
    </w:p>
    <w:p w:rsidR="005F24F2" w:rsidRDefault="005F24F2" w:rsidP="003A3130">
      <w:pPr>
        <w:pStyle w:val="PBOtext"/>
        <w:spacing w:before="0" w:after="240"/>
      </w:pPr>
      <w:r w:rsidRPr="00E5279B">
        <w:t>The details of this licence are available o</w:t>
      </w:r>
      <w:r w:rsidR="00F658DA">
        <w:t xml:space="preserve">n the </w:t>
      </w:r>
      <w:hyperlink r:id="rId11" w:history="1">
        <w:r w:rsidR="00F658DA" w:rsidRPr="00567994">
          <w:rPr>
            <w:rStyle w:val="Hyperlink"/>
          </w:rPr>
          <w:t>Creative Commons website</w:t>
        </w:r>
      </w:hyperlink>
      <w:proofErr w:type="gramStart"/>
      <w:r w:rsidR="00567994">
        <w:t>:</w:t>
      </w:r>
      <w:proofErr w:type="gramEnd"/>
      <w:r w:rsidR="00F658DA">
        <w:br/>
      </w:r>
      <w:r w:rsidRPr="00E5279B">
        <w:t>http://creativecommons.org/licenses/by-nc-nd/3.0/au/</w:t>
      </w:r>
    </w:p>
    <w:p w:rsidR="005F24F2" w:rsidRPr="003A3130" w:rsidRDefault="005F24F2" w:rsidP="003A3130">
      <w:pPr>
        <w:pStyle w:val="PBOtext"/>
        <w:spacing w:before="0" w:after="0"/>
        <w:rPr>
          <w:b/>
        </w:rPr>
      </w:pPr>
      <w:r w:rsidRPr="003A3130">
        <w:rPr>
          <w:b/>
        </w:rPr>
        <w:t>Use of the Coat of Arms</w:t>
      </w:r>
    </w:p>
    <w:p w:rsidR="005F24F2" w:rsidRPr="001B7F59" w:rsidRDefault="005F24F2" w:rsidP="003A3130">
      <w:pPr>
        <w:pStyle w:val="PBOtext"/>
        <w:spacing w:before="0" w:after="240"/>
      </w:pPr>
      <w:r>
        <w:t>The terms under which the Coat of Arms can be used are detailed</w:t>
      </w:r>
      <w:r w:rsidR="00F658DA">
        <w:t xml:space="preserve"> on the following website</w:t>
      </w:r>
      <w:proofErr w:type="gramStart"/>
      <w:r w:rsidR="00F658DA">
        <w:t>:</w:t>
      </w:r>
      <w:proofErr w:type="gramEnd"/>
      <w:r w:rsidR="00F658DA">
        <w:br/>
      </w:r>
      <w:r>
        <w:t>w</w:t>
      </w:r>
      <w:r w:rsidR="00F658DA">
        <w:t>ww.itsanhonour.gov.au/coat-arms</w:t>
      </w:r>
    </w:p>
    <w:p w:rsidR="005F24F2" w:rsidRDefault="005F24F2" w:rsidP="003A3130">
      <w:pPr>
        <w:pStyle w:val="PBOtext"/>
        <w:spacing w:before="0" w:after="0"/>
      </w:pPr>
      <w:r w:rsidRPr="001F26D3">
        <w:rPr>
          <w:b/>
        </w:rPr>
        <w:t>Produced by:</w:t>
      </w:r>
      <w:r>
        <w:t xml:space="preserve"> Parliamentary Budget Office</w:t>
      </w:r>
    </w:p>
    <w:p w:rsidR="005F24F2" w:rsidRPr="006667FF" w:rsidRDefault="002A3DC5" w:rsidP="003A3130">
      <w:pPr>
        <w:pStyle w:val="PBOtext"/>
        <w:spacing w:before="0" w:after="240"/>
        <w:rPr>
          <w:b/>
        </w:rPr>
      </w:pPr>
      <w:r>
        <w:rPr>
          <w:b/>
        </w:rPr>
        <w:t>Design consultants</w:t>
      </w:r>
      <w:r w:rsidR="005F24F2" w:rsidRPr="006667FF">
        <w:rPr>
          <w:b/>
        </w:rPr>
        <w:t>:</w:t>
      </w:r>
      <w:r w:rsidR="005F24F2" w:rsidRPr="006667FF">
        <w:t xml:space="preserve"> Wilton Hanford Hanover Pty Ltd</w:t>
      </w:r>
    </w:p>
    <w:p w:rsidR="005F24F2" w:rsidRPr="003A3130" w:rsidRDefault="005F24F2" w:rsidP="003A3130">
      <w:pPr>
        <w:pStyle w:val="PBOtext"/>
        <w:spacing w:before="0" w:after="0"/>
        <w:rPr>
          <w:b/>
        </w:rPr>
      </w:pPr>
      <w:r w:rsidRPr="003A3130">
        <w:rPr>
          <w:b/>
        </w:rPr>
        <w:t>Assistant Parliamentary Budget Officer</w:t>
      </w:r>
    </w:p>
    <w:p w:rsidR="005F24F2" w:rsidRDefault="005F24F2" w:rsidP="003A3130">
      <w:pPr>
        <w:pStyle w:val="PBOtext"/>
        <w:spacing w:before="0"/>
      </w:pPr>
      <w:r>
        <w:t>Fiscal Policy Analysis Division</w:t>
      </w:r>
    </w:p>
    <w:p w:rsidR="005F24F2" w:rsidRDefault="005F24F2" w:rsidP="003A3130">
      <w:pPr>
        <w:pStyle w:val="PBOtext"/>
        <w:spacing w:before="0" w:after="0"/>
      </w:pPr>
      <w:r>
        <w:t>Parliamentary Budget Office</w:t>
      </w:r>
    </w:p>
    <w:p w:rsidR="005F24F2" w:rsidRDefault="005F24F2" w:rsidP="003A3130">
      <w:pPr>
        <w:pStyle w:val="PBOtext"/>
        <w:spacing w:before="0" w:after="0"/>
      </w:pPr>
      <w:r>
        <w:t>Parliament House</w:t>
      </w:r>
    </w:p>
    <w:p w:rsidR="005F24F2" w:rsidRDefault="005F24F2" w:rsidP="003A3130">
      <w:pPr>
        <w:pStyle w:val="PBOtext"/>
        <w:spacing w:before="0" w:after="0"/>
      </w:pPr>
      <w:r>
        <w:t>PO Box 6010</w:t>
      </w:r>
    </w:p>
    <w:p w:rsidR="005F24F2" w:rsidRDefault="005F24F2" w:rsidP="003A3130">
      <w:pPr>
        <w:pStyle w:val="PBOtext"/>
        <w:spacing w:before="0"/>
      </w:pPr>
      <w:proofErr w:type="gramStart"/>
      <w:r>
        <w:t>CANBERRA  ACT</w:t>
      </w:r>
      <w:proofErr w:type="gramEnd"/>
      <w:r>
        <w:t xml:space="preserve">  2600</w:t>
      </w:r>
    </w:p>
    <w:p w:rsidR="005F24F2" w:rsidRDefault="005F24F2" w:rsidP="003A3130">
      <w:pPr>
        <w:pStyle w:val="PBOtext"/>
        <w:spacing w:before="0" w:after="0"/>
      </w:pPr>
      <w:r>
        <w:t>Phone: (02) 6277 9500</w:t>
      </w:r>
    </w:p>
    <w:p w:rsidR="00B55FD7" w:rsidRDefault="005F24F2" w:rsidP="003A3130">
      <w:pPr>
        <w:pStyle w:val="PBOtext"/>
        <w:spacing w:before="0" w:after="0"/>
        <w:sectPr w:rsidR="00B55FD7" w:rsidSect="00DA4DAA">
          <w:headerReference w:type="first" r:id="rId12"/>
          <w:pgSz w:w="11900" w:h="16840"/>
          <w:pgMar w:top="1440" w:right="1797" w:bottom="1440" w:left="1797" w:header="709" w:footer="709" w:gutter="0"/>
          <w:pgNumType w:fmt="lowerRoman" w:start="2"/>
          <w:cols w:space="708"/>
          <w:titlePg/>
          <w:docGrid w:linePitch="326"/>
        </w:sectPr>
      </w:pPr>
      <w:r>
        <w:t>Email:</w:t>
      </w:r>
      <w:r w:rsidR="000E7E28">
        <w:t xml:space="preserve"> </w:t>
      </w:r>
      <w:r>
        <w:t>pbo@pbo.gov.au</w:t>
      </w:r>
    </w:p>
    <w:p w:rsidR="00733F9C" w:rsidRDefault="00C224D7" w:rsidP="003B0904">
      <w:pPr>
        <w:pStyle w:val="Heading1"/>
      </w:pPr>
      <w:bookmarkStart w:id="0" w:name="_Toc372706650"/>
      <w:bookmarkStart w:id="1" w:name="_Toc373778488"/>
      <w:r>
        <w:lastRenderedPageBreak/>
        <w:t>Contents</w:t>
      </w:r>
      <w:bookmarkEnd w:id="0"/>
      <w:bookmarkEnd w:id="1"/>
      <w:r w:rsidR="0009361D">
        <w:rPr>
          <w:color w:val="336AAD"/>
        </w:rPr>
        <w:fldChar w:fldCharType="begin"/>
      </w:r>
      <w:r w:rsidR="0009361D">
        <w:instrText xml:space="preserve"> TOC \o "1-1" \u </w:instrText>
      </w:r>
      <w:r w:rsidR="0009361D">
        <w:rPr>
          <w:color w:val="336AAD"/>
        </w:rPr>
        <w:fldChar w:fldCharType="separate"/>
      </w:r>
    </w:p>
    <w:p w:rsidR="00733F9C" w:rsidRPr="00733F9C" w:rsidRDefault="00733F9C" w:rsidP="001B2F44">
      <w:pPr>
        <w:pStyle w:val="TOC1"/>
        <w:rPr>
          <w:rFonts w:asciiTheme="minorHAnsi" w:eastAsiaTheme="minorEastAsia" w:hAnsiTheme="minorHAnsi" w:cstheme="minorBidi"/>
          <w:noProof/>
          <w:sz w:val="22"/>
          <w:szCs w:val="22"/>
        </w:rPr>
      </w:pPr>
      <w:r w:rsidRPr="00733F9C">
        <w:rPr>
          <w:noProof/>
        </w:rPr>
        <w:t>Foreword</w:t>
      </w:r>
      <w:r w:rsidRPr="00733F9C">
        <w:rPr>
          <w:noProof/>
        </w:rPr>
        <w:tab/>
      </w:r>
      <w:r w:rsidR="001B2F44" w:rsidRPr="001B2F44">
        <w:rPr>
          <w:noProof/>
          <w:color w:val="FFFFFF" w:themeColor="background1"/>
        </w:rPr>
        <w:tab/>
      </w:r>
      <w:r w:rsidRPr="00733F9C">
        <w:rPr>
          <w:noProof/>
        </w:rPr>
        <w:fldChar w:fldCharType="begin"/>
      </w:r>
      <w:r w:rsidRPr="00733F9C">
        <w:rPr>
          <w:noProof/>
        </w:rPr>
        <w:instrText xml:space="preserve"> PAGEREF _Toc374349457 \h </w:instrText>
      </w:r>
      <w:r w:rsidRPr="00733F9C">
        <w:rPr>
          <w:noProof/>
        </w:rPr>
      </w:r>
      <w:r w:rsidRPr="00733F9C">
        <w:rPr>
          <w:noProof/>
        </w:rPr>
        <w:fldChar w:fldCharType="separate"/>
      </w:r>
      <w:r w:rsidR="00E862AC">
        <w:rPr>
          <w:noProof/>
        </w:rPr>
        <w:t>v</w:t>
      </w:r>
      <w:r w:rsidRPr="00733F9C">
        <w:rPr>
          <w:noProof/>
        </w:rPr>
        <w:fldChar w:fldCharType="end"/>
      </w:r>
    </w:p>
    <w:p w:rsidR="00733F9C" w:rsidRPr="00462F41" w:rsidRDefault="00733F9C" w:rsidP="001B2F44">
      <w:pPr>
        <w:pStyle w:val="TOC1"/>
        <w:rPr>
          <w:rFonts w:asciiTheme="minorHAnsi" w:eastAsiaTheme="minorEastAsia" w:hAnsiTheme="minorHAnsi" w:cstheme="minorBidi"/>
          <w:noProof/>
        </w:rPr>
      </w:pPr>
      <w:r w:rsidRPr="00462F41">
        <w:rPr>
          <w:noProof/>
        </w:rPr>
        <w:t>Summary</w:t>
      </w:r>
      <w:r w:rsidR="00462F41" w:rsidRPr="00462F41">
        <w:rPr>
          <w:noProof/>
        </w:rPr>
        <w:tab/>
      </w:r>
      <w:r w:rsidR="001B2F44" w:rsidRPr="001B2F44">
        <w:rPr>
          <w:noProof/>
          <w:color w:val="FFFFFF" w:themeColor="background1"/>
        </w:rPr>
        <w:tab/>
      </w:r>
      <w:r w:rsidRPr="00462F41">
        <w:rPr>
          <w:noProof/>
        </w:rPr>
        <w:fldChar w:fldCharType="begin"/>
      </w:r>
      <w:r w:rsidRPr="00462F41">
        <w:rPr>
          <w:noProof/>
        </w:rPr>
        <w:instrText xml:space="preserve"> PAGEREF _Toc374349458 \h </w:instrText>
      </w:r>
      <w:r w:rsidRPr="00462F41">
        <w:rPr>
          <w:noProof/>
        </w:rPr>
      </w:r>
      <w:r w:rsidRPr="00462F41">
        <w:rPr>
          <w:noProof/>
        </w:rPr>
        <w:fldChar w:fldCharType="separate"/>
      </w:r>
      <w:r w:rsidR="00E862AC">
        <w:rPr>
          <w:noProof/>
        </w:rPr>
        <w:t>1</w:t>
      </w:r>
      <w:r w:rsidRPr="00462F41">
        <w:rPr>
          <w:noProof/>
        </w:rPr>
        <w:fldChar w:fldCharType="end"/>
      </w:r>
    </w:p>
    <w:p w:rsidR="00733F9C" w:rsidRPr="00462F41" w:rsidRDefault="00733F9C" w:rsidP="001B2F44">
      <w:pPr>
        <w:pStyle w:val="TOC1"/>
        <w:rPr>
          <w:rFonts w:asciiTheme="minorHAnsi" w:eastAsiaTheme="minorEastAsia" w:hAnsiTheme="minorHAnsi" w:cstheme="minorBidi"/>
          <w:noProof/>
        </w:rPr>
      </w:pPr>
      <w:r w:rsidRPr="00462F41">
        <w:rPr>
          <w:noProof/>
        </w:rPr>
        <w:t>1</w:t>
      </w:r>
      <w:r w:rsidRPr="00462F41">
        <w:rPr>
          <w:rFonts w:asciiTheme="minorHAnsi" w:eastAsiaTheme="minorEastAsia" w:hAnsiTheme="minorHAnsi" w:cstheme="minorBidi"/>
          <w:noProof/>
        </w:rPr>
        <w:tab/>
      </w:r>
      <w:r w:rsidRPr="00462F41">
        <w:rPr>
          <w:noProof/>
        </w:rPr>
        <w:t>Total government spending</w:t>
      </w:r>
      <w:r w:rsidRPr="00462F41">
        <w:rPr>
          <w:noProof/>
        </w:rPr>
        <w:tab/>
      </w:r>
      <w:r w:rsidR="001B2F44" w:rsidRPr="001B2F44">
        <w:rPr>
          <w:noProof/>
          <w:color w:val="FFFFFF" w:themeColor="background1"/>
        </w:rPr>
        <w:tab/>
      </w:r>
      <w:r w:rsidRPr="00462F41">
        <w:rPr>
          <w:noProof/>
        </w:rPr>
        <w:fldChar w:fldCharType="begin"/>
      </w:r>
      <w:r w:rsidRPr="00462F41">
        <w:rPr>
          <w:noProof/>
        </w:rPr>
        <w:instrText xml:space="preserve"> PAGEREF _Toc374349459 \h </w:instrText>
      </w:r>
      <w:r w:rsidRPr="00462F41">
        <w:rPr>
          <w:noProof/>
        </w:rPr>
      </w:r>
      <w:r w:rsidRPr="00462F41">
        <w:rPr>
          <w:noProof/>
        </w:rPr>
        <w:fldChar w:fldCharType="separate"/>
      </w:r>
      <w:r w:rsidR="00E862AC">
        <w:rPr>
          <w:noProof/>
        </w:rPr>
        <w:t>3</w:t>
      </w:r>
      <w:r w:rsidRPr="00462F41">
        <w:rPr>
          <w:noProof/>
        </w:rPr>
        <w:fldChar w:fldCharType="end"/>
      </w:r>
    </w:p>
    <w:p w:rsidR="00733F9C" w:rsidRPr="00462F41" w:rsidRDefault="00733F9C" w:rsidP="001B2F44">
      <w:pPr>
        <w:pStyle w:val="TOC1"/>
        <w:rPr>
          <w:rFonts w:asciiTheme="minorHAnsi" w:eastAsiaTheme="minorEastAsia" w:hAnsiTheme="minorHAnsi" w:cstheme="minorBidi"/>
          <w:noProof/>
        </w:rPr>
      </w:pPr>
      <w:r w:rsidRPr="00462F41">
        <w:rPr>
          <w:noProof/>
        </w:rPr>
        <w:t>2</w:t>
      </w:r>
      <w:r w:rsidRPr="00462F41">
        <w:rPr>
          <w:rFonts w:asciiTheme="minorHAnsi" w:eastAsiaTheme="minorEastAsia" w:hAnsiTheme="minorHAnsi" w:cstheme="minorBidi"/>
          <w:noProof/>
        </w:rPr>
        <w:tab/>
      </w:r>
      <w:r w:rsidRPr="00462F41">
        <w:rPr>
          <w:noProof/>
        </w:rPr>
        <w:t>Social security and welfare expenses</w:t>
      </w:r>
      <w:r w:rsidRPr="00462F41">
        <w:rPr>
          <w:noProof/>
        </w:rPr>
        <w:tab/>
      </w:r>
      <w:r w:rsidRPr="00462F41">
        <w:rPr>
          <w:noProof/>
        </w:rPr>
        <w:fldChar w:fldCharType="begin"/>
      </w:r>
      <w:r w:rsidRPr="00462F41">
        <w:rPr>
          <w:noProof/>
        </w:rPr>
        <w:instrText xml:space="preserve"> PAGEREF _Toc374349460 \h </w:instrText>
      </w:r>
      <w:r w:rsidRPr="00462F41">
        <w:rPr>
          <w:noProof/>
        </w:rPr>
      </w:r>
      <w:r w:rsidRPr="00462F41">
        <w:rPr>
          <w:noProof/>
        </w:rPr>
        <w:fldChar w:fldCharType="separate"/>
      </w:r>
      <w:r w:rsidR="00E862AC">
        <w:rPr>
          <w:noProof/>
        </w:rPr>
        <w:t>10</w:t>
      </w:r>
      <w:r w:rsidRPr="00462F41">
        <w:rPr>
          <w:noProof/>
        </w:rPr>
        <w:fldChar w:fldCharType="end"/>
      </w:r>
    </w:p>
    <w:p w:rsidR="00733F9C" w:rsidRPr="00462F41" w:rsidRDefault="00733F9C" w:rsidP="001B2F44">
      <w:pPr>
        <w:pStyle w:val="TOC1"/>
        <w:rPr>
          <w:rFonts w:asciiTheme="minorHAnsi" w:eastAsiaTheme="minorEastAsia" w:hAnsiTheme="minorHAnsi" w:cstheme="minorBidi"/>
          <w:noProof/>
        </w:rPr>
      </w:pPr>
      <w:r w:rsidRPr="00462F41">
        <w:rPr>
          <w:noProof/>
        </w:rPr>
        <w:t>3</w:t>
      </w:r>
      <w:r w:rsidRPr="00462F41">
        <w:rPr>
          <w:rFonts w:asciiTheme="minorHAnsi" w:eastAsiaTheme="minorEastAsia" w:hAnsiTheme="minorHAnsi" w:cstheme="minorBidi"/>
          <w:noProof/>
        </w:rPr>
        <w:tab/>
      </w:r>
      <w:r w:rsidRPr="00462F41">
        <w:rPr>
          <w:noProof/>
        </w:rPr>
        <w:t>Other purposes expenses</w:t>
      </w:r>
      <w:r w:rsidRPr="00462F41">
        <w:rPr>
          <w:noProof/>
        </w:rPr>
        <w:tab/>
      </w:r>
      <w:r w:rsidRPr="00462F41">
        <w:rPr>
          <w:noProof/>
        </w:rPr>
        <w:fldChar w:fldCharType="begin"/>
      </w:r>
      <w:r w:rsidRPr="00462F41">
        <w:rPr>
          <w:noProof/>
        </w:rPr>
        <w:instrText xml:space="preserve"> PAGEREF _Toc374349461 \h </w:instrText>
      </w:r>
      <w:r w:rsidRPr="00462F41">
        <w:rPr>
          <w:noProof/>
        </w:rPr>
      </w:r>
      <w:r w:rsidRPr="00462F41">
        <w:rPr>
          <w:noProof/>
        </w:rPr>
        <w:fldChar w:fldCharType="separate"/>
      </w:r>
      <w:r w:rsidR="00E862AC">
        <w:rPr>
          <w:noProof/>
        </w:rPr>
        <w:t>16</w:t>
      </w:r>
      <w:r w:rsidRPr="00462F41">
        <w:rPr>
          <w:noProof/>
        </w:rPr>
        <w:fldChar w:fldCharType="end"/>
      </w:r>
    </w:p>
    <w:p w:rsidR="00733F9C" w:rsidRPr="00462F41" w:rsidRDefault="00733F9C" w:rsidP="001B2F44">
      <w:pPr>
        <w:pStyle w:val="TOC1"/>
        <w:rPr>
          <w:rFonts w:asciiTheme="minorHAnsi" w:eastAsiaTheme="minorEastAsia" w:hAnsiTheme="minorHAnsi" w:cstheme="minorBidi"/>
          <w:noProof/>
        </w:rPr>
      </w:pPr>
      <w:r w:rsidRPr="00462F41">
        <w:rPr>
          <w:noProof/>
        </w:rPr>
        <w:t>4</w:t>
      </w:r>
      <w:r w:rsidRPr="00462F41">
        <w:rPr>
          <w:rFonts w:asciiTheme="minorHAnsi" w:eastAsiaTheme="minorEastAsia" w:hAnsiTheme="minorHAnsi" w:cstheme="minorBidi"/>
          <w:noProof/>
        </w:rPr>
        <w:tab/>
      </w:r>
      <w:r w:rsidRPr="00462F41">
        <w:rPr>
          <w:noProof/>
        </w:rPr>
        <w:t>Health expenses</w:t>
      </w:r>
      <w:r w:rsidRPr="00462F41">
        <w:rPr>
          <w:noProof/>
        </w:rPr>
        <w:tab/>
      </w:r>
      <w:r w:rsidRPr="00462F41">
        <w:rPr>
          <w:noProof/>
        </w:rPr>
        <w:fldChar w:fldCharType="begin"/>
      </w:r>
      <w:r w:rsidRPr="00462F41">
        <w:rPr>
          <w:noProof/>
        </w:rPr>
        <w:instrText xml:space="preserve"> PAGEREF _Toc374349462 \h </w:instrText>
      </w:r>
      <w:r w:rsidRPr="00462F41">
        <w:rPr>
          <w:noProof/>
        </w:rPr>
      </w:r>
      <w:r w:rsidRPr="00462F41">
        <w:rPr>
          <w:noProof/>
        </w:rPr>
        <w:fldChar w:fldCharType="separate"/>
      </w:r>
      <w:r w:rsidR="00E862AC">
        <w:rPr>
          <w:noProof/>
        </w:rPr>
        <w:t>20</w:t>
      </w:r>
      <w:r w:rsidRPr="00462F41">
        <w:rPr>
          <w:noProof/>
        </w:rPr>
        <w:fldChar w:fldCharType="end"/>
      </w:r>
    </w:p>
    <w:p w:rsidR="00733F9C" w:rsidRPr="00462F41" w:rsidRDefault="00733F9C" w:rsidP="001B2F44">
      <w:pPr>
        <w:pStyle w:val="TOC1"/>
        <w:rPr>
          <w:rFonts w:asciiTheme="minorHAnsi" w:eastAsiaTheme="minorEastAsia" w:hAnsiTheme="minorHAnsi" w:cstheme="minorBidi"/>
          <w:noProof/>
        </w:rPr>
      </w:pPr>
      <w:r w:rsidRPr="00462F41">
        <w:rPr>
          <w:noProof/>
        </w:rPr>
        <w:t>5</w:t>
      </w:r>
      <w:r w:rsidRPr="00462F41">
        <w:rPr>
          <w:rFonts w:asciiTheme="minorHAnsi" w:eastAsiaTheme="minorEastAsia" w:hAnsiTheme="minorHAnsi" w:cstheme="minorBidi"/>
          <w:noProof/>
        </w:rPr>
        <w:tab/>
      </w:r>
      <w:r w:rsidRPr="00462F41">
        <w:rPr>
          <w:noProof/>
        </w:rPr>
        <w:t>Education expenses</w:t>
      </w:r>
      <w:r w:rsidRPr="00462F41">
        <w:rPr>
          <w:noProof/>
        </w:rPr>
        <w:tab/>
      </w:r>
      <w:r w:rsidRPr="00462F41">
        <w:rPr>
          <w:noProof/>
        </w:rPr>
        <w:fldChar w:fldCharType="begin"/>
      </w:r>
      <w:r w:rsidRPr="00462F41">
        <w:rPr>
          <w:noProof/>
        </w:rPr>
        <w:instrText xml:space="preserve"> PAGEREF _Toc374349463 \h </w:instrText>
      </w:r>
      <w:r w:rsidRPr="00462F41">
        <w:rPr>
          <w:noProof/>
        </w:rPr>
      </w:r>
      <w:r w:rsidRPr="00462F41">
        <w:rPr>
          <w:noProof/>
        </w:rPr>
        <w:fldChar w:fldCharType="separate"/>
      </w:r>
      <w:r w:rsidR="00E862AC">
        <w:rPr>
          <w:noProof/>
        </w:rPr>
        <w:t>25</w:t>
      </w:r>
      <w:r w:rsidRPr="00462F41">
        <w:rPr>
          <w:noProof/>
        </w:rPr>
        <w:fldChar w:fldCharType="end"/>
      </w:r>
    </w:p>
    <w:p w:rsidR="00733F9C" w:rsidRPr="00462F41" w:rsidRDefault="00733F9C" w:rsidP="001B2F44">
      <w:pPr>
        <w:pStyle w:val="TOC1"/>
        <w:rPr>
          <w:rFonts w:asciiTheme="minorHAnsi" w:eastAsiaTheme="minorEastAsia" w:hAnsiTheme="minorHAnsi" w:cstheme="minorBidi"/>
          <w:noProof/>
        </w:rPr>
      </w:pPr>
      <w:r w:rsidRPr="00462F41">
        <w:rPr>
          <w:noProof/>
        </w:rPr>
        <w:t>6</w:t>
      </w:r>
      <w:r w:rsidRPr="00462F41">
        <w:rPr>
          <w:rFonts w:asciiTheme="minorHAnsi" w:eastAsiaTheme="minorEastAsia" w:hAnsiTheme="minorHAnsi" w:cstheme="minorBidi"/>
          <w:noProof/>
        </w:rPr>
        <w:tab/>
      </w:r>
      <w:r w:rsidRPr="00462F41">
        <w:rPr>
          <w:noProof/>
        </w:rPr>
        <w:t>General public services expenses</w:t>
      </w:r>
      <w:r w:rsidRPr="00462F41">
        <w:rPr>
          <w:noProof/>
        </w:rPr>
        <w:tab/>
      </w:r>
      <w:r w:rsidRPr="00462F41">
        <w:rPr>
          <w:noProof/>
        </w:rPr>
        <w:fldChar w:fldCharType="begin"/>
      </w:r>
      <w:r w:rsidRPr="00462F41">
        <w:rPr>
          <w:noProof/>
        </w:rPr>
        <w:instrText xml:space="preserve"> PAGEREF _Toc374349464 \h </w:instrText>
      </w:r>
      <w:r w:rsidRPr="00462F41">
        <w:rPr>
          <w:noProof/>
        </w:rPr>
      </w:r>
      <w:r w:rsidRPr="00462F41">
        <w:rPr>
          <w:noProof/>
        </w:rPr>
        <w:fldChar w:fldCharType="separate"/>
      </w:r>
      <w:r w:rsidR="00E862AC">
        <w:rPr>
          <w:noProof/>
        </w:rPr>
        <w:t>30</w:t>
      </w:r>
      <w:r w:rsidRPr="00462F41">
        <w:rPr>
          <w:noProof/>
        </w:rPr>
        <w:fldChar w:fldCharType="end"/>
      </w:r>
    </w:p>
    <w:p w:rsidR="00733F9C" w:rsidRPr="00462F41" w:rsidRDefault="00733F9C" w:rsidP="001B2F44">
      <w:pPr>
        <w:pStyle w:val="TOC1"/>
        <w:rPr>
          <w:rFonts w:asciiTheme="minorHAnsi" w:eastAsiaTheme="minorEastAsia" w:hAnsiTheme="minorHAnsi" w:cstheme="minorBidi"/>
          <w:noProof/>
        </w:rPr>
      </w:pPr>
      <w:r w:rsidRPr="00462F41">
        <w:rPr>
          <w:noProof/>
        </w:rPr>
        <w:t>7</w:t>
      </w:r>
      <w:r w:rsidRPr="00462F41">
        <w:rPr>
          <w:rFonts w:asciiTheme="minorHAnsi" w:eastAsiaTheme="minorEastAsia" w:hAnsiTheme="minorHAnsi" w:cstheme="minorBidi"/>
          <w:noProof/>
        </w:rPr>
        <w:tab/>
      </w:r>
      <w:r w:rsidRPr="00462F41">
        <w:rPr>
          <w:noProof/>
        </w:rPr>
        <w:t>Defence and public order and safety expenses</w:t>
      </w:r>
      <w:r w:rsidRPr="00462F41">
        <w:rPr>
          <w:noProof/>
        </w:rPr>
        <w:tab/>
      </w:r>
      <w:r w:rsidRPr="00462F41">
        <w:rPr>
          <w:noProof/>
        </w:rPr>
        <w:fldChar w:fldCharType="begin"/>
      </w:r>
      <w:r w:rsidRPr="00462F41">
        <w:rPr>
          <w:noProof/>
        </w:rPr>
        <w:instrText xml:space="preserve"> PAGEREF _Toc374349465 \h </w:instrText>
      </w:r>
      <w:r w:rsidRPr="00462F41">
        <w:rPr>
          <w:noProof/>
        </w:rPr>
      </w:r>
      <w:r w:rsidRPr="00462F41">
        <w:rPr>
          <w:noProof/>
        </w:rPr>
        <w:fldChar w:fldCharType="separate"/>
      </w:r>
      <w:r w:rsidR="00E862AC">
        <w:rPr>
          <w:noProof/>
        </w:rPr>
        <w:t>35</w:t>
      </w:r>
      <w:r w:rsidRPr="00462F41">
        <w:rPr>
          <w:noProof/>
        </w:rPr>
        <w:fldChar w:fldCharType="end"/>
      </w:r>
    </w:p>
    <w:p w:rsidR="00733F9C" w:rsidRPr="00462F41" w:rsidRDefault="00733F9C" w:rsidP="001B2F44">
      <w:pPr>
        <w:pStyle w:val="TOC1"/>
        <w:rPr>
          <w:rFonts w:asciiTheme="minorHAnsi" w:eastAsiaTheme="minorEastAsia" w:hAnsiTheme="minorHAnsi" w:cstheme="minorBidi"/>
          <w:noProof/>
        </w:rPr>
      </w:pPr>
      <w:r w:rsidRPr="00462F41">
        <w:rPr>
          <w:noProof/>
        </w:rPr>
        <w:t>8</w:t>
      </w:r>
      <w:r w:rsidRPr="00462F41">
        <w:rPr>
          <w:rFonts w:asciiTheme="minorHAnsi" w:eastAsiaTheme="minorEastAsia" w:hAnsiTheme="minorHAnsi" w:cstheme="minorBidi"/>
          <w:noProof/>
        </w:rPr>
        <w:tab/>
      </w:r>
      <w:r w:rsidRPr="00462F41">
        <w:rPr>
          <w:noProof/>
        </w:rPr>
        <w:t>Industry and economic affairs expenses</w:t>
      </w:r>
      <w:r w:rsidRPr="00462F41">
        <w:rPr>
          <w:noProof/>
        </w:rPr>
        <w:tab/>
      </w:r>
      <w:r w:rsidRPr="00462F41">
        <w:rPr>
          <w:noProof/>
        </w:rPr>
        <w:fldChar w:fldCharType="begin"/>
      </w:r>
      <w:r w:rsidRPr="00462F41">
        <w:rPr>
          <w:noProof/>
        </w:rPr>
        <w:instrText xml:space="preserve"> PAGEREF _Toc374349466 \h </w:instrText>
      </w:r>
      <w:r w:rsidRPr="00462F41">
        <w:rPr>
          <w:noProof/>
        </w:rPr>
      </w:r>
      <w:r w:rsidRPr="00462F41">
        <w:rPr>
          <w:noProof/>
        </w:rPr>
        <w:fldChar w:fldCharType="separate"/>
      </w:r>
      <w:r w:rsidR="00E862AC">
        <w:rPr>
          <w:noProof/>
        </w:rPr>
        <w:t>40</w:t>
      </w:r>
      <w:r w:rsidRPr="00462F41">
        <w:rPr>
          <w:noProof/>
        </w:rPr>
        <w:fldChar w:fldCharType="end"/>
      </w:r>
    </w:p>
    <w:p w:rsidR="00733F9C" w:rsidRPr="00462F41" w:rsidRDefault="00733F9C" w:rsidP="001B2F44">
      <w:pPr>
        <w:pStyle w:val="TOC1"/>
        <w:rPr>
          <w:rFonts w:asciiTheme="minorHAnsi" w:eastAsiaTheme="minorEastAsia" w:hAnsiTheme="minorHAnsi" w:cstheme="minorBidi"/>
          <w:noProof/>
        </w:rPr>
      </w:pPr>
      <w:r w:rsidRPr="00462F41">
        <w:rPr>
          <w:noProof/>
        </w:rPr>
        <w:t>9</w:t>
      </w:r>
      <w:r w:rsidRPr="00462F41">
        <w:rPr>
          <w:rFonts w:asciiTheme="minorHAnsi" w:eastAsiaTheme="minorEastAsia" w:hAnsiTheme="minorHAnsi" w:cstheme="minorBidi"/>
          <w:noProof/>
        </w:rPr>
        <w:tab/>
      </w:r>
      <w:r w:rsidRPr="00462F41">
        <w:rPr>
          <w:noProof/>
        </w:rPr>
        <w:t>Community amenities and infrastructure expenses</w:t>
      </w:r>
      <w:r w:rsidRPr="00462F41">
        <w:rPr>
          <w:noProof/>
        </w:rPr>
        <w:tab/>
      </w:r>
      <w:r w:rsidRPr="00462F41">
        <w:rPr>
          <w:noProof/>
        </w:rPr>
        <w:fldChar w:fldCharType="begin"/>
      </w:r>
      <w:r w:rsidRPr="00462F41">
        <w:rPr>
          <w:noProof/>
        </w:rPr>
        <w:instrText xml:space="preserve"> PAGEREF _Toc374349467 \h </w:instrText>
      </w:r>
      <w:r w:rsidRPr="00462F41">
        <w:rPr>
          <w:noProof/>
        </w:rPr>
      </w:r>
      <w:r w:rsidRPr="00462F41">
        <w:rPr>
          <w:noProof/>
        </w:rPr>
        <w:fldChar w:fldCharType="separate"/>
      </w:r>
      <w:r w:rsidR="00E862AC">
        <w:rPr>
          <w:noProof/>
        </w:rPr>
        <w:t>45</w:t>
      </w:r>
      <w:r w:rsidRPr="00462F41">
        <w:rPr>
          <w:noProof/>
        </w:rPr>
        <w:fldChar w:fldCharType="end"/>
      </w:r>
    </w:p>
    <w:p w:rsidR="00733F9C" w:rsidRPr="00462F41" w:rsidRDefault="00733F9C" w:rsidP="001B2F44">
      <w:pPr>
        <w:pStyle w:val="TOC1"/>
        <w:rPr>
          <w:rFonts w:asciiTheme="minorHAnsi" w:eastAsiaTheme="minorEastAsia" w:hAnsiTheme="minorHAnsi" w:cstheme="minorBidi"/>
          <w:noProof/>
        </w:rPr>
      </w:pPr>
      <w:r w:rsidRPr="00462F41">
        <w:rPr>
          <w:noProof/>
        </w:rPr>
        <w:t>10</w:t>
      </w:r>
      <w:r w:rsidRPr="00462F41">
        <w:rPr>
          <w:rFonts w:asciiTheme="minorHAnsi" w:eastAsiaTheme="minorEastAsia" w:hAnsiTheme="minorHAnsi" w:cstheme="minorBidi"/>
          <w:noProof/>
        </w:rPr>
        <w:tab/>
      </w:r>
      <w:r w:rsidRPr="00462F41">
        <w:rPr>
          <w:noProof/>
        </w:rPr>
        <w:t>Net capital investment</w:t>
      </w:r>
      <w:r w:rsidRPr="00462F41">
        <w:rPr>
          <w:noProof/>
        </w:rPr>
        <w:tab/>
      </w:r>
      <w:r w:rsidRPr="00462F41">
        <w:rPr>
          <w:noProof/>
        </w:rPr>
        <w:fldChar w:fldCharType="begin"/>
      </w:r>
      <w:r w:rsidRPr="00462F41">
        <w:rPr>
          <w:noProof/>
        </w:rPr>
        <w:instrText xml:space="preserve"> PAGEREF _Toc374349468 \h </w:instrText>
      </w:r>
      <w:r w:rsidRPr="00462F41">
        <w:rPr>
          <w:noProof/>
        </w:rPr>
      </w:r>
      <w:r w:rsidRPr="00462F41">
        <w:rPr>
          <w:noProof/>
        </w:rPr>
        <w:fldChar w:fldCharType="separate"/>
      </w:r>
      <w:r w:rsidR="00E862AC">
        <w:rPr>
          <w:noProof/>
        </w:rPr>
        <w:t>50</w:t>
      </w:r>
      <w:r w:rsidRPr="00462F41">
        <w:rPr>
          <w:noProof/>
        </w:rPr>
        <w:fldChar w:fldCharType="end"/>
      </w:r>
    </w:p>
    <w:p w:rsidR="00733F9C" w:rsidRPr="00462F41" w:rsidRDefault="00733F9C" w:rsidP="001B2F44">
      <w:pPr>
        <w:pStyle w:val="TOC1"/>
        <w:rPr>
          <w:rFonts w:asciiTheme="minorHAnsi" w:eastAsiaTheme="minorEastAsia" w:hAnsiTheme="minorHAnsi" w:cstheme="minorBidi"/>
          <w:noProof/>
        </w:rPr>
      </w:pPr>
      <w:r w:rsidRPr="00462F41">
        <w:rPr>
          <w:noProof/>
        </w:rPr>
        <w:t>11</w:t>
      </w:r>
      <w:r w:rsidRPr="00462F41">
        <w:rPr>
          <w:rFonts w:asciiTheme="minorHAnsi" w:eastAsiaTheme="minorEastAsia" w:hAnsiTheme="minorHAnsi" w:cstheme="minorBidi"/>
          <w:noProof/>
        </w:rPr>
        <w:tab/>
      </w:r>
      <w:r w:rsidRPr="00462F41">
        <w:rPr>
          <w:noProof/>
        </w:rPr>
        <w:t>States and Territories</w:t>
      </w:r>
      <w:r w:rsidRPr="00462F41">
        <w:rPr>
          <w:noProof/>
        </w:rPr>
        <w:tab/>
      </w:r>
      <w:r w:rsidRPr="00462F41">
        <w:rPr>
          <w:noProof/>
        </w:rPr>
        <w:fldChar w:fldCharType="begin"/>
      </w:r>
      <w:r w:rsidRPr="00462F41">
        <w:rPr>
          <w:noProof/>
        </w:rPr>
        <w:instrText xml:space="preserve"> PAGEREF _Toc374349469 \h </w:instrText>
      </w:r>
      <w:r w:rsidRPr="00462F41">
        <w:rPr>
          <w:noProof/>
        </w:rPr>
      </w:r>
      <w:r w:rsidRPr="00462F41">
        <w:rPr>
          <w:noProof/>
        </w:rPr>
        <w:fldChar w:fldCharType="separate"/>
      </w:r>
      <w:r w:rsidR="00E862AC">
        <w:rPr>
          <w:noProof/>
        </w:rPr>
        <w:t>53</w:t>
      </w:r>
      <w:r w:rsidRPr="00462F41">
        <w:rPr>
          <w:noProof/>
        </w:rPr>
        <w:fldChar w:fldCharType="end"/>
      </w:r>
    </w:p>
    <w:p w:rsidR="00733F9C" w:rsidRPr="00462F41" w:rsidRDefault="00733F9C" w:rsidP="001B2F44">
      <w:pPr>
        <w:pStyle w:val="TOC1"/>
        <w:rPr>
          <w:rFonts w:asciiTheme="minorHAnsi" w:eastAsiaTheme="minorEastAsia" w:hAnsiTheme="minorHAnsi" w:cstheme="minorBidi"/>
          <w:noProof/>
        </w:rPr>
      </w:pPr>
      <w:r w:rsidRPr="00462F41">
        <w:rPr>
          <w:noProof/>
        </w:rPr>
        <w:t>Lists of data sources and references</w:t>
      </w:r>
      <w:r w:rsidRPr="00462F41">
        <w:rPr>
          <w:noProof/>
        </w:rPr>
        <w:tab/>
      </w:r>
      <w:r w:rsidRPr="00462F41">
        <w:rPr>
          <w:noProof/>
        </w:rPr>
        <w:fldChar w:fldCharType="begin"/>
      </w:r>
      <w:r w:rsidRPr="00462F41">
        <w:rPr>
          <w:noProof/>
        </w:rPr>
        <w:instrText xml:space="preserve"> PAGEREF _Toc374349470 \h </w:instrText>
      </w:r>
      <w:r w:rsidRPr="00462F41">
        <w:rPr>
          <w:noProof/>
        </w:rPr>
      </w:r>
      <w:r w:rsidRPr="00462F41">
        <w:rPr>
          <w:noProof/>
        </w:rPr>
        <w:fldChar w:fldCharType="separate"/>
      </w:r>
      <w:r w:rsidR="00E862AC">
        <w:rPr>
          <w:noProof/>
        </w:rPr>
        <w:t>58</w:t>
      </w:r>
      <w:r w:rsidRPr="00462F41">
        <w:rPr>
          <w:noProof/>
        </w:rPr>
        <w:fldChar w:fldCharType="end"/>
      </w:r>
    </w:p>
    <w:p w:rsidR="00733F9C" w:rsidRPr="00462F41" w:rsidRDefault="00733F9C" w:rsidP="001B2F44">
      <w:pPr>
        <w:pStyle w:val="TOC1"/>
        <w:rPr>
          <w:noProof/>
        </w:rPr>
      </w:pPr>
      <w:r w:rsidRPr="00462F41">
        <w:rPr>
          <w:noProof/>
        </w:rPr>
        <w:t>Lists of figures and tables</w:t>
      </w:r>
      <w:r w:rsidRPr="00462F41">
        <w:rPr>
          <w:noProof/>
        </w:rPr>
        <w:tab/>
      </w:r>
      <w:r w:rsidRPr="00462F41">
        <w:rPr>
          <w:noProof/>
        </w:rPr>
        <w:fldChar w:fldCharType="begin"/>
      </w:r>
      <w:r w:rsidRPr="00462F41">
        <w:rPr>
          <w:noProof/>
        </w:rPr>
        <w:instrText xml:space="preserve"> PAGEREF _Toc374349471 \h </w:instrText>
      </w:r>
      <w:r w:rsidRPr="00462F41">
        <w:rPr>
          <w:noProof/>
        </w:rPr>
      </w:r>
      <w:r w:rsidRPr="00462F41">
        <w:rPr>
          <w:noProof/>
        </w:rPr>
        <w:fldChar w:fldCharType="separate"/>
      </w:r>
      <w:r w:rsidR="00E862AC">
        <w:rPr>
          <w:noProof/>
        </w:rPr>
        <w:t>61</w:t>
      </w:r>
      <w:r w:rsidRPr="00462F41">
        <w:rPr>
          <w:noProof/>
        </w:rPr>
        <w:fldChar w:fldCharType="end"/>
      </w:r>
    </w:p>
    <w:p w:rsidR="00733F9C" w:rsidRPr="00462F41" w:rsidRDefault="00733F9C" w:rsidP="00462F41">
      <w:pPr>
        <w:spacing w:line="360" w:lineRule="auto"/>
        <w:rPr>
          <w:noProof/>
        </w:rPr>
      </w:pPr>
      <w:r w:rsidRPr="00462F41">
        <w:rPr>
          <w:noProof/>
        </w:rPr>
        <w:t>Attachments</w:t>
      </w:r>
    </w:p>
    <w:p w:rsidR="00733F9C" w:rsidRPr="00462F41" w:rsidRDefault="00733F9C" w:rsidP="001B2F44">
      <w:pPr>
        <w:pStyle w:val="TOC1"/>
        <w:rPr>
          <w:rFonts w:asciiTheme="minorHAnsi" w:eastAsiaTheme="minorEastAsia" w:hAnsiTheme="minorHAnsi" w:cstheme="minorBidi"/>
          <w:noProof/>
        </w:rPr>
      </w:pPr>
      <w:r w:rsidRPr="00462F41">
        <w:rPr>
          <w:noProof/>
        </w:rPr>
        <w:t>A</w:t>
      </w:r>
      <w:r w:rsidRPr="00462F41">
        <w:rPr>
          <w:rFonts w:asciiTheme="minorHAnsi" w:eastAsiaTheme="minorEastAsia" w:hAnsiTheme="minorHAnsi" w:cstheme="minorBidi"/>
          <w:noProof/>
        </w:rPr>
        <w:tab/>
      </w:r>
      <w:r w:rsidRPr="00462F41">
        <w:rPr>
          <w:noProof/>
        </w:rPr>
        <w:t>Technical notes</w:t>
      </w:r>
      <w:r w:rsidRPr="00462F41">
        <w:rPr>
          <w:noProof/>
        </w:rPr>
        <w:tab/>
      </w:r>
      <w:r w:rsidRPr="00462F41">
        <w:rPr>
          <w:noProof/>
        </w:rPr>
        <w:fldChar w:fldCharType="begin"/>
      </w:r>
      <w:r w:rsidRPr="00462F41">
        <w:rPr>
          <w:noProof/>
        </w:rPr>
        <w:instrText xml:space="preserve"> PAGEREF _Toc374349472 \h </w:instrText>
      </w:r>
      <w:r w:rsidRPr="00462F41">
        <w:rPr>
          <w:noProof/>
        </w:rPr>
      </w:r>
      <w:r w:rsidRPr="00462F41">
        <w:rPr>
          <w:noProof/>
        </w:rPr>
        <w:fldChar w:fldCharType="separate"/>
      </w:r>
      <w:r w:rsidR="00E862AC">
        <w:rPr>
          <w:noProof/>
        </w:rPr>
        <w:t>63</w:t>
      </w:r>
      <w:r w:rsidRPr="00462F41">
        <w:rPr>
          <w:noProof/>
        </w:rPr>
        <w:fldChar w:fldCharType="end"/>
      </w:r>
    </w:p>
    <w:p w:rsidR="00733F9C" w:rsidRPr="00462F41" w:rsidRDefault="00733F9C" w:rsidP="001B2F44">
      <w:pPr>
        <w:pStyle w:val="TOC1"/>
        <w:rPr>
          <w:noProof/>
        </w:rPr>
      </w:pPr>
      <w:r w:rsidRPr="00462F41">
        <w:rPr>
          <w:noProof/>
        </w:rPr>
        <w:t>B</w:t>
      </w:r>
      <w:r w:rsidRPr="00462F41">
        <w:rPr>
          <w:rFonts w:asciiTheme="minorHAnsi" w:eastAsiaTheme="minorEastAsia" w:hAnsiTheme="minorHAnsi" w:cstheme="minorBidi"/>
          <w:noProof/>
        </w:rPr>
        <w:tab/>
      </w:r>
      <w:r w:rsidRPr="00462F41">
        <w:rPr>
          <w:noProof/>
        </w:rPr>
        <w:t>Variations to expenses</w:t>
      </w:r>
      <w:r w:rsidRPr="00462F41">
        <w:rPr>
          <w:noProof/>
        </w:rPr>
        <w:tab/>
      </w:r>
      <w:r w:rsidRPr="00462F41">
        <w:rPr>
          <w:noProof/>
        </w:rPr>
        <w:fldChar w:fldCharType="begin"/>
      </w:r>
      <w:r w:rsidRPr="00462F41">
        <w:rPr>
          <w:noProof/>
        </w:rPr>
        <w:instrText xml:space="preserve"> PAGEREF _Toc374349473 \h </w:instrText>
      </w:r>
      <w:r w:rsidRPr="00462F41">
        <w:rPr>
          <w:noProof/>
        </w:rPr>
      </w:r>
      <w:r w:rsidRPr="00462F41">
        <w:rPr>
          <w:noProof/>
        </w:rPr>
        <w:fldChar w:fldCharType="separate"/>
      </w:r>
      <w:r w:rsidR="00E862AC">
        <w:rPr>
          <w:noProof/>
        </w:rPr>
        <w:t>65</w:t>
      </w:r>
      <w:r w:rsidRPr="00462F41">
        <w:rPr>
          <w:noProof/>
        </w:rPr>
        <w:fldChar w:fldCharType="end"/>
      </w:r>
    </w:p>
    <w:p w:rsidR="00733F9C" w:rsidRPr="00462F41" w:rsidRDefault="00733F9C" w:rsidP="001B2F44">
      <w:pPr>
        <w:pStyle w:val="TOC1"/>
        <w:rPr>
          <w:noProof/>
        </w:rPr>
      </w:pPr>
      <w:r w:rsidRPr="00462F41">
        <w:rPr>
          <w:noProof/>
        </w:rPr>
        <w:t>C</w:t>
      </w:r>
      <w:r w:rsidRPr="00462F41">
        <w:rPr>
          <w:rFonts w:asciiTheme="minorHAnsi" w:eastAsiaTheme="minorEastAsia" w:hAnsiTheme="minorHAnsi" w:cstheme="minorBidi"/>
          <w:noProof/>
        </w:rPr>
        <w:tab/>
      </w:r>
      <w:r w:rsidRPr="00462F41">
        <w:rPr>
          <w:noProof/>
        </w:rPr>
        <w:t>Fiscal stimulus spending</w:t>
      </w:r>
      <w:r w:rsidRPr="00462F41">
        <w:rPr>
          <w:noProof/>
        </w:rPr>
        <w:tab/>
      </w:r>
      <w:r w:rsidRPr="00462F41">
        <w:rPr>
          <w:noProof/>
        </w:rPr>
        <w:fldChar w:fldCharType="begin"/>
      </w:r>
      <w:r w:rsidRPr="00462F41">
        <w:rPr>
          <w:noProof/>
        </w:rPr>
        <w:instrText xml:space="preserve"> PAGEREF _Toc374349474 \h </w:instrText>
      </w:r>
      <w:r w:rsidRPr="00462F41">
        <w:rPr>
          <w:noProof/>
        </w:rPr>
      </w:r>
      <w:r w:rsidRPr="00462F41">
        <w:rPr>
          <w:noProof/>
        </w:rPr>
        <w:fldChar w:fldCharType="separate"/>
      </w:r>
      <w:r w:rsidR="00E862AC">
        <w:rPr>
          <w:noProof/>
        </w:rPr>
        <w:t>69</w:t>
      </w:r>
      <w:r w:rsidRPr="00462F41">
        <w:rPr>
          <w:noProof/>
        </w:rPr>
        <w:fldChar w:fldCharType="end"/>
      </w:r>
    </w:p>
    <w:p w:rsidR="00733F9C" w:rsidRDefault="00733F9C" w:rsidP="001B2F44">
      <w:pPr>
        <w:pStyle w:val="TOC1"/>
      </w:pPr>
      <w:r w:rsidRPr="00462F41">
        <w:rPr>
          <w:noProof/>
        </w:rPr>
        <w:t>D</w:t>
      </w:r>
      <w:r w:rsidRPr="00462F41">
        <w:rPr>
          <w:noProof/>
        </w:rPr>
        <w:tab/>
        <w:t>Expenses by sub-functions tables</w:t>
      </w:r>
      <w:r w:rsidR="0009361D">
        <w:fldChar w:fldCharType="end"/>
      </w:r>
      <w:r w:rsidR="003B0904">
        <w:tab/>
        <w:t>70</w:t>
      </w:r>
      <w:r>
        <w:br w:type="page"/>
      </w:r>
    </w:p>
    <w:p w:rsidR="00462F41" w:rsidRPr="001B2F44" w:rsidRDefault="009C2435" w:rsidP="00462F41">
      <w:pPr>
        <w:rPr>
          <w:color w:val="FFFFFF" w:themeColor="background1"/>
        </w:rPr>
      </w:pPr>
      <w:r w:rsidRPr="001B2F44">
        <w:rPr>
          <w:color w:val="FFFFFF" w:themeColor="background1"/>
        </w:rPr>
        <w:lastRenderedPageBreak/>
        <w:t>This page is intentionally left blank.</w:t>
      </w:r>
    </w:p>
    <w:p w:rsidR="003A3130" w:rsidRPr="001B2F44" w:rsidRDefault="003A3130" w:rsidP="003A3130">
      <w:pPr>
        <w:pStyle w:val="PBOtext"/>
        <w:rPr>
          <w:color w:val="FFFFFF" w:themeColor="background1"/>
        </w:rPr>
        <w:sectPr w:rsidR="003A3130" w:rsidRPr="001B2F44" w:rsidSect="0099638E">
          <w:headerReference w:type="even" r:id="rId13"/>
          <w:headerReference w:type="default" r:id="rId14"/>
          <w:footerReference w:type="even" r:id="rId15"/>
          <w:headerReference w:type="first" r:id="rId16"/>
          <w:footerReference w:type="first" r:id="rId17"/>
          <w:pgSz w:w="11900" w:h="16840"/>
          <w:pgMar w:top="1440" w:right="1797" w:bottom="1440" w:left="1797" w:header="709" w:footer="709" w:gutter="0"/>
          <w:pgNumType w:fmt="lowerRoman" w:start="3"/>
          <w:cols w:space="708"/>
          <w:titlePg/>
          <w:docGrid w:linePitch="326"/>
        </w:sectPr>
      </w:pPr>
    </w:p>
    <w:p w:rsidR="00D72AC7" w:rsidRPr="00344501" w:rsidRDefault="00D72AC7" w:rsidP="00BF2529">
      <w:pPr>
        <w:pStyle w:val="Heading1"/>
      </w:pPr>
      <w:bookmarkStart w:id="2" w:name="_Toc372697957"/>
      <w:bookmarkStart w:id="3" w:name="_Toc373413589"/>
      <w:bookmarkStart w:id="4" w:name="_Toc374182861"/>
      <w:bookmarkStart w:id="5" w:name="_Toc374349457"/>
      <w:bookmarkStart w:id="6" w:name="_Toc372697959"/>
      <w:bookmarkStart w:id="7" w:name="_Toc373778489"/>
      <w:r w:rsidRPr="00344501">
        <w:lastRenderedPageBreak/>
        <w:t>Foreword</w:t>
      </w:r>
      <w:bookmarkEnd w:id="2"/>
      <w:bookmarkEnd w:id="3"/>
      <w:bookmarkEnd w:id="4"/>
      <w:bookmarkEnd w:id="5"/>
    </w:p>
    <w:p w:rsidR="008E30DB" w:rsidRDefault="008E30DB" w:rsidP="008E30DB">
      <w:r>
        <w:t xml:space="preserve">Comprehensive information on trends in and key drivers of government spending is important for an understanding of the level of sustainability of </w:t>
      </w:r>
      <w:r w:rsidR="00BF0064">
        <w:t>government spending</w:t>
      </w:r>
      <w:r>
        <w:t xml:space="preserve"> and the future direction of fiscal policy.</w:t>
      </w:r>
    </w:p>
    <w:p w:rsidR="008E30DB" w:rsidRPr="00A75C07" w:rsidRDefault="008E30DB" w:rsidP="008E30DB">
      <w:r w:rsidRPr="00A75C07">
        <w:t>This is the first part</w:t>
      </w:r>
      <w:r w:rsidR="0041689A">
        <w:t xml:space="preserve"> of a two</w:t>
      </w:r>
      <w:r w:rsidR="0041689A" w:rsidRPr="006B456E">
        <w:noBreakHyphen/>
      </w:r>
      <w:r w:rsidRPr="00A75C07">
        <w:t xml:space="preserve">part report on </w:t>
      </w:r>
      <w:r w:rsidRPr="00706358">
        <w:t>Australian Government</w:t>
      </w:r>
      <w:r w:rsidRPr="00A75C07">
        <w:t xml:space="preserve"> spending.  Part 1 of the report examines historical trends in government spending over the period 2002</w:t>
      </w:r>
      <w:r w:rsidR="0041689A" w:rsidRPr="006B456E">
        <w:noBreakHyphen/>
      </w:r>
      <w:r w:rsidRPr="00A75C07">
        <w:t>03 to 2012</w:t>
      </w:r>
      <w:r w:rsidR="0041689A" w:rsidRPr="006B456E">
        <w:noBreakHyphen/>
      </w:r>
      <w:r w:rsidRPr="00A75C07">
        <w:t>13 (the latest year for which actual spending data is available).</w:t>
      </w:r>
    </w:p>
    <w:p w:rsidR="008E30DB" w:rsidRPr="00A75C07" w:rsidRDefault="008E30DB" w:rsidP="008E30DB">
      <w:r w:rsidRPr="00A75C07">
        <w:t>Part 2 of the report will address forecast and projected spending trends over the 2013</w:t>
      </w:r>
      <w:r w:rsidR="0041689A" w:rsidRPr="006B456E">
        <w:noBreakHyphen/>
      </w:r>
      <w:r w:rsidRPr="00A75C07">
        <w:t>14</w:t>
      </w:r>
      <w:r w:rsidR="0041689A">
        <w:t> </w:t>
      </w:r>
      <w:r w:rsidRPr="00A75C07">
        <w:t xml:space="preserve">Budget forward estimates period.  The second part of the report will be published after the </w:t>
      </w:r>
      <w:r w:rsidRPr="00706358">
        <w:t>Government</w:t>
      </w:r>
      <w:r w:rsidRPr="00A75C07">
        <w:t xml:space="preserve"> releases the 2013</w:t>
      </w:r>
      <w:r w:rsidR="0041689A" w:rsidRPr="006B456E">
        <w:noBreakHyphen/>
      </w:r>
      <w:r w:rsidRPr="00A75C07">
        <w:t>14 Mid</w:t>
      </w:r>
      <w:r w:rsidR="0041689A" w:rsidRPr="006B456E">
        <w:noBreakHyphen/>
      </w:r>
      <w:r w:rsidRPr="00A75C07">
        <w:t>Year Economic and Fiscal Outlook (MYEFO) report to ensure that it encompasses the most up to date official economic and fiscal forecasts.</w:t>
      </w:r>
    </w:p>
    <w:p w:rsidR="008E30DB" w:rsidRPr="00A75C07" w:rsidRDefault="008E30DB" w:rsidP="008E30DB">
      <w:r w:rsidRPr="00A75C07">
        <w:t>The report examines real growth in government spending compared with growth in real GDP.  This approach eliminates the distortionary impact that the significant, likely temporary, increase in the terms of trade has had on nominal spending to nominal GDP ratios over the period of the analysis.</w:t>
      </w:r>
    </w:p>
    <w:p w:rsidR="008E30DB" w:rsidRDefault="008E30DB" w:rsidP="008E30DB">
      <w:r w:rsidRPr="00A75C07">
        <w:t>The first task in preparing this report was to compile a consistent time series of spending data at the function and sub</w:t>
      </w:r>
      <w:r w:rsidR="0041689A" w:rsidRPr="006B456E">
        <w:noBreakHyphen/>
      </w:r>
      <w:r w:rsidRPr="00A75C07">
        <w:t>function level.  This data is</w:t>
      </w:r>
      <w:r w:rsidR="0023025A">
        <w:t xml:space="preserve"> currently not published.</w:t>
      </w:r>
    </w:p>
    <w:p w:rsidR="008E30DB" w:rsidRDefault="008E30DB" w:rsidP="008E30DB">
      <w:r>
        <w:t>Also, disaggregated spending data is not routinely adjusted to account for c</w:t>
      </w:r>
      <w:r w:rsidRPr="00344501">
        <w:t xml:space="preserve">hanges in the classification of </w:t>
      </w:r>
      <w:r>
        <w:t>spending,</w:t>
      </w:r>
      <w:r w:rsidRPr="00344501">
        <w:t xml:space="preserve"> </w:t>
      </w:r>
      <w:r>
        <w:t xml:space="preserve">revised </w:t>
      </w:r>
      <w:r w:rsidRPr="00344501">
        <w:t xml:space="preserve">accounting </w:t>
      </w:r>
      <w:r>
        <w:t>treatments</w:t>
      </w:r>
      <w:r w:rsidRPr="00344501">
        <w:t xml:space="preserve"> </w:t>
      </w:r>
      <w:r>
        <w:t xml:space="preserve">and </w:t>
      </w:r>
      <w:r w:rsidRPr="00344501">
        <w:t xml:space="preserve">administrative </w:t>
      </w:r>
      <w:r>
        <w:t>re</w:t>
      </w:r>
      <w:r w:rsidRPr="00344501">
        <w:t>arrangements</w:t>
      </w:r>
      <w:r>
        <w:t xml:space="preserve">.  This means that not all </w:t>
      </w:r>
      <w:r w:rsidRPr="00344501">
        <w:t xml:space="preserve">reported spending </w:t>
      </w:r>
      <w:r>
        <w:t xml:space="preserve">at the function level and below </w:t>
      </w:r>
      <w:r w:rsidRPr="00344501">
        <w:t>is comparable from one year to the next.</w:t>
      </w:r>
    </w:p>
    <w:p w:rsidR="008E30DB" w:rsidRDefault="008E30DB" w:rsidP="008E30DB">
      <w:r>
        <w:t>The Parliamentary Budget Office has, to the extent possible, compiled a consistent time series of spending data by back</w:t>
      </w:r>
      <w:r>
        <w:noBreakHyphen/>
        <w:t>casting reported spending to adjust for the changes outlined above.  This data set is included in the report and is available for general use.</w:t>
      </w:r>
    </w:p>
    <w:p w:rsidR="00FA3386" w:rsidRDefault="008E30DB" w:rsidP="008E30DB">
      <w:r>
        <w:t>The compilation and publication of a consistent time series of disaggregated spending data on an ongoing basis would assist the work of fiscal policy makers in the future.</w:t>
      </w:r>
    </w:p>
    <w:p w:rsidR="00FA3386" w:rsidRDefault="00FA3386" w:rsidP="0023025A">
      <w:pPr>
        <w:pStyle w:val="PBOtext"/>
        <w:spacing w:before="840" w:after="0"/>
      </w:pPr>
      <w:r>
        <w:t>Phil Bowen PSM FCPA</w:t>
      </w:r>
    </w:p>
    <w:p w:rsidR="00FA3386" w:rsidRDefault="00FA3386" w:rsidP="0023025A">
      <w:pPr>
        <w:pStyle w:val="PBOtext"/>
        <w:spacing w:before="0"/>
      </w:pPr>
      <w:r>
        <w:t>Parliamentary Budget Officer</w:t>
      </w:r>
    </w:p>
    <w:p w:rsidR="00FA3386" w:rsidRDefault="00BA0DD7" w:rsidP="00823BC0">
      <w:pPr>
        <w:pStyle w:val="PBOtext"/>
      </w:pPr>
      <w:r>
        <w:t>10</w:t>
      </w:r>
      <w:r w:rsidR="00615179">
        <w:t xml:space="preserve"> </w:t>
      </w:r>
      <w:r w:rsidR="00FA3386">
        <w:t>December 2013</w:t>
      </w:r>
    </w:p>
    <w:p w:rsidR="00D400E8" w:rsidRDefault="00D400E8" w:rsidP="00D400E8">
      <w:r>
        <w:br w:type="page"/>
      </w:r>
    </w:p>
    <w:p w:rsidR="00D400E8" w:rsidRPr="003C7DF8" w:rsidRDefault="00EF14BC" w:rsidP="00EF14BC">
      <w:pPr>
        <w:rPr>
          <w:color w:val="FFFFFF" w:themeColor="background1"/>
        </w:rPr>
      </w:pPr>
      <w:r w:rsidRPr="003C7DF8">
        <w:rPr>
          <w:color w:val="FFFFFF" w:themeColor="background1"/>
        </w:rPr>
        <w:lastRenderedPageBreak/>
        <w:t>This page is intentionally left blank.</w:t>
      </w:r>
    </w:p>
    <w:p w:rsidR="00D72AC7" w:rsidRDefault="00D72AC7" w:rsidP="00D400E8">
      <w:pPr>
        <w:pStyle w:val="PBOtext"/>
        <w:sectPr w:rsidR="00D72AC7" w:rsidSect="006C703A">
          <w:pgSz w:w="11900" w:h="16840"/>
          <w:pgMar w:top="1440" w:right="1797" w:bottom="1440" w:left="1797" w:header="709" w:footer="709" w:gutter="0"/>
          <w:pgNumType w:fmt="lowerRoman" w:start="5"/>
          <w:cols w:space="708"/>
          <w:titlePg/>
          <w:docGrid w:linePitch="326"/>
        </w:sectPr>
      </w:pPr>
    </w:p>
    <w:p w:rsidR="00D72AC7" w:rsidRDefault="00D72AC7" w:rsidP="00BF2529">
      <w:pPr>
        <w:pStyle w:val="Heading1"/>
      </w:pPr>
      <w:bookmarkStart w:id="8" w:name="_Toc372697958"/>
      <w:bookmarkStart w:id="9" w:name="_Toc372706652"/>
      <w:bookmarkStart w:id="10" w:name="_Toc373413590"/>
      <w:bookmarkStart w:id="11" w:name="_Toc374182862"/>
      <w:bookmarkStart w:id="12" w:name="_Toc374349458"/>
      <w:r>
        <w:lastRenderedPageBreak/>
        <w:t>Summary</w:t>
      </w:r>
      <w:bookmarkEnd w:id="8"/>
      <w:bookmarkEnd w:id="9"/>
      <w:bookmarkEnd w:id="10"/>
      <w:bookmarkEnd w:id="11"/>
      <w:bookmarkEnd w:id="12"/>
    </w:p>
    <w:p w:rsidR="00BA0DD7" w:rsidRDefault="00BA0DD7" w:rsidP="00BA0DD7">
      <w:r>
        <w:t xml:space="preserve">Australian </w:t>
      </w:r>
      <w:r w:rsidRPr="00706358">
        <w:t>Government</w:t>
      </w:r>
      <w:r>
        <w:t xml:space="preserve"> spending grew 27 per cent faster in real terms than the annual rate of growth of real GDP over the decade 2002</w:t>
      </w:r>
      <w:r>
        <w:noBreakHyphen/>
        <w:t>03 to 2012</w:t>
      </w:r>
      <w:r>
        <w:noBreakHyphen/>
        <w:t xml:space="preserve">13.  Spending growth averaged 3.8 per cent annually while GDP growth </w:t>
      </w:r>
      <w:r w:rsidRPr="00DB5AD8">
        <w:t>averaged 3.0 per cent annually</w:t>
      </w:r>
      <w:r>
        <w:t>.</w:t>
      </w:r>
    </w:p>
    <w:p w:rsidR="00BA0DD7" w:rsidRDefault="00BA0DD7" w:rsidP="00BA0DD7">
      <w:r>
        <w:t>In the first half of the decade, from 2002</w:t>
      </w:r>
      <w:r>
        <w:noBreakHyphen/>
        <w:t>03 to 2007</w:t>
      </w:r>
      <w:r>
        <w:noBreakHyphen/>
        <w:t xml:space="preserve">08, government spending grew in real terms by 13 per cent more than the annual rate of growth of real GDP.  Growth in spending averaged </w:t>
      </w:r>
      <w:r w:rsidRPr="00DB5AD8">
        <w:t>4.0 per cent annually while GDP growth averaged 3.6 per cent annually.</w:t>
      </w:r>
    </w:p>
    <w:p w:rsidR="00BA0DD7" w:rsidRDefault="00BA0DD7" w:rsidP="00BA0DD7">
      <w:r>
        <w:t>The rate of spending growth in the second half of the decade initially accelerated due to the fiscal stimulus measures adopted to combat the effects of the global financial crisis.  These measures had been withdrawn by 2012</w:t>
      </w:r>
      <w:r>
        <w:noBreakHyphen/>
        <w:t>13.</w:t>
      </w:r>
    </w:p>
    <w:p w:rsidR="00BA0DD7" w:rsidRDefault="00BA0DD7" w:rsidP="00BA0DD7">
      <w:r>
        <w:t xml:space="preserve">While growth in </w:t>
      </w:r>
      <w:r w:rsidR="004470C3">
        <w:t xml:space="preserve">real </w:t>
      </w:r>
      <w:r>
        <w:t>GDP slowed to 2.4 per cent annually over the period 2007</w:t>
      </w:r>
      <w:r w:rsidR="0070219A">
        <w:noBreakHyphen/>
        <w:t>08 to 2012</w:t>
      </w:r>
      <w:r w:rsidR="0070219A">
        <w:noBreakHyphen/>
      </w:r>
      <w:r>
        <w:t>13, underlying spending grew in real terms by 3.6 per cent annually or 47 per cent faster than the annual rate of growth of real GDP.</w:t>
      </w:r>
    </w:p>
    <w:p w:rsidR="00BA0DD7" w:rsidRDefault="00BA0DD7" w:rsidP="00BA0DD7">
      <w:r>
        <w:t>The largest contributors to growth</w:t>
      </w:r>
      <w:r w:rsidR="009E5AF8">
        <w:t xml:space="preserve"> in spending</w:t>
      </w:r>
      <w:r>
        <w:t xml:space="preserve"> over the period from 2002</w:t>
      </w:r>
      <w:r>
        <w:noBreakHyphen/>
        <w:t>03 to 2012</w:t>
      </w:r>
      <w:r>
        <w:noBreakHyphen/>
        <w:t>13 were social security and welfare, and health</w:t>
      </w:r>
      <w:r w:rsidR="009E5AF8">
        <w:t>.</w:t>
      </w:r>
      <w:r>
        <w:t xml:space="preserve"> </w:t>
      </w:r>
      <w:r w:rsidR="0070219A">
        <w:t xml:space="preserve"> </w:t>
      </w:r>
      <w:r w:rsidR="009E5AF8">
        <w:t>T</w:t>
      </w:r>
      <w:r>
        <w:t>ogether</w:t>
      </w:r>
      <w:r w:rsidR="009E5AF8">
        <w:t>, spending on these items</w:t>
      </w:r>
      <w:r>
        <w:t xml:space="preserve"> accounted for over one half </w:t>
      </w:r>
      <w:r w:rsidR="009E5AF8">
        <w:t xml:space="preserve">of the </w:t>
      </w:r>
      <w:r>
        <w:t xml:space="preserve">growth </w:t>
      </w:r>
      <w:r w:rsidR="009E5AF8">
        <w:t xml:space="preserve">in total spending </w:t>
      </w:r>
      <w:r>
        <w:t>over the period.</w:t>
      </w:r>
    </w:p>
    <w:p w:rsidR="009E5AF8" w:rsidRDefault="00BA0DD7" w:rsidP="00BA0DD7">
      <w:r>
        <w:t>Social security and welfare spending contributed one third of spending growth and contained four of the major program contributors to overall spending growth over the period:  the Age Pension, the Disability Support Pension (DSP), Fami</w:t>
      </w:r>
      <w:r w:rsidR="0070219A">
        <w:t>ly Tax Benefit, and Aged Care.</w:t>
      </w:r>
    </w:p>
    <w:p w:rsidR="00BA0DD7" w:rsidRDefault="00BA0DD7" w:rsidP="00BA0DD7">
      <w:r>
        <w:t>Health spending contributed a further 19 per cent of total spending</w:t>
      </w:r>
      <w:r w:rsidR="009E5AF8">
        <w:t xml:space="preserve"> growth due mainly to higher </w:t>
      </w:r>
      <w:r>
        <w:t xml:space="preserve">spending on the </w:t>
      </w:r>
      <w:r w:rsidR="004470C3">
        <w:t>Medicare</w:t>
      </w:r>
      <w:r>
        <w:t xml:space="preserve"> Benefits Schedule, and increased payments to the States and Territories for public hospital services under the National Health Reform payment.</w:t>
      </w:r>
    </w:p>
    <w:p w:rsidR="00451ABB" w:rsidRDefault="003A3DA2" w:rsidP="00BA0DD7">
      <w:r>
        <w:t>Ten programs accounted for more than half of the real growt</w:t>
      </w:r>
      <w:r w:rsidR="0070219A">
        <w:t>h in spending over the decade.</w:t>
      </w:r>
    </w:p>
    <w:p w:rsidR="00BA0DD7" w:rsidRDefault="003A3DA2" w:rsidP="00BA0DD7">
      <w:r>
        <w:t>The Age Pension</w:t>
      </w:r>
      <w:r w:rsidR="00BA0DD7">
        <w:t xml:space="preserve"> </w:t>
      </w:r>
      <w:r>
        <w:t xml:space="preserve">made </w:t>
      </w:r>
      <w:r w:rsidR="00BA0DD7">
        <w:t>the largest contribut</w:t>
      </w:r>
      <w:r>
        <w:t>ion</w:t>
      </w:r>
      <w:r w:rsidR="004C24F6">
        <w:t xml:space="preserve"> accounting for 11 per cent of </w:t>
      </w:r>
      <w:r w:rsidR="00BA0DD7">
        <w:t>to</w:t>
      </w:r>
      <w:r w:rsidR="004C24F6">
        <w:t>tal</w:t>
      </w:r>
      <w:r w:rsidR="00BA0DD7">
        <w:t xml:space="preserve"> </w:t>
      </w:r>
      <w:r>
        <w:t xml:space="preserve">spending </w:t>
      </w:r>
      <w:r w:rsidR="00BB4C33">
        <w:t>growth,</w:t>
      </w:r>
      <w:r w:rsidR="004C24F6">
        <w:t xml:space="preserve"> </w:t>
      </w:r>
      <w:r w:rsidR="00BA0DD7">
        <w:t>mainly due to increase</w:t>
      </w:r>
      <w:r w:rsidR="009E5AF8">
        <w:t>s</w:t>
      </w:r>
      <w:r w:rsidR="00BA0DD7">
        <w:t xml:space="preserve"> in the pension rate and growing pensioner numbers.</w:t>
      </w:r>
    </w:p>
    <w:p w:rsidR="00BA0DD7" w:rsidRDefault="003A3DA2" w:rsidP="00BA0DD7">
      <w:r>
        <w:t>Payments under the Medicare Benefits Schedule contributed</w:t>
      </w:r>
      <w:r w:rsidR="00BA0DD7">
        <w:t xml:space="preserve"> over 6 per cent of total growth, driven by the increased demand </w:t>
      </w:r>
      <w:r w:rsidR="00F95E8F">
        <w:t xml:space="preserve">for </w:t>
      </w:r>
      <w:r w:rsidR="00BA0DD7">
        <w:t>and cost of Medicare services.</w:t>
      </w:r>
    </w:p>
    <w:p w:rsidR="004C24F6" w:rsidRDefault="005342E6" w:rsidP="00BA0DD7">
      <w:r>
        <w:t xml:space="preserve">Goods and Services Tax (GST) payments to the </w:t>
      </w:r>
      <w:r w:rsidR="00BA0DD7">
        <w:t>States</w:t>
      </w:r>
      <w:r w:rsidR="003F7394">
        <w:t xml:space="preserve"> and Territories</w:t>
      </w:r>
      <w:r w:rsidR="004C24F6">
        <w:t xml:space="preserve">, despite the slow growth in GST revenue, </w:t>
      </w:r>
      <w:r w:rsidR="00BA0DD7">
        <w:t>contribut</w:t>
      </w:r>
      <w:r w:rsidR="003A3DA2">
        <w:t>ed</w:t>
      </w:r>
      <w:r w:rsidR="004C24F6">
        <w:t xml:space="preserve"> </w:t>
      </w:r>
      <w:r w:rsidR="003F7394">
        <w:t xml:space="preserve">6 per cent of total </w:t>
      </w:r>
      <w:r w:rsidR="00BA0DD7">
        <w:t>spending growth</w:t>
      </w:r>
      <w:r w:rsidR="004C24F6">
        <w:t xml:space="preserve"> due to </w:t>
      </w:r>
      <w:r w:rsidR="0070219A">
        <w:t>the large size of this program.</w:t>
      </w:r>
    </w:p>
    <w:p w:rsidR="00BA0DD7" w:rsidRDefault="00BA0DD7" w:rsidP="00BA0DD7">
      <w:r>
        <w:t>Public debt interest accounted for over 5 per cent of the growth in total spending, due to the</w:t>
      </w:r>
      <w:r w:rsidR="003F7394">
        <w:t xml:space="preserve"> budget</w:t>
      </w:r>
      <w:r>
        <w:t xml:space="preserve"> deficits accumulated from 2008</w:t>
      </w:r>
      <w:r>
        <w:noBreakHyphen/>
        <w:t>09, as well as the financing of equity investments in government corporations such as NBN Co and the Clean Energy Finance Corporation.</w:t>
      </w:r>
    </w:p>
    <w:p w:rsidR="00BB4C33" w:rsidRDefault="00BB4C33" w:rsidP="00BB4C33">
      <w:r>
        <w:t>The DSP contributed 5 per cent of the total spending growth driven by increases in the rate of the pension and increases in the number of recipients.</w:t>
      </w:r>
    </w:p>
    <w:p w:rsidR="0093106C" w:rsidRDefault="00BB4C33" w:rsidP="00BB4C33">
      <w:r>
        <w:t>Defence spending, including net capital investment, accounted for almost 5 per cent of total spending growth</w:t>
      </w:r>
      <w:r w:rsidR="0093106C">
        <w:t>, driven mainly by long term funding commitments arising from Defence white papers.</w:t>
      </w:r>
    </w:p>
    <w:p w:rsidR="00BB4C33" w:rsidRDefault="00BB4C33" w:rsidP="00BB4C33">
      <w:r>
        <w:t>Aged care contributed over 4</w:t>
      </w:r>
      <w:r w:rsidR="0070219A">
        <w:t> </w:t>
      </w:r>
      <w:r>
        <w:t>per</w:t>
      </w:r>
      <w:r w:rsidR="0070219A">
        <w:t> </w:t>
      </w:r>
      <w:r>
        <w:t>cent</w:t>
      </w:r>
      <w:r w:rsidR="0070219A">
        <w:t xml:space="preserve"> </w:t>
      </w:r>
      <w:r>
        <w:t>of</w:t>
      </w:r>
      <w:r w:rsidR="0070219A">
        <w:t xml:space="preserve"> </w:t>
      </w:r>
      <w:r>
        <w:t>total growth driven largely by increases in the number of governm</w:t>
      </w:r>
      <w:r w:rsidR="005342E6">
        <w:t>ent subsidised aged care places, and increases in the cost of care.</w:t>
      </w:r>
    </w:p>
    <w:p w:rsidR="00BB4C33" w:rsidRDefault="00BB4C33" w:rsidP="00BB4C33">
      <w:r>
        <w:lastRenderedPageBreak/>
        <w:t>Family Tax Benefit accounted for</w:t>
      </w:r>
      <w:r w:rsidR="005342E6">
        <w:t xml:space="preserve"> almost</w:t>
      </w:r>
      <w:r>
        <w:t xml:space="preserve"> 4</w:t>
      </w:r>
      <w:r w:rsidR="0070219A">
        <w:t> </w:t>
      </w:r>
      <w:r>
        <w:t>per</w:t>
      </w:r>
      <w:r w:rsidR="0070219A">
        <w:t> </w:t>
      </w:r>
      <w:r>
        <w:t>cent of total spending growth due largely to increases in benefit levels</w:t>
      </w:r>
      <w:r w:rsidR="00C26264">
        <w:t>.</w:t>
      </w:r>
    </w:p>
    <w:p w:rsidR="00BB4C33" w:rsidRDefault="00BB4C33" w:rsidP="00BB4C33">
      <w:r>
        <w:t>Government superannuation benefits contributed more than 3</w:t>
      </w:r>
      <w:r w:rsidR="0070219A">
        <w:t> </w:t>
      </w:r>
      <w:r>
        <w:t>per</w:t>
      </w:r>
      <w:r w:rsidR="0070219A">
        <w:t> </w:t>
      </w:r>
      <w:r>
        <w:t>cent</w:t>
      </w:r>
      <w:r w:rsidR="0070219A">
        <w:t xml:space="preserve"> </w:t>
      </w:r>
      <w:r>
        <w:t>of total spending growth</w:t>
      </w:r>
      <w:r w:rsidR="0093106C">
        <w:t>.  This was</w:t>
      </w:r>
      <w:r>
        <w:t xml:space="preserve"> mainly due to the </w:t>
      </w:r>
      <w:r w:rsidR="0093106C">
        <w:t xml:space="preserve">impact </w:t>
      </w:r>
      <w:r>
        <w:t>of lower discount rates</w:t>
      </w:r>
      <w:r w:rsidR="0093106C">
        <w:t xml:space="preserve"> used </w:t>
      </w:r>
      <w:r>
        <w:t>to value the superannuation liability</w:t>
      </w:r>
      <w:r w:rsidR="0093106C">
        <w:t>, reflecting lower bond yields, particularly in 2012-13</w:t>
      </w:r>
      <w:r>
        <w:t>.</w:t>
      </w:r>
    </w:p>
    <w:p w:rsidR="00BB4C33" w:rsidRDefault="00BB4C33" w:rsidP="00BB4C33">
      <w:r>
        <w:t>The National Health Reform payment accounted for 3</w:t>
      </w:r>
      <w:r w:rsidR="00471BF5">
        <w:t> </w:t>
      </w:r>
      <w:r>
        <w:t>per</w:t>
      </w:r>
      <w:r w:rsidR="00471BF5">
        <w:t> </w:t>
      </w:r>
      <w:r>
        <w:t>cent of total spending growth driven by increased base funding by the Commonwealth and</w:t>
      </w:r>
      <w:r w:rsidR="009F36D1">
        <w:t xml:space="preserve"> the impact of</w:t>
      </w:r>
      <w:r>
        <w:t xml:space="preserve"> indexation factors.</w:t>
      </w:r>
    </w:p>
    <w:p w:rsidR="00BA0DD7" w:rsidRDefault="00BA0DD7" w:rsidP="00BA0DD7">
      <w:r>
        <w:t xml:space="preserve">Government spending includes funding provided to the States and Territories.  Over the decade this funding grew in real terms by 2.8 per cent annually, slower than annual growth in real GDP of </w:t>
      </w:r>
      <w:r w:rsidRPr="00DB5AD8">
        <w:t>3.0 per cent, and slower than Commonwealth own</w:t>
      </w:r>
      <w:r w:rsidR="00EF0898" w:rsidRPr="00DB5AD8">
        <w:noBreakHyphen/>
      </w:r>
      <w:r w:rsidRPr="00DB5AD8">
        <w:t>purpose spending which grew at 4.1 per cent</w:t>
      </w:r>
      <w:r>
        <w:t xml:space="preserve"> annually.</w:t>
      </w:r>
    </w:p>
    <w:p w:rsidR="00BA0DD7" w:rsidRDefault="00BA0DD7" w:rsidP="00BA0DD7">
      <w:r>
        <w:t>The composition of the funding provided to the States and Territories changed over the period.  The proportion of funding provided as general revenue assistance declined from 64 per cent in 2002</w:t>
      </w:r>
      <w:r>
        <w:noBreakHyphen/>
        <w:t>03 to 56 per cent in 2012</w:t>
      </w:r>
      <w:r>
        <w:noBreakHyphen/>
        <w:t xml:space="preserve">13, reflecting a reduction in the proportion of flexible funding and an increase in the </w:t>
      </w:r>
      <w:r w:rsidR="002A3FC4">
        <w:t>proportion of funding</w:t>
      </w:r>
      <w:r>
        <w:t xml:space="preserve"> provided under specific agreements with the Commonwealth </w:t>
      </w:r>
      <w:r w:rsidRPr="00706358">
        <w:t>Government.</w:t>
      </w:r>
    </w:p>
    <w:p w:rsidR="00BA0DD7" w:rsidRDefault="00BA0DD7" w:rsidP="00BA0DD7"/>
    <w:p w:rsidR="00D400E8" w:rsidRDefault="00D400E8" w:rsidP="00D72AC7">
      <w:pPr>
        <w:sectPr w:rsidR="00D400E8" w:rsidSect="0099638E">
          <w:footerReference w:type="first" r:id="rId18"/>
          <w:pgSz w:w="11900" w:h="16840"/>
          <w:pgMar w:top="1440" w:right="1797" w:bottom="1440" w:left="1797" w:header="709" w:footer="709" w:gutter="0"/>
          <w:pgNumType w:start="1"/>
          <w:cols w:space="708"/>
          <w:titlePg/>
          <w:docGrid w:linePitch="326"/>
        </w:sectPr>
      </w:pPr>
    </w:p>
    <w:p w:rsidR="001C5A93" w:rsidRPr="004A5C8B" w:rsidRDefault="0047109C" w:rsidP="003D676E">
      <w:pPr>
        <w:pStyle w:val="Heading1"/>
        <w:numPr>
          <w:ilvl w:val="0"/>
          <w:numId w:val="26"/>
        </w:numPr>
        <w:ind w:left="709" w:hanging="709"/>
      </w:pPr>
      <w:bookmarkStart w:id="13" w:name="_Toc374182863"/>
      <w:bookmarkStart w:id="14" w:name="_Toc374349459"/>
      <w:r w:rsidRPr="004A5C8B">
        <w:lastRenderedPageBreak/>
        <w:t>Total government spending</w:t>
      </w:r>
      <w:bookmarkEnd w:id="6"/>
      <w:bookmarkEnd w:id="7"/>
      <w:bookmarkEnd w:id="13"/>
      <w:bookmarkEnd w:id="14"/>
    </w:p>
    <w:p w:rsidR="00BF46DF" w:rsidRPr="00713C79" w:rsidRDefault="00F96DA0" w:rsidP="00F96DA0">
      <w:bookmarkStart w:id="15" w:name="_Toc372693125"/>
      <w:bookmarkStart w:id="16" w:name="_Toc372697960"/>
      <w:r>
        <w:t xml:space="preserve">This report examines </w:t>
      </w:r>
      <w:r w:rsidRPr="00713C79">
        <w:t>historic</w:t>
      </w:r>
      <w:r w:rsidR="00911BEB" w:rsidRPr="00713C79">
        <w:t>al</w:t>
      </w:r>
      <w:r w:rsidRPr="00713C79">
        <w:t xml:space="preserve"> trends in Australian </w:t>
      </w:r>
      <w:r w:rsidRPr="00706358">
        <w:t>Government</w:t>
      </w:r>
      <w:r w:rsidRPr="00713C79">
        <w:t xml:space="preserve"> spending, including expenses and net capital investment, from 2002-03 to 2012-13.  The analysis co</w:t>
      </w:r>
      <w:r w:rsidR="007F07CF" w:rsidRPr="00713C79">
        <w:t>mmences in 2002-03 as there is</w:t>
      </w:r>
      <w:r w:rsidRPr="00713C79">
        <w:t xml:space="preserve"> greater data consistency from this year onwards and concludes in 2012-13, the last year for which actual </w:t>
      </w:r>
      <w:r w:rsidR="00981027" w:rsidRPr="00713C79">
        <w:t>spending</w:t>
      </w:r>
      <w:r w:rsidRPr="00713C79">
        <w:t xml:space="preserve"> data is a</w:t>
      </w:r>
      <w:r w:rsidR="006D7014" w:rsidRPr="00713C79">
        <w:t>vailable.</w:t>
      </w:r>
    </w:p>
    <w:p w:rsidR="00582FF2" w:rsidRPr="00713C79" w:rsidRDefault="0041689A" w:rsidP="00F96DA0">
      <w:r w:rsidRPr="00713C79">
        <w:t>In Chapter </w:t>
      </w:r>
      <w:r w:rsidR="00F947A1" w:rsidRPr="00713C79">
        <w:t xml:space="preserve">1, total government spending </w:t>
      </w:r>
      <w:r w:rsidR="00582FF2" w:rsidRPr="00713C79">
        <w:t xml:space="preserve">comprises </w:t>
      </w:r>
      <w:r w:rsidR="00F947A1" w:rsidRPr="00713C79">
        <w:t xml:space="preserve">expenses and net capital investment.  The </w:t>
      </w:r>
      <w:r w:rsidR="002C5357" w:rsidRPr="00713C79">
        <w:t xml:space="preserve">majority of chapters analyse spending at a functional level based on expenses only.  </w:t>
      </w:r>
      <w:r w:rsidR="00033B1D" w:rsidRPr="00713C79">
        <w:t xml:space="preserve">Net capital investment is treated separately and is discussed in Chapter 10.  </w:t>
      </w:r>
      <w:r w:rsidR="00911BEB" w:rsidRPr="00713C79">
        <w:t>However, as D</w:t>
      </w:r>
      <w:r w:rsidR="002C5357" w:rsidRPr="00713C79">
        <w:t>efence has the largest proportion of net capital investment of all</w:t>
      </w:r>
      <w:r w:rsidRPr="00713C79">
        <w:t xml:space="preserve"> government functions, Chapter </w:t>
      </w:r>
      <w:r w:rsidR="00911BEB" w:rsidRPr="00713C79">
        <w:t>7 on d</w:t>
      </w:r>
      <w:r w:rsidR="002C5357" w:rsidRPr="00713C79">
        <w:t>efence</w:t>
      </w:r>
      <w:r w:rsidR="00911BEB" w:rsidRPr="00713C79">
        <w:t xml:space="preserve"> and public o</w:t>
      </w:r>
      <w:r w:rsidR="002C5357" w:rsidRPr="00713C79">
        <w:t xml:space="preserve">rder </w:t>
      </w:r>
      <w:r w:rsidR="00911BEB" w:rsidRPr="00713C79">
        <w:t>and s</w:t>
      </w:r>
      <w:r w:rsidR="002C5357" w:rsidRPr="00713C79">
        <w:t xml:space="preserve">afety also includes a discussion of </w:t>
      </w:r>
      <w:r w:rsidR="00033B1D" w:rsidRPr="00713C79">
        <w:t xml:space="preserve">total defence spending including </w:t>
      </w:r>
      <w:r w:rsidR="002C5357" w:rsidRPr="00713C79">
        <w:t>net capital investment</w:t>
      </w:r>
      <w:r w:rsidR="00033B1D" w:rsidRPr="00713C79">
        <w:t>.</w:t>
      </w:r>
    </w:p>
    <w:p w:rsidR="008E30DB" w:rsidRPr="00713C79" w:rsidRDefault="008E30DB" w:rsidP="008E30DB">
      <w:pPr>
        <w:pStyle w:val="PBOtext"/>
      </w:pPr>
      <w:r w:rsidRPr="00713C79">
        <w:t>Consistent with the Australian Government Budget papers, this report uses the accrual accounting measure of spending and net capital investment.</w:t>
      </w:r>
    </w:p>
    <w:p w:rsidR="008E30DB" w:rsidRPr="00713C79" w:rsidRDefault="008E30DB" w:rsidP="008E30DB">
      <w:r w:rsidRPr="00713C79">
        <w:t>The report compares real growth in spending to growth in real GDP.  The report should be read on the basis that growth in spending and GDP are measured in real terms unless otherwise specified</w:t>
      </w:r>
      <w:r w:rsidR="004C52E4">
        <w:t>,</w:t>
      </w:r>
      <w:r w:rsidRPr="00713C79">
        <w:rPr>
          <w:rStyle w:val="FootnoteReference"/>
        </w:rPr>
        <w:footnoteReference w:id="1"/>
      </w:r>
      <w:r w:rsidRPr="00713C79">
        <w:t xml:space="preserve"> and annual growth rates are average compounded growth rates</w:t>
      </w:r>
      <w:r w:rsidR="006D7014" w:rsidRPr="00713C79">
        <w:t>.</w:t>
      </w:r>
    </w:p>
    <w:p w:rsidR="00F909BF" w:rsidRDefault="00F96DA0" w:rsidP="008E30DB">
      <w:r w:rsidRPr="00713C79">
        <w:t>A detailed discussion on the methodology used for collating this data, and the reasons for comparing real spen</w:t>
      </w:r>
      <w:r w:rsidR="003D2C32" w:rsidRPr="00713C79">
        <w:t>ding growth with real GDP are at</w:t>
      </w:r>
      <w:r w:rsidRPr="00713C79">
        <w:t xml:space="preserve"> </w:t>
      </w:r>
      <w:hyperlink w:anchor="_Attachment_A_Technical" w:history="1">
        <w:r w:rsidRPr="00713C79">
          <w:rPr>
            <w:rStyle w:val="Hyperlink"/>
            <w:b/>
            <w:color w:val="auto"/>
            <w:u w:val="none"/>
          </w:rPr>
          <w:t>Attachment A</w:t>
        </w:r>
      </w:hyperlink>
      <w:r w:rsidRPr="00713C79">
        <w:t xml:space="preserve">.  The PBO has made a number of adjustments to the data </w:t>
      </w:r>
      <w:r w:rsidR="00911BEB" w:rsidRPr="00713C79">
        <w:t>reported in Final Budget Outcome</w:t>
      </w:r>
      <w:r w:rsidR="00044522">
        <w:t xml:space="preserve"> reports</w:t>
      </w:r>
      <w:r w:rsidR="00911BEB" w:rsidRPr="00713C79">
        <w:t xml:space="preserve"> </w:t>
      </w:r>
      <w:r w:rsidRPr="00713C79">
        <w:t>to ensure consis</w:t>
      </w:r>
      <w:r w:rsidRPr="004236EB">
        <w:t>tency across time.  The det</w:t>
      </w:r>
      <w:r w:rsidR="003D2C32" w:rsidRPr="004236EB">
        <w:t>ails of these adjustments are at</w:t>
      </w:r>
      <w:r w:rsidRPr="004236EB">
        <w:t xml:space="preserve"> </w:t>
      </w:r>
      <w:hyperlink w:anchor="_Attachment_B_Variations" w:history="1">
        <w:r w:rsidRPr="004236EB">
          <w:rPr>
            <w:rStyle w:val="Hyperlink"/>
            <w:b/>
            <w:color w:val="auto"/>
            <w:u w:val="none"/>
          </w:rPr>
          <w:t>Attachment B</w:t>
        </w:r>
      </w:hyperlink>
      <w:r w:rsidRPr="004236EB">
        <w:t xml:space="preserve">. </w:t>
      </w:r>
      <w:r w:rsidR="00BD21C5" w:rsidRPr="004236EB">
        <w:t xml:space="preserve"> The data is published in </w:t>
      </w:r>
      <w:r w:rsidR="00BD21C5" w:rsidRPr="004236EB">
        <w:rPr>
          <w:b/>
        </w:rPr>
        <w:t xml:space="preserve">Attachment </w:t>
      </w:r>
      <w:r w:rsidR="004236EB">
        <w:rPr>
          <w:b/>
        </w:rPr>
        <w:t>D</w:t>
      </w:r>
      <w:r w:rsidR="00BD21C5" w:rsidRPr="004236EB">
        <w:t xml:space="preserve"> and as a separate </w:t>
      </w:r>
      <w:r w:rsidR="00AB5396" w:rsidRPr="004236EB">
        <w:t xml:space="preserve">Excel </w:t>
      </w:r>
      <w:r w:rsidR="00BD21C5" w:rsidRPr="004236EB">
        <w:t>workbook accompanying this report.</w:t>
      </w:r>
    </w:p>
    <w:p w:rsidR="001C5A93" w:rsidRPr="00344501" w:rsidRDefault="001C5A93" w:rsidP="007E6045">
      <w:pPr>
        <w:pStyle w:val="Heading20"/>
        <w:spacing w:before="240"/>
      </w:pPr>
      <w:r w:rsidRPr="00344501">
        <w:t>Composition of government spending</w:t>
      </w:r>
      <w:bookmarkEnd w:id="15"/>
      <w:bookmarkEnd w:id="16"/>
    </w:p>
    <w:p w:rsidR="003E345B" w:rsidRDefault="007C0687" w:rsidP="00355FEF">
      <w:pPr>
        <w:pStyle w:val="PBOtext"/>
        <w:tabs>
          <w:tab w:val="left" w:pos="1134"/>
        </w:tabs>
      </w:pPr>
      <w:r w:rsidRPr="00865B5C">
        <w:t xml:space="preserve">Spending by the Australian </w:t>
      </w:r>
      <w:r w:rsidRPr="00706358">
        <w:t>Government</w:t>
      </w:r>
      <w:r w:rsidRPr="00865B5C">
        <w:t xml:space="preserve"> is an important par</w:t>
      </w:r>
      <w:r w:rsidR="00911BEB" w:rsidRPr="00865B5C">
        <w:t>t of the economy, totalling $384</w:t>
      </w:r>
      <w:r w:rsidR="00355FEF" w:rsidRPr="00865B5C">
        <w:t> </w:t>
      </w:r>
      <w:r w:rsidRPr="00865B5C">
        <w:t>billion in 2012</w:t>
      </w:r>
      <w:r w:rsidR="0041689A" w:rsidRPr="00865B5C">
        <w:noBreakHyphen/>
      </w:r>
      <w:r w:rsidRPr="00865B5C">
        <w:t xml:space="preserve">13 or just over a quarter of </w:t>
      </w:r>
      <w:r w:rsidR="00C80BDA" w:rsidRPr="00865B5C">
        <w:t xml:space="preserve">nominal </w:t>
      </w:r>
      <w:r w:rsidRPr="00865B5C">
        <w:t xml:space="preserve">GDP.  </w:t>
      </w:r>
      <w:r w:rsidR="008E7C85" w:rsidRPr="00865B5C">
        <w:t xml:space="preserve">The composition of spending in this report follows the budget’s functional presentation except </w:t>
      </w:r>
      <w:r w:rsidR="008E7C85">
        <w:t>that certain functions have been aggregated.</w:t>
      </w:r>
      <w:r w:rsidR="008E7C85">
        <w:rPr>
          <w:rStyle w:val="FootnoteReference"/>
        </w:rPr>
        <w:footnoteReference w:id="2"/>
      </w:r>
      <w:r w:rsidR="008E7C85">
        <w:t xml:space="preserve">  </w:t>
      </w:r>
      <w:r w:rsidR="006A1D37" w:rsidRPr="00865B5C">
        <w:t xml:space="preserve">The composition of spending is </w:t>
      </w:r>
      <w:r w:rsidRPr="00865B5C">
        <w:t xml:space="preserve">shown in </w:t>
      </w:r>
      <w:r w:rsidRPr="00865B5C">
        <w:fldChar w:fldCharType="begin"/>
      </w:r>
      <w:r w:rsidRPr="00865B5C">
        <w:instrText xml:space="preserve"> REF _Ref372712585 \h </w:instrText>
      </w:r>
      <w:r w:rsidR="006A1D37" w:rsidRPr="00865B5C">
        <w:instrText xml:space="preserve"> \* MERGEFORMAT </w:instrText>
      </w:r>
      <w:r w:rsidRPr="00865B5C">
        <w:fldChar w:fldCharType="separate"/>
      </w:r>
      <w:r w:rsidR="00E862AC" w:rsidRPr="00CD3FCD">
        <w:t xml:space="preserve">Figure </w:t>
      </w:r>
      <w:r w:rsidR="00E862AC">
        <w:rPr>
          <w:noProof/>
        </w:rPr>
        <w:t>1</w:t>
      </w:r>
      <w:r w:rsidR="00E862AC" w:rsidRPr="00CD3FCD">
        <w:rPr>
          <w:noProof/>
        </w:rPr>
        <w:t>.</w:t>
      </w:r>
      <w:r w:rsidR="00E862AC">
        <w:rPr>
          <w:noProof/>
        </w:rPr>
        <w:t>1</w:t>
      </w:r>
      <w:r w:rsidRPr="00865B5C">
        <w:fldChar w:fldCharType="end"/>
      </w:r>
      <w:r w:rsidR="003E345B" w:rsidRPr="00865B5C">
        <w:t xml:space="preserve"> below.</w:t>
      </w:r>
    </w:p>
    <w:p w:rsidR="00E0351D" w:rsidRPr="00CD3FCD" w:rsidRDefault="00E0351D" w:rsidP="007A4A40">
      <w:pPr>
        <w:pStyle w:val="Caption"/>
      </w:pPr>
      <w:bookmarkStart w:id="17" w:name="_Ref372712585"/>
      <w:bookmarkStart w:id="18" w:name="_Toc373422169"/>
      <w:bookmarkStart w:id="19" w:name="_Toc373873639"/>
      <w:bookmarkStart w:id="20" w:name="_Toc373955543"/>
      <w:bookmarkStart w:id="21" w:name="_Toc374088488"/>
      <w:bookmarkStart w:id="22" w:name="_Toc374102194"/>
      <w:bookmarkStart w:id="23" w:name="_Toc374349984"/>
      <w:proofErr w:type="gramStart"/>
      <w:r w:rsidRPr="00CD3FCD">
        <w:lastRenderedPageBreak/>
        <w:t xml:space="preserve">Figure </w:t>
      </w:r>
      <w:fldSimple w:instr=" STYLEREF 1 \s ">
        <w:r w:rsidR="00E862AC">
          <w:rPr>
            <w:noProof/>
          </w:rPr>
          <w:t>1</w:t>
        </w:r>
      </w:fldSimple>
      <w:r w:rsidR="00F90856" w:rsidRPr="00CD3FCD">
        <w:t>.</w:t>
      </w:r>
      <w:proofErr w:type="gramEnd"/>
      <w:r w:rsidR="00143AAD">
        <w:fldChar w:fldCharType="begin"/>
      </w:r>
      <w:r w:rsidR="00143AAD">
        <w:instrText xml:space="preserve"> SEQ Figure \* ARABIC \s 1 </w:instrText>
      </w:r>
      <w:r w:rsidR="00143AAD">
        <w:fldChar w:fldCharType="separate"/>
      </w:r>
      <w:r w:rsidR="00E862AC">
        <w:rPr>
          <w:noProof/>
        </w:rPr>
        <w:t>1</w:t>
      </w:r>
      <w:r w:rsidR="00143AAD">
        <w:rPr>
          <w:noProof/>
        </w:rPr>
        <w:fldChar w:fldCharType="end"/>
      </w:r>
      <w:bookmarkEnd w:id="17"/>
      <w:r w:rsidR="007E6045" w:rsidRPr="00CD3FCD">
        <w:t>:</w:t>
      </w:r>
      <w:r w:rsidR="00C3403E">
        <w:tab/>
      </w:r>
      <w:r w:rsidR="007E6045" w:rsidRPr="00CD3FCD">
        <w:t>Composition of government spending in 2012-13</w:t>
      </w:r>
      <w:bookmarkEnd w:id="18"/>
      <w:bookmarkEnd w:id="19"/>
      <w:bookmarkEnd w:id="20"/>
      <w:bookmarkEnd w:id="21"/>
      <w:bookmarkEnd w:id="22"/>
      <w:bookmarkEnd w:id="23"/>
    </w:p>
    <w:p w:rsidR="008B57A2" w:rsidRPr="00344501" w:rsidRDefault="008B57A2" w:rsidP="00D400E8">
      <w:pPr>
        <w:spacing w:before="0" w:after="0"/>
        <w:jc w:val="center"/>
      </w:pPr>
      <w:r>
        <w:rPr>
          <w:noProof/>
        </w:rPr>
        <w:drawing>
          <wp:inline distT="0" distB="0" distL="0" distR="0" wp14:anchorId="12EC0013" wp14:editId="02CB8B1C">
            <wp:extent cx="4678626" cy="3600450"/>
            <wp:effectExtent l="0" t="0" r="8255" b="0"/>
            <wp:docPr id="1" name="Picture 1" descr="This chart shows the composition of government spending in 2012–13.  Spending on social security and welfare was the largest area of government spending at 34 per cent, followed by other purposes at 19 per cent and health at 16 per cent."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755" b="7736"/>
                    <a:stretch/>
                  </pic:blipFill>
                  <pic:spPr bwMode="auto">
                    <a:xfrm>
                      <a:off x="0" y="0"/>
                      <a:ext cx="4681855" cy="3602935"/>
                    </a:xfrm>
                    <a:prstGeom prst="rect">
                      <a:avLst/>
                    </a:prstGeom>
                    <a:noFill/>
                    <a:ln>
                      <a:noFill/>
                    </a:ln>
                    <a:extLst>
                      <a:ext uri="{53640926-AAD7-44D8-BBD7-CCE9431645EC}">
                        <a14:shadowObscured xmlns:a14="http://schemas.microsoft.com/office/drawing/2010/main"/>
                      </a:ext>
                    </a:extLst>
                  </pic:spPr>
                </pic:pic>
              </a:graphicData>
            </a:graphic>
          </wp:inline>
        </w:drawing>
      </w:r>
    </w:p>
    <w:p w:rsidR="001C5A93" w:rsidRPr="008D5907" w:rsidRDefault="001C5A93" w:rsidP="008D5907">
      <w:pPr>
        <w:pStyle w:val="FigureCaption"/>
      </w:pPr>
      <w:r w:rsidRPr="008D5907">
        <w:t>Source: Australian Government Final Budget Outcome 2012-13</w:t>
      </w:r>
    </w:p>
    <w:p w:rsidR="001C5A93" w:rsidRPr="00BC19E0" w:rsidRDefault="001C5A93" w:rsidP="00344501">
      <w:pPr>
        <w:pStyle w:val="PBOtext"/>
      </w:pPr>
      <w:r w:rsidRPr="00623AD7">
        <w:rPr>
          <w:b/>
        </w:rPr>
        <w:t>Social security and welfare</w:t>
      </w:r>
      <w:r w:rsidRPr="00BC19E0">
        <w:t xml:space="preserve"> </w:t>
      </w:r>
      <w:r w:rsidR="00E6234D">
        <w:t>wa</w:t>
      </w:r>
      <w:r>
        <w:t>s</w:t>
      </w:r>
      <w:r w:rsidRPr="00BC19E0">
        <w:t xml:space="preserve"> the largest </w:t>
      </w:r>
      <w:r>
        <w:t>component</w:t>
      </w:r>
      <w:r w:rsidRPr="00BC19E0">
        <w:t xml:space="preserve"> of government spending totalling $</w:t>
      </w:r>
      <w:r>
        <w:t>132</w:t>
      </w:r>
      <w:r w:rsidRPr="00BC19E0">
        <w:t> billion in 2012</w:t>
      </w:r>
      <w:r w:rsidR="0041689A" w:rsidRPr="006B456E">
        <w:noBreakHyphen/>
      </w:r>
      <w:r>
        <w:t>13</w:t>
      </w:r>
      <w:r w:rsidRPr="00BC19E0">
        <w:t xml:space="preserve">, or </w:t>
      </w:r>
      <w:r>
        <w:t>34</w:t>
      </w:r>
      <w:r w:rsidR="00355FEF">
        <w:t> </w:t>
      </w:r>
      <w:r w:rsidRPr="00BC19E0">
        <w:t>per</w:t>
      </w:r>
      <w:r w:rsidR="00355FEF">
        <w:t> </w:t>
      </w:r>
      <w:r w:rsidRPr="00BC19E0">
        <w:t>cent of the total</w:t>
      </w:r>
      <w:r>
        <w:t xml:space="preserve">.  </w:t>
      </w:r>
      <w:r w:rsidR="00D71BDC">
        <w:t>This included</w:t>
      </w:r>
      <w:r w:rsidRPr="00BC19E0">
        <w:t xml:space="preserve"> </w:t>
      </w:r>
      <w:r>
        <w:t>programs such as the Age Pension ($36 billion), the Disability Support Pension ($</w:t>
      </w:r>
      <w:r w:rsidRPr="00E0456E">
        <w:t>15</w:t>
      </w:r>
      <w:r w:rsidR="00355FEF">
        <w:t> </w:t>
      </w:r>
      <w:r>
        <w:t>billi</w:t>
      </w:r>
      <w:r w:rsidR="00355FEF">
        <w:t>on) and Family Tax Benefit ($19 </w:t>
      </w:r>
      <w:r>
        <w:t>billion), as well as assistance to the unemployed and sick and assistance to veterans and dependents, together totalling $15</w:t>
      </w:r>
      <w:r w:rsidR="00355FEF">
        <w:t> </w:t>
      </w:r>
      <w:r>
        <w:t>billion.</w:t>
      </w:r>
    </w:p>
    <w:p w:rsidR="001C5A93" w:rsidRPr="00C80BDA" w:rsidRDefault="001C5A93" w:rsidP="00344501">
      <w:pPr>
        <w:pStyle w:val="PBOtext"/>
      </w:pPr>
      <w:r>
        <w:t xml:space="preserve">Spending on </w:t>
      </w:r>
      <w:r w:rsidRPr="00623AD7">
        <w:rPr>
          <w:b/>
        </w:rPr>
        <w:t>other purposes</w:t>
      </w:r>
      <w:r w:rsidRPr="00BC19E0">
        <w:t xml:space="preserve"> </w:t>
      </w:r>
      <w:r w:rsidR="00E6234D">
        <w:t>wa</w:t>
      </w:r>
      <w:r>
        <w:t>s</w:t>
      </w:r>
      <w:r w:rsidRPr="00BC19E0">
        <w:t xml:space="preserve"> the second largest </w:t>
      </w:r>
      <w:r>
        <w:t xml:space="preserve">component </w:t>
      </w:r>
      <w:r w:rsidRPr="00BC19E0">
        <w:t>of government spe</w:t>
      </w:r>
      <w:r>
        <w:t>nding at $73</w:t>
      </w:r>
      <w:r w:rsidR="004B5BFA">
        <w:t> </w:t>
      </w:r>
      <w:r>
        <w:t>billion, or 19 </w:t>
      </w:r>
      <w:r w:rsidRPr="00BC19E0">
        <w:t>per</w:t>
      </w:r>
      <w:r w:rsidR="00355FEF">
        <w:t> </w:t>
      </w:r>
      <w:r w:rsidRPr="00BC19E0">
        <w:t>cent of the total</w:t>
      </w:r>
      <w:r>
        <w:t xml:space="preserve"> in 2012</w:t>
      </w:r>
      <w:r w:rsidR="0041689A" w:rsidRPr="006B456E">
        <w:noBreakHyphen/>
      </w:r>
      <w:r>
        <w:t xml:space="preserve">13.  </w:t>
      </w:r>
      <w:r w:rsidR="00865B5C" w:rsidRPr="00865B5C">
        <w:t>This included general purpose payments to the States, Territories and local government</w:t>
      </w:r>
      <w:r w:rsidR="00865B5C">
        <w:t xml:space="preserve"> </w:t>
      </w:r>
      <w:r w:rsidR="00865B5C" w:rsidRPr="00865B5C">
        <w:t xml:space="preserve">totalling </w:t>
      </w:r>
      <w:r w:rsidRPr="006F55BC">
        <w:t>$</w:t>
      </w:r>
      <w:r w:rsidR="004C0C85" w:rsidRPr="006F55BC">
        <w:t>51</w:t>
      </w:r>
      <w:r w:rsidR="00355FEF" w:rsidRPr="006F55BC">
        <w:t> </w:t>
      </w:r>
      <w:r w:rsidRPr="006F55BC">
        <w:t>billion or 13 per</w:t>
      </w:r>
      <w:r w:rsidR="00355FEF" w:rsidRPr="006F55BC">
        <w:t> </w:t>
      </w:r>
      <w:r w:rsidRPr="006F55BC">
        <w:t xml:space="preserve">cent of all government spending.  This </w:t>
      </w:r>
      <w:r w:rsidR="001978C7" w:rsidRPr="006F55BC">
        <w:t xml:space="preserve">is </w:t>
      </w:r>
      <w:r w:rsidRPr="006F55BC">
        <w:t xml:space="preserve">the Australian </w:t>
      </w:r>
      <w:r w:rsidRPr="00706358">
        <w:t>Government’s l</w:t>
      </w:r>
      <w:r w:rsidRPr="006F55BC">
        <w:t xml:space="preserve">argest </w:t>
      </w:r>
      <w:r w:rsidR="001978C7" w:rsidRPr="006F55BC">
        <w:t xml:space="preserve">single </w:t>
      </w:r>
      <w:r w:rsidRPr="006F55BC">
        <w:t>spending item</w:t>
      </w:r>
      <w:r w:rsidR="007C0687" w:rsidRPr="006F55BC">
        <w:t>, mainly comprising</w:t>
      </w:r>
      <w:r>
        <w:t xml:space="preserve"> the payment of GST to the States</w:t>
      </w:r>
      <w:r w:rsidR="005E3ECA">
        <w:t xml:space="preserve"> and Territories</w:t>
      </w:r>
      <w:r>
        <w:t xml:space="preserve">, which </w:t>
      </w:r>
      <w:r w:rsidRPr="00C80BDA">
        <w:t>totalled $</w:t>
      </w:r>
      <w:r w:rsidR="004C0C85" w:rsidRPr="00C80BDA">
        <w:t>49</w:t>
      </w:r>
      <w:r w:rsidR="00355FEF" w:rsidRPr="00C80BDA">
        <w:t> </w:t>
      </w:r>
      <w:r w:rsidRPr="00C80BDA">
        <w:t>billion in 2012</w:t>
      </w:r>
      <w:r w:rsidR="0041689A" w:rsidRPr="00C80BDA">
        <w:noBreakHyphen/>
      </w:r>
      <w:r w:rsidRPr="00C80BDA">
        <w:t>13.</w:t>
      </w:r>
    </w:p>
    <w:p w:rsidR="001C5A93" w:rsidRPr="00BC19E0" w:rsidRDefault="001C5A93" w:rsidP="00344501">
      <w:pPr>
        <w:pStyle w:val="PBOtext"/>
      </w:pPr>
      <w:r w:rsidRPr="00C80BDA">
        <w:rPr>
          <w:b/>
        </w:rPr>
        <w:t>Health</w:t>
      </w:r>
      <w:r w:rsidRPr="00C80BDA">
        <w:t xml:space="preserve"> spending comprised 16</w:t>
      </w:r>
      <w:r w:rsidR="00355FEF" w:rsidRPr="00C80BDA">
        <w:t> </w:t>
      </w:r>
      <w:r w:rsidRPr="00C80BDA">
        <w:t>per</w:t>
      </w:r>
      <w:r w:rsidR="00355FEF" w:rsidRPr="00C80BDA">
        <w:t> </w:t>
      </w:r>
      <w:r w:rsidRPr="00C80BDA">
        <w:t>cent of total spending in 2012</w:t>
      </w:r>
      <w:r w:rsidR="0041689A" w:rsidRPr="00C80BDA">
        <w:noBreakHyphen/>
      </w:r>
      <w:r w:rsidRPr="00C80BDA">
        <w:t>13 at $61</w:t>
      </w:r>
      <w:r w:rsidR="00355FEF" w:rsidRPr="00C80BDA">
        <w:t> </w:t>
      </w:r>
      <w:r w:rsidRPr="00C80BDA">
        <w:t>billion.  This include</w:t>
      </w:r>
      <w:r w:rsidR="00E6234D" w:rsidRPr="00C80BDA">
        <w:t>d</w:t>
      </w:r>
      <w:r w:rsidRPr="00C80BDA">
        <w:t xml:space="preserve"> spending of $19 billion on the Medicare Benefits </w:t>
      </w:r>
      <w:r w:rsidR="00AD58CE">
        <w:t>Schedule</w:t>
      </w:r>
      <w:r w:rsidRPr="00C80BDA">
        <w:t xml:space="preserve"> (MBS), the National Health Reform Payment to the States for public hospitals ($13 billion), and the Pharmaceutical Benefits Scheme </w:t>
      </w:r>
      <w:r w:rsidR="004C0C85" w:rsidRPr="00C80BDA">
        <w:t>($9</w:t>
      </w:r>
      <w:r w:rsidR="00355FEF" w:rsidRPr="00C80BDA">
        <w:t> </w:t>
      </w:r>
      <w:r w:rsidRPr="00C80BDA">
        <w:t>billion</w:t>
      </w:r>
      <w:r>
        <w:t>)</w:t>
      </w:r>
      <w:r w:rsidRPr="00BC19E0">
        <w:t>.</w:t>
      </w:r>
    </w:p>
    <w:p w:rsidR="001C5A93" w:rsidRPr="00BC19E0" w:rsidRDefault="001C5A93" w:rsidP="00344501">
      <w:pPr>
        <w:pStyle w:val="PBOtext"/>
      </w:pPr>
      <w:r w:rsidRPr="00BC19E0">
        <w:t>Together, social security and welfare, other purposes and health spending ma</w:t>
      </w:r>
      <w:r w:rsidR="00E6234D">
        <w:t>de</w:t>
      </w:r>
      <w:r w:rsidRPr="00BC19E0">
        <w:t xml:space="preserve"> up over two thirds of total government spending.</w:t>
      </w:r>
    </w:p>
    <w:p w:rsidR="001C5A93" w:rsidRPr="00BC19E0" w:rsidRDefault="001C5A93" w:rsidP="00344501">
      <w:pPr>
        <w:pStyle w:val="PBOtext"/>
      </w:pPr>
      <w:r w:rsidRPr="00BC19E0">
        <w:t xml:space="preserve">The remaining one third </w:t>
      </w:r>
      <w:r w:rsidR="00E6234D">
        <w:t>wa</w:t>
      </w:r>
      <w:r>
        <w:t>s</w:t>
      </w:r>
      <w:r w:rsidRPr="00BC19E0">
        <w:t xml:space="preserve"> spent on </w:t>
      </w:r>
      <w:r w:rsidRPr="00623AD7">
        <w:rPr>
          <w:b/>
        </w:rPr>
        <w:t>education</w:t>
      </w:r>
      <w:r w:rsidRPr="00BC19E0">
        <w:t xml:space="preserve"> </w:t>
      </w:r>
      <w:r w:rsidRPr="00C80BDA">
        <w:t>at $</w:t>
      </w:r>
      <w:r w:rsidR="004C0C85" w:rsidRPr="00C80BDA">
        <w:t>28</w:t>
      </w:r>
      <w:r w:rsidRPr="00C80BDA">
        <w:t> billion</w:t>
      </w:r>
      <w:r w:rsidRPr="00BC19E0">
        <w:t xml:space="preserve"> (7</w:t>
      </w:r>
      <w:r w:rsidR="00355FEF">
        <w:t> </w:t>
      </w:r>
      <w:r w:rsidRPr="00BC19E0">
        <w:t>per</w:t>
      </w:r>
      <w:r w:rsidR="00355FEF">
        <w:t> </w:t>
      </w:r>
      <w:r w:rsidRPr="00BC19E0">
        <w:t>cent of the total)</w:t>
      </w:r>
      <w:r w:rsidR="00E6234D">
        <w:t>, which included</w:t>
      </w:r>
      <w:r>
        <w:t xml:space="preserve"> spending on higher education and schools;</w:t>
      </w:r>
      <w:r w:rsidRPr="00BC19E0">
        <w:t xml:space="preserve"> </w:t>
      </w:r>
      <w:r w:rsidR="00600DC2" w:rsidRPr="00623AD7">
        <w:rPr>
          <w:b/>
        </w:rPr>
        <w:t>general public services</w:t>
      </w:r>
      <w:r w:rsidR="00600DC2" w:rsidRPr="00BC19E0">
        <w:t xml:space="preserve"> including foreign aid at $2</w:t>
      </w:r>
      <w:r w:rsidR="00600DC2">
        <w:t>6</w:t>
      </w:r>
      <w:r w:rsidR="00600DC2" w:rsidRPr="00BC19E0">
        <w:t> billion (</w:t>
      </w:r>
      <w:r w:rsidR="00600DC2">
        <w:t>7</w:t>
      </w:r>
      <w:r w:rsidR="00355FEF">
        <w:t> </w:t>
      </w:r>
      <w:r w:rsidR="00600DC2" w:rsidRPr="00BC19E0">
        <w:t>per</w:t>
      </w:r>
      <w:r w:rsidR="00355FEF">
        <w:t> </w:t>
      </w:r>
      <w:r w:rsidR="00600DC2" w:rsidRPr="00BC19E0">
        <w:t>cent)</w:t>
      </w:r>
      <w:r w:rsidR="00600DC2">
        <w:t>;</w:t>
      </w:r>
      <w:r w:rsidR="00600DC2" w:rsidRPr="00BC19E0">
        <w:t xml:space="preserve"> </w:t>
      </w:r>
      <w:r w:rsidRPr="00623AD7">
        <w:rPr>
          <w:b/>
        </w:rPr>
        <w:t>defence, public order and safety</w:t>
      </w:r>
      <w:r w:rsidRPr="00BC19E0">
        <w:t xml:space="preserve"> at $</w:t>
      </w:r>
      <w:r>
        <w:t>25</w:t>
      </w:r>
      <w:r w:rsidRPr="00BC19E0">
        <w:t> billion (</w:t>
      </w:r>
      <w:r>
        <w:t>7 per </w:t>
      </w:r>
      <w:r w:rsidRPr="00BC19E0">
        <w:t>cent)</w:t>
      </w:r>
      <w:r>
        <w:t>;</w:t>
      </w:r>
      <w:r w:rsidRPr="00BC19E0">
        <w:t xml:space="preserve"> </w:t>
      </w:r>
      <w:r w:rsidRPr="00623AD7">
        <w:rPr>
          <w:b/>
        </w:rPr>
        <w:t>industry and economic affairs</w:t>
      </w:r>
      <w:r w:rsidRPr="00BC19E0">
        <w:t xml:space="preserve"> at $2</w:t>
      </w:r>
      <w:r>
        <w:t>2</w:t>
      </w:r>
      <w:r w:rsidRPr="00BC19E0">
        <w:t> billion (</w:t>
      </w:r>
      <w:r>
        <w:t>6</w:t>
      </w:r>
      <w:r w:rsidR="00355FEF">
        <w:t> per </w:t>
      </w:r>
      <w:r w:rsidRPr="00BC19E0">
        <w:t>cent)</w:t>
      </w:r>
      <w:r>
        <w:t>;</w:t>
      </w:r>
      <w:r w:rsidR="00AB5396">
        <w:t xml:space="preserve"> </w:t>
      </w:r>
      <w:r w:rsidRPr="00623AD7">
        <w:rPr>
          <w:b/>
        </w:rPr>
        <w:t>community amenities and infrastructure</w:t>
      </w:r>
      <w:r w:rsidRPr="00BC19E0">
        <w:t xml:space="preserve"> at $1</w:t>
      </w:r>
      <w:r>
        <w:t>5 </w:t>
      </w:r>
      <w:r w:rsidR="00600DC2">
        <w:t>billion (4 per </w:t>
      </w:r>
      <w:r w:rsidRPr="00BC19E0">
        <w:t>cent)</w:t>
      </w:r>
      <w:r w:rsidR="0029566B">
        <w:t xml:space="preserve">; and </w:t>
      </w:r>
      <w:r w:rsidR="0029566B" w:rsidRPr="00E6234D">
        <w:rPr>
          <w:b/>
        </w:rPr>
        <w:t>net capital investment</w:t>
      </w:r>
      <w:r w:rsidR="0029566B">
        <w:t xml:space="preserve"> at $1</w:t>
      </w:r>
      <w:r w:rsidR="00355FEF">
        <w:t> </w:t>
      </w:r>
      <w:r w:rsidR="0029566B">
        <w:t>billion (0.3</w:t>
      </w:r>
      <w:r w:rsidR="00355FEF">
        <w:t> </w:t>
      </w:r>
      <w:r w:rsidR="0029566B">
        <w:t>per</w:t>
      </w:r>
      <w:r w:rsidR="00355FEF">
        <w:t> </w:t>
      </w:r>
      <w:r w:rsidR="0029566B">
        <w:t>cent)</w:t>
      </w:r>
      <w:r>
        <w:t>.</w:t>
      </w:r>
    </w:p>
    <w:p w:rsidR="001C5A93" w:rsidRDefault="007C0687" w:rsidP="006B22BF">
      <w:pPr>
        <w:pStyle w:val="Heading20"/>
      </w:pPr>
      <w:bookmarkStart w:id="24" w:name="_Toc372693126"/>
      <w:bookmarkStart w:id="25" w:name="_Toc372697961"/>
      <w:r>
        <w:lastRenderedPageBreak/>
        <w:t>Trends in g</w:t>
      </w:r>
      <w:r w:rsidR="001C5A93">
        <w:t>overnment spending</w:t>
      </w:r>
      <w:bookmarkEnd w:id="24"/>
      <w:bookmarkEnd w:id="25"/>
    </w:p>
    <w:p w:rsidR="00DC2F95" w:rsidRDefault="007C0687" w:rsidP="00344501">
      <w:pPr>
        <w:pStyle w:val="PBOtext"/>
      </w:pPr>
      <w:r>
        <w:t xml:space="preserve">Australian </w:t>
      </w:r>
      <w:r w:rsidRPr="00706358">
        <w:t>Government</w:t>
      </w:r>
      <w:r>
        <w:t xml:space="preserve"> spending grew faster than GDP over the period 2002</w:t>
      </w:r>
      <w:r w:rsidR="0041689A" w:rsidRPr="006B456E">
        <w:noBreakHyphen/>
      </w:r>
      <w:r>
        <w:t>03 to 2012</w:t>
      </w:r>
      <w:r w:rsidR="0041689A" w:rsidRPr="006B456E">
        <w:noBreakHyphen/>
      </w:r>
      <w:r>
        <w:t>13.</w:t>
      </w:r>
      <w:r w:rsidR="00572E62">
        <w:br/>
      </w:r>
      <w:r>
        <w:fldChar w:fldCharType="begin"/>
      </w:r>
      <w:r>
        <w:instrText xml:space="preserve"> REF _Ref372711029 \h </w:instrText>
      </w:r>
      <w:r>
        <w:fldChar w:fldCharType="separate"/>
      </w:r>
      <w:r w:rsidR="00E862AC">
        <w:t xml:space="preserve">Figure </w:t>
      </w:r>
      <w:r w:rsidR="00E862AC">
        <w:rPr>
          <w:noProof/>
        </w:rPr>
        <w:t>1</w:t>
      </w:r>
      <w:r w:rsidR="00E862AC">
        <w:t>.</w:t>
      </w:r>
      <w:r w:rsidR="00E862AC">
        <w:rPr>
          <w:noProof/>
        </w:rPr>
        <w:t>2</w:t>
      </w:r>
      <w:r>
        <w:fldChar w:fldCharType="end"/>
      </w:r>
      <w:r>
        <w:t xml:space="preserve"> below shows the growth in aggregate government spending and GDP over this period</w:t>
      </w:r>
      <w:r w:rsidR="00DC2F95">
        <w:t>.</w:t>
      </w:r>
    </w:p>
    <w:p w:rsidR="00764E2C" w:rsidRDefault="00764E2C" w:rsidP="007A4A40">
      <w:pPr>
        <w:pStyle w:val="Caption"/>
      </w:pPr>
      <w:bookmarkStart w:id="26" w:name="_Ref372711029"/>
      <w:bookmarkStart w:id="27" w:name="_Toc373422170"/>
      <w:bookmarkStart w:id="28" w:name="_Toc373873640"/>
      <w:bookmarkStart w:id="29" w:name="_Toc373955544"/>
      <w:bookmarkStart w:id="30" w:name="_Toc374088489"/>
      <w:bookmarkStart w:id="31" w:name="_Toc374102195"/>
      <w:bookmarkStart w:id="32" w:name="_Toc374349985"/>
      <w:bookmarkStart w:id="33" w:name="_Toc372698348"/>
      <w:bookmarkStart w:id="34" w:name="_Toc372698400"/>
      <w:proofErr w:type="gramStart"/>
      <w:r>
        <w:t xml:space="preserve">Figure </w:t>
      </w:r>
      <w:fldSimple w:instr=" STYLEREF 1 \s ">
        <w:r w:rsidR="00E862AC">
          <w:rPr>
            <w:noProof/>
          </w:rPr>
          <w:t>1</w:t>
        </w:r>
      </w:fldSimple>
      <w:r w:rsidR="00F90856">
        <w:t>.</w:t>
      </w:r>
      <w:proofErr w:type="gramEnd"/>
      <w:r w:rsidR="00143AAD">
        <w:fldChar w:fldCharType="begin"/>
      </w:r>
      <w:r w:rsidR="00143AAD">
        <w:instrText xml:space="preserve"> SEQ Figure \* ARABIC \s 1 </w:instrText>
      </w:r>
      <w:r w:rsidR="00143AAD">
        <w:fldChar w:fldCharType="separate"/>
      </w:r>
      <w:r w:rsidR="00E862AC">
        <w:rPr>
          <w:noProof/>
        </w:rPr>
        <w:t>2</w:t>
      </w:r>
      <w:r w:rsidR="00143AAD">
        <w:rPr>
          <w:noProof/>
        </w:rPr>
        <w:fldChar w:fldCharType="end"/>
      </w:r>
      <w:bookmarkEnd w:id="26"/>
      <w:r w:rsidR="00773778">
        <w:t>:</w:t>
      </w:r>
      <w:r w:rsidR="00773778">
        <w:tab/>
      </w:r>
      <w:r w:rsidRPr="00390F8D">
        <w:t>G</w:t>
      </w:r>
      <w:r>
        <w:t>rowth in g</w:t>
      </w:r>
      <w:r w:rsidRPr="00390F8D">
        <w:t>overnment spending and GDP</w:t>
      </w:r>
      <w:bookmarkEnd w:id="27"/>
      <w:bookmarkEnd w:id="28"/>
      <w:bookmarkEnd w:id="29"/>
      <w:bookmarkEnd w:id="30"/>
      <w:bookmarkEnd w:id="31"/>
      <w:bookmarkEnd w:id="32"/>
    </w:p>
    <w:bookmarkEnd w:id="33"/>
    <w:bookmarkEnd w:id="34"/>
    <w:p w:rsidR="001C5A93" w:rsidRDefault="000E6C8A" w:rsidP="00D400E8">
      <w:pPr>
        <w:spacing w:before="0" w:after="0"/>
        <w:jc w:val="center"/>
      </w:pPr>
      <w:r>
        <w:rPr>
          <w:noProof/>
        </w:rPr>
        <w:drawing>
          <wp:inline distT="0" distB="0" distL="0" distR="0" wp14:anchorId="55A4591C" wp14:editId="1CFB59E6">
            <wp:extent cx="5402242" cy="3505200"/>
            <wp:effectExtent l="0" t="0" r="8255" b="0"/>
            <wp:docPr id="2" name="Picture 2" descr="This chart shows the cumulative growth in real government spending, real government spending without the fiscal stimulus and real GDP.  It highlights that real government spending grew at a faster rate over the period 2002–03 to 2012–13 when compared with real GDP growth.  &#10;"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2414" b="2414"/>
                    <a:stretch/>
                  </pic:blipFill>
                  <pic:spPr bwMode="auto">
                    <a:xfrm>
                      <a:off x="0" y="0"/>
                      <a:ext cx="5401310" cy="3504595"/>
                    </a:xfrm>
                    <a:prstGeom prst="rect">
                      <a:avLst/>
                    </a:prstGeom>
                    <a:noFill/>
                    <a:ln>
                      <a:noFill/>
                    </a:ln>
                    <a:extLst>
                      <a:ext uri="{53640926-AAD7-44D8-BBD7-CCE9431645EC}">
                        <a14:shadowObscured xmlns:a14="http://schemas.microsoft.com/office/drawing/2010/main"/>
                      </a:ext>
                    </a:extLst>
                  </pic:spPr>
                </pic:pic>
              </a:graphicData>
            </a:graphic>
          </wp:inline>
        </w:drawing>
      </w:r>
    </w:p>
    <w:p w:rsidR="001C5A93" w:rsidRPr="00773778" w:rsidRDefault="001C5A93" w:rsidP="00D400E8">
      <w:pPr>
        <w:pStyle w:val="FigureCaption"/>
      </w:pPr>
      <w:r w:rsidRPr="00773778">
        <w:t>Source</w:t>
      </w:r>
      <w:r w:rsidR="00B132DA" w:rsidRPr="00773778">
        <w:t>s</w:t>
      </w:r>
      <w:r w:rsidRPr="00773778">
        <w:t xml:space="preserve">: </w:t>
      </w:r>
      <w:r w:rsidRPr="00773778">
        <w:rPr>
          <w:rFonts w:eastAsia="MS PGothic"/>
        </w:rPr>
        <w:t>Australian Government Final Budget Outcomes</w:t>
      </w:r>
      <w:r w:rsidR="00A17E83" w:rsidRPr="00773778">
        <w:rPr>
          <w:rFonts w:eastAsia="MS PGothic"/>
        </w:rPr>
        <w:t xml:space="preserve"> </w:t>
      </w:r>
      <w:r w:rsidR="00A17E83" w:rsidRPr="00773778">
        <w:t>and Australian Bureau of Statistics (ABS)</w:t>
      </w:r>
    </w:p>
    <w:p w:rsidR="00445839" w:rsidRDefault="00445839" w:rsidP="00445839">
      <w:pPr>
        <w:pStyle w:val="PBOtext"/>
      </w:pPr>
      <w:r>
        <w:t>From 2002</w:t>
      </w:r>
      <w:r w:rsidR="0041689A" w:rsidRPr="006B456E">
        <w:noBreakHyphen/>
      </w:r>
      <w:r>
        <w:t>03 to 2012</w:t>
      </w:r>
      <w:r w:rsidR="0041689A" w:rsidRPr="006B456E">
        <w:noBreakHyphen/>
      </w:r>
      <w:r w:rsidRPr="00C80BDA">
        <w:t xml:space="preserve">13, </w:t>
      </w:r>
      <w:r w:rsidR="004C0C85" w:rsidRPr="00C80BDA">
        <w:t>government spending grew by 45.2</w:t>
      </w:r>
      <w:r w:rsidR="00622A71" w:rsidRPr="00C80BDA">
        <w:t> </w:t>
      </w:r>
      <w:r w:rsidR="00425D64" w:rsidRPr="00C80BDA">
        <w:t>per</w:t>
      </w:r>
      <w:r w:rsidR="00622A71" w:rsidRPr="00C80BDA">
        <w:t> </w:t>
      </w:r>
      <w:r w:rsidR="00425D64" w:rsidRPr="00C80BDA">
        <w:t>cent, or 3.8 per cent annually</w:t>
      </w:r>
      <w:r w:rsidRPr="00C80BDA">
        <w:t xml:space="preserve"> </w:t>
      </w:r>
      <w:r w:rsidR="004C0C85" w:rsidRPr="00C80BDA">
        <w:t>compared with GDP growth of 34.3</w:t>
      </w:r>
      <w:r w:rsidR="00622A71" w:rsidRPr="00C80BDA">
        <w:t> </w:t>
      </w:r>
      <w:r w:rsidR="00425D64" w:rsidRPr="00C80BDA">
        <w:t>per</w:t>
      </w:r>
      <w:r w:rsidR="00622A71">
        <w:t> </w:t>
      </w:r>
      <w:r w:rsidR="00425D64">
        <w:t xml:space="preserve">cent or </w:t>
      </w:r>
      <w:r w:rsidR="00425D64" w:rsidRPr="00706358">
        <w:t>3.0</w:t>
      </w:r>
      <w:r w:rsidR="00622A71" w:rsidRPr="00706358">
        <w:t> </w:t>
      </w:r>
      <w:r w:rsidR="00425D64" w:rsidRPr="00706358">
        <w:t>per</w:t>
      </w:r>
      <w:r w:rsidR="00622A71" w:rsidRPr="00706358">
        <w:t> </w:t>
      </w:r>
      <w:r w:rsidR="00425D64" w:rsidRPr="00706358">
        <w:t>cent</w:t>
      </w:r>
      <w:r w:rsidR="00425D64">
        <w:t xml:space="preserve"> annually</w:t>
      </w:r>
      <w:r w:rsidR="00622A71">
        <w:t>.</w:t>
      </w:r>
    </w:p>
    <w:p w:rsidR="00445839" w:rsidRPr="00865B5C" w:rsidRDefault="00445839" w:rsidP="00445839">
      <w:pPr>
        <w:pStyle w:val="PBOtext"/>
      </w:pPr>
      <w:r w:rsidRPr="00865B5C">
        <w:t>From 2002</w:t>
      </w:r>
      <w:r w:rsidR="0041689A" w:rsidRPr="00865B5C">
        <w:noBreakHyphen/>
      </w:r>
      <w:r w:rsidRPr="00865B5C">
        <w:t>03 to 2007</w:t>
      </w:r>
      <w:r w:rsidR="0041689A" w:rsidRPr="00865B5C">
        <w:noBreakHyphen/>
      </w:r>
      <w:r w:rsidRPr="00865B5C">
        <w:t>0</w:t>
      </w:r>
      <w:r w:rsidR="004236EB" w:rsidRPr="00865B5C">
        <w:t xml:space="preserve">8, government spending grew by </w:t>
      </w:r>
      <w:r w:rsidR="00911BEB" w:rsidRPr="00706358">
        <w:t>4.0</w:t>
      </w:r>
      <w:r w:rsidRPr="00706358">
        <w:t> per cent</w:t>
      </w:r>
      <w:r w:rsidRPr="00865B5C">
        <w:t> </w:t>
      </w:r>
      <w:r w:rsidR="00442FDF" w:rsidRPr="00865B5C">
        <w:t>annually</w:t>
      </w:r>
      <w:r w:rsidRPr="00865B5C">
        <w:t xml:space="preserve">, which was </w:t>
      </w:r>
      <w:r w:rsidR="004C0C85" w:rsidRPr="00865B5C">
        <w:t>13</w:t>
      </w:r>
      <w:r w:rsidR="00622A71" w:rsidRPr="00865B5C">
        <w:t> </w:t>
      </w:r>
      <w:r w:rsidR="00582FF2" w:rsidRPr="00865B5C">
        <w:t>per</w:t>
      </w:r>
      <w:r w:rsidR="00622A71" w:rsidRPr="00865B5C">
        <w:t> </w:t>
      </w:r>
      <w:r w:rsidR="00582FF2" w:rsidRPr="00865B5C">
        <w:t xml:space="preserve">cent </w:t>
      </w:r>
      <w:r w:rsidR="00BD21C5" w:rsidRPr="00865B5C">
        <w:t>faster</w:t>
      </w:r>
      <w:r w:rsidRPr="00865B5C">
        <w:t xml:space="preserve"> than GDP growth of 3.6</w:t>
      </w:r>
      <w:r w:rsidR="00622A71" w:rsidRPr="00865B5C">
        <w:t> </w:t>
      </w:r>
      <w:r w:rsidRPr="00865B5C">
        <w:t>per</w:t>
      </w:r>
      <w:r w:rsidR="00622A71" w:rsidRPr="00865B5C">
        <w:t> </w:t>
      </w:r>
      <w:r w:rsidRPr="00865B5C">
        <w:t>cent annually.</w:t>
      </w:r>
    </w:p>
    <w:p w:rsidR="00ED274A" w:rsidRDefault="00865B5C" w:rsidP="00ED274A">
      <w:pPr>
        <w:pStyle w:val="PBOtext"/>
      </w:pPr>
      <w:r w:rsidRPr="00865B5C">
        <w:t>The rate of spending growth in the second half of the decade initially accelerated due to the fiscal stimulus measures adopted to combat the effects of the global financial crisis.   These measures had been withdrawn by 2012-13.</w:t>
      </w:r>
      <w:r w:rsidR="00ED274A">
        <w:t xml:space="preserve">  Details on the fiscal stimulus spending are at </w:t>
      </w:r>
      <w:r w:rsidR="00ED274A" w:rsidRPr="004F0612">
        <w:rPr>
          <w:b/>
        </w:rPr>
        <w:t>Attachment C</w:t>
      </w:r>
      <w:r w:rsidR="00ED274A">
        <w:t>.</w:t>
      </w:r>
    </w:p>
    <w:p w:rsidR="00865B5C" w:rsidRDefault="00865B5C" w:rsidP="00865B5C">
      <w:r w:rsidRPr="00865B5C">
        <w:t>While real growth in GDP slowed to 2.4 per cent annually over the period 2007-08 to 2012-13, underlying spending grew in real terms by 3.6 per cent annually or 47 per cent faster than the annual</w:t>
      </w:r>
      <w:r>
        <w:t xml:space="preserve"> rate of growth of real GDP.</w:t>
      </w:r>
    </w:p>
    <w:p w:rsidR="00F909BF" w:rsidRDefault="00F909BF">
      <w:pPr>
        <w:spacing w:before="0" w:after="200" w:line="252" w:lineRule="auto"/>
        <w:rPr>
          <w:rFonts w:ascii="Georgia" w:eastAsiaTheme="majorEastAsia" w:hAnsi="Georgia" w:cstheme="majorBidi"/>
          <w:bCs/>
          <w:color w:val="2B3B5F"/>
          <w:sz w:val="28"/>
          <w:szCs w:val="26"/>
        </w:rPr>
      </w:pPr>
      <w:r>
        <w:br w:type="page"/>
      </w:r>
    </w:p>
    <w:p w:rsidR="00445839" w:rsidRDefault="00445839" w:rsidP="00161C30">
      <w:pPr>
        <w:pStyle w:val="Heading20"/>
      </w:pPr>
      <w:r>
        <w:lastRenderedPageBreak/>
        <w:t xml:space="preserve">Drivers of growth in government spending </w:t>
      </w:r>
    </w:p>
    <w:p w:rsidR="00DC2F95" w:rsidRDefault="0041689A" w:rsidP="00A01E94">
      <w:pPr>
        <w:pStyle w:val="PBOtext"/>
      </w:pPr>
      <w:r>
        <w:t>Over the period 2002</w:t>
      </w:r>
      <w:r w:rsidRPr="006B456E">
        <w:noBreakHyphen/>
      </w:r>
      <w:r w:rsidR="00445839">
        <w:t>03 to 2012</w:t>
      </w:r>
      <w:r w:rsidRPr="006B456E">
        <w:noBreakHyphen/>
      </w:r>
      <w:r w:rsidR="00445839">
        <w:t>13, all areas of government spending at the functional level</w:t>
      </w:r>
      <w:r w:rsidR="00FF505F">
        <w:rPr>
          <w:rStyle w:val="FootnoteReference"/>
        </w:rPr>
        <w:footnoteReference w:id="3"/>
      </w:r>
      <w:r w:rsidR="00445839">
        <w:t xml:space="preserve"> grew at a faster rate </w:t>
      </w:r>
      <w:r w:rsidR="00AB5396">
        <w:t>than GDP with the exception of o</w:t>
      </w:r>
      <w:r w:rsidR="00445839">
        <w:t>ther purposes</w:t>
      </w:r>
      <w:r w:rsidR="00FF505F">
        <w:rPr>
          <w:rStyle w:val="FootnoteReference"/>
        </w:rPr>
        <w:footnoteReference w:id="4"/>
      </w:r>
      <w:r w:rsidR="0047109C">
        <w:t xml:space="preserve"> and</w:t>
      </w:r>
      <w:r w:rsidR="00AB5396">
        <w:t xml:space="preserve"> d</w:t>
      </w:r>
      <w:r w:rsidR="007F07CF">
        <w:t>efence, public order and safety.</w:t>
      </w:r>
    </w:p>
    <w:p w:rsidR="00A17E83" w:rsidRDefault="00581929" w:rsidP="00445839">
      <w:pPr>
        <w:pStyle w:val="PBOtext"/>
      </w:pPr>
      <w:r>
        <w:fldChar w:fldCharType="begin"/>
      </w:r>
      <w:r>
        <w:instrText xml:space="preserve"> REF _Ref372712606 \h </w:instrText>
      </w:r>
      <w:r>
        <w:fldChar w:fldCharType="separate"/>
      </w:r>
      <w:r w:rsidR="00E862AC">
        <w:t xml:space="preserve">Figure </w:t>
      </w:r>
      <w:r w:rsidR="00E862AC">
        <w:rPr>
          <w:noProof/>
        </w:rPr>
        <w:t>1</w:t>
      </w:r>
      <w:r w:rsidR="00E862AC">
        <w:t>.</w:t>
      </w:r>
      <w:r w:rsidR="00E862AC">
        <w:rPr>
          <w:noProof/>
        </w:rPr>
        <w:t>3</w:t>
      </w:r>
      <w:r>
        <w:fldChar w:fldCharType="end"/>
      </w:r>
      <w:r>
        <w:t xml:space="preserve"> </w:t>
      </w:r>
      <w:r w:rsidR="00644DE1">
        <w:t xml:space="preserve">and Table 1.1 </w:t>
      </w:r>
      <w:r w:rsidR="00911BEB">
        <w:t>s</w:t>
      </w:r>
      <w:r w:rsidR="00A17E83">
        <w:t>how the growth in government spending over the period 20</w:t>
      </w:r>
      <w:r w:rsidR="00911BEB">
        <w:t>02</w:t>
      </w:r>
      <w:r w:rsidR="0041689A" w:rsidRPr="006B456E">
        <w:noBreakHyphen/>
      </w:r>
      <w:r w:rsidR="00911BEB">
        <w:t>03 to 2012</w:t>
      </w:r>
      <w:r w:rsidR="0041689A" w:rsidRPr="006B456E">
        <w:noBreakHyphen/>
      </w:r>
      <w:r w:rsidR="00911BEB">
        <w:t xml:space="preserve">13, and the </w:t>
      </w:r>
      <w:r w:rsidR="00A17E83">
        <w:t>contributors to this growth.</w:t>
      </w:r>
    </w:p>
    <w:p w:rsidR="00764E2C" w:rsidRDefault="00764E2C" w:rsidP="007A4A40">
      <w:pPr>
        <w:pStyle w:val="Caption"/>
      </w:pPr>
      <w:bookmarkStart w:id="35" w:name="_Ref372712606"/>
      <w:bookmarkStart w:id="36" w:name="_Toc373422171"/>
      <w:bookmarkStart w:id="37" w:name="_Toc373873641"/>
      <w:bookmarkStart w:id="38" w:name="_Toc373955545"/>
      <w:bookmarkStart w:id="39" w:name="_Toc374088490"/>
      <w:bookmarkStart w:id="40" w:name="_Toc374102196"/>
      <w:bookmarkStart w:id="41" w:name="_Toc374349986"/>
      <w:proofErr w:type="gramStart"/>
      <w:r>
        <w:t xml:space="preserve">Figure </w:t>
      </w:r>
      <w:fldSimple w:instr=" STYLEREF 1 \s ">
        <w:r w:rsidR="00E862AC">
          <w:rPr>
            <w:noProof/>
          </w:rPr>
          <w:t>1</w:t>
        </w:r>
      </w:fldSimple>
      <w:r w:rsidR="00F90856">
        <w:t>.</w:t>
      </w:r>
      <w:proofErr w:type="gramEnd"/>
      <w:r w:rsidR="00143AAD">
        <w:fldChar w:fldCharType="begin"/>
      </w:r>
      <w:r w:rsidR="00143AAD">
        <w:instrText xml:space="preserve"> SEQ Figure \* ARABIC \s 1 </w:instrText>
      </w:r>
      <w:r w:rsidR="00143AAD">
        <w:fldChar w:fldCharType="separate"/>
      </w:r>
      <w:r w:rsidR="00E862AC">
        <w:rPr>
          <w:noProof/>
        </w:rPr>
        <w:t>3</w:t>
      </w:r>
      <w:r w:rsidR="00143AAD">
        <w:rPr>
          <w:noProof/>
        </w:rPr>
        <w:fldChar w:fldCharType="end"/>
      </w:r>
      <w:bookmarkEnd w:id="35"/>
      <w:r>
        <w:t>:</w:t>
      </w:r>
      <w:r w:rsidR="00773778">
        <w:tab/>
      </w:r>
      <w:r>
        <w:t>Contributions to growth in government spending</w:t>
      </w:r>
      <w:bookmarkEnd w:id="36"/>
      <w:bookmarkEnd w:id="37"/>
      <w:bookmarkEnd w:id="38"/>
      <w:bookmarkEnd w:id="39"/>
      <w:bookmarkEnd w:id="40"/>
      <w:bookmarkEnd w:id="41"/>
    </w:p>
    <w:p w:rsidR="00A17E83" w:rsidRPr="00094B24" w:rsidRDefault="007F2075" w:rsidP="00161C30">
      <w:pPr>
        <w:spacing w:before="0" w:after="0"/>
        <w:jc w:val="center"/>
      </w:pPr>
      <w:r>
        <w:rPr>
          <w:noProof/>
        </w:rPr>
        <w:drawing>
          <wp:inline distT="0" distB="0" distL="0" distR="0" wp14:anchorId="71B4850C" wp14:editId="35611BEA">
            <wp:extent cx="5402240" cy="3613150"/>
            <wp:effectExtent l="0" t="0" r="8255" b="6350"/>
            <wp:docPr id="20" name="Picture 20" descr="This chart shows the cumulative growth in real government spending and the contributions to this growth from each major spending area compared with real GDP growth.  It highlights that social security and welfare spending was the largest contributor to total government spending growth accounting for approximately a third of total growth.  Health spending was the second largest contributor to total government spending growth."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2065"/>
                    <a:stretch/>
                  </pic:blipFill>
                  <pic:spPr bwMode="auto">
                    <a:xfrm>
                      <a:off x="0" y="0"/>
                      <a:ext cx="5401310" cy="3612528"/>
                    </a:xfrm>
                    <a:prstGeom prst="rect">
                      <a:avLst/>
                    </a:prstGeom>
                    <a:noFill/>
                    <a:ln>
                      <a:noFill/>
                    </a:ln>
                    <a:extLst>
                      <a:ext uri="{53640926-AAD7-44D8-BBD7-CCE9431645EC}">
                        <a14:shadowObscured xmlns:a14="http://schemas.microsoft.com/office/drawing/2010/main"/>
                      </a:ext>
                    </a:extLst>
                  </pic:spPr>
                </pic:pic>
              </a:graphicData>
            </a:graphic>
          </wp:inline>
        </w:drawing>
      </w:r>
    </w:p>
    <w:p w:rsidR="00FF505F" w:rsidRDefault="00A17E83" w:rsidP="00F83B4A">
      <w:pPr>
        <w:pStyle w:val="FigureCaption"/>
        <w:rPr>
          <w:b/>
          <w:color w:val="264A76"/>
          <w:sz w:val="22"/>
          <w:szCs w:val="24"/>
          <w:lang w:eastAsia="en-US"/>
        </w:rPr>
      </w:pPr>
      <w:r>
        <w:t>Source</w:t>
      </w:r>
      <w:r w:rsidR="00B132DA">
        <w:t>s</w:t>
      </w:r>
      <w:r>
        <w:t xml:space="preserve">: </w:t>
      </w:r>
      <w:r>
        <w:rPr>
          <w:rFonts w:eastAsia="MS PGothic"/>
        </w:rPr>
        <w:t xml:space="preserve">Australian </w:t>
      </w:r>
      <w:r w:rsidRPr="0041748B">
        <w:rPr>
          <w:rFonts w:eastAsia="MS PGothic"/>
        </w:rPr>
        <w:t xml:space="preserve">Government </w:t>
      </w:r>
      <w:r>
        <w:rPr>
          <w:rFonts w:eastAsia="MS PGothic"/>
        </w:rPr>
        <w:t xml:space="preserve">Final Budget Outcomes and </w:t>
      </w:r>
      <w:r>
        <w:t>ABS</w:t>
      </w:r>
      <w:bookmarkStart w:id="42" w:name="_Ref372712682"/>
      <w:r w:rsidR="00FF505F">
        <w:br w:type="page"/>
      </w:r>
    </w:p>
    <w:p w:rsidR="00764E2C" w:rsidRDefault="00764E2C" w:rsidP="006220A8">
      <w:pPr>
        <w:pStyle w:val="PBOfiguretableheading"/>
        <w:tabs>
          <w:tab w:val="left" w:pos="1134"/>
        </w:tabs>
      </w:pPr>
      <w:bookmarkStart w:id="43" w:name="_Toc373422193"/>
      <w:bookmarkStart w:id="44" w:name="_Toc373873643"/>
      <w:bookmarkStart w:id="45" w:name="_Toc374102197"/>
      <w:bookmarkStart w:id="46" w:name="_Toc374350034"/>
      <w:proofErr w:type="gramStart"/>
      <w:r>
        <w:lastRenderedPageBreak/>
        <w:t xml:space="preserve">Table </w:t>
      </w:r>
      <w:fldSimple w:instr=" STYLEREF 1 \s ">
        <w:r w:rsidR="00E862AC">
          <w:rPr>
            <w:noProof/>
          </w:rPr>
          <w:t>1</w:t>
        </w:r>
      </w:fldSimple>
      <w:r w:rsidR="00935C60">
        <w:t>.</w:t>
      </w:r>
      <w:proofErr w:type="gramEnd"/>
      <w:r w:rsidR="00143AAD">
        <w:fldChar w:fldCharType="begin"/>
      </w:r>
      <w:r w:rsidR="00143AAD">
        <w:instrText xml:space="preserve"> SEQ Table \* ARABIC \s 1 </w:instrText>
      </w:r>
      <w:r w:rsidR="00143AAD">
        <w:fldChar w:fldCharType="separate"/>
      </w:r>
      <w:r w:rsidR="00E862AC">
        <w:rPr>
          <w:noProof/>
        </w:rPr>
        <w:t>1</w:t>
      </w:r>
      <w:r w:rsidR="00143AAD">
        <w:rPr>
          <w:noProof/>
        </w:rPr>
        <w:fldChar w:fldCharType="end"/>
      </w:r>
      <w:bookmarkEnd w:id="42"/>
      <w:r>
        <w:t>:</w:t>
      </w:r>
      <w:r w:rsidR="00773778">
        <w:tab/>
      </w:r>
      <w:r>
        <w:t xml:space="preserve">Summary of </w:t>
      </w:r>
      <w:r w:rsidR="00445839">
        <w:t xml:space="preserve">drivers of </w:t>
      </w:r>
      <w:r>
        <w:t>government spending</w:t>
      </w:r>
      <w:bookmarkEnd w:id="43"/>
      <w:bookmarkEnd w:id="44"/>
      <w:bookmarkEnd w:id="45"/>
      <w:bookmarkEnd w:id="46"/>
    </w:p>
    <w:tbl>
      <w:tblPr>
        <w:tblStyle w:val="PBOtables"/>
        <w:tblW w:w="8364" w:type="dxa"/>
        <w:tblInd w:w="108" w:type="dxa"/>
        <w:tblBorders>
          <w:top w:val="single" w:sz="8" w:space="0" w:color="254F81"/>
          <w:left w:val="single" w:sz="8" w:space="0" w:color="254F81"/>
          <w:bottom w:val="single" w:sz="8" w:space="0" w:color="254F81"/>
          <w:right w:val="single" w:sz="8" w:space="0" w:color="254F81"/>
        </w:tblBorders>
        <w:tblLook w:val="04A0" w:firstRow="1" w:lastRow="0" w:firstColumn="1" w:lastColumn="0" w:noHBand="0" w:noVBand="1"/>
      </w:tblPr>
      <w:tblGrid>
        <w:gridCol w:w="3261"/>
        <w:gridCol w:w="1701"/>
        <w:gridCol w:w="1559"/>
        <w:gridCol w:w="1843"/>
      </w:tblGrid>
      <w:tr w:rsidR="00F83C3F" w:rsidRPr="00B12796" w:rsidTr="006D2B1C">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261" w:type="dxa"/>
            <w:vMerge w:val="restart"/>
            <w:tcBorders>
              <w:top w:val="single" w:sz="8" w:space="0" w:color="2B3B5F"/>
              <w:left w:val="single" w:sz="8" w:space="0" w:color="2B3B5F"/>
              <w:bottom w:val="single" w:sz="8" w:space="0" w:color="2B3B5F"/>
              <w:right w:val="single" w:sz="8" w:space="0" w:color="2B3B5F"/>
            </w:tcBorders>
            <w:shd w:val="clear" w:color="auto" w:fill="95A4C6"/>
            <w:noWrap/>
            <w:hideMark/>
          </w:tcPr>
          <w:p w:rsidR="00233941" w:rsidRPr="0027735F" w:rsidRDefault="00233941" w:rsidP="001B6DCD">
            <w:pPr>
              <w:spacing w:before="0" w:after="0"/>
              <w:rPr>
                <w:rFonts w:cs="Arial"/>
                <w:color w:val="auto"/>
                <w:sz w:val="18"/>
                <w:szCs w:val="18"/>
              </w:rPr>
            </w:pPr>
            <w:r w:rsidRPr="0027735F">
              <w:rPr>
                <w:rFonts w:cs="Arial"/>
                <w:color w:val="auto"/>
                <w:sz w:val="18"/>
                <w:szCs w:val="18"/>
              </w:rPr>
              <w:t>Category</w:t>
            </w:r>
          </w:p>
        </w:tc>
        <w:tc>
          <w:tcPr>
            <w:tcW w:w="1701" w:type="dxa"/>
            <w:vMerge w:val="restart"/>
            <w:tcBorders>
              <w:top w:val="single" w:sz="8" w:space="0" w:color="2B3B5F"/>
              <w:left w:val="single" w:sz="8" w:space="0" w:color="2B3B5F"/>
              <w:bottom w:val="single" w:sz="8" w:space="0" w:color="2B3B5F"/>
              <w:right w:val="single" w:sz="8" w:space="0" w:color="2B3B5F"/>
            </w:tcBorders>
            <w:shd w:val="clear" w:color="auto" w:fill="95A4C6"/>
            <w:noWrap/>
            <w:hideMark/>
          </w:tcPr>
          <w:p w:rsidR="00233941" w:rsidRPr="0027735F" w:rsidRDefault="00233941" w:rsidP="00C82E83">
            <w:pPr>
              <w:spacing w:before="0" w:after="0"/>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27735F">
              <w:rPr>
                <w:rFonts w:cs="Arial"/>
                <w:color w:val="auto"/>
                <w:sz w:val="18"/>
                <w:szCs w:val="18"/>
              </w:rPr>
              <w:t>Share of</w:t>
            </w:r>
            <w:r w:rsidR="00D3584C">
              <w:rPr>
                <w:rFonts w:cs="Arial"/>
                <w:color w:val="auto"/>
                <w:sz w:val="18"/>
                <w:szCs w:val="18"/>
              </w:rPr>
              <w:br/>
              <w:t xml:space="preserve">2012-13 </w:t>
            </w:r>
            <w:r w:rsidRPr="0027735F">
              <w:rPr>
                <w:rFonts w:cs="Arial"/>
                <w:color w:val="auto"/>
                <w:sz w:val="18"/>
                <w:szCs w:val="18"/>
              </w:rPr>
              <w:t>total</w:t>
            </w:r>
          </w:p>
        </w:tc>
        <w:tc>
          <w:tcPr>
            <w:tcW w:w="3402" w:type="dxa"/>
            <w:gridSpan w:val="2"/>
            <w:tcBorders>
              <w:top w:val="single" w:sz="8" w:space="0" w:color="2B3B5F"/>
              <w:left w:val="single" w:sz="8" w:space="0" w:color="2B3B5F"/>
              <w:bottom w:val="single" w:sz="8" w:space="0" w:color="2B3B5F"/>
              <w:right w:val="single" w:sz="8" w:space="0" w:color="2B3B5F"/>
            </w:tcBorders>
            <w:shd w:val="clear" w:color="auto" w:fill="95A4C6"/>
            <w:noWrap/>
          </w:tcPr>
          <w:p w:rsidR="00233941" w:rsidRPr="0027735F" w:rsidRDefault="00D3584C" w:rsidP="001B6DCD">
            <w:pPr>
              <w:spacing w:before="0" w:after="0"/>
              <w:cnfStyle w:val="100000000000" w:firstRow="1" w:lastRow="0" w:firstColumn="0" w:lastColumn="0" w:oddVBand="0" w:evenVBand="0" w:oddHBand="0" w:evenHBand="0" w:firstRowFirstColumn="0" w:firstRowLastColumn="0" w:lastRowFirstColumn="0" w:lastRowLastColumn="0"/>
              <w:rPr>
                <w:rFonts w:cs="Arial"/>
                <w:bCs/>
                <w:color w:val="auto"/>
                <w:sz w:val="18"/>
                <w:szCs w:val="18"/>
              </w:rPr>
            </w:pPr>
            <w:r>
              <w:rPr>
                <w:rFonts w:cs="Arial"/>
                <w:color w:val="auto"/>
                <w:sz w:val="18"/>
                <w:szCs w:val="18"/>
              </w:rPr>
              <w:t xml:space="preserve">Real spending growth </w:t>
            </w:r>
            <w:r w:rsidR="00233941" w:rsidRPr="0027735F">
              <w:rPr>
                <w:rFonts w:cs="Arial"/>
                <w:color w:val="auto"/>
                <w:sz w:val="18"/>
                <w:szCs w:val="18"/>
              </w:rPr>
              <w:t>2002-03 to 2012-13</w:t>
            </w:r>
          </w:p>
        </w:tc>
      </w:tr>
      <w:tr w:rsidR="00F83C3F" w:rsidRPr="00B12796" w:rsidTr="006D2B1C">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261" w:type="dxa"/>
            <w:vMerge/>
            <w:tcBorders>
              <w:top w:val="single" w:sz="8" w:space="0" w:color="2B3B5F"/>
              <w:left w:val="single" w:sz="8" w:space="0" w:color="2B3B5F"/>
              <w:bottom w:val="single" w:sz="8" w:space="0" w:color="2B3B5F"/>
              <w:right w:val="single" w:sz="8" w:space="0" w:color="2B3B5F"/>
            </w:tcBorders>
            <w:shd w:val="clear" w:color="auto" w:fill="336AAD"/>
            <w:noWrap/>
            <w:hideMark/>
          </w:tcPr>
          <w:p w:rsidR="00233941" w:rsidRPr="0027735F" w:rsidRDefault="00233941" w:rsidP="001B6DCD">
            <w:pPr>
              <w:spacing w:before="0" w:after="0"/>
              <w:rPr>
                <w:rFonts w:cs="Arial"/>
                <w:b w:val="0"/>
                <w:color w:val="auto"/>
                <w:sz w:val="18"/>
                <w:szCs w:val="18"/>
              </w:rPr>
            </w:pPr>
          </w:p>
        </w:tc>
        <w:tc>
          <w:tcPr>
            <w:tcW w:w="1701" w:type="dxa"/>
            <w:vMerge/>
            <w:tcBorders>
              <w:top w:val="single" w:sz="8" w:space="0" w:color="2B3B5F"/>
              <w:left w:val="single" w:sz="8" w:space="0" w:color="2B3B5F"/>
              <w:bottom w:val="single" w:sz="8" w:space="0" w:color="2B3B5F"/>
              <w:right w:val="single" w:sz="8" w:space="0" w:color="2B3B5F"/>
            </w:tcBorders>
            <w:shd w:val="clear" w:color="auto" w:fill="336AAD"/>
            <w:noWrap/>
          </w:tcPr>
          <w:p w:rsidR="00233941" w:rsidRPr="0027735F" w:rsidRDefault="00233941" w:rsidP="001B6DCD">
            <w:pPr>
              <w:spacing w:before="0" w:after="0"/>
              <w:cnfStyle w:val="100000000000" w:firstRow="1" w:lastRow="0" w:firstColumn="0" w:lastColumn="0" w:oddVBand="0" w:evenVBand="0" w:oddHBand="0" w:evenHBand="0" w:firstRowFirstColumn="0" w:firstRowLastColumn="0" w:lastRowFirstColumn="0" w:lastRowLastColumn="0"/>
              <w:rPr>
                <w:rFonts w:cs="Arial"/>
                <w:color w:val="auto"/>
                <w:sz w:val="18"/>
                <w:szCs w:val="18"/>
              </w:rPr>
            </w:pPr>
          </w:p>
        </w:tc>
        <w:tc>
          <w:tcPr>
            <w:tcW w:w="1559" w:type="dxa"/>
            <w:tcBorders>
              <w:top w:val="single" w:sz="8" w:space="0" w:color="2B3B5F"/>
              <w:left w:val="single" w:sz="8" w:space="0" w:color="2B3B5F"/>
              <w:bottom w:val="single" w:sz="8" w:space="0" w:color="2B3B5F"/>
              <w:right w:val="single" w:sz="8" w:space="0" w:color="2B3B5F"/>
            </w:tcBorders>
            <w:shd w:val="clear" w:color="auto" w:fill="95A4C6"/>
          </w:tcPr>
          <w:p w:rsidR="00233941" w:rsidRPr="0027735F" w:rsidRDefault="00233941" w:rsidP="001B6DCD">
            <w:pPr>
              <w:spacing w:before="0" w:after="0"/>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27735F">
              <w:rPr>
                <w:rFonts w:cs="Arial"/>
                <w:color w:val="auto"/>
                <w:sz w:val="18"/>
                <w:szCs w:val="18"/>
              </w:rPr>
              <w:t>Annual growth</w:t>
            </w:r>
          </w:p>
        </w:tc>
        <w:tc>
          <w:tcPr>
            <w:tcW w:w="1843" w:type="dxa"/>
            <w:tcBorders>
              <w:top w:val="single" w:sz="8" w:space="0" w:color="2B3B5F"/>
              <w:left w:val="single" w:sz="8" w:space="0" w:color="2B3B5F"/>
              <w:bottom w:val="single" w:sz="8" w:space="0" w:color="2B3B5F"/>
              <w:right w:val="single" w:sz="8" w:space="0" w:color="2B3B5F"/>
            </w:tcBorders>
            <w:shd w:val="clear" w:color="auto" w:fill="95A4C6"/>
            <w:noWrap/>
          </w:tcPr>
          <w:p w:rsidR="00233941" w:rsidRPr="0027735F" w:rsidRDefault="00233941" w:rsidP="001B6DCD">
            <w:pPr>
              <w:spacing w:before="0" w:after="0"/>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27735F">
              <w:rPr>
                <w:rFonts w:cs="Arial"/>
                <w:color w:val="auto"/>
                <w:sz w:val="18"/>
                <w:szCs w:val="18"/>
              </w:rPr>
              <w:t>C</w:t>
            </w:r>
            <w:r w:rsidR="00DE480F" w:rsidRPr="0027735F">
              <w:rPr>
                <w:rFonts w:cs="Arial"/>
                <w:color w:val="auto"/>
                <w:sz w:val="18"/>
                <w:szCs w:val="18"/>
              </w:rPr>
              <w:t>ontribution to</w:t>
            </w:r>
            <w:r w:rsidR="00DE480F" w:rsidRPr="0027735F">
              <w:rPr>
                <w:rFonts w:cs="Arial"/>
                <w:color w:val="auto"/>
                <w:sz w:val="18"/>
                <w:szCs w:val="18"/>
              </w:rPr>
              <w:br/>
            </w:r>
            <w:r w:rsidRPr="0027735F">
              <w:rPr>
                <w:rFonts w:cs="Arial"/>
                <w:color w:val="auto"/>
                <w:sz w:val="18"/>
                <w:szCs w:val="18"/>
              </w:rPr>
              <w:t>total growth</w:t>
            </w:r>
          </w:p>
        </w:tc>
      </w:tr>
      <w:tr w:rsidR="00F83C3F" w:rsidRPr="00A14D3E" w:rsidTr="006D2B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2B3B5F"/>
              <w:left w:val="single" w:sz="8" w:space="0" w:color="2B3B5F"/>
              <w:bottom w:val="single" w:sz="8" w:space="0" w:color="2B3B5F"/>
              <w:right w:val="single" w:sz="8" w:space="0" w:color="2B3B5F"/>
            </w:tcBorders>
            <w:shd w:val="clear" w:color="auto" w:fill="D7DDE9"/>
            <w:noWrap/>
          </w:tcPr>
          <w:p w:rsidR="00A17E83" w:rsidRPr="00A14D3E" w:rsidRDefault="00A17E83" w:rsidP="00B12796">
            <w:pPr>
              <w:spacing w:before="0" w:after="0"/>
              <w:ind w:left="57"/>
              <w:rPr>
                <w:rFonts w:cs="Arial"/>
                <w:sz w:val="18"/>
                <w:szCs w:val="18"/>
              </w:rPr>
            </w:pPr>
            <w:r w:rsidRPr="00A14D3E">
              <w:rPr>
                <w:rFonts w:cs="Arial"/>
                <w:sz w:val="18"/>
                <w:szCs w:val="18"/>
              </w:rPr>
              <w:t>Unit</w:t>
            </w:r>
          </w:p>
        </w:tc>
        <w:tc>
          <w:tcPr>
            <w:tcW w:w="1701" w:type="dxa"/>
            <w:tcBorders>
              <w:top w:val="single" w:sz="8" w:space="0" w:color="2B3B5F"/>
              <w:left w:val="single" w:sz="8" w:space="0" w:color="2B3B5F"/>
              <w:bottom w:val="single" w:sz="8" w:space="0" w:color="2B3B5F"/>
              <w:right w:val="single" w:sz="8" w:space="0" w:color="2B3B5F"/>
            </w:tcBorders>
            <w:shd w:val="clear" w:color="auto" w:fill="D7DDE9"/>
            <w:noWrap/>
          </w:tcPr>
          <w:p w:rsidR="00A17E83" w:rsidRPr="00A14D3E" w:rsidRDefault="00A17E83" w:rsidP="00B12796">
            <w:pPr>
              <w:spacing w:before="0" w:after="0"/>
              <w:ind w:right="227"/>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A14D3E">
              <w:rPr>
                <w:rFonts w:cs="Arial"/>
                <w:b/>
                <w:sz w:val="18"/>
                <w:szCs w:val="18"/>
              </w:rPr>
              <w:t>%</w:t>
            </w:r>
          </w:p>
        </w:tc>
        <w:tc>
          <w:tcPr>
            <w:tcW w:w="1559" w:type="dxa"/>
            <w:tcBorders>
              <w:top w:val="single" w:sz="8" w:space="0" w:color="2B3B5F"/>
              <w:left w:val="single" w:sz="8" w:space="0" w:color="2B3B5F"/>
              <w:bottom w:val="single" w:sz="8" w:space="0" w:color="2B3B5F"/>
              <w:right w:val="single" w:sz="8" w:space="0" w:color="2B3B5F"/>
            </w:tcBorders>
            <w:shd w:val="clear" w:color="auto" w:fill="D7DDE9"/>
          </w:tcPr>
          <w:p w:rsidR="00A17E83" w:rsidRPr="00A14D3E" w:rsidRDefault="00A17E83" w:rsidP="00B12796">
            <w:pPr>
              <w:spacing w:before="0" w:after="0"/>
              <w:ind w:right="227"/>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A14D3E">
              <w:rPr>
                <w:rFonts w:cs="Arial"/>
                <w:b/>
                <w:sz w:val="18"/>
                <w:szCs w:val="18"/>
              </w:rPr>
              <w:t>%</w:t>
            </w:r>
          </w:p>
        </w:tc>
        <w:tc>
          <w:tcPr>
            <w:tcW w:w="1843" w:type="dxa"/>
            <w:tcBorders>
              <w:top w:val="single" w:sz="8" w:space="0" w:color="2B3B5F"/>
              <w:left w:val="single" w:sz="8" w:space="0" w:color="2B3B5F"/>
              <w:bottom w:val="single" w:sz="8" w:space="0" w:color="2B3B5F"/>
              <w:right w:val="single" w:sz="8" w:space="0" w:color="2B3B5F"/>
            </w:tcBorders>
            <w:shd w:val="clear" w:color="auto" w:fill="D7DDE9"/>
            <w:noWrap/>
          </w:tcPr>
          <w:p w:rsidR="00A17E83" w:rsidRPr="00A14D3E" w:rsidRDefault="00A17E83" w:rsidP="00B12796">
            <w:pPr>
              <w:spacing w:before="0" w:after="0"/>
              <w:ind w:right="227"/>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A14D3E">
              <w:rPr>
                <w:rFonts w:cs="Arial"/>
                <w:b/>
                <w:sz w:val="18"/>
                <w:szCs w:val="18"/>
              </w:rPr>
              <w:t>percentage points</w:t>
            </w:r>
          </w:p>
        </w:tc>
      </w:tr>
      <w:tr w:rsidR="00EA42AF" w:rsidRPr="00B12796" w:rsidTr="00EA42A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2B3B5F"/>
              <w:left w:val="single" w:sz="8" w:space="0" w:color="2B3B5F"/>
              <w:bottom w:val="nil"/>
              <w:right w:val="single" w:sz="8" w:space="0" w:color="2B3B5F"/>
            </w:tcBorders>
            <w:noWrap/>
            <w:hideMark/>
          </w:tcPr>
          <w:p w:rsidR="00EA42AF" w:rsidRPr="00B12796" w:rsidRDefault="00EA42AF" w:rsidP="00B12796">
            <w:pPr>
              <w:spacing w:before="0" w:after="0"/>
              <w:ind w:left="57"/>
              <w:rPr>
                <w:rFonts w:cs="Arial"/>
                <w:b w:val="0"/>
                <w:color w:val="000000"/>
                <w:sz w:val="18"/>
                <w:szCs w:val="18"/>
              </w:rPr>
            </w:pPr>
            <w:r w:rsidRPr="00B12796">
              <w:rPr>
                <w:rFonts w:cs="Arial"/>
                <w:b w:val="0"/>
                <w:color w:val="000000"/>
                <w:sz w:val="18"/>
                <w:szCs w:val="18"/>
              </w:rPr>
              <w:t>Social security and welfare</w:t>
            </w:r>
          </w:p>
        </w:tc>
        <w:tc>
          <w:tcPr>
            <w:tcW w:w="1701" w:type="dxa"/>
            <w:tcBorders>
              <w:top w:val="single" w:sz="8" w:space="0" w:color="2B3B5F"/>
              <w:left w:val="single" w:sz="8" w:space="0" w:color="2B3B5F"/>
              <w:bottom w:val="nil"/>
              <w:right w:val="single" w:sz="8" w:space="0" w:color="2B3B5F"/>
            </w:tcBorders>
            <w:noWrap/>
            <w:hideMark/>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EA42AF">
              <w:rPr>
                <w:color w:val="000000"/>
                <w:sz w:val="18"/>
                <w:szCs w:val="18"/>
              </w:rPr>
              <w:t>34.4</w:t>
            </w:r>
          </w:p>
        </w:tc>
        <w:tc>
          <w:tcPr>
            <w:tcW w:w="1559" w:type="dxa"/>
            <w:tcBorders>
              <w:top w:val="single" w:sz="8" w:space="0" w:color="2B3B5F"/>
              <w:left w:val="single" w:sz="8" w:space="0" w:color="2B3B5F"/>
              <w:bottom w:val="nil"/>
              <w:right w:val="single" w:sz="8" w:space="0" w:color="2B3B5F"/>
            </w:tcBorders>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EA42AF">
              <w:rPr>
                <w:color w:val="000000"/>
                <w:sz w:val="18"/>
                <w:szCs w:val="18"/>
              </w:rPr>
              <w:t>3.7</w:t>
            </w:r>
          </w:p>
        </w:tc>
        <w:tc>
          <w:tcPr>
            <w:tcW w:w="1843" w:type="dxa"/>
            <w:tcBorders>
              <w:top w:val="single" w:sz="8" w:space="0" w:color="2B3B5F"/>
              <w:left w:val="single" w:sz="8" w:space="0" w:color="2B3B5F"/>
              <w:bottom w:val="nil"/>
              <w:right w:val="single" w:sz="8" w:space="0" w:color="2B3B5F"/>
            </w:tcBorders>
            <w:noWrap/>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EA42AF">
              <w:rPr>
                <w:color w:val="000000"/>
                <w:sz w:val="18"/>
                <w:szCs w:val="18"/>
              </w:rPr>
              <w:t>15.0</w:t>
            </w:r>
          </w:p>
        </w:tc>
      </w:tr>
      <w:tr w:rsidR="00EA42AF" w:rsidRPr="00B12796" w:rsidTr="00EA42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Borders>
              <w:top w:val="nil"/>
              <w:left w:val="single" w:sz="8" w:space="0" w:color="2B3B5F"/>
              <w:bottom w:val="nil"/>
              <w:right w:val="single" w:sz="8" w:space="0" w:color="2B3B5F"/>
            </w:tcBorders>
            <w:shd w:val="clear" w:color="auto" w:fill="D7DDE9"/>
            <w:noWrap/>
            <w:hideMark/>
          </w:tcPr>
          <w:p w:rsidR="00EA42AF" w:rsidRPr="00B12796" w:rsidRDefault="00EA42AF" w:rsidP="00B12796">
            <w:pPr>
              <w:spacing w:before="0" w:after="0"/>
              <w:ind w:left="57"/>
              <w:rPr>
                <w:rFonts w:cs="Arial"/>
                <w:b w:val="0"/>
                <w:color w:val="000000"/>
                <w:sz w:val="18"/>
                <w:szCs w:val="18"/>
              </w:rPr>
            </w:pPr>
            <w:r w:rsidRPr="00B12796">
              <w:rPr>
                <w:rFonts w:cs="Arial"/>
                <w:b w:val="0"/>
                <w:color w:val="000000"/>
                <w:sz w:val="18"/>
                <w:szCs w:val="18"/>
              </w:rPr>
              <w:t>Other purposes</w:t>
            </w:r>
          </w:p>
        </w:tc>
        <w:tc>
          <w:tcPr>
            <w:tcW w:w="1701" w:type="dxa"/>
            <w:tcBorders>
              <w:top w:val="nil"/>
              <w:left w:val="single" w:sz="8" w:space="0" w:color="2B3B5F"/>
              <w:bottom w:val="nil"/>
              <w:right w:val="single" w:sz="8" w:space="0" w:color="2B3B5F"/>
            </w:tcBorders>
            <w:shd w:val="clear" w:color="auto" w:fill="D7DDE9"/>
            <w:noWrap/>
            <w:hideMark/>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A42AF">
              <w:rPr>
                <w:color w:val="000000"/>
                <w:sz w:val="18"/>
                <w:szCs w:val="18"/>
              </w:rPr>
              <w:t>18.9</w:t>
            </w:r>
          </w:p>
        </w:tc>
        <w:tc>
          <w:tcPr>
            <w:tcW w:w="1559" w:type="dxa"/>
            <w:tcBorders>
              <w:top w:val="nil"/>
              <w:left w:val="single" w:sz="8" w:space="0" w:color="2B3B5F"/>
              <w:bottom w:val="nil"/>
              <w:right w:val="single" w:sz="8" w:space="0" w:color="2B3B5F"/>
            </w:tcBorders>
            <w:shd w:val="clear" w:color="auto" w:fill="D7DDE9"/>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A42AF">
              <w:rPr>
                <w:color w:val="000000"/>
                <w:sz w:val="18"/>
                <w:szCs w:val="18"/>
              </w:rPr>
              <w:t>2.2</w:t>
            </w:r>
          </w:p>
        </w:tc>
        <w:tc>
          <w:tcPr>
            <w:tcW w:w="1843" w:type="dxa"/>
            <w:tcBorders>
              <w:top w:val="nil"/>
              <w:left w:val="single" w:sz="8" w:space="0" w:color="2B3B5F"/>
              <w:bottom w:val="nil"/>
              <w:right w:val="single" w:sz="8" w:space="0" w:color="2B3B5F"/>
            </w:tcBorders>
            <w:shd w:val="clear" w:color="auto" w:fill="D7DDE9"/>
            <w:noWrap/>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A42AF">
              <w:rPr>
                <w:color w:val="000000"/>
                <w:sz w:val="18"/>
                <w:szCs w:val="18"/>
              </w:rPr>
              <w:t>5.4</w:t>
            </w:r>
          </w:p>
        </w:tc>
      </w:tr>
      <w:tr w:rsidR="00EA42AF" w:rsidRPr="00B12796" w:rsidTr="00EA42A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Borders>
              <w:top w:val="nil"/>
              <w:left w:val="single" w:sz="8" w:space="0" w:color="2B3B5F"/>
              <w:bottom w:val="nil"/>
              <w:right w:val="single" w:sz="8" w:space="0" w:color="2B3B5F"/>
            </w:tcBorders>
            <w:noWrap/>
            <w:hideMark/>
          </w:tcPr>
          <w:p w:rsidR="00EA42AF" w:rsidRPr="00B12796" w:rsidRDefault="00EA42AF" w:rsidP="00B12796">
            <w:pPr>
              <w:spacing w:before="0" w:after="0"/>
              <w:ind w:left="57"/>
              <w:rPr>
                <w:rFonts w:cs="Arial"/>
                <w:b w:val="0"/>
                <w:color w:val="000000"/>
                <w:sz w:val="18"/>
                <w:szCs w:val="18"/>
              </w:rPr>
            </w:pPr>
            <w:r w:rsidRPr="00B12796">
              <w:rPr>
                <w:rFonts w:cs="Arial"/>
                <w:b w:val="0"/>
                <w:color w:val="000000"/>
                <w:sz w:val="18"/>
                <w:szCs w:val="18"/>
              </w:rPr>
              <w:t>Health</w:t>
            </w:r>
          </w:p>
        </w:tc>
        <w:tc>
          <w:tcPr>
            <w:tcW w:w="1701" w:type="dxa"/>
            <w:tcBorders>
              <w:top w:val="nil"/>
              <w:left w:val="single" w:sz="8" w:space="0" w:color="2B3B5F"/>
              <w:bottom w:val="nil"/>
              <w:right w:val="single" w:sz="8" w:space="0" w:color="2B3B5F"/>
            </w:tcBorders>
            <w:noWrap/>
            <w:hideMark/>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EA42AF">
              <w:rPr>
                <w:color w:val="000000"/>
                <w:sz w:val="18"/>
                <w:szCs w:val="18"/>
              </w:rPr>
              <w:t>16.0</w:t>
            </w:r>
          </w:p>
        </w:tc>
        <w:tc>
          <w:tcPr>
            <w:tcW w:w="1559" w:type="dxa"/>
            <w:tcBorders>
              <w:top w:val="nil"/>
              <w:left w:val="single" w:sz="8" w:space="0" w:color="2B3B5F"/>
              <w:bottom w:val="nil"/>
              <w:right w:val="single" w:sz="8" w:space="0" w:color="2B3B5F"/>
            </w:tcBorders>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EA42AF">
              <w:rPr>
                <w:color w:val="000000"/>
                <w:sz w:val="18"/>
                <w:szCs w:val="18"/>
              </w:rPr>
              <w:t>4.8</w:t>
            </w:r>
          </w:p>
        </w:tc>
        <w:tc>
          <w:tcPr>
            <w:tcW w:w="1843" w:type="dxa"/>
            <w:tcBorders>
              <w:top w:val="nil"/>
              <w:left w:val="single" w:sz="8" w:space="0" w:color="2B3B5F"/>
              <w:bottom w:val="nil"/>
              <w:right w:val="single" w:sz="8" w:space="0" w:color="2B3B5F"/>
            </w:tcBorders>
            <w:noWrap/>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EA42AF">
              <w:rPr>
                <w:color w:val="000000"/>
                <w:sz w:val="18"/>
                <w:szCs w:val="18"/>
              </w:rPr>
              <w:t>8.6</w:t>
            </w:r>
          </w:p>
        </w:tc>
      </w:tr>
      <w:tr w:rsidR="00EA42AF" w:rsidRPr="00B12796" w:rsidTr="00EA42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Borders>
              <w:top w:val="nil"/>
              <w:left w:val="single" w:sz="8" w:space="0" w:color="2B3B5F"/>
              <w:bottom w:val="nil"/>
              <w:right w:val="single" w:sz="8" w:space="0" w:color="2B3B5F"/>
            </w:tcBorders>
            <w:shd w:val="clear" w:color="auto" w:fill="D7DDE9"/>
            <w:noWrap/>
            <w:hideMark/>
          </w:tcPr>
          <w:p w:rsidR="00EA42AF" w:rsidRPr="00B12796" w:rsidRDefault="00EA42AF" w:rsidP="00B12796">
            <w:pPr>
              <w:spacing w:before="0" w:after="0"/>
              <w:ind w:left="57"/>
              <w:rPr>
                <w:rFonts w:cs="Arial"/>
                <w:b w:val="0"/>
                <w:color w:val="000000"/>
                <w:sz w:val="18"/>
                <w:szCs w:val="18"/>
              </w:rPr>
            </w:pPr>
            <w:r w:rsidRPr="00B12796">
              <w:rPr>
                <w:rFonts w:cs="Arial"/>
                <w:b w:val="0"/>
                <w:color w:val="000000"/>
                <w:sz w:val="18"/>
                <w:szCs w:val="18"/>
              </w:rPr>
              <w:t>Education</w:t>
            </w:r>
          </w:p>
        </w:tc>
        <w:tc>
          <w:tcPr>
            <w:tcW w:w="1701" w:type="dxa"/>
            <w:tcBorders>
              <w:top w:val="nil"/>
              <w:left w:val="single" w:sz="8" w:space="0" w:color="2B3B5F"/>
              <w:bottom w:val="nil"/>
              <w:right w:val="single" w:sz="8" w:space="0" w:color="2B3B5F"/>
            </w:tcBorders>
            <w:shd w:val="clear" w:color="auto" w:fill="D7DDE9"/>
            <w:noWrap/>
            <w:hideMark/>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A42AF">
              <w:rPr>
                <w:color w:val="000000"/>
                <w:sz w:val="18"/>
                <w:szCs w:val="18"/>
              </w:rPr>
              <w:t>7.4</w:t>
            </w:r>
          </w:p>
        </w:tc>
        <w:tc>
          <w:tcPr>
            <w:tcW w:w="1559" w:type="dxa"/>
            <w:tcBorders>
              <w:top w:val="nil"/>
              <w:left w:val="single" w:sz="8" w:space="0" w:color="2B3B5F"/>
              <w:bottom w:val="nil"/>
              <w:right w:val="single" w:sz="8" w:space="0" w:color="2B3B5F"/>
            </w:tcBorders>
            <w:shd w:val="clear" w:color="auto" w:fill="D7DDE9"/>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A42AF">
              <w:rPr>
                <w:color w:val="000000"/>
                <w:sz w:val="18"/>
                <w:szCs w:val="18"/>
              </w:rPr>
              <w:t>4.6</w:t>
            </w:r>
          </w:p>
        </w:tc>
        <w:tc>
          <w:tcPr>
            <w:tcW w:w="1843" w:type="dxa"/>
            <w:tcBorders>
              <w:top w:val="nil"/>
              <w:left w:val="single" w:sz="8" w:space="0" w:color="2B3B5F"/>
              <w:bottom w:val="nil"/>
              <w:right w:val="single" w:sz="8" w:space="0" w:color="2B3B5F"/>
            </w:tcBorders>
            <w:shd w:val="clear" w:color="auto" w:fill="D7DDE9"/>
            <w:noWrap/>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A42AF">
              <w:rPr>
                <w:color w:val="000000"/>
                <w:sz w:val="18"/>
                <w:szCs w:val="18"/>
              </w:rPr>
              <w:t>3.9</w:t>
            </w:r>
          </w:p>
        </w:tc>
      </w:tr>
      <w:tr w:rsidR="00EA42AF" w:rsidRPr="00B12796" w:rsidTr="00EA42A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Borders>
              <w:top w:val="nil"/>
              <w:left w:val="single" w:sz="8" w:space="0" w:color="2B3B5F"/>
              <w:bottom w:val="nil"/>
              <w:right w:val="single" w:sz="8" w:space="0" w:color="2B3B5F"/>
            </w:tcBorders>
            <w:noWrap/>
            <w:hideMark/>
          </w:tcPr>
          <w:p w:rsidR="00EA42AF" w:rsidRPr="00B12796" w:rsidRDefault="00EA42AF" w:rsidP="00B12796">
            <w:pPr>
              <w:spacing w:before="0" w:after="0"/>
              <w:ind w:left="57"/>
              <w:rPr>
                <w:rFonts w:cs="Arial"/>
                <w:b w:val="0"/>
                <w:color w:val="000000"/>
                <w:sz w:val="18"/>
                <w:szCs w:val="18"/>
              </w:rPr>
            </w:pPr>
            <w:r w:rsidRPr="00B12796">
              <w:rPr>
                <w:rFonts w:cs="Arial"/>
                <w:b w:val="0"/>
                <w:color w:val="000000"/>
                <w:sz w:val="18"/>
                <w:szCs w:val="18"/>
              </w:rPr>
              <w:t>General public services</w:t>
            </w:r>
          </w:p>
        </w:tc>
        <w:tc>
          <w:tcPr>
            <w:tcW w:w="1701" w:type="dxa"/>
            <w:tcBorders>
              <w:top w:val="nil"/>
              <w:left w:val="single" w:sz="8" w:space="0" w:color="2B3B5F"/>
              <w:bottom w:val="nil"/>
              <w:right w:val="single" w:sz="8" w:space="0" w:color="2B3B5F"/>
            </w:tcBorders>
            <w:noWrap/>
            <w:hideMark/>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EA42AF">
              <w:rPr>
                <w:color w:val="000000"/>
                <w:sz w:val="18"/>
                <w:szCs w:val="18"/>
              </w:rPr>
              <w:t>6.8</w:t>
            </w:r>
          </w:p>
        </w:tc>
        <w:tc>
          <w:tcPr>
            <w:tcW w:w="1559" w:type="dxa"/>
            <w:tcBorders>
              <w:top w:val="nil"/>
              <w:left w:val="single" w:sz="8" w:space="0" w:color="2B3B5F"/>
              <w:bottom w:val="nil"/>
              <w:right w:val="single" w:sz="8" w:space="0" w:color="2B3B5F"/>
            </w:tcBorders>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EA42AF">
              <w:rPr>
                <w:color w:val="000000"/>
                <w:sz w:val="18"/>
                <w:szCs w:val="18"/>
              </w:rPr>
              <w:t>6.1</w:t>
            </w:r>
          </w:p>
        </w:tc>
        <w:tc>
          <w:tcPr>
            <w:tcW w:w="1843" w:type="dxa"/>
            <w:tcBorders>
              <w:top w:val="nil"/>
              <w:left w:val="single" w:sz="8" w:space="0" w:color="2B3B5F"/>
              <w:bottom w:val="nil"/>
              <w:right w:val="single" w:sz="8" w:space="0" w:color="2B3B5F"/>
            </w:tcBorders>
            <w:noWrap/>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EA42AF">
              <w:rPr>
                <w:color w:val="000000"/>
                <w:sz w:val="18"/>
                <w:szCs w:val="18"/>
              </w:rPr>
              <w:t>4.4</w:t>
            </w:r>
          </w:p>
        </w:tc>
      </w:tr>
      <w:tr w:rsidR="00EA42AF" w:rsidRPr="00B12796" w:rsidTr="00EA42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Borders>
              <w:top w:val="nil"/>
              <w:left w:val="single" w:sz="8" w:space="0" w:color="2B3B5F"/>
              <w:bottom w:val="nil"/>
              <w:right w:val="single" w:sz="8" w:space="0" w:color="2B3B5F"/>
            </w:tcBorders>
            <w:shd w:val="clear" w:color="auto" w:fill="D7DDE9"/>
            <w:noWrap/>
            <w:hideMark/>
          </w:tcPr>
          <w:p w:rsidR="00EA42AF" w:rsidRPr="00B12796" w:rsidRDefault="00EA42AF" w:rsidP="00B12796">
            <w:pPr>
              <w:spacing w:before="0" w:after="0"/>
              <w:ind w:left="57"/>
              <w:rPr>
                <w:rFonts w:cs="Arial"/>
                <w:b w:val="0"/>
                <w:color w:val="000000"/>
                <w:sz w:val="18"/>
                <w:szCs w:val="18"/>
              </w:rPr>
            </w:pPr>
            <w:r w:rsidRPr="00B12796">
              <w:rPr>
                <w:rFonts w:cs="Arial"/>
                <w:b w:val="0"/>
                <w:color w:val="000000"/>
                <w:sz w:val="18"/>
                <w:szCs w:val="18"/>
              </w:rPr>
              <w:t>Defence and public order and safety</w:t>
            </w:r>
          </w:p>
        </w:tc>
        <w:tc>
          <w:tcPr>
            <w:tcW w:w="1701" w:type="dxa"/>
            <w:tcBorders>
              <w:top w:val="nil"/>
              <w:left w:val="single" w:sz="8" w:space="0" w:color="2B3B5F"/>
              <w:bottom w:val="nil"/>
              <w:right w:val="single" w:sz="8" w:space="0" w:color="2B3B5F"/>
            </w:tcBorders>
            <w:shd w:val="clear" w:color="auto" w:fill="D7DDE9"/>
            <w:noWrap/>
            <w:hideMark/>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A42AF">
              <w:rPr>
                <w:color w:val="000000"/>
                <w:sz w:val="18"/>
                <w:szCs w:val="18"/>
              </w:rPr>
              <w:t>6.5</w:t>
            </w:r>
          </w:p>
        </w:tc>
        <w:tc>
          <w:tcPr>
            <w:tcW w:w="1559" w:type="dxa"/>
            <w:tcBorders>
              <w:top w:val="nil"/>
              <w:left w:val="single" w:sz="8" w:space="0" w:color="2B3B5F"/>
              <w:bottom w:val="nil"/>
              <w:right w:val="single" w:sz="8" w:space="0" w:color="2B3B5F"/>
            </w:tcBorders>
            <w:shd w:val="clear" w:color="auto" w:fill="D7DDE9"/>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A42AF">
              <w:rPr>
                <w:color w:val="000000"/>
                <w:sz w:val="18"/>
                <w:szCs w:val="18"/>
              </w:rPr>
              <w:t>2.4</w:t>
            </w:r>
          </w:p>
        </w:tc>
        <w:tc>
          <w:tcPr>
            <w:tcW w:w="1843" w:type="dxa"/>
            <w:tcBorders>
              <w:top w:val="nil"/>
              <w:left w:val="single" w:sz="8" w:space="0" w:color="2B3B5F"/>
              <w:bottom w:val="nil"/>
              <w:right w:val="single" w:sz="8" w:space="0" w:color="2B3B5F"/>
            </w:tcBorders>
            <w:shd w:val="clear" w:color="auto" w:fill="D7DDE9"/>
            <w:noWrap/>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A42AF">
              <w:rPr>
                <w:color w:val="000000"/>
                <w:sz w:val="18"/>
                <w:szCs w:val="18"/>
              </w:rPr>
              <w:t>2.0</w:t>
            </w:r>
          </w:p>
        </w:tc>
      </w:tr>
      <w:tr w:rsidR="00EA42AF" w:rsidRPr="00B12796" w:rsidTr="00EA42A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Borders>
              <w:top w:val="nil"/>
              <w:left w:val="single" w:sz="8" w:space="0" w:color="2B3B5F"/>
              <w:bottom w:val="nil"/>
              <w:right w:val="single" w:sz="8" w:space="0" w:color="2B3B5F"/>
            </w:tcBorders>
            <w:noWrap/>
            <w:hideMark/>
          </w:tcPr>
          <w:p w:rsidR="00EA42AF" w:rsidRPr="00B12796" w:rsidRDefault="00EA42AF" w:rsidP="00B12796">
            <w:pPr>
              <w:spacing w:before="0" w:after="0"/>
              <w:ind w:left="57"/>
              <w:rPr>
                <w:rFonts w:cs="Arial"/>
                <w:b w:val="0"/>
                <w:color w:val="000000"/>
                <w:sz w:val="18"/>
                <w:szCs w:val="18"/>
              </w:rPr>
            </w:pPr>
            <w:r w:rsidRPr="00B12796">
              <w:rPr>
                <w:rFonts w:cs="Arial"/>
                <w:b w:val="0"/>
                <w:color w:val="000000"/>
                <w:sz w:val="18"/>
                <w:szCs w:val="18"/>
              </w:rPr>
              <w:t>Industry and economic affairs</w:t>
            </w:r>
          </w:p>
        </w:tc>
        <w:tc>
          <w:tcPr>
            <w:tcW w:w="1701" w:type="dxa"/>
            <w:tcBorders>
              <w:top w:val="nil"/>
              <w:left w:val="single" w:sz="8" w:space="0" w:color="2B3B5F"/>
              <w:bottom w:val="nil"/>
              <w:right w:val="single" w:sz="8" w:space="0" w:color="2B3B5F"/>
            </w:tcBorders>
            <w:noWrap/>
            <w:hideMark/>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EA42AF">
              <w:rPr>
                <w:color w:val="000000"/>
                <w:sz w:val="18"/>
                <w:szCs w:val="18"/>
              </w:rPr>
              <w:t>5.7</w:t>
            </w:r>
          </w:p>
        </w:tc>
        <w:tc>
          <w:tcPr>
            <w:tcW w:w="1559" w:type="dxa"/>
            <w:tcBorders>
              <w:top w:val="nil"/>
              <w:left w:val="single" w:sz="8" w:space="0" w:color="2B3B5F"/>
              <w:bottom w:val="nil"/>
              <w:right w:val="single" w:sz="8" w:space="0" w:color="2B3B5F"/>
            </w:tcBorders>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EA42AF">
              <w:rPr>
                <w:color w:val="000000"/>
                <w:sz w:val="18"/>
                <w:szCs w:val="18"/>
              </w:rPr>
              <w:t>4.3</w:t>
            </w:r>
          </w:p>
        </w:tc>
        <w:tc>
          <w:tcPr>
            <w:tcW w:w="1843" w:type="dxa"/>
            <w:tcBorders>
              <w:top w:val="nil"/>
              <w:left w:val="single" w:sz="8" w:space="0" w:color="2B3B5F"/>
              <w:bottom w:val="nil"/>
              <w:right w:val="single" w:sz="8" w:space="0" w:color="2B3B5F"/>
            </w:tcBorders>
            <w:noWrap/>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EA42AF">
              <w:rPr>
                <w:color w:val="000000"/>
                <w:sz w:val="18"/>
                <w:szCs w:val="18"/>
              </w:rPr>
              <w:t>2.8</w:t>
            </w:r>
          </w:p>
        </w:tc>
      </w:tr>
      <w:tr w:rsidR="00EA42AF" w:rsidRPr="00B12796" w:rsidTr="00EA42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Borders>
              <w:top w:val="nil"/>
              <w:left w:val="single" w:sz="8" w:space="0" w:color="2B3B5F"/>
              <w:bottom w:val="nil"/>
              <w:right w:val="single" w:sz="8" w:space="0" w:color="2B3B5F"/>
            </w:tcBorders>
            <w:shd w:val="clear" w:color="auto" w:fill="D7DDE9"/>
            <w:noWrap/>
            <w:hideMark/>
          </w:tcPr>
          <w:p w:rsidR="00EA42AF" w:rsidRPr="00B12796" w:rsidRDefault="00EA42AF" w:rsidP="00B12796">
            <w:pPr>
              <w:spacing w:before="0" w:after="0"/>
              <w:ind w:left="57"/>
              <w:rPr>
                <w:rFonts w:cs="Arial"/>
                <w:b w:val="0"/>
                <w:color w:val="000000"/>
                <w:sz w:val="18"/>
                <w:szCs w:val="18"/>
              </w:rPr>
            </w:pPr>
            <w:r w:rsidRPr="00B12796">
              <w:rPr>
                <w:rFonts w:cs="Arial"/>
                <w:b w:val="0"/>
                <w:color w:val="000000"/>
                <w:sz w:val="18"/>
                <w:szCs w:val="18"/>
              </w:rPr>
              <w:t>Community amenities and infrastructure</w:t>
            </w:r>
          </w:p>
        </w:tc>
        <w:tc>
          <w:tcPr>
            <w:tcW w:w="1701" w:type="dxa"/>
            <w:tcBorders>
              <w:top w:val="nil"/>
              <w:left w:val="single" w:sz="8" w:space="0" w:color="2B3B5F"/>
              <w:bottom w:val="nil"/>
              <w:right w:val="single" w:sz="8" w:space="0" w:color="2B3B5F"/>
            </w:tcBorders>
            <w:shd w:val="clear" w:color="auto" w:fill="D7DDE9"/>
            <w:noWrap/>
            <w:hideMark/>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A42AF">
              <w:rPr>
                <w:color w:val="000000"/>
                <w:sz w:val="18"/>
                <w:szCs w:val="18"/>
              </w:rPr>
              <w:t>4.0</w:t>
            </w:r>
          </w:p>
        </w:tc>
        <w:tc>
          <w:tcPr>
            <w:tcW w:w="1559" w:type="dxa"/>
            <w:tcBorders>
              <w:top w:val="nil"/>
              <w:left w:val="single" w:sz="8" w:space="0" w:color="2B3B5F"/>
              <w:bottom w:val="nil"/>
              <w:right w:val="single" w:sz="8" w:space="0" w:color="2B3B5F"/>
            </w:tcBorders>
            <w:shd w:val="clear" w:color="auto" w:fill="D7DDE9"/>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A42AF">
              <w:rPr>
                <w:color w:val="000000"/>
                <w:sz w:val="18"/>
                <w:szCs w:val="18"/>
              </w:rPr>
              <w:t>6.3</w:t>
            </w:r>
          </w:p>
        </w:tc>
        <w:tc>
          <w:tcPr>
            <w:tcW w:w="1843" w:type="dxa"/>
            <w:tcBorders>
              <w:top w:val="nil"/>
              <w:left w:val="single" w:sz="8" w:space="0" w:color="2B3B5F"/>
              <w:bottom w:val="nil"/>
              <w:right w:val="single" w:sz="8" w:space="0" w:color="2B3B5F"/>
            </w:tcBorders>
            <w:shd w:val="clear" w:color="auto" w:fill="D7DDE9"/>
            <w:noWrap/>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EA42AF">
              <w:rPr>
                <w:color w:val="000000"/>
                <w:sz w:val="18"/>
                <w:szCs w:val="18"/>
              </w:rPr>
              <w:t>2.7</w:t>
            </w:r>
          </w:p>
        </w:tc>
      </w:tr>
      <w:tr w:rsidR="00EA42AF" w:rsidRPr="00B12796" w:rsidTr="00EA42A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Borders>
              <w:top w:val="nil"/>
              <w:left w:val="single" w:sz="8" w:space="0" w:color="2B3B5F"/>
              <w:bottom w:val="nil"/>
              <w:right w:val="single" w:sz="8" w:space="0" w:color="2B3B5F"/>
            </w:tcBorders>
            <w:noWrap/>
          </w:tcPr>
          <w:p w:rsidR="00EA42AF" w:rsidRPr="00B12796" w:rsidRDefault="00EA42AF" w:rsidP="00B12796">
            <w:pPr>
              <w:spacing w:before="0" w:after="0"/>
              <w:ind w:left="57"/>
              <w:rPr>
                <w:rFonts w:cs="Arial"/>
                <w:b w:val="0"/>
                <w:color w:val="000000"/>
                <w:sz w:val="18"/>
                <w:szCs w:val="18"/>
              </w:rPr>
            </w:pPr>
            <w:r w:rsidRPr="00B12796">
              <w:rPr>
                <w:rFonts w:cs="Arial"/>
                <w:b w:val="0"/>
                <w:color w:val="000000"/>
                <w:sz w:val="18"/>
                <w:szCs w:val="18"/>
              </w:rPr>
              <w:t>Net capital investment</w:t>
            </w:r>
          </w:p>
        </w:tc>
        <w:tc>
          <w:tcPr>
            <w:tcW w:w="1701" w:type="dxa"/>
            <w:tcBorders>
              <w:top w:val="nil"/>
              <w:left w:val="single" w:sz="8" w:space="0" w:color="2B3B5F"/>
              <w:bottom w:val="nil"/>
              <w:right w:val="single" w:sz="8" w:space="0" w:color="2B3B5F"/>
            </w:tcBorders>
            <w:noWrap/>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EA42AF">
              <w:rPr>
                <w:color w:val="000000"/>
                <w:sz w:val="18"/>
                <w:szCs w:val="18"/>
              </w:rPr>
              <w:t>0.3</w:t>
            </w:r>
          </w:p>
        </w:tc>
        <w:tc>
          <w:tcPr>
            <w:tcW w:w="1559" w:type="dxa"/>
            <w:tcBorders>
              <w:top w:val="nil"/>
              <w:left w:val="single" w:sz="8" w:space="0" w:color="2B3B5F"/>
              <w:bottom w:val="nil"/>
              <w:right w:val="single" w:sz="8" w:space="0" w:color="2B3B5F"/>
            </w:tcBorders>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EA42AF">
              <w:rPr>
                <w:color w:val="000000"/>
                <w:sz w:val="18"/>
                <w:szCs w:val="18"/>
              </w:rPr>
              <w:t>10.1</w:t>
            </w:r>
          </w:p>
        </w:tc>
        <w:tc>
          <w:tcPr>
            <w:tcW w:w="1843" w:type="dxa"/>
            <w:tcBorders>
              <w:top w:val="nil"/>
              <w:left w:val="single" w:sz="8" w:space="0" w:color="2B3B5F"/>
              <w:bottom w:val="nil"/>
              <w:right w:val="single" w:sz="8" w:space="0" w:color="2B3B5F"/>
            </w:tcBorders>
            <w:noWrap/>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EA42AF">
              <w:rPr>
                <w:color w:val="000000"/>
                <w:sz w:val="18"/>
                <w:szCs w:val="18"/>
              </w:rPr>
              <w:t>0.2</w:t>
            </w:r>
          </w:p>
        </w:tc>
      </w:tr>
      <w:tr w:rsidR="00EA42AF" w:rsidRPr="00B12796" w:rsidTr="00EA42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Borders>
              <w:top w:val="nil"/>
              <w:left w:val="single" w:sz="8" w:space="0" w:color="2B3B5F"/>
              <w:bottom w:val="nil"/>
              <w:right w:val="single" w:sz="8" w:space="0" w:color="2B3B5F"/>
            </w:tcBorders>
            <w:shd w:val="clear" w:color="auto" w:fill="D7DDE9"/>
            <w:noWrap/>
            <w:hideMark/>
          </w:tcPr>
          <w:p w:rsidR="00EA42AF" w:rsidRPr="00B12796" w:rsidRDefault="00EA42AF" w:rsidP="00B12796">
            <w:pPr>
              <w:spacing w:before="0" w:after="0"/>
              <w:ind w:left="57"/>
              <w:rPr>
                <w:rFonts w:cs="Arial"/>
                <w:bCs/>
                <w:color w:val="000000"/>
                <w:sz w:val="18"/>
                <w:szCs w:val="18"/>
              </w:rPr>
            </w:pPr>
            <w:r w:rsidRPr="00B12796">
              <w:rPr>
                <w:rFonts w:cs="Arial"/>
                <w:bCs/>
                <w:color w:val="000000"/>
                <w:sz w:val="18"/>
                <w:szCs w:val="18"/>
              </w:rPr>
              <w:t>Total government spending</w:t>
            </w:r>
          </w:p>
        </w:tc>
        <w:tc>
          <w:tcPr>
            <w:tcW w:w="1701" w:type="dxa"/>
            <w:tcBorders>
              <w:top w:val="nil"/>
              <w:left w:val="single" w:sz="8" w:space="0" w:color="2B3B5F"/>
              <w:bottom w:val="nil"/>
              <w:right w:val="single" w:sz="8" w:space="0" w:color="2B3B5F"/>
            </w:tcBorders>
            <w:shd w:val="clear" w:color="auto" w:fill="D7DDE9"/>
            <w:noWrap/>
            <w:hideMark/>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EA42AF">
              <w:rPr>
                <w:b/>
                <w:bCs/>
                <w:color w:val="000000"/>
                <w:sz w:val="18"/>
                <w:szCs w:val="18"/>
              </w:rPr>
              <w:t>100.0</w:t>
            </w:r>
          </w:p>
        </w:tc>
        <w:tc>
          <w:tcPr>
            <w:tcW w:w="1559" w:type="dxa"/>
            <w:tcBorders>
              <w:top w:val="nil"/>
              <w:left w:val="single" w:sz="8" w:space="0" w:color="2B3B5F"/>
              <w:bottom w:val="nil"/>
              <w:right w:val="single" w:sz="8" w:space="0" w:color="2B3B5F"/>
            </w:tcBorders>
            <w:shd w:val="clear" w:color="auto" w:fill="D7DDE9"/>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EA42AF">
              <w:rPr>
                <w:b/>
                <w:bCs/>
                <w:color w:val="000000"/>
                <w:sz w:val="18"/>
                <w:szCs w:val="18"/>
              </w:rPr>
              <w:t>3.8</w:t>
            </w:r>
          </w:p>
        </w:tc>
        <w:tc>
          <w:tcPr>
            <w:tcW w:w="1843" w:type="dxa"/>
            <w:tcBorders>
              <w:top w:val="nil"/>
              <w:left w:val="single" w:sz="8" w:space="0" w:color="2B3B5F"/>
              <w:bottom w:val="nil"/>
              <w:right w:val="single" w:sz="8" w:space="0" w:color="2B3B5F"/>
            </w:tcBorders>
            <w:shd w:val="clear" w:color="auto" w:fill="D7DDE9"/>
            <w:noWrap/>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EA42AF">
              <w:rPr>
                <w:b/>
                <w:bCs/>
                <w:color w:val="000000"/>
                <w:sz w:val="18"/>
                <w:szCs w:val="18"/>
              </w:rPr>
              <w:t>45.2</w:t>
            </w:r>
          </w:p>
        </w:tc>
      </w:tr>
      <w:tr w:rsidR="00EA42AF" w:rsidRPr="00B12796" w:rsidTr="00EA42A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Borders>
              <w:top w:val="nil"/>
              <w:left w:val="single" w:sz="8" w:space="0" w:color="2B3B5F"/>
              <w:bottom w:val="nil"/>
              <w:right w:val="single" w:sz="8" w:space="0" w:color="2B3B5F"/>
            </w:tcBorders>
            <w:noWrap/>
            <w:hideMark/>
          </w:tcPr>
          <w:p w:rsidR="00EA42AF" w:rsidRPr="00B12796" w:rsidRDefault="00EA42AF" w:rsidP="00B12796">
            <w:pPr>
              <w:spacing w:before="0" w:after="0"/>
              <w:ind w:left="57"/>
              <w:rPr>
                <w:rFonts w:cs="Arial"/>
                <w:b w:val="0"/>
                <w:i/>
                <w:iCs/>
                <w:color w:val="000000"/>
                <w:sz w:val="18"/>
                <w:szCs w:val="18"/>
              </w:rPr>
            </w:pPr>
            <w:r w:rsidRPr="00B12796">
              <w:rPr>
                <w:rFonts w:cs="Arial"/>
                <w:b w:val="0"/>
                <w:i/>
                <w:iCs/>
                <w:color w:val="000000"/>
                <w:sz w:val="18"/>
                <w:szCs w:val="18"/>
              </w:rPr>
              <w:t>Memo item</w:t>
            </w:r>
          </w:p>
        </w:tc>
        <w:tc>
          <w:tcPr>
            <w:tcW w:w="1701" w:type="dxa"/>
            <w:tcBorders>
              <w:top w:val="nil"/>
              <w:left w:val="single" w:sz="8" w:space="0" w:color="2B3B5F"/>
              <w:bottom w:val="nil"/>
              <w:right w:val="single" w:sz="8" w:space="0" w:color="2B3B5F"/>
            </w:tcBorders>
            <w:noWrap/>
            <w:hideMark/>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1559" w:type="dxa"/>
            <w:tcBorders>
              <w:top w:val="nil"/>
              <w:left w:val="single" w:sz="8" w:space="0" w:color="2B3B5F"/>
              <w:bottom w:val="nil"/>
              <w:right w:val="single" w:sz="8" w:space="0" w:color="2B3B5F"/>
            </w:tcBorders>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1843" w:type="dxa"/>
            <w:tcBorders>
              <w:top w:val="nil"/>
              <w:left w:val="single" w:sz="8" w:space="0" w:color="2B3B5F"/>
              <w:bottom w:val="nil"/>
              <w:right w:val="single" w:sz="8" w:space="0" w:color="2B3B5F"/>
            </w:tcBorders>
            <w:noWrap/>
            <w:hideMark/>
          </w:tcPr>
          <w:p w:rsidR="00EA42AF" w:rsidRPr="00EA42AF" w:rsidRDefault="00EA42AF" w:rsidP="00EA42A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p>
        </w:tc>
      </w:tr>
      <w:tr w:rsidR="00EA42AF" w:rsidRPr="00B12796" w:rsidTr="00EA42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tcBorders>
              <w:top w:val="nil"/>
              <w:left w:val="single" w:sz="8" w:space="0" w:color="2B3B5F"/>
              <w:bottom w:val="single" w:sz="8" w:space="0" w:color="2B3B5F"/>
              <w:right w:val="single" w:sz="8" w:space="0" w:color="2B3B5F"/>
            </w:tcBorders>
            <w:shd w:val="clear" w:color="auto" w:fill="D7DDE9"/>
            <w:noWrap/>
            <w:hideMark/>
          </w:tcPr>
          <w:p w:rsidR="00EA42AF" w:rsidRPr="00B12796" w:rsidRDefault="00EA42AF" w:rsidP="00B12796">
            <w:pPr>
              <w:spacing w:before="0" w:after="0"/>
              <w:ind w:left="57" w:firstLineChars="100" w:firstLine="180"/>
              <w:rPr>
                <w:rFonts w:cs="Arial"/>
                <w:b w:val="0"/>
                <w:i/>
                <w:iCs/>
                <w:color w:val="000000"/>
                <w:sz w:val="18"/>
                <w:szCs w:val="18"/>
              </w:rPr>
            </w:pPr>
            <w:r w:rsidRPr="00B12796">
              <w:rPr>
                <w:rFonts w:cs="Arial"/>
                <w:b w:val="0"/>
                <w:i/>
                <w:iCs/>
                <w:color w:val="000000"/>
                <w:sz w:val="18"/>
                <w:szCs w:val="18"/>
              </w:rPr>
              <w:t>GDP</w:t>
            </w:r>
          </w:p>
        </w:tc>
        <w:tc>
          <w:tcPr>
            <w:tcW w:w="1701" w:type="dxa"/>
            <w:tcBorders>
              <w:top w:val="nil"/>
              <w:left w:val="single" w:sz="8" w:space="0" w:color="2B3B5F"/>
              <w:bottom w:val="single" w:sz="8" w:space="0" w:color="2B3B5F"/>
              <w:right w:val="single" w:sz="8" w:space="0" w:color="2B3B5F"/>
            </w:tcBorders>
            <w:shd w:val="clear" w:color="auto" w:fill="D7DDE9"/>
            <w:noWrap/>
            <w:hideMark/>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i/>
                <w:iCs/>
                <w:color w:val="000000"/>
                <w:sz w:val="18"/>
                <w:szCs w:val="18"/>
              </w:rPr>
            </w:pPr>
          </w:p>
        </w:tc>
        <w:tc>
          <w:tcPr>
            <w:tcW w:w="1559" w:type="dxa"/>
            <w:tcBorders>
              <w:top w:val="nil"/>
              <w:left w:val="single" w:sz="8" w:space="0" w:color="2B3B5F"/>
              <w:bottom w:val="single" w:sz="8" w:space="0" w:color="2B3B5F"/>
              <w:right w:val="single" w:sz="8" w:space="0" w:color="2B3B5F"/>
            </w:tcBorders>
            <w:shd w:val="clear" w:color="auto" w:fill="D7DDE9"/>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EA42AF">
              <w:rPr>
                <w:i/>
                <w:iCs/>
                <w:color w:val="000000"/>
                <w:sz w:val="18"/>
                <w:szCs w:val="18"/>
              </w:rPr>
              <w:t>3.0</w:t>
            </w:r>
          </w:p>
        </w:tc>
        <w:tc>
          <w:tcPr>
            <w:tcW w:w="1843" w:type="dxa"/>
            <w:tcBorders>
              <w:top w:val="nil"/>
              <w:left w:val="single" w:sz="8" w:space="0" w:color="2B3B5F"/>
              <w:bottom w:val="single" w:sz="8" w:space="0" w:color="2B3B5F"/>
              <w:right w:val="single" w:sz="8" w:space="0" w:color="2B3B5F"/>
            </w:tcBorders>
            <w:shd w:val="clear" w:color="auto" w:fill="D7DDE9"/>
            <w:noWrap/>
            <w:hideMark/>
          </w:tcPr>
          <w:p w:rsidR="00EA42AF" w:rsidRPr="00EA42AF" w:rsidRDefault="00EA42AF" w:rsidP="00EA42AF">
            <w:pPr>
              <w:spacing w:before="0" w:after="0"/>
              <w:ind w:right="227"/>
              <w:jc w:val="right"/>
              <w:cnfStyle w:val="000000100000" w:firstRow="0" w:lastRow="0" w:firstColumn="0" w:lastColumn="0" w:oddVBand="0" w:evenVBand="0" w:oddHBand="1" w:evenHBand="0" w:firstRowFirstColumn="0" w:firstRowLastColumn="0" w:lastRowFirstColumn="0" w:lastRowLastColumn="0"/>
              <w:rPr>
                <w:i/>
                <w:iCs/>
                <w:color w:val="000000"/>
                <w:sz w:val="18"/>
                <w:szCs w:val="18"/>
              </w:rPr>
            </w:pPr>
          </w:p>
        </w:tc>
      </w:tr>
    </w:tbl>
    <w:p w:rsidR="00445839" w:rsidRDefault="004C0C85" w:rsidP="00E32CCA">
      <w:pPr>
        <w:pStyle w:val="PBOtext"/>
      </w:pPr>
      <w:r>
        <w:t xml:space="preserve">The key drivers of </w:t>
      </w:r>
      <w:r w:rsidRPr="00C80BDA">
        <w:t>the 45.2</w:t>
      </w:r>
      <w:r w:rsidR="00622A71" w:rsidRPr="00C80BDA">
        <w:t> </w:t>
      </w:r>
      <w:r w:rsidR="00445839" w:rsidRPr="00C80BDA">
        <w:t>per</w:t>
      </w:r>
      <w:r w:rsidR="00622A71" w:rsidRPr="00C80BDA">
        <w:t> </w:t>
      </w:r>
      <w:r w:rsidR="00445839" w:rsidRPr="00C80BDA">
        <w:t>cent</w:t>
      </w:r>
      <w:r w:rsidR="00445839">
        <w:t xml:space="preserve"> increase in government spending over the per</w:t>
      </w:r>
      <w:r w:rsidR="007F07CF">
        <w:t>iod 2002</w:t>
      </w:r>
      <w:r w:rsidR="0041689A" w:rsidRPr="006B456E">
        <w:noBreakHyphen/>
      </w:r>
      <w:r w:rsidR="007F07CF">
        <w:t>03 to 2012</w:t>
      </w:r>
      <w:r w:rsidR="0041689A" w:rsidRPr="006B456E">
        <w:noBreakHyphen/>
      </w:r>
      <w:r w:rsidR="007F07CF">
        <w:t xml:space="preserve">13 were </w:t>
      </w:r>
      <w:r w:rsidR="00445839">
        <w:t xml:space="preserve">increases in </w:t>
      </w:r>
      <w:r w:rsidR="00981027">
        <w:t>spending</w:t>
      </w:r>
      <w:r w:rsidR="00445839">
        <w:t xml:space="preserve"> on social security and welfare</w:t>
      </w:r>
      <w:r w:rsidR="007974E1">
        <w:t>,</w:t>
      </w:r>
      <w:r w:rsidR="00445839">
        <w:t xml:space="preserve"> and health</w:t>
      </w:r>
      <w:r w:rsidR="00865B5C">
        <w:t xml:space="preserve"> which, together, </w:t>
      </w:r>
      <w:r w:rsidR="00445839">
        <w:t>contributed more than half of the overall growth in spending.</w:t>
      </w:r>
    </w:p>
    <w:p w:rsidR="00445839" w:rsidRDefault="00445839" w:rsidP="00E32CCA">
      <w:pPr>
        <w:pStyle w:val="PBOtext"/>
      </w:pPr>
      <w:r>
        <w:t xml:space="preserve">Other significant drivers of spending growth were increased </w:t>
      </w:r>
      <w:r w:rsidR="00981027">
        <w:t>spending</w:t>
      </w:r>
      <w:r>
        <w:t xml:space="preserve"> for other purposes, general public services, and education</w:t>
      </w:r>
      <w:r w:rsidR="00622A71" w:rsidRPr="00C80BDA">
        <w:t>,</w:t>
      </w:r>
      <w:r w:rsidRPr="00C80BDA">
        <w:t xml:space="preserve"> which</w:t>
      </w:r>
      <w:r>
        <w:t xml:space="preserve"> together contributed 30</w:t>
      </w:r>
      <w:r w:rsidR="00622A71">
        <w:t> </w:t>
      </w:r>
      <w:r>
        <w:t>per</w:t>
      </w:r>
      <w:r w:rsidR="00622A71">
        <w:t> </w:t>
      </w:r>
      <w:r>
        <w:t>cent to the overall growth in spending.</w:t>
      </w:r>
    </w:p>
    <w:p w:rsidR="00FF505F" w:rsidRDefault="00FF505F" w:rsidP="00FF505F">
      <w:pPr>
        <w:pStyle w:val="PBOtext"/>
      </w:pPr>
      <w:r w:rsidRPr="004236EB">
        <w:rPr>
          <w:b/>
        </w:rPr>
        <w:t xml:space="preserve">Social security and welfare </w:t>
      </w:r>
      <w:r w:rsidRPr="004236EB">
        <w:t>spending represented more than a third of total spending and contributed approximately a third of the overall growth in spending.  Assistance to the aged contributed almost half of this growth, mainly due to increases in the rate of the Age Pension and growing pensioner numbers.  Assistance to people with disabilities contributed a further 29</w:t>
      </w:r>
      <w:r w:rsidR="00622A71">
        <w:t> </w:t>
      </w:r>
      <w:r w:rsidRPr="004236EB">
        <w:t>per</w:t>
      </w:r>
      <w:r w:rsidR="00622A71">
        <w:t> </w:t>
      </w:r>
      <w:r w:rsidRPr="004236EB">
        <w:t>cent, primarily because of increases in the number of Disability Support Pension (DSP) recipient</w:t>
      </w:r>
      <w:r w:rsidR="00622A71">
        <w:t xml:space="preserve">s and payment rates.  A further </w:t>
      </w:r>
      <w:r w:rsidRPr="004236EB">
        <w:t>21</w:t>
      </w:r>
      <w:r w:rsidR="00622A71">
        <w:t> </w:t>
      </w:r>
      <w:r w:rsidRPr="004236EB">
        <w:t>per</w:t>
      </w:r>
      <w:r w:rsidR="00622A71">
        <w:t> </w:t>
      </w:r>
      <w:r w:rsidRPr="004236EB">
        <w:t>cent was contributed by spending on assistance to families with children, mainly due to increases in Family Tax Benefit (FTB) and Baby Bonus payments and the introduction of the Child Care Tax Rebate, Schoolkids Bonus and Paid Parental Leave.</w:t>
      </w:r>
    </w:p>
    <w:p w:rsidR="00445839" w:rsidRPr="00713C79" w:rsidRDefault="00445839" w:rsidP="00445839">
      <w:pPr>
        <w:pStyle w:val="PBOtext"/>
      </w:pPr>
      <w:r>
        <w:rPr>
          <w:b/>
        </w:rPr>
        <w:t xml:space="preserve">Health </w:t>
      </w:r>
      <w:r>
        <w:t>spending represented 16</w:t>
      </w:r>
      <w:r w:rsidR="0011574A">
        <w:t> </w:t>
      </w:r>
      <w:r>
        <w:t>per</w:t>
      </w:r>
      <w:r w:rsidR="0011574A">
        <w:t> </w:t>
      </w:r>
      <w:r>
        <w:t>cent of total spending and, because of its relatively rapid growth rate, contributed 19</w:t>
      </w:r>
      <w:r w:rsidR="0011574A">
        <w:t> </w:t>
      </w:r>
      <w:r>
        <w:t>per</w:t>
      </w:r>
      <w:r w:rsidR="0011574A">
        <w:t> </w:t>
      </w:r>
      <w:r>
        <w:t>cent of the overall growth in spending.  More th</w:t>
      </w:r>
      <w:r w:rsidR="007F07CF">
        <w:t>an 40</w:t>
      </w:r>
      <w:r w:rsidR="0011574A">
        <w:t> </w:t>
      </w:r>
      <w:r w:rsidR="007F07CF">
        <w:t>per</w:t>
      </w:r>
      <w:r w:rsidR="0011574A">
        <w:t> </w:t>
      </w:r>
      <w:r w:rsidR="007F07CF">
        <w:t>cent of this growth was</w:t>
      </w:r>
      <w:r>
        <w:t xml:space="preserve"> attributable to increased spending on medical benefits and services.  G</w:t>
      </w:r>
      <w:r w:rsidRPr="00191B1C">
        <w:t xml:space="preserve">rowth in this area </w:t>
      </w:r>
      <w:r>
        <w:t>was</w:t>
      </w:r>
      <w:r w:rsidRPr="00191B1C">
        <w:t xml:space="preserve"> driven by increases in the use of health care services, and the Australian </w:t>
      </w:r>
      <w:r w:rsidRPr="00706358">
        <w:t>Government’s</w:t>
      </w:r>
      <w:r w:rsidRPr="00191B1C">
        <w:t xml:space="preserve"> funding </w:t>
      </w:r>
      <w:r w:rsidRPr="004236EB">
        <w:t xml:space="preserve">contribution for these services under the MBS.  </w:t>
      </w:r>
      <w:r w:rsidR="00D02787" w:rsidRPr="004236EB">
        <w:t>Around a quarter of this growth was contributed by the increasing spending on health services, including programs that support access to the supply of blood and blood products; population health; mental healt</w:t>
      </w:r>
      <w:r w:rsidR="00911BEB">
        <w:t xml:space="preserve">h initiatives; hearing </w:t>
      </w:r>
      <w:r w:rsidR="00911BEB" w:rsidRPr="00713C79">
        <w:t>services; and</w:t>
      </w:r>
      <w:r w:rsidR="00D02787" w:rsidRPr="00713C79">
        <w:t xml:space="preserve"> infrastructure and research.</w:t>
      </w:r>
    </w:p>
    <w:p w:rsidR="00445839" w:rsidRPr="00DC275F" w:rsidRDefault="00445839" w:rsidP="00445839">
      <w:pPr>
        <w:pStyle w:val="PBOtext"/>
      </w:pPr>
      <w:r w:rsidRPr="00713C79">
        <w:rPr>
          <w:b/>
        </w:rPr>
        <w:t xml:space="preserve">Other purposes </w:t>
      </w:r>
      <w:r w:rsidRPr="00713C79">
        <w:t>spending grew a</w:t>
      </w:r>
      <w:r w:rsidR="00911BEB" w:rsidRPr="00713C79">
        <w:t>round three quarters</w:t>
      </w:r>
      <w:r w:rsidRPr="00713C79">
        <w:t xml:space="preserve"> the rate of growth in GDP</w:t>
      </w:r>
      <w:r w:rsidR="0078351A" w:rsidRPr="00713C79">
        <w:t xml:space="preserve"> but, because it represented 19 </w:t>
      </w:r>
      <w:r w:rsidRPr="00713C79">
        <w:t>per</w:t>
      </w:r>
      <w:r w:rsidR="0011574A" w:rsidRPr="00713C79">
        <w:t> </w:t>
      </w:r>
      <w:r w:rsidRPr="00713C79">
        <w:t>cent of total spending, contributed 12</w:t>
      </w:r>
      <w:r w:rsidR="0011574A" w:rsidRPr="00713C79">
        <w:t> </w:t>
      </w:r>
      <w:r w:rsidRPr="00713C79">
        <w:t>per</w:t>
      </w:r>
      <w:r w:rsidR="0011574A" w:rsidRPr="00713C79">
        <w:t> </w:t>
      </w:r>
      <w:r w:rsidRPr="00713C79">
        <w:t>cent of the over</w:t>
      </w:r>
      <w:r>
        <w:t>all growth in spending.  Pub</w:t>
      </w:r>
      <w:r w:rsidR="004C0C85">
        <w:t xml:space="preserve">lic debt interest </w:t>
      </w:r>
      <w:r w:rsidR="004C0C85" w:rsidRPr="00C80BDA">
        <w:t>contributed 45</w:t>
      </w:r>
      <w:r w:rsidR="0011574A" w:rsidRPr="00C80BDA">
        <w:t> </w:t>
      </w:r>
      <w:r w:rsidRPr="00C80BDA">
        <w:t>per</w:t>
      </w:r>
      <w:r w:rsidR="0011574A" w:rsidRPr="00C80BDA">
        <w:t> </w:t>
      </w:r>
      <w:r w:rsidRPr="00C80BDA">
        <w:t>cent</w:t>
      </w:r>
      <w:r>
        <w:t xml:space="preserve"> of this growth.  This reflected the impact of financing the budget deficits accumulated since 2008-09 and the </w:t>
      </w:r>
      <w:r w:rsidRPr="006B1700">
        <w:t>equity investment</w:t>
      </w:r>
      <w:r>
        <w:t>s</w:t>
      </w:r>
      <w:r w:rsidRPr="006B1700">
        <w:t xml:space="preserve"> in government corporations </w:t>
      </w:r>
      <w:r w:rsidRPr="006B1700">
        <w:lastRenderedPageBreak/>
        <w:t>such as NBN Co and the Clean Energy Finance Corporation</w:t>
      </w:r>
      <w:r>
        <w:t>.  General revenue assistance to the States also grew, although at a much slower rate than GDP, contributing a further 43</w:t>
      </w:r>
      <w:r w:rsidR="0011574A">
        <w:t> </w:t>
      </w:r>
      <w:r>
        <w:t>per</w:t>
      </w:r>
      <w:r w:rsidR="0011574A">
        <w:t> </w:t>
      </w:r>
      <w:r>
        <w:t>cent of the growth in this function.</w:t>
      </w:r>
    </w:p>
    <w:p w:rsidR="00445839" w:rsidRPr="00865B5C" w:rsidRDefault="00445839" w:rsidP="00445839">
      <w:pPr>
        <w:pStyle w:val="PBOtext"/>
      </w:pPr>
      <w:r w:rsidRPr="004236EB">
        <w:rPr>
          <w:b/>
        </w:rPr>
        <w:t xml:space="preserve">General public services </w:t>
      </w:r>
      <w:r w:rsidRPr="004236EB">
        <w:t>spending represented</w:t>
      </w:r>
      <w:r w:rsidR="004C0C85">
        <w:t xml:space="preserve"> 6.8 per cent </w:t>
      </w:r>
      <w:r w:rsidR="004C0C85" w:rsidRPr="00713C79">
        <w:t xml:space="preserve">of total </w:t>
      </w:r>
      <w:proofErr w:type="gramStart"/>
      <w:r w:rsidR="004C0C85" w:rsidRPr="00713C79">
        <w:t>spending</w:t>
      </w:r>
      <w:r w:rsidR="009D085C" w:rsidRPr="00713C79">
        <w:t>,</w:t>
      </w:r>
      <w:proofErr w:type="gramEnd"/>
      <w:r w:rsidRPr="00713C79">
        <w:t xml:space="preserve"> grew</w:t>
      </w:r>
      <w:r w:rsidRPr="004236EB">
        <w:t xml:space="preserve"> at twice the rate of GDP and contributed 10</w:t>
      </w:r>
      <w:r w:rsidR="0011574A">
        <w:t> </w:t>
      </w:r>
      <w:r w:rsidRPr="004236EB">
        <w:t>per</w:t>
      </w:r>
      <w:r w:rsidR="0011574A">
        <w:t> </w:t>
      </w:r>
      <w:r w:rsidRPr="004236EB">
        <w:t>cent to the overall growth in spending</w:t>
      </w:r>
      <w:r w:rsidR="00D02787" w:rsidRPr="00C80BDA">
        <w:t xml:space="preserve">.  </w:t>
      </w:r>
      <w:r w:rsidR="004C0C85" w:rsidRPr="00C80BDA">
        <w:t>Around</w:t>
      </w:r>
      <w:r w:rsidR="00D02787" w:rsidRPr="00C80BDA">
        <w:t xml:space="preserve"> 45</w:t>
      </w:r>
      <w:r w:rsidR="0011574A" w:rsidRPr="00C80BDA">
        <w:t> </w:t>
      </w:r>
      <w:r w:rsidR="00D02787" w:rsidRPr="00C80BDA">
        <w:t>per</w:t>
      </w:r>
      <w:r w:rsidR="0011574A" w:rsidRPr="00C80BDA">
        <w:t> </w:t>
      </w:r>
      <w:r w:rsidR="00D02787" w:rsidRPr="00C80BDA">
        <w:t xml:space="preserve">cent of </w:t>
      </w:r>
      <w:r w:rsidR="00AB5396" w:rsidRPr="00C80BDA">
        <w:t>th</w:t>
      </w:r>
      <w:r w:rsidR="00622CB4">
        <w:t>is</w:t>
      </w:r>
      <w:r w:rsidR="00AB5396" w:rsidRPr="00C80BDA">
        <w:t xml:space="preserve"> grow</w:t>
      </w:r>
      <w:r w:rsidR="00AB5396" w:rsidRPr="004236EB">
        <w:t>th wa</w:t>
      </w:r>
      <w:r w:rsidR="00D02787" w:rsidRPr="004236EB">
        <w:t>s attributable to increased expenses for government superannuation benefits, as a result of the historically lower discount rate used to calculate expenses in 2012</w:t>
      </w:r>
      <w:r w:rsidR="0041689A" w:rsidRPr="006B456E">
        <w:noBreakHyphen/>
      </w:r>
      <w:r w:rsidR="00D02787" w:rsidRPr="004236EB">
        <w:t>13</w:t>
      </w:r>
      <w:r w:rsidR="00D1046A">
        <w:t>.</w:t>
      </w:r>
      <w:r w:rsidR="00D02787" w:rsidRPr="004236EB">
        <w:rPr>
          <w:rStyle w:val="FootnoteReference"/>
        </w:rPr>
        <w:footnoteReference w:id="5"/>
      </w:r>
      <w:r w:rsidR="00D02787" w:rsidRPr="004236EB">
        <w:t xml:space="preserve">  Financial and fiscal affairs was </w:t>
      </w:r>
      <w:r w:rsidR="00D02787" w:rsidRPr="00865B5C">
        <w:t>another large drive</w:t>
      </w:r>
      <w:r w:rsidR="009D085C" w:rsidRPr="00865B5C">
        <w:t>r of spending, accounting for 29</w:t>
      </w:r>
      <w:r w:rsidR="0011574A" w:rsidRPr="00865B5C">
        <w:t> </w:t>
      </w:r>
      <w:r w:rsidR="00D02787" w:rsidRPr="00865B5C">
        <w:t>per</w:t>
      </w:r>
      <w:r w:rsidR="0011574A" w:rsidRPr="00865B5C">
        <w:t> </w:t>
      </w:r>
      <w:r w:rsidR="00D02787" w:rsidRPr="00865B5C">
        <w:t xml:space="preserve">cent of growth due to expenses associated with the </w:t>
      </w:r>
      <w:r w:rsidR="00D02787" w:rsidRPr="00706358">
        <w:t>Australian Taxation Office (ATO</w:t>
      </w:r>
      <w:r w:rsidR="00D02787" w:rsidRPr="00865B5C">
        <w:t>)</w:t>
      </w:r>
      <w:r w:rsidR="00235CA7" w:rsidRPr="00865B5C">
        <w:t>,</w:t>
      </w:r>
      <w:r w:rsidR="00D02787" w:rsidRPr="00865B5C">
        <w:t xml:space="preserve"> in particular compliance activities.  Foreign affairs and economic aid accounted for nearly a quarter of </w:t>
      </w:r>
      <w:r w:rsidR="00235CA7" w:rsidRPr="00865B5C">
        <w:t xml:space="preserve">the </w:t>
      </w:r>
      <w:r w:rsidR="00D02787" w:rsidRPr="00865B5C">
        <w:t>growth, due to a steady increase in overseas aid over this period.</w:t>
      </w:r>
    </w:p>
    <w:p w:rsidR="00445839" w:rsidRDefault="00445839" w:rsidP="00445839">
      <w:pPr>
        <w:pStyle w:val="PBOtext"/>
      </w:pPr>
      <w:r w:rsidRPr="00865B5C">
        <w:rPr>
          <w:b/>
        </w:rPr>
        <w:t xml:space="preserve">Education </w:t>
      </w:r>
      <w:r w:rsidR="0011574A" w:rsidRPr="00865B5C">
        <w:t>spending represented 7.4 </w:t>
      </w:r>
      <w:r w:rsidRPr="00865B5C">
        <w:t>per</w:t>
      </w:r>
      <w:r w:rsidR="0011574A" w:rsidRPr="00865B5C">
        <w:t> </w:t>
      </w:r>
      <w:r w:rsidRPr="00865B5C">
        <w:t>cent of total spending, grew at 4.6</w:t>
      </w:r>
      <w:r w:rsidR="0011574A" w:rsidRPr="00865B5C">
        <w:t> </w:t>
      </w:r>
      <w:r w:rsidRPr="00865B5C">
        <w:t>per</w:t>
      </w:r>
      <w:r w:rsidR="0011574A" w:rsidRPr="00865B5C">
        <w:t> </w:t>
      </w:r>
      <w:r w:rsidRPr="00865B5C">
        <w:t xml:space="preserve">cent </w:t>
      </w:r>
      <w:r w:rsidR="00425D64" w:rsidRPr="00865B5C">
        <w:t>annually</w:t>
      </w:r>
      <w:r w:rsidR="0011574A" w:rsidRPr="00865B5C">
        <w:t xml:space="preserve"> and contributed 9 </w:t>
      </w:r>
      <w:r w:rsidRPr="00865B5C">
        <w:t>per</w:t>
      </w:r>
      <w:r w:rsidR="0011574A" w:rsidRPr="00865B5C">
        <w:t> </w:t>
      </w:r>
      <w:r w:rsidRPr="00865B5C">
        <w:t>cent of the overall growth in spending.</w:t>
      </w:r>
      <w:r w:rsidR="00D02787" w:rsidRPr="00865B5C">
        <w:t xml:space="preserve">  </w:t>
      </w:r>
      <w:r w:rsidR="004C0C85" w:rsidRPr="00865B5C">
        <w:t>A</w:t>
      </w:r>
      <w:r w:rsidR="00AB5396" w:rsidRPr="00865B5C">
        <w:t xml:space="preserve"> third of this growth wa</w:t>
      </w:r>
      <w:r w:rsidR="00D02787" w:rsidRPr="00865B5C">
        <w:t>s attributable to spending on higher education driven by increases to the base rate of funding per student and a move to funding Commonwealth supported students based on demand.  Spending on non</w:t>
      </w:r>
      <w:r w:rsidR="0041689A" w:rsidRPr="00865B5C">
        <w:noBreakHyphen/>
      </w:r>
      <w:r w:rsidR="00D02787" w:rsidRPr="00865B5C">
        <w:t>government schools</w:t>
      </w:r>
      <w:r w:rsidR="009D085C" w:rsidRPr="00865B5C">
        <w:t xml:space="preserve"> accounted for a further third</w:t>
      </w:r>
      <w:r w:rsidR="00D02787" w:rsidRPr="00865B5C">
        <w:t xml:space="preserve"> of </w:t>
      </w:r>
      <w:r w:rsidR="00235CA7" w:rsidRPr="00865B5C">
        <w:t xml:space="preserve">the </w:t>
      </w:r>
      <w:r w:rsidR="00D02787" w:rsidRPr="00865B5C">
        <w:t xml:space="preserve">growth reflecting </w:t>
      </w:r>
      <w:r w:rsidR="009D085C" w:rsidRPr="00865B5C">
        <w:t>the</w:t>
      </w:r>
      <w:r w:rsidR="00D02787" w:rsidRPr="004236EB">
        <w:t xml:space="preserve"> indexation of contributions per student, and some growt</w:t>
      </w:r>
      <w:r w:rsidR="0011574A">
        <w:t>h in enrolments in the sector.</w:t>
      </w:r>
    </w:p>
    <w:p w:rsidR="00240CDE" w:rsidRPr="00DB70AB" w:rsidRDefault="00240CDE" w:rsidP="00DB70AB">
      <w:pPr>
        <w:pStyle w:val="Heading30"/>
      </w:pPr>
      <w:r w:rsidRPr="00DB70AB">
        <w:t>Major contributors to spending growth by program</w:t>
      </w:r>
    </w:p>
    <w:p w:rsidR="00240CDE" w:rsidRDefault="00240CDE" w:rsidP="00D058EE">
      <w:pPr>
        <w:pStyle w:val="PBOtext"/>
      </w:pPr>
      <w:r w:rsidRPr="00865B5C">
        <w:t xml:space="preserve">The discussion of government spending by function </w:t>
      </w:r>
      <w:r w:rsidR="00660876" w:rsidRPr="00865B5C">
        <w:t>identified</w:t>
      </w:r>
      <w:r w:rsidRPr="00865B5C">
        <w:t xml:space="preserve"> the major program contributors to government spending within each function.  Table</w:t>
      </w:r>
      <w:r w:rsidR="0041689A" w:rsidRPr="00865B5C">
        <w:t> </w:t>
      </w:r>
      <w:r w:rsidRPr="00865B5C">
        <w:t xml:space="preserve">1.2 </w:t>
      </w:r>
      <w:r w:rsidR="00660876" w:rsidRPr="00865B5C">
        <w:t xml:space="preserve">contains the ten programs that contributed </w:t>
      </w:r>
      <w:r w:rsidR="00622CB4">
        <w:t>most</w:t>
      </w:r>
      <w:r w:rsidR="00622CB4" w:rsidRPr="00865B5C">
        <w:t xml:space="preserve"> </w:t>
      </w:r>
      <w:r w:rsidR="008E30DB" w:rsidRPr="00865B5C">
        <w:t xml:space="preserve">to </w:t>
      </w:r>
      <w:r w:rsidR="00660876" w:rsidRPr="00865B5C">
        <w:t xml:space="preserve">growth in total </w:t>
      </w:r>
      <w:r w:rsidR="004E142E" w:rsidRPr="00865B5C">
        <w:t>government spending over the period.</w:t>
      </w:r>
    </w:p>
    <w:p w:rsidR="004617A9" w:rsidRPr="004617A9" w:rsidRDefault="00240CDE" w:rsidP="007A4A40">
      <w:pPr>
        <w:pStyle w:val="Caption"/>
        <w:rPr>
          <w:highlight w:val="yellow"/>
        </w:rPr>
      </w:pPr>
      <w:bookmarkStart w:id="47" w:name="_Toc374088491"/>
      <w:bookmarkStart w:id="48" w:name="_Toc374102198"/>
      <w:bookmarkStart w:id="49" w:name="_Toc374349987"/>
      <w:r w:rsidRPr="00235A88">
        <w:t>Table 1.2</w:t>
      </w:r>
      <w:r w:rsidR="006220A8" w:rsidRPr="00235A88">
        <w:t>:</w:t>
      </w:r>
      <w:r w:rsidR="006220A8" w:rsidRPr="00235A88">
        <w:tab/>
      </w:r>
      <w:r w:rsidRPr="00235A88">
        <w:t>Major contributors to government spending, by program</w:t>
      </w:r>
      <w:bookmarkEnd w:id="47"/>
      <w:bookmarkEnd w:id="48"/>
      <w:bookmarkEnd w:id="49"/>
    </w:p>
    <w:tbl>
      <w:tblPr>
        <w:tblStyle w:val="PBOtables"/>
        <w:tblW w:w="8369" w:type="dxa"/>
        <w:tblInd w:w="108" w:type="dxa"/>
        <w:tblLook w:val="04A0" w:firstRow="1" w:lastRow="0" w:firstColumn="1" w:lastColumn="0" w:noHBand="0" w:noVBand="1"/>
      </w:tblPr>
      <w:tblGrid>
        <w:gridCol w:w="3457"/>
        <w:gridCol w:w="1559"/>
        <w:gridCol w:w="1559"/>
        <w:gridCol w:w="1794"/>
      </w:tblGrid>
      <w:tr w:rsidR="004617A9" w:rsidRPr="004617A9" w:rsidTr="006D2B1C">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457" w:type="dxa"/>
            <w:vMerge w:val="restart"/>
            <w:tcBorders>
              <w:top w:val="single" w:sz="8" w:space="0" w:color="2B3B5F"/>
              <w:left w:val="single" w:sz="8" w:space="0" w:color="2B3B5F"/>
              <w:bottom w:val="single" w:sz="8" w:space="0" w:color="2B3B5F"/>
              <w:right w:val="single" w:sz="8" w:space="0" w:color="2B3B5F"/>
            </w:tcBorders>
            <w:shd w:val="clear" w:color="auto" w:fill="95A4C6"/>
            <w:noWrap/>
            <w:hideMark/>
          </w:tcPr>
          <w:p w:rsidR="00240CDE" w:rsidRPr="004617A9" w:rsidRDefault="00240CDE" w:rsidP="004617A9">
            <w:pPr>
              <w:spacing w:before="0" w:after="0"/>
              <w:ind w:left="57"/>
              <w:rPr>
                <w:color w:val="auto"/>
                <w:sz w:val="18"/>
                <w:szCs w:val="18"/>
              </w:rPr>
            </w:pPr>
            <w:r w:rsidRPr="004617A9">
              <w:rPr>
                <w:color w:val="auto"/>
                <w:sz w:val="18"/>
                <w:szCs w:val="18"/>
              </w:rPr>
              <w:t>Category</w:t>
            </w:r>
          </w:p>
        </w:tc>
        <w:tc>
          <w:tcPr>
            <w:tcW w:w="1559" w:type="dxa"/>
            <w:vMerge w:val="restart"/>
            <w:tcBorders>
              <w:top w:val="single" w:sz="8" w:space="0" w:color="2B3B5F"/>
              <w:left w:val="single" w:sz="8" w:space="0" w:color="2B3B5F"/>
              <w:bottom w:val="single" w:sz="8" w:space="0" w:color="2B3B5F"/>
              <w:right w:val="single" w:sz="8" w:space="0" w:color="2B3B5F"/>
            </w:tcBorders>
            <w:shd w:val="clear" w:color="auto" w:fill="95A4C6"/>
            <w:noWrap/>
            <w:hideMark/>
          </w:tcPr>
          <w:p w:rsidR="00240CDE" w:rsidRPr="004617A9" w:rsidRDefault="009D5F59" w:rsidP="006D2B1C">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Share of</w:t>
            </w:r>
            <w:r>
              <w:rPr>
                <w:color w:val="auto"/>
                <w:sz w:val="18"/>
                <w:szCs w:val="18"/>
              </w:rPr>
              <w:br/>
              <w:t xml:space="preserve">2012-13 </w:t>
            </w:r>
            <w:r w:rsidR="00240CDE" w:rsidRPr="004617A9">
              <w:rPr>
                <w:color w:val="auto"/>
                <w:sz w:val="18"/>
                <w:szCs w:val="18"/>
              </w:rPr>
              <w:t>total</w:t>
            </w:r>
          </w:p>
        </w:tc>
        <w:tc>
          <w:tcPr>
            <w:tcW w:w="3353" w:type="dxa"/>
            <w:gridSpan w:val="2"/>
            <w:tcBorders>
              <w:top w:val="single" w:sz="8" w:space="0" w:color="2B3B5F"/>
              <w:left w:val="single" w:sz="8" w:space="0" w:color="2B3B5F"/>
              <w:bottom w:val="single" w:sz="8" w:space="0" w:color="2B3B5F"/>
              <w:right w:val="single" w:sz="8" w:space="0" w:color="2B3B5F"/>
            </w:tcBorders>
            <w:shd w:val="clear" w:color="auto" w:fill="95A4C6"/>
            <w:noWrap/>
          </w:tcPr>
          <w:p w:rsidR="00240CDE" w:rsidRPr="004617A9" w:rsidRDefault="009D5F59" w:rsidP="00593305">
            <w:pPr>
              <w:spacing w:before="0" w:after="0"/>
              <w:cnfStyle w:val="100000000000" w:firstRow="1" w:lastRow="0" w:firstColumn="0" w:lastColumn="0" w:oddVBand="0" w:evenVBand="0" w:oddHBand="0" w:evenHBand="0" w:firstRowFirstColumn="0" w:firstRowLastColumn="0" w:lastRowFirstColumn="0" w:lastRowLastColumn="0"/>
              <w:rPr>
                <w:bCs/>
                <w:color w:val="auto"/>
                <w:sz w:val="18"/>
                <w:szCs w:val="18"/>
              </w:rPr>
            </w:pPr>
            <w:r>
              <w:rPr>
                <w:color w:val="auto"/>
                <w:sz w:val="18"/>
                <w:szCs w:val="18"/>
              </w:rPr>
              <w:t xml:space="preserve">Real spending growth </w:t>
            </w:r>
            <w:r w:rsidR="00240CDE" w:rsidRPr="004617A9">
              <w:rPr>
                <w:color w:val="auto"/>
                <w:sz w:val="18"/>
                <w:szCs w:val="18"/>
              </w:rPr>
              <w:t>2002-03 to 2012-13</w:t>
            </w:r>
          </w:p>
        </w:tc>
      </w:tr>
      <w:tr w:rsidR="004617A9" w:rsidRPr="004617A9" w:rsidTr="006D2B1C">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457" w:type="dxa"/>
            <w:vMerge/>
            <w:tcBorders>
              <w:top w:val="single" w:sz="8" w:space="0" w:color="2B3B5F"/>
              <w:left w:val="single" w:sz="8" w:space="0" w:color="2B3B5F"/>
              <w:bottom w:val="single" w:sz="8" w:space="0" w:color="2B3B5F"/>
              <w:right w:val="single" w:sz="8" w:space="0" w:color="2B3B5F"/>
            </w:tcBorders>
            <w:shd w:val="clear" w:color="auto" w:fill="95A4C6"/>
            <w:noWrap/>
            <w:hideMark/>
          </w:tcPr>
          <w:p w:rsidR="00240CDE" w:rsidRPr="004617A9" w:rsidRDefault="00240CDE" w:rsidP="004617A9">
            <w:pPr>
              <w:spacing w:before="0" w:after="0"/>
              <w:ind w:left="57"/>
              <w:jc w:val="left"/>
              <w:rPr>
                <w:b w:val="0"/>
                <w:color w:val="auto"/>
                <w:sz w:val="18"/>
                <w:szCs w:val="18"/>
              </w:rPr>
            </w:pPr>
          </w:p>
        </w:tc>
        <w:tc>
          <w:tcPr>
            <w:tcW w:w="1559" w:type="dxa"/>
            <w:vMerge/>
            <w:tcBorders>
              <w:top w:val="single" w:sz="8" w:space="0" w:color="2B3B5F"/>
              <w:left w:val="single" w:sz="8" w:space="0" w:color="2B3B5F"/>
              <w:bottom w:val="single" w:sz="8" w:space="0" w:color="2B3B5F"/>
              <w:right w:val="single" w:sz="8" w:space="0" w:color="2B3B5F"/>
            </w:tcBorders>
            <w:shd w:val="clear" w:color="auto" w:fill="95A4C6"/>
            <w:noWrap/>
          </w:tcPr>
          <w:p w:rsidR="00240CDE" w:rsidRPr="004617A9" w:rsidRDefault="00240CDE" w:rsidP="00593305">
            <w:pPr>
              <w:spacing w:before="0" w:after="0"/>
              <w:jc w:val="left"/>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1559" w:type="dxa"/>
            <w:tcBorders>
              <w:top w:val="single" w:sz="8" w:space="0" w:color="2B3B5F"/>
              <w:left w:val="single" w:sz="8" w:space="0" w:color="2B3B5F"/>
              <w:bottom w:val="single" w:sz="8" w:space="0" w:color="2B3B5F"/>
              <w:right w:val="single" w:sz="8" w:space="0" w:color="2B3B5F"/>
            </w:tcBorders>
            <w:shd w:val="clear" w:color="auto" w:fill="95A4C6"/>
          </w:tcPr>
          <w:p w:rsidR="00240CDE" w:rsidRPr="004617A9" w:rsidRDefault="00240CDE" w:rsidP="006D2B1C">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r w:rsidRPr="004617A9">
              <w:rPr>
                <w:color w:val="auto"/>
                <w:sz w:val="18"/>
                <w:szCs w:val="18"/>
              </w:rPr>
              <w:t>Annual growth</w:t>
            </w:r>
          </w:p>
        </w:tc>
        <w:tc>
          <w:tcPr>
            <w:tcW w:w="1794" w:type="dxa"/>
            <w:tcBorders>
              <w:top w:val="single" w:sz="8" w:space="0" w:color="2B3B5F"/>
              <w:left w:val="single" w:sz="8" w:space="0" w:color="2B3B5F"/>
              <w:bottom w:val="single" w:sz="8" w:space="0" w:color="2B3B5F"/>
              <w:right w:val="single" w:sz="8" w:space="0" w:color="2B3B5F"/>
            </w:tcBorders>
            <w:shd w:val="clear" w:color="auto" w:fill="95A4C6"/>
            <w:noWrap/>
          </w:tcPr>
          <w:p w:rsidR="00240CDE" w:rsidRPr="004617A9" w:rsidRDefault="00240CDE" w:rsidP="006D2B1C">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r w:rsidRPr="004617A9">
              <w:rPr>
                <w:color w:val="auto"/>
                <w:sz w:val="18"/>
                <w:szCs w:val="18"/>
              </w:rPr>
              <w:t>Contribution to</w:t>
            </w:r>
            <w:r w:rsidRPr="004617A9">
              <w:rPr>
                <w:color w:val="auto"/>
                <w:sz w:val="18"/>
                <w:szCs w:val="18"/>
              </w:rPr>
              <w:br/>
              <w:t>total growth</w:t>
            </w:r>
          </w:p>
        </w:tc>
      </w:tr>
      <w:tr w:rsidR="00240CDE" w:rsidRPr="00593305" w:rsidTr="006D2B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57" w:type="dxa"/>
            <w:tcBorders>
              <w:top w:val="single" w:sz="8" w:space="0" w:color="2B3B5F"/>
              <w:left w:val="single" w:sz="8" w:space="0" w:color="2B3B5F"/>
              <w:bottom w:val="single" w:sz="8" w:space="0" w:color="2B3B5F"/>
              <w:right w:val="single" w:sz="8" w:space="0" w:color="2B3B5F"/>
            </w:tcBorders>
            <w:shd w:val="clear" w:color="auto" w:fill="D7DDE9"/>
            <w:noWrap/>
          </w:tcPr>
          <w:p w:rsidR="00240CDE" w:rsidRPr="00161B39" w:rsidRDefault="00240CDE" w:rsidP="004617A9">
            <w:pPr>
              <w:spacing w:before="0" w:after="0"/>
              <w:ind w:left="57"/>
              <w:rPr>
                <w:sz w:val="18"/>
                <w:szCs w:val="18"/>
              </w:rPr>
            </w:pPr>
            <w:r w:rsidRPr="00161B39">
              <w:rPr>
                <w:sz w:val="18"/>
                <w:szCs w:val="18"/>
              </w:rPr>
              <w:t>Unit</w:t>
            </w:r>
          </w:p>
        </w:tc>
        <w:tc>
          <w:tcPr>
            <w:tcW w:w="1559" w:type="dxa"/>
            <w:tcBorders>
              <w:top w:val="single" w:sz="8" w:space="0" w:color="2B3B5F"/>
              <w:left w:val="single" w:sz="8" w:space="0" w:color="2B3B5F"/>
              <w:bottom w:val="single" w:sz="8" w:space="0" w:color="2B3B5F"/>
              <w:right w:val="single" w:sz="8" w:space="0" w:color="2B3B5F"/>
            </w:tcBorders>
            <w:shd w:val="clear" w:color="auto" w:fill="D7DDE9"/>
            <w:noWrap/>
            <w:vAlign w:val="top"/>
          </w:tcPr>
          <w:p w:rsidR="00240CDE" w:rsidRPr="00161B39" w:rsidRDefault="00240CDE" w:rsidP="00593305">
            <w:pPr>
              <w:spacing w:before="0" w:after="0"/>
              <w:ind w:right="113"/>
              <w:jc w:val="right"/>
              <w:cnfStyle w:val="000000100000" w:firstRow="0" w:lastRow="0" w:firstColumn="0" w:lastColumn="0" w:oddVBand="0" w:evenVBand="0" w:oddHBand="1" w:evenHBand="0" w:firstRowFirstColumn="0" w:firstRowLastColumn="0" w:lastRowFirstColumn="0" w:lastRowLastColumn="0"/>
              <w:rPr>
                <w:b/>
                <w:sz w:val="18"/>
                <w:szCs w:val="18"/>
              </w:rPr>
            </w:pPr>
            <w:r w:rsidRPr="00161B39">
              <w:rPr>
                <w:b/>
                <w:sz w:val="18"/>
                <w:szCs w:val="18"/>
              </w:rPr>
              <w:t>%</w:t>
            </w:r>
          </w:p>
        </w:tc>
        <w:tc>
          <w:tcPr>
            <w:tcW w:w="1559" w:type="dxa"/>
            <w:tcBorders>
              <w:top w:val="single" w:sz="8" w:space="0" w:color="2B3B5F"/>
              <w:left w:val="single" w:sz="8" w:space="0" w:color="2B3B5F"/>
              <w:bottom w:val="single" w:sz="8" w:space="0" w:color="2B3B5F"/>
              <w:right w:val="single" w:sz="8" w:space="0" w:color="2B3B5F"/>
            </w:tcBorders>
            <w:shd w:val="clear" w:color="auto" w:fill="D7DDE9"/>
            <w:vAlign w:val="top"/>
          </w:tcPr>
          <w:p w:rsidR="00240CDE" w:rsidRPr="00161B39" w:rsidRDefault="00240CDE" w:rsidP="00593305">
            <w:pPr>
              <w:spacing w:before="0" w:after="0"/>
              <w:ind w:right="113"/>
              <w:jc w:val="right"/>
              <w:cnfStyle w:val="000000100000" w:firstRow="0" w:lastRow="0" w:firstColumn="0" w:lastColumn="0" w:oddVBand="0" w:evenVBand="0" w:oddHBand="1" w:evenHBand="0" w:firstRowFirstColumn="0" w:firstRowLastColumn="0" w:lastRowFirstColumn="0" w:lastRowLastColumn="0"/>
              <w:rPr>
                <w:b/>
                <w:sz w:val="18"/>
                <w:szCs w:val="18"/>
              </w:rPr>
            </w:pPr>
            <w:r w:rsidRPr="00161B39">
              <w:rPr>
                <w:b/>
                <w:sz w:val="18"/>
                <w:szCs w:val="18"/>
              </w:rPr>
              <w:t>%</w:t>
            </w:r>
          </w:p>
        </w:tc>
        <w:tc>
          <w:tcPr>
            <w:tcW w:w="1794" w:type="dxa"/>
            <w:tcBorders>
              <w:top w:val="single" w:sz="8" w:space="0" w:color="2B3B5F"/>
              <w:left w:val="single" w:sz="8" w:space="0" w:color="2B3B5F"/>
              <w:bottom w:val="single" w:sz="8" w:space="0" w:color="2B3B5F"/>
              <w:right w:val="single" w:sz="8" w:space="0" w:color="2B3B5F"/>
            </w:tcBorders>
            <w:shd w:val="clear" w:color="auto" w:fill="D7DDE9"/>
            <w:noWrap/>
            <w:vAlign w:val="top"/>
          </w:tcPr>
          <w:p w:rsidR="00240CDE" w:rsidRPr="00161B39" w:rsidRDefault="00240CDE" w:rsidP="00593305">
            <w:pPr>
              <w:spacing w:before="0" w:after="0"/>
              <w:ind w:right="113"/>
              <w:jc w:val="right"/>
              <w:cnfStyle w:val="000000100000" w:firstRow="0" w:lastRow="0" w:firstColumn="0" w:lastColumn="0" w:oddVBand="0" w:evenVBand="0" w:oddHBand="1" w:evenHBand="0" w:firstRowFirstColumn="0" w:firstRowLastColumn="0" w:lastRowFirstColumn="0" w:lastRowLastColumn="0"/>
              <w:rPr>
                <w:b/>
                <w:sz w:val="18"/>
                <w:szCs w:val="18"/>
              </w:rPr>
            </w:pPr>
            <w:r w:rsidRPr="00161B39">
              <w:rPr>
                <w:b/>
                <w:sz w:val="18"/>
                <w:szCs w:val="18"/>
              </w:rPr>
              <w:t>percentage points</w:t>
            </w:r>
          </w:p>
        </w:tc>
      </w:tr>
      <w:tr w:rsidR="00265C9D" w:rsidRPr="00593305" w:rsidTr="00C82E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57" w:type="dxa"/>
            <w:tcBorders>
              <w:top w:val="single" w:sz="8" w:space="0" w:color="2B3B5F"/>
              <w:left w:val="single" w:sz="8" w:space="0" w:color="2B3B5F"/>
              <w:right w:val="single" w:sz="8" w:space="0" w:color="2B3B5F"/>
            </w:tcBorders>
            <w:shd w:val="clear" w:color="auto" w:fill="auto"/>
            <w:noWrap/>
            <w:hideMark/>
          </w:tcPr>
          <w:p w:rsidR="00265C9D" w:rsidRPr="00161B39" w:rsidRDefault="00265C9D" w:rsidP="00C82E83">
            <w:pPr>
              <w:spacing w:before="0" w:after="0"/>
              <w:ind w:left="57"/>
              <w:rPr>
                <w:b w:val="0"/>
                <w:sz w:val="18"/>
                <w:szCs w:val="18"/>
              </w:rPr>
            </w:pPr>
            <w:r w:rsidRPr="00161B39">
              <w:rPr>
                <w:b w:val="0"/>
                <w:sz w:val="18"/>
                <w:szCs w:val="18"/>
              </w:rPr>
              <w:t>Age Pension</w:t>
            </w:r>
          </w:p>
        </w:tc>
        <w:tc>
          <w:tcPr>
            <w:tcW w:w="1559" w:type="dxa"/>
            <w:tcBorders>
              <w:top w:val="single" w:sz="8" w:space="0" w:color="2B3B5F"/>
              <w:left w:val="single" w:sz="8" w:space="0" w:color="2B3B5F"/>
              <w:right w:val="single" w:sz="8" w:space="0" w:color="2B3B5F"/>
            </w:tcBorders>
            <w:shd w:val="clear" w:color="auto" w:fill="auto"/>
            <w:noWrap/>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265C9D">
              <w:rPr>
                <w:color w:val="000000"/>
                <w:sz w:val="18"/>
                <w:szCs w:val="18"/>
              </w:rPr>
              <w:t>9.5</w:t>
            </w:r>
          </w:p>
        </w:tc>
        <w:tc>
          <w:tcPr>
            <w:tcW w:w="1559" w:type="dxa"/>
            <w:tcBorders>
              <w:top w:val="single" w:sz="8" w:space="0" w:color="2B3B5F"/>
              <w:left w:val="single" w:sz="8" w:space="0" w:color="2B3B5F"/>
              <w:right w:val="single" w:sz="8" w:space="0" w:color="2B3B5F"/>
            </w:tcBorders>
            <w:shd w:val="clear" w:color="auto" w:fill="auto"/>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265C9D">
              <w:rPr>
                <w:color w:val="000000"/>
                <w:sz w:val="18"/>
                <w:szCs w:val="18"/>
              </w:rPr>
              <w:t>4.6</w:t>
            </w:r>
          </w:p>
        </w:tc>
        <w:tc>
          <w:tcPr>
            <w:tcW w:w="1794" w:type="dxa"/>
            <w:tcBorders>
              <w:top w:val="single" w:sz="8" w:space="0" w:color="2B3B5F"/>
              <w:left w:val="single" w:sz="8" w:space="0" w:color="2B3B5F"/>
              <w:right w:val="single" w:sz="8" w:space="0" w:color="2B3B5F"/>
            </w:tcBorders>
            <w:shd w:val="clear" w:color="auto" w:fill="auto"/>
            <w:noWrap/>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265C9D">
              <w:rPr>
                <w:color w:val="000000"/>
                <w:sz w:val="18"/>
                <w:szCs w:val="18"/>
              </w:rPr>
              <w:t>5.0</w:t>
            </w:r>
          </w:p>
        </w:tc>
      </w:tr>
      <w:tr w:rsidR="00265C9D" w:rsidRPr="00593305" w:rsidTr="00C82E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57" w:type="dxa"/>
            <w:tcBorders>
              <w:left w:val="single" w:sz="8" w:space="0" w:color="2B3B5F"/>
              <w:right w:val="single" w:sz="8" w:space="0" w:color="2B3B5F"/>
            </w:tcBorders>
            <w:shd w:val="clear" w:color="auto" w:fill="D7DDE9"/>
            <w:noWrap/>
            <w:hideMark/>
          </w:tcPr>
          <w:p w:rsidR="00265C9D" w:rsidRPr="00161B39" w:rsidRDefault="00265C9D" w:rsidP="00C82E83">
            <w:pPr>
              <w:spacing w:before="0" w:after="0"/>
              <w:ind w:left="57"/>
              <w:rPr>
                <w:b w:val="0"/>
                <w:sz w:val="18"/>
                <w:szCs w:val="18"/>
              </w:rPr>
            </w:pPr>
            <w:r w:rsidRPr="00161B39">
              <w:rPr>
                <w:b w:val="0"/>
                <w:sz w:val="18"/>
                <w:szCs w:val="18"/>
              </w:rPr>
              <w:t>Medicare Benefits Schedule</w:t>
            </w:r>
          </w:p>
        </w:tc>
        <w:tc>
          <w:tcPr>
            <w:tcW w:w="1559" w:type="dxa"/>
            <w:tcBorders>
              <w:left w:val="single" w:sz="8" w:space="0" w:color="2B3B5F"/>
              <w:right w:val="single" w:sz="8" w:space="0" w:color="2B3B5F"/>
            </w:tcBorders>
            <w:shd w:val="clear" w:color="auto" w:fill="D7DDE9"/>
            <w:noWrap/>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65C9D">
              <w:rPr>
                <w:color w:val="000000"/>
                <w:sz w:val="18"/>
                <w:szCs w:val="18"/>
              </w:rPr>
              <w:t>4.9</w:t>
            </w:r>
          </w:p>
        </w:tc>
        <w:tc>
          <w:tcPr>
            <w:tcW w:w="1559" w:type="dxa"/>
            <w:tcBorders>
              <w:left w:val="single" w:sz="8" w:space="0" w:color="2B3B5F"/>
              <w:right w:val="single" w:sz="8" w:space="0" w:color="2B3B5F"/>
            </w:tcBorders>
            <w:shd w:val="clear" w:color="auto" w:fill="D7DDE9"/>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65C9D">
              <w:rPr>
                <w:color w:val="000000"/>
                <w:sz w:val="18"/>
                <w:szCs w:val="18"/>
              </w:rPr>
              <w:t>5.8</w:t>
            </w:r>
          </w:p>
        </w:tc>
        <w:tc>
          <w:tcPr>
            <w:tcW w:w="1794" w:type="dxa"/>
            <w:tcBorders>
              <w:left w:val="single" w:sz="8" w:space="0" w:color="2B3B5F"/>
              <w:right w:val="single" w:sz="8" w:space="0" w:color="2B3B5F"/>
            </w:tcBorders>
            <w:shd w:val="clear" w:color="auto" w:fill="D7DDE9"/>
            <w:noWrap/>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65C9D">
              <w:rPr>
                <w:color w:val="000000"/>
                <w:sz w:val="18"/>
                <w:szCs w:val="18"/>
              </w:rPr>
              <w:t>3.0</w:t>
            </w:r>
          </w:p>
        </w:tc>
      </w:tr>
      <w:tr w:rsidR="00265C9D" w:rsidRPr="00593305" w:rsidTr="00C82E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57" w:type="dxa"/>
            <w:tcBorders>
              <w:left w:val="single" w:sz="8" w:space="0" w:color="2B3B5F"/>
              <w:right w:val="single" w:sz="8" w:space="0" w:color="2B3B5F"/>
            </w:tcBorders>
            <w:shd w:val="clear" w:color="auto" w:fill="auto"/>
            <w:noWrap/>
          </w:tcPr>
          <w:p w:rsidR="00265C9D" w:rsidRPr="00161B39" w:rsidRDefault="009C6CB7" w:rsidP="00C82E83">
            <w:pPr>
              <w:spacing w:before="0" w:after="0"/>
              <w:ind w:left="57"/>
              <w:rPr>
                <w:b w:val="0"/>
                <w:sz w:val="18"/>
                <w:szCs w:val="18"/>
              </w:rPr>
            </w:pPr>
            <w:r>
              <w:rPr>
                <w:b w:val="0"/>
                <w:sz w:val="18"/>
                <w:szCs w:val="18"/>
              </w:rPr>
              <w:t>Goods and Services Tax payments</w:t>
            </w:r>
          </w:p>
        </w:tc>
        <w:tc>
          <w:tcPr>
            <w:tcW w:w="1559" w:type="dxa"/>
            <w:tcBorders>
              <w:left w:val="single" w:sz="8" w:space="0" w:color="2B3B5F"/>
              <w:right w:val="single" w:sz="8" w:space="0" w:color="2B3B5F"/>
            </w:tcBorders>
            <w:shd w:val="clear" w:color="auto" w:fill="auto"/>
            <w:noWrap/>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265C9D">
              <w:rPr>
                <w:color w:val="000000"/>
                <w:sz w:val="18"/>
                <w:szCs w:val="18"/>
              </w:rPr>
              <w:t>12.8</w:t>
            </w:r>
          </w:p>
        </w:tc>
        <w:tc>
          <w:tcPr>
            <w:tcW w:w="1559" w:type="dxa"/>
            <w:tcBorders>
              <w:left w:val="single" w:sz="8" w:space="0" w:color="2B3B5F"/>
              <w:right w:val="single" w:sz="8" w:space="0" w:color="2B3B5F"/>
            </w:tcBorders>
            <w:shd w:val="clear" w:color="auto" w:fill="auto"/>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265C9D">
              <w:rPr>
                <w:color w:val="000000"/>
                <w:sz w:val="18"/>
                <w:szCs w:val="18"/>
              </w:rPr>
              <w:t>1.5</w:t>
            </w:r>
          </w:p>
        </w:tc>
        <w:tc>
          <w:tcPr>
            <w:tcW w:w="1794" w:type="dxa"/>
            <w:tcBorders>
              <w:left w:val="single" w:sz="8" w:space="0" w:color="2B3B5F"/>
              <w:right w:val="single" w:sz="8" w:space="0" w:color="2B3B5F"/>
            </w:tcBorders>
            <w:shd w:val="clear" w:color="auto" w:fill="auto"/>
            <w:noWrap/>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265C9D">
              <w:rPr>
                <w:color w:val="000000"/>
                <w:sz w:val="18"/>
                <w:szCs w:val="18"/>
              </w:rPr>
              <w:t>2.6</w:t>
            </w:r>
          </w:p>
        </w:tc>
      </w:tr>
      <w:tr w:rsidR="00265C9D" w:rsidRPr="00593305" w:rsidTr="00C82E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57" w:type="dxa"/>
            <w:tcBorders>
              <w:left w:val="single" w:sz="8" w:space="0" w:color="2B3B5F"/>
              <w:right w:val="single" w:sz="8" w:space="0" w:color="2B3B5F"/>
            </w:tcBorders>
            <w:shd w:val="clear" w:color="auto" w:fill="D7DDE9"/>
            <w:noWrap/>
          </w:tcPr>
          <w:p w:rsidR="00265C9D" w:rsidRPr="00161B39" w:rsidRDefault="00265C9D" w:rsidP="00C82E83">
            <w:pPr>
              <w:spacing w:before="0" w:after="0"/>
              <w:ind w:left="57"/>
              <w:rPr>
                <w:b w:val="0"/>
                <w:sz w:val="18"/>
                <w:szCs w:val="18"/>
              </w:rPr>
            </w:pPr>
            <w:r w:rsidRPr="00161B39">
              <w:rPr>
                <w:b w:val="0"/>
                <w:sz w:val="18"/>
                <w:szCs w:val="18"/>
              </w:rPr>
              <w:t>Public debt interest</w:t>
            </w:r>
          </w:p>
        </w:tc>
        <w:tc>
          <w:tcPr>
            <w:tcW w:w="1559" w:type="dxa"/>
            <w:tcBorders>
              <w:left w:val="single" w:sz="8" w:space="0" w:color="2B3B5F"/>
              <w:right w:val="single" w:sz="8" w:space="0" w:color="2B3B5F"/>
            </w:tcBorders>
            <w:shd w:val="clear" w:color="auto" w:fill="D7DDE9"/>
            <w:noWrap/>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65C9D">
              <w:rPr>
                <w:color w:val="000000"/>
                <w:sz w:val="18"/>
                <w:szCs w:val="18"/>
              </w:rPr>
              <w:t>3.3</w:t>
            </w:r>
          </w:p>
        </w:tc>
        <w:tc>
          <w:tcPr>
            <w:tcW w:w="1559" w:type="dxa"/>
            <w:tcBorders>
              <w:left w:val="single" w:sz="8" w:space="0" w:color="2B3B5F"/>
              <w:right w:val="single" w:sz="8" w:space="0" w:color="2B3B5F"/>
            </w:tcBorders>
            <w:shd w:val="clear" w:color="auto" w:fill="D7DDE9"/>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65C9D">
              <w:rPr>
                <w:color w:val="000000"/>
                <w:sz w:val="18"/>
                <w:szCs w:val="18"/>
              </w:rPr>
              <w:t>7.5</w:t>
            </w:r>
          </w:p>
        </w:tc>
        <w:tc>
          <w:tcPr>
            <w:tcW w:w="1794" w:type="dxa"/>
            <w:tcBorders>
              <w:left w:val="single" w:sz="8" w:space="0" w:color="2B3B5F"/>
              <w:right w:val="single" w:sz="8" w:space="0" w:color="2B3B5F"/>
            </w:tcBorders>
            <w:shd w:val="clear" w:color="auto" w:fill="D7DDE9"/>
            <w:noWrap/>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65C9D">
              <w:rPr>
                <w:color w:val="000000"/>
                <w:sz w:val="18"/>
                <w:szCs w:val="18"/>
              </w:rPr>
              <w:t>2.4</w:t>
            </w:r>
          </w:p>
        </w:tc>
      </w:tr>
      <w:tr w:rsidR="00265C9D" w:rsidRPr="00593305" w:rsidTr="00C82E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57" w:type="dxa"/>
            <w:tcBorders>
              <w:left w:val="single" w:sz="8" w:space="0" w:color="2B3B5F"/>
              <w:right w:val="single" w:sz="8" w:space="0" w:color="2B3B5F"/>
            </w:tcBorders>
            <w:shd w:val="clear" w:color="auto" w:fill="auto"/>
            <w:noWrap/>
          </w:tcPr>
          <w:p w:rsidR="00265C9D" w:rsidRPr="00161B39" w:rsidRDefault="00265C9D" w:rsidP="00C82E83">
            <w:pPr>
              <w:spacing w:before="0" w:after="0"/>
              <w:ind w:left="57"/>
              <w:rPr>
                <w:b w:val="0"/>
                <w:sz w:val="18"/>
                <w:szCs w:val="18"/>
              </w:rPr>
            </w:pPr>
            <w:r w:rsidRPr="00161B39">
              <w:rPr>
                <w:b w:val="0"/>
                <w:sz w:val="18"/>
                <w:szCs w:val="18"/>
              </w:rPr>
              <w:t>Disability Support Pension</w:t>
            </w:r>
          </w:p>
        </w:tc>
        <w:tc>
          <w:tcPr>
            <w:tcW w:w="1559" w:type="dxa"/>
            <w:tcBorders>
              <w:left w:val="single" w:sz="8" w:space="0" w:color="2B3B5F"/>
              <w:right w:val="single" w:sz="8" w:space="0" w:color="2B3B5F"/>
            </w:tcBorders>
            <w:shd w:val="clear" w:color="auto" w:fill="auto"/>
            <w:noWrap/>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265C9D">
              <w:rPr>
                <w:color w:val="000000"/>
                <w:sz w:val="18"/>
                <w:szCs w:val="18"/>
              </w:rPr>
              <w:t>3.9</w:t>
            </w:r>
          </w:p>
        </w:tc>
        <w:tc>
          <w:tcPr>
            <w:tcW w:w="1559" w:type="dxa"/>
            <w:tcBorders>
              <w:left w:val="single" w:sz="8" w:space="0" w:color="2B3B5F"/>
              <w:right w:val="single" w:sz="8" w:space="0" w:color="2B3B5F"/>
            </w:tcBorders>
            <w:shd w:val="clear" w:color="auto" w:fill="auto"/>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265C9D">
              <w:rPr>
                <w:color w:val="000000"/>
                <w:sz w:val="18"/>
                <w:szCs w:val="18"/>
              </w:rPr>
              <w:t>5.3</w:t>
            </w:r>
          </w:p>
        </w:tc>
        <w:tc>
          <w:tcPr>
            <w:tcW w:w="1794" w:type="dxa"/>
            <w:tcBorders>
              <w:left w:val="single" w:sz="8" w:space="0" w:color="2B3B5F"/>
              <w:right w:val="single" w:sz="8" w:space="0" w:color="2B3B5F"/>
            </w:tcBorders>
            <w:shd w:val="clear" w:color="auto" w:fill="auto"/>
            <w:noWrap/>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265C9D">
              <w:rPr>
                <w:color w:val="000000"/>
                <w:sz w:val="18"/>
                <w:szCs w:val="18"/>
              </w:rPr>
              <w:t>2.3</w:t>
            </w:r>
          </w:p>
        </w:tc>
      </w:tr>
      <w:tr w:rsidR="00265C9D" w:rsidRPr="00593305" w:rsidTr="00C82E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57" w:type="dxa"/>
            <w:tcBorders>
              <w:left w:val="single" w:sz="8" w:space="0" w:color="2B3B5F"/>
              <w:right w:val="single" w:sz="8" w:space="0" w:color="2B3B5F"/>
            </w:tcBorders>
            <w:shd w:val="clear" w:color="auto" w:fill="D7DDE9"/>
            <w:noWrap/>
          </w:tcPr>
          <w:p w:rsidR="00265C9D" w:rsidRPr="00161B39" w:rsidRDefault="00265C9D" w:rsidP="00C82E83">
            <w:pPr>
              <w:spacing w:before="0" w:after="0"/>
              <w:ind w:left="57"/>
              <w:rPr>
                <w:b w:val="0"/>
                <w:sz w:val="18"/>
                <w:szCs w:val="18"/>
              </w:rPr>
            </w:pPr>
            <w:r w:rsidRPr="00161B39">
              <w:rPr>
                <w:b w:val="0"/>
                <w:sz w:val="18"/>
                <w:szCs w:val="18"/>
              </w:rPr>
              <w:t>Defence, including net capital investment</w:t>
            </w:r>
          </w:p>
        </w:tc>
        <w:tc>
          <w:tcPr>
            <w:tcW w:w="1559" w:type="dxa"/>
            <w:tcBorders>
              <w:left w:val="single" w:sz="8" w:space="0" w:color="2B3B5F"/>
              <w:right w:val="single" w:sz="8" w:space="0" w:color="2B3B5F"/>
            </w:tcBorders>
            <w:shd w:val="clear" w:color="auto" w:fill="D7DDE9"/>
            <w:noWrap/>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65C9D">
              <w:rPr>
                <w:color w:val="000000"/>
                <w:sz w:val="18"/>
                <w:szCs w:val="18"/>
              </w:rPr>
              <w:t>6.0</w:t>
            </w:r>
          </w:p>
        </w:tc>
        <w:tc>
          <w:tcPr>
            <w:tcW w:w="1559" w:type="dxa"/>
            <w:tcBorders>
              <w:left w:val="single" w:sz="8" w:space="0" w:color="2B3B5F"/>
              <w:right w:val="single" w:sz="8" w:space="0" w:color="2B3B5F"/>
            </w:tcBorders>
            <w:shd w:val="clear" w:color="auto" w:fill="D7DDE9"/>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65C9D">
              <w:rPr>
                <w:color w:val="000000"/>
                <w:sz w:val="18"/>
                <w:szCs w:val="18"/>
              </w:rPr>
              <w:t>2.9</w:t>
            </w:r>
          </w:p>
        </w:tc>
        <w:tc>
          <w:tcPr>
            <w:tcW w:w="1794" w:type="dxa"/>
            <w:tcBorders>
              <w:left w:val="single" w:sz="8" w:space="0" w:color="2B3B5F"/>
              <w:right w:val="single" w:sz="8" w:space="0" w:color="2B3B5F"/>
            </w:tcBorders>
            <w:shd w:val="clear" w:color="auto" w:fill="D7DDE9"/>
            <w:noWrap/>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65C9D">
              <w:rPr>
                <w:color w:val="000000"/>
                <w:sz w:val="18"/>
                <w:szCs w:val="18"/>
              </w:rPr>
              <w:t>2.2</w:t>
            </w:r>
          </w:p>
        </w:tc>
      </w:tr>
      <w:tr w:rsidR="00265C9D" w:rsidRPr="00593305" w:rsidTr="00C82E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57" w:type="dxa"/>
            <w:tcBorders>
              <w:left w:val="single" w:sz="8" w:space="0" w:color="2B3B5F"/>
              <w:right w:val="single" w:sz="8" w:space="0" w:color="2B3B5F"/>
            </w:tcBorders>
            <w:shd w:val="clear" w:color="auto" w:fill="auto"/>
            <w:noWrap/>
          </w:tcPr>
          <w:p w:rsidR="00265C9D" w:rsidRPr="00161B39" w:rsidRDefault="00265C9D" w:rsidP="00C82E83">
            <w:pPr>
              <w:spacing w:before="0" w:after="0"/>
              <w:ind w:left="57"/>
              <w:rPr>
                <w:b w:val="0"/>
                <w:sz w:val="18"/>
                <w:szCs w:val="18"/>
              </w:rPr>
            </w:pPr>
            <w:r w:rsidRPr="00161B39">
              <w:rPr>
                <w:b w:val="0"/>
                <w:sz w:val="18"/>
                <w:szCs w:val="18"/>
              </w:rPr>
              <w:t>Aged care</w:t>
            </w:r>
          </w:p>
        </w:tc>
        <w:tc>
          <w:tcPr>
            <w:tcW w:w="1559" w:type="dxa"/>
            <w:tcBorders>
              <w:left w:val="single" w:sz="8" w:space="0" w:color="2B3B5F"/>
              <w:right w:val="single" w:sz="8" w:space="0" w:color="2B3B5F"/>
            </w:tcBorders>
            <w:shd w:val="clear" w:color="auto" w:fill="auto"/>
            <w:noWrap/>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265C9D">
              <w:rPr>
                <w:color w:val="000000"/>
                <w:sz w:val="18"/>
                <w:szCs w:val="18"/>
              </w:rPr>
              <w:t>3.1</w:t>
            </w:r>
          </w:p>
        </w:tc>
        <w:tc>
          <w:tcPr>
            <w:tcW w:w="1559" w:type="dxa"/>
            <w:tcBorders>
              <w:left w:val="single" w:sz="8" w:space="0" w:color="2B3B5F"/>
              <w:right w:val="single" w:sz="8" w:space="0" w:color="2B3B5F"/>
            </w:tcBorders>
            <w:shd w:val="clear" w:color="auto" w:fill="auto"/>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265C9D">
              <w:rPr>
                <w:color w:val="000000"/>
                <w:sz w:val="18"/>
                <w:szCs w:val="18"/>
              </w:rPr>
              <w:t>6.1</w:t>
            </w:r>
          </w:p>
        </w:tc>
        <w:tc>
          <w:tcPr>
            <w:tcW w:w="1794" w:type="dxa"/>
            <w:tcBorders>
              <w:left w:val="single" w:sz="8" w:space="0" w:color="2B3B5F"/>
              <w:right w:val="single" w:sz="8" w:space="0" w:color="2B3B5F"/>
            </w:tcBorders>
            <w:shd w:val="clear" w:color="auto" w:fill="auto"/>
            <w:noWrap/>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265C9D">
              <w:rPr>
                <w:color w:val="000000"/>
                <w:sz w:val="18"/>
                <w:szCs w:val="18"/>
              </w:rPr>
              <w:t>2.0</w:t>
            </w:r>
          </w:p>
        </w:tc>
      </w:tr>
      <w:tr w:rsidR="00265C9D" w:rsidRPr="00593305" w:rsidTr="00C82E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57" w:type="dxa"/>
            <w:tcBorders>
              <w:left w:val="single" w:sz="8" w:space="0" w:color="2B3B5F"/>
              <w:right w:val="single" w:sz="8" w:space="0" w:color="2B3B5F"/>
            </w:tcBorders>
            <w:shd w:val="clear" w:color="auto" w:fill="D7DDE9"/>
            <w:noWrap/>
          </w:tcPr>
          <w:p w:rsidR="00265C9D" w:rsidRPr="00161B39" w:rsidRDefault="00265C9D" w:rsidP="00C82E83">
            <w:pPr>
              <w:spacing w:before="0" w:after="0"/>
              <w:ind w:left="57"/>
              <w:rPr>
                <w:b w:val="0"/>
                <w:sz w:val="18"/>
                <w:szCs w:val="18"/>
              </w:rPr>
            </w:pPr>
            <w:r w:rsidRPr="00161B39">
              <w:rPr>
                <w:b w:val="0"/>
                <w:sz w:val="18"/>
                <w:szCs w:val="18"/>
              </w:rPr>
              <w:t>Family Tax Benefit</w:t>
            </w:r>
          </w:p>
        </w:tc>
        <w:tc>
          <w:tcPr>
            <w:tcW w:w="1559" w:type="dxa"/>
            <w:tcBorders>
              <w:left w:val="single" w:sz="8" w:space="0" w:color="2B3B5F"/>
              <w:right w:val="single" w:sz="8" w:space="0" w:color="2B3B5F"/>
            </w:tcBorders>
            <w:shd w:val="clear" w:color="auto" w:fill="D7DDE9"/>
            <w:noWrap/>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65C9D">
              <w:rPr>
                <w:color w:val="000000"/>
                <w:sz w:val="18"/>
                <w:szCs w:val="18"/>
              </w:rPr>
              <w:t>4.9</w:t>
            </w:r>
          </w:p>
        </w:tc>
        <w:tc>
          <w:tcPr>
            <w:tcW w:w="1559" w:type="dxa"/>
            <w:tcBorders>
              <w:left w:val="single" w:sz="8" w:space="0" w:color="2B3B5F"/>
              <w:right w:val="single" w:sz="8" w:space="0" w:color="2B3B5F"/>
            </w:tcBorders>
            <w:shd w:val="clear" w:color="auto" w:fill="D7DDE9"/>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65C9D">
              <w:rPr>
                <w:color w:val="000000"/>
                <w:sz w:val="18"/>
                <w:szCs w:val="18"/>
              </w:rPr>
              <w:t>2.9</w:t>
            </w:r>
          </w:p>
        </w:tc>
        <w:tc>
          <w:tcPr>
            <w:tcW w:w="1794" w:type="dxa"/>
            <w:tcBorders>
              <w:left w:val="single" w:sz="8" w:space="0" w:color="2B3B5F"/>
              <w:right w:val="single" w:sz="8" w:space="0" w:color="2B3B5F"/>
            </w:tcBorders>
            <w:shd w:val="clear" w:color="auto" w:fill="D7DDE9"/>
            <w:noWrap/>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65C9D">
              <w:rPr>
                <w:color w:val="000000"/>
                <w:sz w:val="18"/>
                <w:szCs w:val="18"/>
              </w:rPr>
              <w:t>1.8</w:t>
            </w:r>
          </w:p>
        </w:tc>
      </w:tr>
      <w:tr w:rsidR="00265C9D" w:rsidRPr="00593305" w:rsidTr="00C82E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57" w:type="dxa"/>
            <w:tcBorders>
              <w:left w:val="single" w:sz="8" w:space="0" w:color="2B3B5F"/>
              <w:right w:val="single" w:sz="8" w:space="0" w:color="2B3B5F"/>
            </w:tcBorders>
            <w:shd w:val="clear" w:color="auto" w:fill="auto"/>
            <w:noWrap/>
          </w:tcPr>
          <w:p w:rsidR="00265C9D" w:rsidRPr="00161B39" w:rsidRDefault="00265C9D" w:rsidP="00C82E83">
            <w:pPr>
              <w:spacing w:before="0" w:after="0"/>
              <w:ind w:left="57"/>
              <w:rPr>
                <w:b w:val="0"/>
                <w:sz w:val="18"/>
                <w:szCs w:val="18"/>
              </w:rPr>
            </w:pPr>
            <w:r w:rsidRPr="00161B39">
              <w:rPr>
                <w:b w:val="0"/>
                <w:sz w:val="18"/>
                <w:szCs w:val="18"/>
              </w:rPr>
              <w:t>Government superannuation benefits</w:t>
            </w:r>
          </w:p>
        </w:tc>
        <w:tc>
          <w:tcPr>
            <w:tcW w:w="1559" w:type="dxa"/>
            <w:tcBorders>
              <w:left w:val="single" w:sz="8" w:space="0" w:color="2B3B5F"/>
              <w:right w:val="single" w:sz="8" w:space="0" w:color="2B3B5F"/>
            </w:tcBorders>
            <w:shd w:val="clear" w:color="auto" w:fill="auto"/>
            <w:noWrap/>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265C9D">
              <w:rPr>
                <w:color w:val="000000"/>
                <w:sz w:val="18"/>
                <w:szCs w:val="18"/>
              </w:rPr>
              <w:t>2.0</w:t>
            </w:r>
          </w:p>
        </w:tc>
        <w:tc>
          <w:tcPr>
            <w:tcW w:w="1559" w:type="dxa"/>
            <w:tcBorders>
              <w:left w:val="single" w:sz="8" w:space="0" w:color="2B3B5F"/>
              <w:right w:val="single" w:sz="8" w:space="0" w:color="2B3B5F"/>
            </w:tcBorders>
            <w:shd w:val="clear" w:color="auto" w:fill="auto"/>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265C9D">
              <w:rPr>
                <w:color w:val="000000"/>
                <w:sz w:val="18"/>
                <w:szCs w:val="18"/>
              </w:rPr>
              <w:t>8.3</w:t>
            </w:r>
          </w:p>
        </w:tc>
        <w:tc>
          <w:tcPr>
            <w:tcW w:w="1794" w:type="dxa"/>
            <w:tcBorders>
              <w:left w:val="single" w:sz="8" w:space="0" w:color="2B3B5F"/>
              <w:right w:val="single" w:sz="8" w:space="0" w:color="2B3B5F"/>
            </w:tcBorders>
            <w:shd w:val="clear" w:color="auto" w:fill="auto"/>
            <w:noWrap/>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265C9D">
              <w:rPr>
                <w:color w:val="000000"/>
                <w:sz w:val="18"/>
                <w:szCs w:val="18"/>
              </w:rPr>
              <w:t>1.6</w:t>
            </w:r>
          </w:p>
        </w:tc>
      </w:tr>
      <w:tr w:rsidR="00265C9D" w:rsidRPr="00593305" w:rsidTr="00C82E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57" w:type="dxa"/>
            <w:tcBorders>
              <w:left w:val="single" w:sz="8" w:space="0" w:color="2B3B5F"/>
              <w:right w:val="single" w:sz="8" w:space="0" w:color="2B3B5F"/>
            </w:tcBorders>
            <w:shd w:val="clear" w:color="auto" w:fill="D7DDE9"/>
            <w:noWrap/>
          </w:tcPr>
          <w:p w:rsidR="00265C9D" w:rsidRPr="00161B39" w:rsidRDefault="00265C9D" w:rsidP="00C82E83">
            <w:pPr>
              <w:spacing w:before="0" w:after="0"/>
              <w:ind w:left="57"/>
              <w:rPr>
                <w:b w:val="0"/>
                <w:sz w:val="18"/>
                <w:szCs w:val="18"/>
              </w:rPr>
            </w:pPr>
            <w:r w:rsidRPr="00161B39">
              <w:rPr>
                <w:b w:val="0"/>
                <w:sz w:val="18"/>
                <w:szCs w:val="18"/>
              </w:rPr>
              <w:t>National Health Reform payment</w:t>
            </w:r>
          </w:p>
        </w:tc>
        <w:tc>
          <w:tcPr>
            <w:tcW w:w="1559" w:type="dxa"/>
            <w:tcBorders>
              <w:left w:val="single" w:sz="8" w:space="0" w:color="2B3B5F"/>
              <w:right w:val="single" w:sz="8" w:space="0" w:color="2B3B5F"/>
            </w:tcBorders>
            <w:shd w:val="clear" w:color="auto" w:fill="D7DDE9"/>
            <w:noWrap/>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65C9D">
              <w:rPr>
                <w:color w:val="000000"/>
                <w:sz w:val="18"/>
                <w:szCs w:val="18"/>
              </w:rPr>
              <w:t>3.5</w:t>
            </w:r>
          </w:p>
        </w:tc>
        <w:tc>
          <w:tcPr>
            <w:tcW w:w="1559" w:type="dxa"/>
            <w:tcBorders>
              <w:left w:val="single" w:sz="8" w:space="0" w:color="2B3B5F"/>
              <w:right w:val="single" w:sz="8" w:space="0" w:color="2B3B5F"/>
            </w:tcBorders>
            <w:shd w:val="clear" w:color="auto" w:fill="D7DDE9"/>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65C9D">
              <w:rPr>
                <w:color w:val="000000"/>
                <w:sz w:val="18"/>
                <w:szCs w:val="18"/>
              </w:rPr>
              <w:t>3.2</w:t>
            </w:r>
          </w:p>
        </w:tc>
        <w:tc>
          <w:tcPr>
            <w:tcW w:w="1794" w:type="dxa"/>
            <w:tcBorders>
              <w:left w:val="single" w:sz="8" w:space="0" w:color="2B3B5F"/>
              <w:right w:val="single" w:sz="8" w:space="0" w:color="2B3B5F"/>
            </w:tcBorders>
            <w:shd w:val="clear" w:color="auto" w:fill="D7DDE9"/>
            <w:noWrap/>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265C9D">
              <w:rPr>
                <w:color w:val="000000"/>
                <w:sz w:val="18"/>
                <w:szCs w:val="18"/>
              </w:rPr>
              <w:t>1.3</w:t>
            </w:r>
          </w:p>
        </w:tc>
      </w:tr>
      <w:tr w:rsidR="00265C9D" w:rsidRPr="004617A9" w:rsidTr="00C82E8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57" w:type="dxa"/>
            <w:tcBorders>
              <w:left w:val="single" w:sz="8" w:space="0" w:color="2B3B5F"/>
              <w:right w:val="single" w:sz="8" w:space="0" w:color="2B3B5F"/>
            </w:tcBorders>
            <w:shd w:val="clear" w:color="auto" w:fill="auto"/>
            <w:noWrap/>
          </w:tcPr>
          <w:p w:rsidR="00265C9D" w:rsidRPr="00161B39" w:rsidRDefault="00265C9D" w:rsidP="00C82E83">
            <w:pPr>
              <w:spacing w:before="0" w:after="0"/>
              <w:ind w:left="57"/>
              <w:rPr>
                <w:b w:val="0"/>
                <w:i/>
                <w:sz w:val="18"/>
                <w:szCs w:val="18"/>
              </w:rPr>
            </w:pPr>
            <w:r w:rsidRPr="00161B39">
              <w:rPr>
                <w:b w:val="0"/>
                <w:i/>
                <w:sz w:val="18"/>
                <w:szCs w:val="18"/>
              </w:rPr>
              <w:t>Subtotal – major contributors by program</w:t>
            </w:r>
          </w:p>
        </w:tc>
        <w:tc>
          <w:tcPr>
            <w:tcW w:w="1559" w:type="dxa"/>
            <w:tcBorders>
              <w:left w:val="single" w:sz="8" w:space="0" w:color="2B3B5F"/>
              <w:right w:val="single" w:sz="8" w:space="0" w:color="2B3B5F"/>
            </w:tcBorders>
            <w:shd w:val="clear" w:color="auto" w:fill="auto"/>
            <w:noWrap/>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265C9D">
              <w:rPr>
                <w:i/>
                <w:iCs/>
                <w:color w:val="000000"/>
                <w:sz w:val="18"/>
                <w:szCs w:val="18"/>
              </w:rPr>
              <w:t>53.8</w:t>
            </w:r>
          </w:p>
        </w:tc>
        <w:tc>
          <w:tcPr>
            <w:tcW w:w="1559" w:type="dxa"/>
            <w:tcBorders>
              <w:left w:val="single" w:sz="8" w:space="0" w:color="2B3B5F"/>
              <w:right w:val="single" w:sz="8" w:space="0" w:color="2B3B5F"/>
            </w:tcBorders>
            <w:shd w:val="clear" w:color="auto" w:fill="auto"/>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265C9D">
              <w:rPr>
                <w:i/>
                <w:iCs/>
                <w:color w:val="000000"/>
                <w:sz w:val="18"/>
                <w:szCs w:val="18"/>
              </w:rPr>
              <w:t>3.8</w:t>
            </w:r>
          </w:p>
        </w:tc>
        <w:tc>
          <w:tcPr>
            <w:tcW w:w="1794" w:type="dxa"/>
            <w:tcBorders>
              <w:left w:val="single" w:sz="8" w:space="0" w:color="2B3B5F"/>
              <w:right w:val="single" w:sz="8" w:space="0" w:color="2B3B5F"/>
            </w:tcBorders>
            <w:shd w:val="clear" w:color="auto" w:fill="auto"/>
            <w:noWrap/>
          </w:tcPr>
          <w:p w:rsidR="00265C9D" w:rsidRPr="00265C9D" w:rsidRDefault="00265C9D" w:rsidP="00C82E83">
            <w:pPr>
              <w:spacing w:before="0" w:after="0"/>
              <w:ind w:right="227"/>
              <w:jc w:val="right"/>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265C9D">
              <w:rPr>
                <w:i/>
                <w:iCs/>
                <w:color w:val="000000"/>
                <w:sz w:val="18"/>
                <w:szCs w:val="18"/>
              </w:rPr>
              <w:t>24.2</w:t>
            </w:r>
          </w:p>
        </w:tc>
      </w:tr>
      <w:tr w:rsidR="00265C9D" w:rsidRPr="00593305" w:rsidTr="00C82E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57" w:type="dxa"/>
            <w:tcBorders>
              <w:left w:val="single" w:sz="8" w:space="0" w:color="2B3B5F"/>
              <w:bottom w:val="single" w:sz="8" w:space="0" w:color="2B3B5F"/>
              <w:right w:val="single" w:sz="8" w:space="0" w:color="2B3B5F"/>
            </w:tcBorders>
            <w:shd w:val="clear" w:color="auto" w:fill="D7DDE9"/>
            <w:noWrap/>
            <w:hideMark/>
          </w:tcPr>
          <w:p w:rsidR="00265C9D" w:rsidRPr="00161B39" w:rsidRDefault="00265C9D" w:rsidP="00C82E83">
            <w:pPr>
              <w:spacing w:before="0" w:after="0"/>
              <w:ind w:left="57"/>
              <w:rPr>
                <w:b w:val="0"/>
                <w:sz w:val="18"/>
                <w:szCs w:val="18"/>
              </w:rPr>
            </w:pPr>
            <w:r w:rsidRPr="00161B39">
              <w:rPr>
                <w:sz w:val="18"/>
                <w:szCs w:val="18"/>
              </w:rPr>
              <w:t>Total government spending</w:t>
            </w:r>
          </w:p>
        </w:tc>
        <w:tc>
          <w:tcPr>
            <w:tcW w:w="1559" w:type="dxa"/>
            <w:tcBorders>
              <w:left w:val="single" w:sz="8" w:space="0" w:color="2B3B5F"/>
              <w:bottom w:val="single" w:sz="8" w:space="0" w:color="2B3B5F"/>
              <w:right w:val="single" w:sz="8" w:space="0" w:color="2B3B5F"/>
            </w:tcBorders>
            <w:shd w:val="clear" w:color="auto" w:fill="D7DDE9"/>
            <w:noWrap/>
            <w:hideMark/>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265C9D">
              <w:rPr>
                <w:b/>
                <w:bCs/>
                <w:color w:val="000000"/>
                <w:sz w:val="18"/>
                <w:szCs w:val="18"/>
              </w:rPr>
              <w:t>100.0</w:t>
            </w:r>
          </w:p>
        </w:tc>
        <w:tc>
          <w:tcPr>
            <w:tcW w:w="1559" w:type="dxa"/>
            <w:tcBorders>
              <w:left w:val="single" w:sz="8" w:space="0" w:color="2B3B5F"/>
              <w:bottom w:val="single" w:sz="8" w:space="0" w:color="2B3B5F"/>
              <w:right w:val="single" w:sz="8" w:space="0" w:color="2B3B5F"/>
            </w:tcBorders>
            <w:shd w:val="clear" w:color="auto" w:fill="D7DDE9"/>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265C9D">
              <w:rPr>
                <w:b/>
                <w:bCs/>
                <w:color w:val="000000"/>
                <w:sz w:val="18"/>
                <w:szCs w:val="18"/>
              </w:rPr>
              <w:t>3.8</w:t>
            </w:r>
          </w:p>
        </w:tc>
        <w:tc>
          <w:tcPr>
            <w:tcW w:w="1794" w:type="dxa"/>
            <w:tcBorders>
              <w:left w:val="single" w:sz="8" w:space="0" w:color="2B3B5F"/>
              <w:bottom w:val="single" w:sz="8" w:space="0" w:color="2B3B5F"/>
              <w:right w:val="single" w:sz="8" w:space="0" w:color="2B3B5F"/>
            </w:tcBorders>
            <w:shd w:val="clear" w:color="auto" w:fill="D7DDE9"/>
            <w:noWrap/>
          </w:tcPr>
          <w:p w:rsidR="00265C9D" w:rsidRPr="00265C9D" w:rsidRDefault="00265C9D" w:rsidP="00C82E83">
            <w:pPr>
              <w:spacing w:before="0" w:after="0"/>
              <w:ind w:right="227"/>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265C9D">
              <w:rPr>
                <w:b/>
                <w:bCs/>
                <w:color w:val="000000"/>
                <w:sz w:val="18"/>
                <w:szCs w:val="18"/>
              </w:rPr>
              <w:t>45.2</w:t>
            </w:r>
          </w:p>
        </w:tc>
      </w:tr>
    </w:tbl>
    <w:p w:rsidR="004E142E" w:rsidRPr="00865B5C" w:rsidRDefault="008E30DB" w:rsidP="004E142E">
      <w:r w:rsidRPr="00865B5C">
        <w:lastRenderedPageBreak/>
        <w:t>The top ten programs c</w:t>
      </w:r>
      <w:r w:rsidR="004E142E" w:rsidRPr="00865B5C">
        <w:t>ombined account for just over half of the growth in total government spending from 2002</w:t>
      </w:r>
      <w:r w:rsidR="003E0138" w:rsidRPr="00865B5C">
        <w:noBreakHyphen/>
      </w:r>
      <w:r w:rsidR="004E142E" w:rsidRPr="00865B5C">
        <w:t>03 to 2012</w:t>
      </w:r>
      <w:r w:rsidR="003E0138" w:rsidRPr="00865B5C">
        <w:noBreakHyphen/>
      </w:r>
      <w:r w:rsidR="004E142E" w:rsidRPr="00865B5C">
        <w:t>13.</w:t>
      </w:r>
    </w:p>
    <w:p w:rsidR="00445839" w:rsidRPr="00865B5C" w:rsidRDefault="00445839" w:rsidP="00445839">
      <w:pPr>
        <w:pStyle w:val="Heading20"/>
      </w:pPr>
      <w:r w:rsidRPr="00865B5C">
        <w:t>Net capital investment</w:t>
      </w:r>
    </w:p>
    <w:p w:rsidR="009C6879" w:rsidRPr="009C6879" w:rsidRDefault="009C6879" w:rsidP="009C6879">
      <w:r w:rsidRPr="00865B5C">
        <w:t>Net capital investment provides a measure of the overall growth in assets owned by the Commonwealth after taking account of the acquisition</w:t>
      </w:r>
      <w:r w:rsidR="007A33BB">
        <w:t>s and disposals</w:t>
      </w:r>
      <w:r w:rsidRPr="00865B5C">
        <w:t xml:space="preserve"> of non-financial assets by the Commonwealth and depreciation in the value of these assets as they age.</w:t>
      </w:r>
      <w:r w:rsidR="0077698D" w:rsidRPr="00865B5C">
        <w:t xml:space="preserve">  The funding provided by the Commonwealth to States and local government for capital investment (such as for building roads) is not counted in this measure because the resultant assets are not owned by the Commonwealth.</w:t>
      </w:r>
    </w:p>
    <w:p w:rsidR="007A33BB" w:rsidRDefault="00DA48CE" w:rsidP="00DA48CE">
      <w:pPr>
        <w:pStyle w:val="PBOtext"/>
      </w:pPr>
      <w:r w:rsidRPr="009C6879">
        <w:t>In 2012</w:t>
      </w:r>
      <w:r w:rsidR="003E0138" w:rsidRPr="006B456E">
        <w:noBreakHyphen/>
      </w:r>
      <w:r w:rsidRPr="009C6879">
        <w:t xml:space="preserve">13, net capital investment </w:t>
      </w:r>
      <w:r w:rsidR="009C6879">
        <w:t xml:space="preserve">amounted to </w:t>
      </w:r>
      <w:r w:rsidR="0011574A">
        <w:t>$987 </w:t>
      </w:r>
      <w:r w:rsidRPr="009C6879">
        <w:t>million (or 0.3</w:t>
      </w:r>
      <w:r w:rsidR="0011574A">
        <w:t> </w:t>
      </w:r>
      <w:r w:rsidRPr="009C6879">
        <w:t>per</w:t>
      </w:r>
      <w:r w:rsidR="0011574A">
        <w:t> </w:t>
      </w:r>
      <w:r w:rsidR="00F83B4A">
        <w:t>cent of total spending).</w:t>
      </w:r>
    </w:p>
    <w:p w:rsidR="00DA48CE" w:rsidRPr="009C6879" w:rsidRDefault="00DA48CE" w:rsidP="00DA48CE">
      <w:pPr>
        <w:pStyle w:val="PBOtext"/>
      </w:pPr>
      <w:r w:rsidRPr="009C6879">
        <w:t>Most capital investment occur</w:t>
      </w:r>
      <w:r w:rsidR="007A33BB">
        <w:t>s</w:t>
      </w:r>
      <w:r w:rsidR="006859FD" w:rsidRPr="009C6879">
        <w:t xml:space="preserve"> in Defence for aircraft</w:t>
      </w:r>
      <w:r w:rsidRPr="009C6879">
        <w:t xml:space="preserve">, ships and the building of support facilities. </w:t>
      </w:r>
      <w:r w:rsidR="0011574A">
        <w:t xml:space="preserve"> </w:t>
      </w:r>
      <w:r w:rsidRPr="009C6879">
        <w:t>Other capital acquisitions include buildings, software and (in recent years) the purc</w:t>
      </w:r>
      <w:r w:rsidR="0011574A">
        <w:t xml:space="preserve">hase of water entitlements.  </w:t>
      </w:r>
      <w:r w:rsidRPr="009C6879">
        <w:t>Disposals of assets, including the sales of radio spectrum licences, can cause substantial volatil</w:t>
      </w:r>
      <w:r w:rsidR="009C6879" w:rsidRPr="009C6879">
        <w:t xml:space="preserve">ity in net </w:t>
      </w:r>
      <w:r w:rsidR="008E30DB">
        <w:t xml:space="preserve">annual </w:t>
      </w:r>
      <w:r w:rsidR="009C6879" w:rsidRPr="009C6879">
        <w:t>capital investment.</w:t>
      </w:r>
    </w:p>
    <w:p w:rsidR="009C6879" w:rsidRDefault="009C6879" w:rsidP="009C6879">
      <w:r w:rsidRPr="0041748B">
        <w:t>Over the period 2002</w:t>
      </w:r>
      <w:r w:rsidR="003E0138" w:rsidRPr="006B456E">
        <w:noBreakHyphen/>
      </w:r>
      <w:r w:rsidRPr="0041748B">
        <w:t>03 to</w:t>
      </w:r>
      <w:r>
        <w:t xml:space="preserve"> 2012</w:t>
      </w:r>
      <w:r w:rsidR="003E0138" w:rsidRPr="006B456E">
        <w:noBreakHyphen/>
      </w:r>
      <w:r>
        <w:t>13, net capital investme</w:t>
      </w:r>
      <w:r w:rsidR="004C0C85">
        <w:t xml:space="preserve">nt grew </w:t>
      </w:r>
      <w:r w:rsidR="002D5948" w:rsidRPr="002D5948">
        <w:t>10.1</w:t>
      </w:r>
      <w:r>
        <w:t xml:space="preserve"> per cent annually, while GDP grew </w:t>
      </w:r>
      <w:r w:rsidRPr="00706358">
        <w:t>3.0</w:t>
      </w:r>
      <w:r w:rsidR="0011574A" w:rsidRPr="00706358">
        <w:t> </w:t>
      </w:r>
      <w:r w:rsidRPr="00706358">
        <w:t>per</w:t>
      </w:r>
      <w:r w:rsidR="0011574A" w:rsidRPr="00706358">
        <w:t> </w:t>
      </w:r>
      <w:r w:rsidRPr="00706358">
        <w:t>cent</w:t>
      </w:r>
      <w:r>
        <w:t xml:space="preserve"> annually.  There was a rapid increase in net capital investment from 2002</w:t>
      </w:r>
      <w:r w:rsidR="003E0138" w:rsidRPr="006B456E">
        <w:noBreakHyphen/>
      </w:r>
      <w:r>
        <w:t>03 to a peak in 2009</w:t>
      </w:r>
      <w:r w:rsidR="003E0138" w:rsidRPr="006B456E">
        <w:noBreakHyphen/>
      </w:r>
      <w:r>
        <w:t>10, with growth of 52</w:t>
      </w:r>
      <w:r w:rsidR="0011574A">
        <w:t> </w:t>
      </w:r>
      <w:r>
        <w:t>per</w:t>
      </w:r>
      <w:r w:rsidR="0011574A">
        <w:t> </w:t>
      </w:r>
      <w:r>
        <w:t>cent annually.</w:t>
      </w:r>
      <w:r w:rsidR="0011574A">
        <w:t xml:space="preserve"> </w:t>
      </w:r>
      <w:r>
        <w:t xml:space="preserve"> </w:t>
      </w:r>
      <w:r w:rsidR="00B60FC3">
        <w:t>This growth was largely driven by increased acquisition of military equipment and facilities by Defence and the purchase of water entitlements.</w:t>
      </w:r>
      <w:r w:rsidR="00677432">
        <w:t xml:space="preserve"> </w:t>
      </w:r>
      <w:r w:rsidR="0011574A">
        <w:t xml:space="preserve"> </w:t>
      </w:r>
      <w:r>
        <w:t>This was followed by a large fall in net capital investment</w:t>
      </w:r>
      <w:r w:rsidR="00677432">
        <w:t xml:space="preserve"> reflecting lower investment by Defence and </w:t>
      </w:r>
      <w:r w:rsidR="005B4578">
        <w:t>the increased sale of spectrum licences to telecommunications carriers.</w:t>
      </w:r>
    </w:p>
    <w:p w:rsidR="001526DD" w:rsidRDefault="001526DD" w:rsidP="009C6879"/>
    <w:p w:rsidR="006E758F" w:rsidRDefault="006E758F" w:rsidP="00DA48CE">
      <w:pPr>
        <w:rPr>
          <w:rFonts w:ascii="Garamond" w:hAnsi="Garamond"/>
          <w:sz w:val="24"/>
          <w:szCs w:val="24"/>
        </w:rPr>
        <w:sectPr w:rsidR="006E758F" w:rsidSect="003D676E">
          <w:pgSz w:w="11900" w:h="16840"/>
          <w:pgMar w:top="1440" w:right="1797" w:bottom="1440" w:left="1797" w:header="709" w:footer="709" w:gutter="0"/>
          <w:pgNumType w:start="3"/>
          <w:cols w:space="708"/>
          <w:titlePg/>
          <w:docGrid w:linePitch="326"/>
        </w:sectPr>
      </w:pPr>
    </w:p>
    <w:p w:rsidR="009A07F5" w:rsidRPr="00686315" w:rsidRDefault="009A07F5" w:rsidP="003D676E">
      <w:pPr>
        <w:pStyle w:val="Heading1"/>
        <w:numPr>
          <w:ilvl w:val="0"/>
          <w:numId w:val="26"/>
        </w:numPr>
        <w:ind w:left="709" w:hanging="709"/>
      </w:pPr>
      <w:bookmarkStart w:id="50" w:name="_Toc372697964"/>
      <w:bookmarkStart w:id="51" w:name="_Toc373778490"/>
      <w:bookmarkStart w:id="52" w:name="_Toc374182864"/>
      <w:bookmarkStart w:id="53" w:name="_Toc374349460"/>
      <w:r w:rsidRPr="00686315">
        <w:lastRenderedPageBreak/>
        <w:t>Social security and welfare</w:t>
      </w:r>
      <w:bookmarkEnd w:id="50"/>
      <w:r w:rsidR="00F947A1" w:rsidRPr="00686315">
        <w:t xml:space="preserve"> expenses</w:t>
      </w:r>
      <w:bookmarkEnd w:id="51"/>
      <w:bookmarkEnd w:id="52"/>
      <w:bookmarkEnd w:id="53"/>
    </w:p>
    <w:p w:rsidR="009A07F5" w:rsidRPr="00A47403" w:rsidRDefault="009A07F5" w:rsidP="005637DD">
      <w:r w:rsidRPr="00A47403">
        <w:t>Total spending on social security and welfare was $</w:t>
      </w:r>
      <w:r>
        <w:t>131.9</w:t>
      </w:r>
      <w:r w:rsidR="0011574A">
        <w:t> </w:t>
      </w:r>
      <w:r w:rsidRPr="00A47403">
        <w:t>billion in 201</w:t>
      </w:r>
      <w:r>
        <w:t>2</w:t>
      </w:r>
      <w:r w:rsidR="003E0138" w:rsidRPr="006B456E">
        <w:noBreakHyphen/>
      </w:r>
      <w:r w:rsidRPr="00A47403">
        <w:t>1</w:t>
      </w:r>
      <w:r>
        <w:t>3</w:t>
      </w:r>
      <w:r w:rsidRPr="00A47403">
        <w:t xml:space="preserve">, </w:t>
      </w:r>
      <w:r w:rsidR="00AB5396">
        <w:t xml:space="preserve">or </w:t>
      </w:r>
      <w:r w:rsidRPr="00A47403">
        <w:t xml:space="preserve">around one third of total </w:t>
      </w:r>
      <w:r w:rsidR="00AB5396">
        <w:t>government spending</w:t>
      </w:r>
      <w:r w:rsidRPr="00A47403">
        <w:t xml:space="preserve">. </w:t>
      </w:r>
      <w:r w:rsidR="00BF2351">
        <w:t xml:space="preserve"> </w:t>
      </w:r>
      <w:r w:rsidRPr="00414653">
        <w:t xml:space="preserve">The </w:t>
      </w:r>
      <w:r w:rsidR="008A1BDB">
        <w:t>composition</w:t>
      </w:r>
      <w:r w:rsidRPr="00414653">
        <w:t xml:space="preserve"> of this </w:t>
      </w:r>
      <w:r>
        <w:t xml:space="preserve">spending is shown in Figure 2.1 </w:t>
      </w:r>
      <w:r w:rsidRPr="00414653">
        <w:t>below</w:t>
      </w:r>
      <w:r w:rsidRPr="00A47403">
        <w:t>.</w:t>
      </w:r>
    </w:p>
    <w:p w:rsidR="00764E2C" w:rsidRDefault="00764E2C" w:rsidP="007A4A40">
      <w:pPr>
        <w:pStyle w:val="Caption"/>
      </w:pPr>
      <w:bookmarkStart w:id="54" w:name="_Toc373422172"/>
      <w:bookmarkStart w:id="55" w:name="_Toc373873644"/>
      <w:bookmarkStart w:id="56" w:name="_Toc373955547"/>
      <w:bookmarkStart w:id="57" w:name="_Toc374088492"/>
      <w:bookmarkStart w:id="58" w:name="_Toc374102199"/>
      <w:bookmarkStart w:id="59" w:name="_Toc374349988"/>
      <w:proofErr w:type="gramStart"/>
      <w:r>
        <w:t xml:space="preserve">Figure </w:t>
      </w:r>
      <w:fldSimple w:instr=" STYLEREF 1 \s ">
        <w:r w:rsidR="00E862AC">
          <w:rPr>
            <w:noProof/>
          </w:rPr>
          <w:t>2</w:t>
        </w:r>
      </w:fldSimple>
      <w:r w:rsidR="00F90856">
        <w:t>.</w:t>
      </w:r>
      <w:proofErr w:type="gramEnd"/>
      <w:r w:rsidR="00143AAD">
        <w:fldChar w:fldCharType="begin"/>
      </w:r>
      <w:r w:rsidR="00143AAD">
        <w:instrText xml:space="preserve"> SEQ Figure \* ARABIC \s 1 </w:instrText>
      </w:r>
      <w:r w:rsidR="00143AAD">
        <w:fldChar w:fldCharType="separate"/>
      </w:r>
      <w:r w:rsidR="00E862AC">
        <w:rPr>
          <w:noProof/>
        </w:rPr>
        <w:t>1</w:t>
      </w:r>
      <w:r w:rsidR="00143AAD">
        <w:rPr>
          <w:noProof/>
        </w:rPr>
        <w:fldChar w:fldCharType="end"/>
      </w:r>
      <w:r>
        <w:t>:</w:t>
      </w:r>
      <w:r w:rsidR="00773778">
        <w:tab/>
      </w:r>
      <w:r>
        <w:t>Composition of soci</w:t>
      </w:r>
      <w:r w:rsidR="008A1BDB">
        <w:t xml:space="preserve">al security and </w:t>
      </w:r>
      <w:r w:rsidR="008A1BDB" w:rsidRPr="004236EB">
        <w:t>welfare expenses</w:t>
      </w:r>
      <w:r w:rsidRPr="004236EB">
        <w:t xml:space="preserve"> in 2012-</w:t>
      </w:r>
      <w:r>
        <w:t>13</w:t>
      </w:r>
      <w:bookmarkEnd w:id="54"/>
      <w:bookmarkEnd w:id="55"/>
      <w:bookmarkEnd w:id="56"/>
      <w:bookmarkEnd w:id="57"/>
      <w:bookmarkEnd w:id="58"/>
      <w:bookmarkEnd w:id="59"/>
    </w:p>
    <w:p w:rsidR="009A07F5" w:rsidRDefault="00F17C43" w:rsidP="00F36E46">
      <w:pPr>
        <w:pStyle w:val="PBOtext"/>
        <w:spacing w:before="0" w:after="0"/>
        <w:jc w:val="center"/>
      </w:pPr>
      <w:r>
        <w:rPr>
          <w:noProof/>
        </w:rPr>
        <w:drawing>
          <wp:inline distT="0" distB="0" distL="0" distR="0" wp14:anchorId="6978B1E7" wp14:editId="564DD936">
            <wp:extent cx="4673600" cy="3915153"/>
            <wp:effectExtent l="0" t="0" r="0" b="9525"/>
            <wp:docPr id="11" name="Picture 11" descr="This chart shows the composition of social security and welfare expenses in 2012–13.  Spending on assistance to the aged was the largest area of spending at 38 per cent, followed by assistance to families with children at 27 per cent and assistance to people with disabilities at 18 per cent."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1596"/>
                    <a:stretch/>
                  </pic:blipFill>
                  <pic:spPr bwMode="auto">
                    <a:xfrm>
                      <a:off x="0" y="0"/>
                      <a:ext cx="4676140" cy="3917281"/>
                    </a:xfrm>
                    <a:prstGeom prst="rect">
                      <a:avLst/>
                    </a:prstGeom>
                    <a:noFill/>
                    <a:ln>
                      <a:noFill/>
                    </a:ln>
                    <a:extLst>
                      <a:ext uri="{53640926-AAD7-44D8-BBD7-CCE9431645EC}">
                        <a14:shadowObscured xmlns:a14="http://schemas.microsoft.com/office/drawing/2010/main"/>
                      </a:ext>
                    </a:extLst>
                  </pic:spPr>
                </pic:pic>
              </a:graphicData>
            </a:graphic>
          </wp:inline>
        </w:drawing>
      </w:r>
    </w:p>
    <w:p w:rsidR="009A07F5" w:rsidRPr="0041748B" w:rsidRDefault="009A07F5" w:rsidP="00B055EE">
      <w:pPr>
        <w:pStyle w:val="FigureCaption"/>
      </w:pPr>
      <w:r w:rsidRPr="0041748B">
        <w:t xml:space="preserve">Source: </w:t>
      </w:r>
      <w:r>
        <w:t>Australian</w:t>
      </w:r>
      <w:r w:rsidRPr="0041748B">
        <w:t xml:space="preserve"> Government </w:t>
      </w:r>
      <w:r>
        <w:t xml:space="preserve">Final </w:t>
      </w:r>
      <w:r w:rsidRPr="0041748B">
        <w:t xml:space="preserve">Budget </w:t>
      </w:r>
      <w:r>
        <w:t xml:space="preserve">Outcome </w:t>
      </w:r>
      <w:r w:rsidRPr="0041748B">
        <w:t>201</w:t>
      </w:r>
      <w:r>
        <w:t>2</w:t>
      </w:r>
      <w:r w:rsidRPr="0041748B">
        <w:t>-1</w:t>
      </w:r>
      <w:r>
        <w:t>3</w:t>
      </w:r>
    </w:p>
    <w:p w:rsidR="009A07F5" w:rsidRPr="00A47403" w:rsidRDefault="009A07F5" w:rsidP="005637DD">
      <w:r w:rsidRPr="008D731A">
        <w:rPr>
          <w:b/>
        </w:rPr>
        <w:t>Assistance to the aged</w:t>
      </w:r>
      <w:r w:rsidRPr="00A47403">
        <w:t xml:space="preserve"> amounted to $</w:t>
      </w:r>
      <w:r>
        <w:t>50.7</w:t>
      </w:r>
      <w:r w:rsidR="0011574A">
        <w:t> </w:t>
      </w:r>
      <w:r w:rsidRPr="00A47403">
        <w:t>billion in 201</w:t>
      </w:r>
      <w:r>
        <w:t>2</w:t>
      </w:r>
      <w:r w:rsidR="003E0138" w:rsidRPr="006B456E">
        <w:noBreakHyphen/>
      </w:r>
      <w:r w:rsidRPr="00A47403">
        <w:t>1</w:t>
      </w:r>
      <w:r>
        <w:t>3</w:t>
      </w:r>
      <w:r w:rsidR="00425D64">
        <w:t>, or 38</w:t>
      </w:r>
      <w:r w:rsidR="0011574A">
        <w:t> </w:t>
      </w:r>
      <w:r w:rsidR="009F70CE">
        <w:t>per</w:t>
      </w:r>
      <w:r w:rsidR="0011574A">
        <w:t> </w:t>
      </w:r>
      <w:r w:rsidR="009F70CE">
        <w:t>cent of social security and w</w:t>
      </w:r>
      <w:r w:rsidR="00442FDF">
        <w:t>elfare spending</w:t>
      </w:r>
      <w:r w:rsidR="009106EB">
        <w:t>.  This included</w:t>
      </w:r>
      <w:r w:rsidRPr="00A47403">
        <w:t xml:space="preserve"> the </w:t>
      </w:r>
      <w:r>
        <w:t>A</w:t>
      </w:r>
      <w:r w:rsidRPr="00A47403">
        <w:t xml:space="preserve">ge </w:t>
      </w:r>
      <w:r>
        <w:t>P</w:t>
      </w:r>
      <w:r w:rsidRPr="00A47403">
        <w:t xml:space="preserve">ension and aged care </w:t>
      </w:r>
      <w:r w:rsidR="00981027">
        <w:t>spending</w:t>
      </w:r>
      <w:r>
        <w:t xml:space="preserve"> (which is primarily residential and flexible care for the aged)</w:t>
      </w:r>
      <w:r w:rsidRPr="00A47403">
        <w:t>.</w:t>
      </w:r>
      <w:r w:rsidR="009106EB">
        <w:t xml:space="preserve"> </w:t>
      </w:r>
      <w:r w:rsidRPr="00A47403">
        <w:t xml:space="preserve"> </w:t>
      </w:r>
      <w:r w:rsidRPr="00414653">
        <w:t xml:space="preserve">Spending on </w:t>
      </w:r>
      <w:r w:rsidRPr="008D731A">
        <w:rPr>
          <w:b/>
        </w:rPr>
        <w:t>assistance to families with children</w:t>
      </w:r>
      <w:r w:rsidRPr="00A47403">
        <w:t xml:space="preserve"> was $3</w:t>
      </w:r>
      <w:r>
        <w:t>5.1</w:t>
      </w:r>
      <w:r w:rsidR="00AB5396">
        <w:t> </w:t>
      </w:r>
      <w:r w:rsidRPr="00A47403">
        <w:t>billion (2</w:t>
      </w:r>
      <w:r w:rsidR="00425D64">
        <w:t>7</w:t>
      </w:r>
      <w:r w:rsidR="009F70CE">
        <w:t> </w:t>
      </w:r>
      <w:r w:rsidRPr="00A47403">
        <w:t>per cent o</w:t>
      </w:r>
      <w:r w:rsidR="009106EB">
        <w:t>f the total), and included</w:t>
      </w:r>
      <w:r w:rsidRPr="00A47403">
        <w:t xml:space="preserve"> Family Tax Benefit</w:t>
      </w:r>
      <w:r>
        <w:t xml:space="preserve"> (FTB)</w:t>
      </w:r>
      <w:r w:rsidRPr="00A47403">
        <w:t>, Parenting Payment</w:t>
      </w:r>
      <w:r>
        <w:t xml:space="preserve"> </w:t>
      </w:r>
      <w:r w:rsidRPr="00A47403">
        <w:t xml:space="preserve">and child care assistance programs. </w:t>
      </w:r>
      <w:r w:rsidR="0011574A">
        <w:t xml:space="preserve"> </w:t>
      </w:r>
      <w:r w:rsidRPr="00414653">
        <w:t xml:space="preserve">Spending on </w:t>
      </w:r>
      <w:r w:rsidRPr="008D731A">
        <w:rPr>
          <w:b/>
        </w:rPr>
        <w:t>assistance to people with disabilities</w:t>
      </w:r>
      <w:r w:rsidRPr="00A47403">
        <w:t xml:space="preserve"> was $2</w:t>
      </w:r>
      <w:r>
        <w:t>4</w:t>
      </w:r>
      <w:r w:rsidR="00425D64">
        <w:t>.0</w:t>
      </w:r>
      <w:r w:rsidR="0011574A">
        <w:t> </w:t>
      </w:r>
      <w:r w:rsidR="00425D64">
        <w:t>billion (18</w:t>
      </w:r>
      <w:r w:rsidR="0011574A">
        <w:t> </w:t>
      </w:r>
      <w:r w:rsidRPr="00A47403">
        <w:t>per</w:t>
      </w:r>
      <w:r w:rsidR="0011574A">
        <w:t> </w:t>
      </w:r>
      <w:r w:rsidRPr="00A47403">
        <w:t>cent</w:t>
      </w:r>
      <w:r>
        <w:t xml:space="preserve"> of spending in this area</w:t>
      </w:r>
      <w:r w:rsidR="009106EB">
        <w:t>), and included</w:t>
      </w:r>
      <w:r w:rsidRPr="00A47403">
        <w:t xml:space="preserve"> the Disability Support Pension</w:t>
      </w:r>
      <w:r w:rsidR="009F70CE">
        <w:t xml:space="preserve"> (DSP)</w:t>
      </w:r>
      <w:r w:rsidRPr="00A47403">
        <w:t>, payments to carers and funding for services for people with a disability.</w:t>
      </w:r>
    </w:p>
    <w:p w:rsidR="009A07F5" w:rsidRPr="00A47403" w:rsidRDefault="009A07F5" w:rsidP="005637DD">
      <w:r w:rsidRPr="00414653">
        <w:t xml:space="preserve">Spending on </w:t>
      </w:r>
      <w:r w:rsidRPr="008D731A">
        <w:rPr>
          <w:b/>
        </w:rPr>
        <w:t>assistance to the unemployed and the sick</w:t>
      </w:r>
      <w:r w:rsidRPr="00A47403">
        <w:t xml:space="preserve"> </w:t>
      </w:r>
      <w:r w:rsidRPr="00414653">
        <w:t xml:space="preserve">was </w:t>
      </w:r>
      <w:r w:rsidRPr="00A47403">
        <w:t>$</w:t>
      </w:r>
      <w:r>
        <w:t>8.5</w:t>
      </w:r>
      <w:r w:rsidR="0011574A">
        <w:t> </w:t>
      </w:r>
      <w:r w:rsidRPr="00974F65">
        <w:t>billion (</w:t>
      </w:r>
      <w:r w:rsidR="007B42BC" w:rsidRPr="00974F65">
        <w:t>6</w:t>
      </w:r>
      <w:r w:rsidR="0011574A">
        <w:t> </w:t>
      </w:r>
      <w:r w:rsidRPr="00974F65">
        <w:t>per</w:t>
      </w:r>
      <w:r w:rsidR="0011574A">
        <w:t> </w:t>
      </w:r>
      <w:r w:rsidRPr="00974F65">
        <w:t>cent</w:t>
      </w:r>
      <w:r w:rsidRPr="00A47403">
        <w:t>) in 201</w:t>
      </w:r>
      <w:r>
        <w:t>2</w:t>
      </w:r>
      <w:r w:rsidR="003E0138" w:rsidRPr="006B456E">
        <w:noBreakHyphen/>
      </w:r>
      <w:r w:rsidRPr="00A47403">
        <w:t>1</w:t>
      </w:r>
      <w:r>
        <w:t>3</w:t>
      </w:r>
      <w:r w:rsidR="009106EB">
        <w:t>, and included</w:t>
      </w:r>
      <w:r w:rsidRPr="00A47403">
        <w:t xml:space="preserve"> </w:t>
      </w:r>
      <w:proofErr w:type="spellStart"/>
      <w:r w:rsidRPr="00A47403">
        <w:t>Newstart</w:t>
      </w:r>
      <w:proofErr w:type="spellEnd"/>
      <w:r w:rsidRPr="00A47403">
        <w:t xml:space="preserve"> Allowance </w:t>
      </w:r>
      <w:r w:rsidRPr="00414653">
        <w:t xml:space="preserve">(the unemployment benefit) </w:t>
      </w:r>
      <w:r w:rsidRPr="00A47403">
        <w:t xml:space="preserve">and Youth Allowance for job seekers. </w:t>
      </w:r>
      <w:r w:rsidRPr="008D731A">
        <w:rPr>
          <w:b/>
        </w:rPr>
        <w:t>Assistance to veterans and dependants</w:t>
      </w:r>
      <w:r w:rsidRPr="00414653">
        <w:t xml:space="preserve"> </w:t>
      </w:r>
      <w:r w:rsidRPr="00A47403">
        <w:t>was $7.</w:t>
      </w:r>
      <w:r>
        <w:t>0</w:t>
      </w:r>
      <w:r w:rsidR="0011574A">
        <w:t> </w:t>
      </w:r>
      <w:r w:rsidR="00425D64">
        <w:t>billion (5</w:t>
      </w:r>
      <w:r w:rsidR="0011574A">
        <w:t> </w:t>
      </w:r>
      <w:r w:rsidR="009106EB">
        <w:t>per</w:t>
      </w:r>
      <w:r w:rsidR="0011574A">
        <w:t> </w:t>
      </w:r>
      <w:r w:rsidR="009106EB">
        <w:t>cent), and included</w:t>
      </w:r>
      <w:r w:rsidRPr="00A47403">
        <w:t xml:space="preserve"> </w:t>
      </w:r>
      <w:r w:rsidRPr="00414653">
        <w:t>v</w:t>
      </w:r>
      <w:r w:rsidRPr="00A47403">
        <w:t xml:space="preserve">eterans’ income support and allowances, </w:t>
      </w:r>
      <w:r w:rsidRPr="00414653">
        <w:t>v</w:t>
      </w:r>
      <w:r w:rsidRPr="00A47403">
        <w:t>eterans’ disability support and assistance to Defence widow/</w:t>
      </w:r>
      <w:proofErr w:type="spellStart"/>
      <w:r w:rsidRPr="00A47403">
        <w:t>ers</w:t>
      </w:r>
      <w:proofErr w:type="spellEnd"/>
      <w:r w:rsidRPr="00A47403">
        <w:t xml:space="preserve"> and dependants.</w:t>
      </w:r>
      <w:r w:rsidR="009106EB">
        <w:t xml:space="preserve"> </w:t>
      </w:r>
      <w:r w:rsidRPr="00A47403">
        <w:t xml:space="preserve"> </w:t>
      </w:r>
      <w:r w:rsidRPr="00414653">
        <w:t xml:space="preserve">Spending on </w:t>
      </w:r>
      <w:r w:rsidR="00ED7764">
        <w:rPr>
          <w:b/>
        </w:rPr>
        <w:t>assistance for</w:t>
      </w:r>
      <w:r w:rsidRPr="008D731A">
        <w:rPr>
          <w:b/>
        </w:rPr>
        <w:t xml:space="preserve"> Indigenous Australians not elsewhere classified</w:t>
      </w:r>
      <w:r w:rsidRPr="00DF66EF">
        <w:rPr>
          <w:b/>
        </w:rPr>
        <w:t xml:space="preserve"> (</w:t>
      </w:r>
      <w:proofErr w:type="spellStart"/>
      <w:proofErr w:type="gramStart"/>
      <w:r w:rsidRPr="00DF66EF">
        <w:rPr>
          <w:b/>
        </w:rPr>
        <w:t>nec</w:t>
      </w:r>
      <w:proofErr w:type="spellEnd"/>
      <w:proofErr w:type="gramEnd"/>
      <w:r w:rsidRPr="00DF66EF">
        <w:rPr>
          <w:b/>
        </w:rPr>
        <w:t xml:space="preserve">) </w:t>
      </w:r>
      <w:r w:rsidRPr="00A47403">
        <w:t>was $1.</w:t>
      </w:r>
      <w:r>
        <w:t>2 </w:t>
      </w:r>
      <w:r w:rsidRPr="00A47403">
        <w:t>billion (</w:t>
      </w:r>
      <w:r w:rsidR="00425D64">
        <w:t>1</w:t>
      </w:r>
      <w:r w:rsidRPr="00A47403">
        <w:t> per cent).</w:t>
      </w:r>
      <w:r w:rsidRPr="00414653">
        <w:t xml:space="preserve"> </w:t>
      </w:r>
      <w:r w:rsidR="009106EB">
        <w:t xml:space="preserve"> </w:t>
      </w:r>
      <w:r w:rsidRPr="00414653">
        <w:t>This include</w:t>
      </w:r>
      <w:r w:rsidR="009106EB">
        <w:t>d</w:t>
      </w:r>
      <w:r w:rsidRPr="00414653">
        <w:t xml:space="preserve"> programs relating to Indigenous economic development, housing, infrastructure, land rights and some of the spending relating to the </w:t>
      </w:r>
      <w:r w:rsidRPr="00AB5396">
        <w:rPr>
          <w:i/>
        </w:rPr>
        <w:t>Stronger Futures in the Northern Territory</w:t>
      </w:r>
      <w:r w:rsidRPr="00414653">
        <w:t xml:space="preserve"> package (previously known as the Northern Territory </w:t>
      </w:r>
      <w:r w:rsidR="007E5961">
        <w:t>Emergency Response).</w:t>
      </w:r>
    </w:p>
    <w:p w:rsidR="001526DD" w:rsidRDefault="009A07F5" w:rsidP="005637DD">
      <w:r w:rsidRPr="00A47403">
        <w:lastRenderedPageBreak/>
        <w:t xml:space="preserve">The other programs in this area are </w:t>
      </w:r>
      <w:r w:rsidRPr="008D731A">
        <w:rPr>
          <w:b/>
        </w:rPr>
        <w:t>general administration</w:t>
      </w:r>
      <w:r w:rsidRPr="00A47403">
        <w:t xml:space="preserve">, </w:t>
      </w:r>
      <w:r w:rsidR="00BB4557">
        <w:t>at</w:t>
      </w:r>
      <w:r w:rsidRPr="00A47403">
        <w:t xml:space="preserve"> $3.9</w:t>
      </w:r>
      <w:r w:rsidR="007E5961">
        <w:t> </w:t>
      </w:r>
      <w:r w:rsidRPr="00A47403">
        <w:t>billion (</w:t>
      </w:r>
      <w:r w:rsidR="00425D64">
        <w:t>3</w:t>
      </w:r>
      <w:r>
        <w:t xml:space="preserve"> </w:t>
      </w:r>
      <w:r w:rsidRPr="00A47403">
        <w:t>per cent), which include</w:t>
      </w:r>
      <w:r w:rsidR="009106EB">
        <w:t>d</w:t>
      </w:r>
      <w:r w:rsidRPr="00A47403">
        <w:t xml:space="preserve"> </w:t>
      </w:r>
      <w:r w:rsidR="009F70CE">
        <w:t xml:space="preserve">expenses associated with </w:t>
      </w:r>
      <w:r>
        <w:t xml:space="preserve">delivering </w:t>
      </w:r>
      <w:r w:rsidRPr="00A47403">
        <w:t xml:space="preserve">social welfare programs; and </w:t>
      </w:r>
      <w:r w:rsidRPr="008D731A">
        <w:rPr>
          <w:b/>
        </w:rPr>
        <w:t>other welfare programs</w:t>
      </w:r>
      <w:r w:rsidRPr="00A47403">
        <w:t xml:space="preserve">, </w:t>
      </w:r>
      <w:r w:rsidR="00BB4557">
        <w:t>at</w:t>
      </w:r>
      <w:r>
        <w:t xml:space="preserve"> $1.6 </w:t>
      </w:r>
      <w:r w:rsidRPr="00A47403">
        <w:t>billion (</w:t>
      </w:r>
      <w:r w:rsidR="00425D64">
        <w:t>1</w:t>
      </w:r>
      <w:r w:rsidR="0078351A">
        <w:t> </w:t>
      </w:r>
      <w:r w:rsidRPr="00A47403">
        <w:t>per</w:t>
      </w:r>
      <w:r w:rsidR="0078351A">
        <w:t> </w:t>
      </w:r>
      <w:r w:rsidR="009106EB">
        <w:t>cent), which included</w:t>
      </w:r>
      <w:r w:rsidRPr="00A47403">
        <w:t xml:space="preserve"> the </w:t>
      </w:r>
      <w:r w:rsidRPr="00414653">
        <w:t>S</w:t>
      </w:r>
      <w:r w:rsidRPr="00A47403">
        <w:t xml:space="preserve">uperannuation </w:t>
      </w:r>
      <w:r w:rsidRPr="00414653">
        <w:t>C</w:t>
      </w:r>
      <w:r>
        <w:t>o</w:t>
      </w:r>
      <w:r>
        <w:noBreakHyphen/>
      </w:r>
      <w:r w:rsidRPr="00A47403">
        <w:t>contribution and the Low Income Superannuation Contribution.</w:t>
      </w:r>
    </w:p>
    <w:p w:rsidR="009A07F5" w:rsidRPr="00414653" w:rsidRDefault="009A07F5" w:rsidP="005637DD">
      <w:pPr>
        <w:pStyle w:val="Heading20"/>
        <w:rPr>
          <w:rFonts w:eastAsia="MS PGothic"/>
        </w:rPr>
      </w:pPr>
      <w:bookmarkStart w:id="60" w:name="_Toc372693130"/>
      <w:bookmarkStart w:id="61" w:name="_Toc372697965"/>
      <w:r>
        <w:rPr>
          <w:rFonts w:eastAsia="MS PGothic"/>
        </w:rPr>
        <w:t>Trends in social security and w</w:t>
      </w:r>
      <w:r w:rsidRPr="00414653">
        <w:rPr>
          <w:rFonts w:eastAsia="MS PGothic"/>
        </w:rPr>
        <w:t>elfare</w:t>
      </w:r>
      <w:r>
        <w:rPr>
          <w:rFonts w:eastAsia="MS PGothic"/>
        </w:rPr>
        <w:t xml:space="preserve"> expenses</w:t>
      </w:r>
      <w:bookmarkEnd w:id="60"/>
      <w:bookmarkEnd w:id="61"/>
    </w:p>
    <w:p w:rsidR="009A07F5" w:rsidRPr="004236EB" w:rsidRDefault="009A07F5" w:rsidP="005637DD">
      <w:r w:rsidRPr="0041748B">
        <w:t xml:space="preserve">Over the </w:t>
      </w:r>
      <w:r>
        <w:t>period 2002</w:t>
      </w:r>
      <w:r w:rsidR="003E0138" w:rsidRPr="006B456E">
        <w:noBreakHyphen/>
      </w:r>
      <w:r>
        <w:t>03 to 2012</w:t>
      </w:r>
      <w:r w:rsidR="003E0138" w:rsidRPr="006B456E">
        <w:noBreakHyphen/>
      </w:r>
      <w:r>
        <w:t xml:space="preserve">13, </w:t>
      </w:r>
      <w:r w:rsidRPr="0041748B">
        <w:t xml:space="preserve">social security and welfare </w:t>
      </w:r>
      <w:r w:rsidR="00AB5396">
        <w:t xml:space="preserve">spending </w:t>
      </w:r>
      <w:r w:rsidRPr="00974F65">
        <w:t>grew by 43.</w:t>
      </w:r>
      <w:r w:rsidR="007B42BC" w:rsidRPr="00974F65">
        <w:t>2</w:t>
      </w:r>
      <w:r w:rsidR="007E5961">
        <w:t> </w:t>
      </w:r>
      <w:r w:rsidR="00ED7764" w:rsidRPr="00974F65">
        <w:t>per</w:t>
      </w:r>
      <w:r w:rsidR="007E5961">
        <w:t> </w:t>
      </w:r>
      <w:r w:rsidR="00ED7764" w:rsidRPr="00974F65">
        <w:t>cent, or 3.7</w:t>
      </w:r>
      <w:r w:rsidR="007E5961">
        <w:t> </w:t>
      </w:r>
      <w:r w:rsidR="00ED7764" w:rsidRPr="00974F65">
        <w:t>per</w:t>
      </w:r>
      <w:r w:rsidR="007E5961">
        <w:t> </w:t>
      </w:r>
      <w:r w:rsidR="00ED7764" w:rsidRPr="00974F65">
        <w:t xml:space="preserve">cent </w:t>
      </w:r>
      <w:r w:rsidR="00425D64" w:rsidRPr="00974F65">
        <w:t>annually</w:t>
      </w:r>
      <w:r w:rsidRPr="00974F65">
        <w:t xml:space="preserve">.  </w:t>
      </w:r>
      <w:r w:rsidRPr="00974F65">
        <w:rPr>
          <w:lang w:val="en"/>
        </w:rPr>
        <w:t>This exceeded GDP growth of 34.3</w:t>
      </w:r>
      <w:r w:rsidR="00646A10">
        <w:rPr>
          <w:lang w:val="en"/>
        </w:rPr>
        <w:t> </w:t>
      </w:r>
      <w:r w:rsidRPr="00974F65">
        <w:rPr>
          <w:lang w:val="en"/>
        </w:rPr>
        <w:t>per</w:t>
      </w:r>
      <w:r w:rsidR="00646A10">
        <w:rPr>
          <w:lang w:val="en"/>
        </w:rPr>
        <w:t> </w:t>
      </w:r>
      <w:r w:rsidRPr="00974F65">
        <w:rPr>
          <w:lang w:val="en"/>
        </w:rPr>
        <w:t>cent over the same period</w:t>
      </w:r>
      <w:r w:rsidR="004B5BFA" w:rsidRPr="00974F65">
        <w:rPr>
          <w:lang w:val="en"/>
        </w:rPr>
        <w:t>, or 3.0 per </w:t>
      </w:r>
      <w:r w:rsidRPr="00974F65">
        <w:rPr>
          <w:lang w:val="en"/>
        </w:rPr>
        <w:t xml:space="preserve">cent </w:t>
      </w:r>
      <w:r w:rsidR="00425D64" w:rsidRPr="00974F65">
        <w:rPr>
          <w:lang w:val="en"/>
        </w:rPr>
        <w:t>annually</w:t>
      </w:r>
      <w:r w:rsidRPr="00974F65">
        <w:rPr>
          <w:lang w:val="en"/>
        </w:rPr>
        <w:t xml:space="preserve">. </w:t>
      </w:r>
      <w:r w:rsidR="00ED7764" w:rsidRPr="00974F65">
        <w:rPr>
          <w:lang w:val="en"/>
        </w:rPr>
        <w:t xml:space="preserve"> </w:t>
      </w:r>
      <w:r w:rsidRPr="00974F65">
        <w:t>T</w:t>
      </w:r>
      <w:r w:rsidR="007B42BC" w:rsidRPr="00974F65">
        <w:t>here were</w:t>
      </w:r>
      <w:r w:rsidRPr="00974F65">
        <w:t xml:space="preserve"> some sub-periods where spending</w:t>
      </w:r>
      <w:r w:rsidRPr="0041748B">
        <w:t xml:space="preserve"> grew at a different rate.  </w:t>
      </w:r>
      <w:r>
        <w:t>T</w:t>
      </w:r>
      <w:r w:rsidRPr="0041748B">
        <w:t>h</w:t>
      </w:r>
      <w:r w:rsidR="00ED7764">
        <w:t>ere was a large one</w:t>
      </w:r>
      <w:r w:rsidR="00ED7764">
        <w:noBreakHyphen/>
      </w:r>
      <w:r w:rsidRPr="0041748B">
        <w:t>off increase in various payments in 200</w:t>
      </w:r>
      <w:r>
        <w:t>8-09 due to the fiscal stimulus and</w:t>
      </w:r>
      <w:r w:rsidRPr="0041748B">
        <w:t xml:space="preserve"> </w:t>
      </w:r>
      <w:r>
        <w:t xml:space="preserve">spending grew </w:t>
      </w:r>
      <w:r w:rsidRPr="004236EB">
        <w:t>particularly strongly in 2010</w:t>
      </w:r>
      <w:r w:rsidR="003E0138" w:rsidRPr="006B456E">
        <w:noBreakHyphen/>
      </w:r>
      <w:r w:rsidRPr="004236EB">
        <w:t>11 and 2011</w:t>
      </w:r>
      <w:r w:rsidR="003E0138" w:rsidRPr="006B456E">
        <w:noBreakHyphen/>
      </w:r>
      <w:r w:rsidRPr="004236EB">
        <w:t>12</w:t>
      </w:r>
      <w:r w:rsidR="00ED7764" w:rsidRPr="004236EB">
        <w:t xml:space="preserve"> due to increased payments to pensioners and families with children.</w:t>
      </w:r>
    </w:p>
    <w:p w:rsidR="009A07F5" w:rsidRPr="004236EB" w:rsidRDefault="009A07F5" w:rsidP="005637DD">
      <w:r w:rsidRPr="004236EB">
        <w:t>The cumulative growth in spending on this function is shown in Figure</w:t>
      </w:r>
      <w:r w:rsidR="00646A10">
        <w:t> </w:t>
      </w:r>
      <w:r w:rsidRPr="004236EB">
        <w:t>2.2 below.</w:t>
      </w:r>
    </w:p>
    <w:p w:rsidR="00AE0981" w:rsidRDefault="00AE0981" w:rsidP="007A4A40">
      <w:pPr>
        <w:pStyle w:val="Caption"/>
      </w:pPr>
      <w:bookmarkStart w:id="62" w:name="_Ref372712722"/>
      <w:bookmarkStart w:id="63" w:name="_Toc373422173"/>
      <w:bookmarkStart w:id="64" w:name="_Toc373873645"/>
      <w:bookmarkStart w:id="65" w:name="_Toc373955548"/>
      <w:bookmarkStart w:id="66" w:name="_Toc374088493"/>
      <w:bookmarkStart w:id="67" w:name="_Toc374102200"/>
      <w:bookmarkStart w:id="68" w:name="_Toc374349989"/>
      <w:proofErr w:type="gramStart"/>
      <w:r w:rsidRPr="004236EB">
        <w:t xml:space="preserve">Figure </w:t>
      </w:r>
      <w:fldSimple w:instr=" STYLEREF 1 \s ">
        <w:r w:rsidR="00E862AC">
          <w:rPr>
            <w:noProof/>
          </w:rPr>
          <w:t>2</w:t>
        </w:r>
      </w:fldSimple>
      <w:r w:rsidR="00F90856" w:rsidRPr="004236EB">
        <w:t>.</w:t>
      </w:r>
      <w:proofErr w:type="gramEnd"/>
      <w:r w:rsidR="00143AAD">
        <w:fldChar w:fldCharType="begin"/>
      </w:r>
      <w:r w:rsidR="00143AAD">
        <w:instrText xml:space="preserve"> SEQ Figure \* ARABIC \s 1 </w:instrText>
      </w:r>
      <w:r w:rsidR="00143AAD">
        <w:fldChar w:fldCharType="separate"/>
      </w:r>
      <w:r w:rsidR="00E862AC">
        <w:rPr>
          <w:noProof/>
        </w:rPr>
        <w:t>2</w:t>
      </w:r>
      <w:r w:rsidR="00143AAD">
        <w:rPr>
          <w:noProof/>
        </w:rPr>
        <w:fldChar w:fldCharType="end"/>
      </w:r>
      <w:bookmarkEnd w:id="62"/>
      <w:r w:rsidRPr="004236EB">
        <w:t>:</w:t>
      </w:r>
      <w:r w:rsidR="00773778">
        <w:tab/>
      </w:r>
      <w:r w:rsidRPr="004236EB">
        <w:t xml:space="preserve">Contributions to growth in social security and welfare </w:t>
      </w:r>
      <w:r w:rsidR="008A1BDB" w:rsidRPr="004236EB">
        <w:t>expenses</w:t>
      </w:r>
      <w:r w:rsidR="00D3790A" w:rsidRPr="004236EB">
        <w:rPr>
          <w:rStyle w:val="FootnoteReference"/>
        </w:rPr>
        <w:footnoteReference w:id="6"/>
      </w:r>
      <w:bookmarkEnd w:id="63"/>
      <w:bookmarkEnd w:id="64"/>
      <w:bookmarkEnd w:id="65"/>
      <w:bookmarkEnd w:id="66"/>
      <w:bookmarkEnd w:id="67"/>
      <w:bookmarkEnd w:id="68"/>
    </w:p>
    <w:p w:rsidR="005637DD" w:rsidRDefault="007F2075" w:rsidP="00B055EE">
      <w:pPr>
        <w:pStyle w:val="ChartorTableNote"/>
        <w:spacing w:after="0"/>
        <w:jc w:val="center"/>
        <w:rPr>
          <w:rStyle w:val="FigureCaptionChar"/>
          <w:rFonts w:eastAsia="MS PGothic"/>
        </w:rPr>
      </w:pPr>
      <w:r>
        <w:rPr>
          <w:rFonts w:ascii="Calibri" w:eastAsia="MS PGothic" w:hAnsi="Calibri" w:cs="Times New Roman"/>
          <w:noProof/>
          <w:sz w:val="18"/>
          <w:szCs w:val="20"/>
        </w:rPr>
        <w:drawing>
          <wp:inline distT="0" distB="0" distL="0" distR="0" wp14:anchorId="0392D4D9" wp14:editId="32FC2F59">
            <wp:extent cx="5402240" cy="3505200"/>
            <wp:effectExtent l="0" t="0" r="8255" b="0"/>
            <wp:docPr id="21" name="Picture 21" descr="This chart shows that real social security and welfare expenses grew faster than real GDP over the period 2002–03 to 2012–13.  It highlights that the largest contribution to this growth came from assistance to the aged, at almost a half, followed by assistance to people with disabilities.&#10;"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2581" b="2410"/>
                    <a:stretch/>
                  </pic:blipFill>
                  <pic:spPr bwMode="auto">
                    <a:xfrm>
                      <a:off x="0" y="0"/>
                      <a:ext cx="5401310" cy="3504596"/>
                    </a:xfrm>
                    <a:prstGeom prst="rect">
                      <a:avLst/>
                    </a:prstGeom>
                    <a:noFill/>
                    <a:ln>
                      <a:noFill/>
                    </a:ln>
                    <a:extLst>
                      <a:ext uri="{53640926-AAD7-44D8-BBD7-CCE9431645EC}">
                        <a14:shadowObscured xmlns:a14="http://schemas.microsoft.com/office/drawing/2010/main"/>
                      </a:ext>
                    </a:extLst>
                  </pic:spPr>
                </pic:pic>
              </a:graphicData>
            </a:graphic>
          </wp:inline>
        </w:drawing>
      </w:r>
    </w:p>
    <w:p w:rsidR="009A07F5" w:rsidRPr="005637DD" w:rsidRDefault="009A07F5" w:rsidP="00B055EE">
      <w:pPr>
        <w:pStyle w:val="ChartorTableNote"/>
        <w:spacing w:after="114"/>
        <w:rPr>
          <w:rStyle w:val="FigureCaptionChar"/>
          <w:rFonts w:eastAsia="MS PGothic"/>
        </w:rPr>
      </w:pPr>
      <w:r w:rsidRPr="005637DD">
        <w:rPr>
          <w:rStyle w:val="FigureCaptionChar"/>
          <w:rFonts w:eastAsia="MS PGothic"/>
        </w:rPr>
        <w:t>Source</w:t>
      </w:r>
      <w:r w:rsidR="00B132DA">
        <w:rPr>
          <w:rStyle w:val="FigureCaptionChar"/>
          <w:rFonts w:eastAsia="MS PGothic"/>
        </w:rPr>
        <w:t>s</w:t>
      </w:r>
      <w:r w:rsidRPr="005637DD">
        <w:rPr>
          <w:rStyle w:val="FigureCaptionChar"/>
          <w:rFonts w:eastAsia="MS PGothic"/>
        </w:rPr>
        <w:t>: Australian Government Final Budget Outcomes and ABS</w:t>
      </w:r>
    </w:p>
    <w:p w:rsidR="00F54F7D" w:rsidRDefault="00F54F7D" w:rsidP="00F54F7D">
      <w:pPr>
        <w:pStyle w:val="PBOtext"/>
      </w:pPr>
      <w:r>
        <w:t>The fiscal stimulus package increased social security and welfare expenses by $20.1</w:t>
      </w:r>
      <w:r w:rsidR="00646A10">
        <w:t> </w:t>
      </w:r>
      <w:r>
        <w:t>billion in 2008</w:t>
      </w:r>
      <w:r w:rsidR="003E0138" w:rsidRPr="006B456E">
        <w:noBreakHyphen/>
      </w:r>
      <w:r>
        <w:t>09, made up of a variety of one</w:t>
      </w:r>
      <w:r w:rsidR="003E0138" w:rsidRPr="006B456E">
        <w:noBreakHyphen/>
      </w:r>
      <w:r>
        <w:t>off payments to households.  These included</w:t>
      </w:r>
      <w:r w:rsidRPr="00414653">
        <w:t xml:space="preserve"> one</w:t>
      </w:r>
      <w:r w:rsidR="003E0138" w:rsidRPr="006B456E">
        <w:noBreakHyphen/>
      </w:r>
      <w:r w:rsidR="00445839">
        <w:t>off payments to pensioners of</w:t>
      </w:r>
      <w:r w:rsidRPr="00414653">
        <w:t xml:space="preserve"> $1,400 to single</w:t>
      </w:r>
      <w:r>
        <w:t>s</w:t>
      </w:r>
      <w:r w:rsidRPr="00414653">
        <w:t xml:space="preserve"> and $2,100 to couples. </w:t>
      </w:r>
      <w:r>
        <w:t xml:space="preserve"> These </w:t>
      </w:r>
      <w:r w:rsidRPr="00414653">
        <w:t>payment</w:t>
      </w:r>
      <w:r>
        <w:t>s</w:t>
      </w:r>
      <w:r w:rsidRPr="00414653">
        <w:t xml:space="preserve"> (along with addition</w:t>
      </w:r>
      <w:r>
        <w:t>al payments to veterans, widows</w:t>
      </w:r>
      <w:r w:rsidR="009F70CE">
        <w:t xml:space="preserve"> and carers) totalled</w:t>
      </w:r>
      <w:r w:rsidRPr="00414653">
        <w:t xml:space="preserve"> $4.9</w:t>
      </w:r>
      <w:r w:rsidR="00646A10">
        <w:t> </w:t>
      </w:r>
      <w:r w:rsidRPr="00414653">
        <w:t>billion in 2008</w:t>
      </w:r>
      <w:r w:rsidR="003E0138" w:rsidRPr="006B456E">
        <w:noBreakHyphen/>
      </w:r>
      <w:r w:rsidRPr="00414653">
        <w:t>09.</w:t>
      </w:r>
    </w:p>
    <w:p w:rsidR="001178A9" w:rsidRDefault="001178A9">
      <w:pPr>
        <w:spacing w:before="0" w:after="200" w:line="252" w:lineRule="auto"/>
      </w:pPr>
      <w:r>
        <w:br w:type="page"/>
      </w:r>
    </w:p>
    <w:p w:rsidR="001526DD" w:rsidRDefault="003E0138" w:rsidP="00F54F7D">
      <w:pPr>
        <w:pStyle w:val="PBOtext"/>
      </w:pPr>
      <w:r>
        <w:lastRenderedPageBreak/>
        <w:t>There was also a one</w:t>
      </w:r>
      <w:r w:rsidRPr="006B456E">
        <w:noBreakHyphen/>
      </w:r>
      <w:r w:rsidR="00F54F7D" w:rsidRPr="004236EB">
        <w:t>o</w:t>
      </w:r>
      <w:r w:rsidR="00646A10">
        <w:t>ff payment in 2008</w:t>
      </w:r>
      <w:r w:rsidRPr="006B456E">
        <w:noBreakHyphen/>
      </w:r>
      <w:r w:rsidR="00646A10">
        <w:t>09 of $1,000 </w:t>
      </w:r>
      <w:r w:rsidR="00F54F7D" w:rsidRPr="004236EB">
        <w:t xml:space="preserve">per </w:t>
      </w:r>
      <w:r w:rsidR="00ED7764" w:rsidRPr="004236EB">
        <w:t>FTB Part A (</w:t>
      </w:r>
      <w:r w:rsidR="00F54F7D" w:rsidRPr="004236EB">
        <w:t>FTB-A</w:t>
      </w:r>
      <w:r w:rsidR="00ED7764" w:rsidRPr="004236EB">
        <w:t>)</w:t>
      </w:r>
      <w:r w:rsidR="00F54F7D" w:rsidRPr="004236EB">
        <w:t xml:space="preserve"> eligible child, costing $3.9</w:t>
      </w:r>
      <w:r w:rsidR="00646A10">
        <w:t> </w:t>
      </w:r>
      <w:r w:rsidR="00F54F7D" w:rsidRPr="004236EB">
        <w:t>billion, a B</w:t>
      </w:r>
      <w:r w:rsidR="00ED7764" w:rsidRPr="004236EB">
        <w:t>ack to School Bonus of $950</w:t>
      </w:r>
      <w:r w:rsidR="00646A10">
        <w:t> </w:t>
      </w:r>
      <w:r w:rsidR="00ED7764" w:rsidRPr="004236EB">
        <w:t>per</w:t>
      </w:r>
      <w:r w:rsidR="00F54F7D" w:rsidRPr="004236EB">
        <w:t xml:space="preserve"> eligib</w:t>
      </w:r>
      <w:r w:rsidR="007B42BC">
        <w:t>le child in 2008</w:t>
      </w:r>
      <w:r w:rsidRPr="006B456E">
        <w:noBreakHyphen/>
      </w:r>
      <w:r w:rsidR="007B42BC">
        <w:t xml:space="preserve">09 </w:t>
      </w:r>
      <w:r w:rsidR="007B42BC" w:rsidRPr="00974F65">
        <w:t>costing $2.7</w:t>
      </w:r>
      <w:r w:rsidR="00646A10">
        <w:t> </w:t>
      </w:r>
      <w:r w:rsidR="00F54F7D" w:rsidRPr="00974F65">
        <w:t>billion</w:t>
      </w:r>
      <w:r w:rsidR="00F54F7D" w:rsidRPr="004236EB">
        <w:t xml:space="preserve">, and payment of $950 per family receiving </w:t>
      </w:r>
      <w:r w:rsidR="00ED7764" w:rsidRPr="004236EB">
        <w:t>FTB Part B (</w:t>
      </w:r>
      <w:r w:rsidR="00F54F7D" w:rsidRPr="004236EB">
        <w:t>FTB</w:t>
      </w:r>
      <w:r w:rsidRPr="006B456E">
        <w:noBreakHyphen/>
      </w:r>
      <w:r w:rsidR="00F54F7D" w:rsidRPr="004236EB">
        <w:t>B</w:t>
      </w:r>
      <w:r w:rsidR="00ED7764" w:rsidRPr="004236EB">
        <w:t>)</w:t>
      </w:r>
      <w:r w:rsidR="00F54F7D" w:rsidRPr="004236EB">
        <w:t>, also in 2008</w:t>
      </w:r>
      <w:r w:rsidR="00F54F7D" w:rsidRPr="004236EB">
        <w:noBreakHyphen/>
        <w:t>09, costing $1.4</w:t>
      </w:r>
      <w:r w:rsidR="00646A10">
        <w:t> </w:t>
      </w:r>
      <w:r w:rsidR="00F54F7D" w:rsidRPr="004236EB">
        <w:t>billion.  In addition, there was a payment of up to $950 to Australians who paid tax in 2007</w:t>
      </w:r>
      <w:r w:rsidRPr="006B456E">
        <w:noBreakHyphen/>
      </w:r>
      <w:r w:rsidR="00F54F7D" w:rsidRPr="004236EB">
        <w:t xml:space="preserve">08 (the </w:t>
      </w:r>
      <w:r w:rsidR="00F54F7D" w:rsidRPr="004236EB">
        <w:rPr>
          <w:i/>
        </w:rPr>
        <w:t>Tax Bonus for Working Australians</w:t>
      </w:r>
      <w:r w:rsidR="00F54F7D" w:rsidRPr="004236EB">
        <w:t xml:space="preserve">), </w:t>
      </w:r>
      <w:r w:rsidR="00BB4557" w:rsidRPr="004236EB">
        <w:t>of</w:t>
      </w:r>
      <w:r w:rsidR="00974F65">
        <w:t xml:space="preserve"> </w:t>
      </w:r>
      <w:r w:rsidR="00974F65" w:rsidRPr="002371A2">
        <w:t>$7.</w:t>
      </w:r>
      <w:r w:rsidR="002371A2" w:rsidRPr="002371A2">
        <w:t>8</w:t>
      </w:r>
      <w:r w:rsidR="00646A10">
        <w:t> </w:t>
      </w:r>
      <w:r w:rsidR="00F54F7D" w:rsidRPr="004236EB">
        <w:t>billion in total, with $7.4</w:t>
      </w:r>
      <w:r w:rsidR="00646A10">
        <w:t> </w:t>
      </w:r>
      <w:r w:rsidR="00F54F7D" w:rsidRPr="004236EB">
        <w:t>billion of this spent in 2008</w:t>
      </w:r>
      <w:r w:rsidRPr="006B456E">
        <w:noBreakHyphen/>
      </w:r>
      <w:r w:rsidR="00F54F7D" w:rsidRPr="004236EB">
        <w:t>09.</w:t>
      </w:r>
    </w:p>
    <w:p w:rsidR="009A07F5" w:rsidRPr="00653FAB" w:rsidRDefault="00C8231D" w:rsidP="00AE0981">
      <w:pPr>
        <w:pStyle w:val="PBOtext"/>
        <w:rPr>
          <w:rFonts w:ascii="Arial" w:eastAsia="MS PGothic" w:hAnsi="Arial" w:cs="Arial"/>
          <w:sz w:val="16"/>
          <w:szCs w:val="16"/>
        </w:rPr>
      </w:pPr>
      <w:r>
        <w:fldChar w:fldCharType="begin"/>
      </w:r>
      <w:r>
        <w:instrText xml:space="preserve"> REF _Ref372712755 \h </w:instrText>
      </w:r>
      <w:r>
        <w:fldChar w:fldCharType="separate"/>
      </w:r>
      <w:r w:rsidR="00E862AC">
        <w:t xml:space="preserve">Table </w:t>
      </w:r>
      <w:r w:rsidR="00E862AC">
        <w:rPr>
          <w:noProof/>
        </w:rPr>
        <w:t>2</w:t>
      </w:r>
      <w:r w:rsidR="00E862AC">
        <w:t>.</w:t>
      </w:r>
      <w:r w:rsidR="00E862AC">
        <w:rPr>
          <w:noProof/>
        </w:rPr>
        <w:t>1</w:t>
      </w:r>
      <w:r>
        <w:fldChar w:fldCharType="end"/>
      </w:r>
      <w:r>
        <w:t xml:space="preserve"> </w:t>
      </w:r>
      <w:r w:rsidR="009A07F5">
        <w:t>summarises the trends in social security and welfare spending.</w:t>
      </w:r>
    </w:p>
    <w:p w:rsidR="00AE0981" w:rsidRDefault="00AE0981" w:rsidP="006220A8">
      <w:pPr>
        <w:pStyle w:val="PBOfiguretableheading"/>
        <w:tabs>
          <w:tab w:val="left" w:pos="1134"/>
        </w:tabs>
      </w:pPr>
      <w:bookmarkStart w:id="69" w:name="_Ref372712755"/>
      <w:bookmarkStart w:id="70" w:name="_Toc373422194"/>
      <w:bookmarkStart w:id="71" w:name="_Toc373873646"/>
      <w:bookmarkStart w:id="72" w:name="_Toc374102201"/>
      <w:bookmarkStart w:id="73" w:name="_Toc374350035"/>
      <w:proofErr w:type="gramStart"/>
      <w:r>
        <w:t xml:space="preserve">Table </w:t>
      </w:r>
      <w:fldSimple w:instr=" STYLEREF 1 \s ">
        <w:r w:rsidR="00E862AC">
          <w:rPr>
            <w:noProof/>
          </w:rPr>
          <w:t>2</w:t>
        </w:r>
      </w:fldSimple>
      <w:r w:rsidR="00935C60">
        <w:t>.</w:t>
      </w:r>
      <w:proofErr w:type="gramEnd"/>
      <w:r w:rsidR="00143AAD">
        <w:fldChar w:fldCharType="begin"/>
      </w:r>
      <w:r w:rsidR="00143AAD">
        <w:instrText xml:space="preserve"> SEQ Table \* ARABIC \s 1 </w:instrText>
      </w:r>
      <w:r w:rsidR="00143AAD">
        <w:fldChar w:fldCharType="separate"/>
      </w:r>
      <w:r w:rsidR="00E862AC">
        <w:rPr>
          <w:noProof/>
        </w:rPr>
        <w:t>1</w:t>
      </w:r>
      <w:r w:rsidR="00143AAD">
        <w:rPr>
          <w:noProof/>
        </w:rPr>
        <w:fldChar w:fldCharType="end"/>
      </w:r>
      <w:bookmarkEnd w:id="69"/>
      <w:r>
        <w:t>:</w:t>
      </w:r>
      <w:r w:rsidR="00773778">
        <w:tab/>
      </w:r>
      <w:r>
        <w:t>Summary of soci</w:t>
      </w:r>
      <w:r w:rsidR="00BB4557">
        <w:t>al security and welfare expenses</w:t>
      </w:r>
      <w:r>
        <w:t xml:space="preserve"> trends</w:t>
      </w:r>
      <w:bookmarkEnd w:id="70"/>
      <w:bookmarkEnd w:id="71"/>
      <w:bookmarkEnd w:id="72"/>
      <w:bookmarkEnd w:id="73"/>
    </w:p>
    <w:tbl>
      <w:tblPr>
        <w:tblStyle w:val="PBOtables"/>
        <w:tblW w:w="8364" w:type="dxa"/>
        <w:tblInd w:w="108" w:type="dxa"/>
        <w:tblLayout w:type="fixed"/>
        <w:tblLook w:val="04A0" w:firstRow="1" w:lastRow="0" w:firstColumn="1" w:lastColumn="0" w:noHBand="0" w:noVBand="1"/>
      </w:tblPr>
      <w:tblGrid>
        <w:gridCol w:w="3400"/>
        <w:gridCol w:w="1560"/>
        <w:gridCol w:w="1560"/>
        <w:gridCol w:w="1844"/>
      </w:tblGrid>
      <w:tr w:rsidR="0084299A" w:rsidRPr="0084299A" w:rsidTr="006D2B1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0" w:type="dxa"/>
            <w:vMerge w:val="restart"/>
            <w:tcBorders>
              <w:top w:val="single" w:sz="8" w:space="0" w:color="2B3B5F"/>
              <w:left w:val="single" w:sz="8" w:space="0" w:color="2B3B5F"/>
              <w:bottom w:val="single" w:sz="8" w:space="0" w:color="2B3B5F"/>
              <w:right w:val="single" w:sz="8" w:space="0" w:color="2B3B5F"/>
            </w:tcBorders>
            <w:shd w:val="clear" w:color="auto" w:fill="95A4C6"/>
            <w:hideMark/>
          </w:tcPr>
          <w:p w:rsidR="00785FF0" w:rsidRPr="0084299A" w:rsidRDefault="00785FF0" w:rsidP="0084299A">
            <w:pPr>
              <w:spacing w:before="0" w:after="0"/>
              <w:rPr>
                <w:color w:val="auto"/>
                <w:sz w:val="18"/>
                <w:szCs w:val="18"/>
              </w:rPr>
            </w:pPr>
            <w:r w:rsidRPr="0084299A">
              <w:rPr>
                <w:color w:val="auto"/>
                <w:sz w:val="18"/>
                <w:szCs w:val="18"/>
              </w:rPr>
              <w:t>Category</w:t>
            </w:r>
          </w:p>
        </w:tc>
        <w:tc>
          <w:tcPr>
            <w:tcW w:w="1560" w:type="dxa"/>
            <w:vMerge w:val="restart"/>
            <w:tcBorders>
              <w:top w:val="single" w:sz="8" w:space="0" w:color="2B3B5F"/>
              <w:left w:val="single" w:sz="8" w:space="0" w:color="2B3B5F"/>
              <w:bottom w:val="single" w:sz="8" w:space="0" w:color="2B3B5F"/>
              <w:right w:val="single" w:sz="8" w:space="0" w:color="2B3B5F"/>
            </w:tcBorders>
            <w:shd w:val="clear" w:color="auto" w:fill="95A4C6"/>
            <w:hideMark/>
          </w:tcPr>
          <w:p w:rsidR="00785FF0" w:rsidRPr="0084299A" w:rsidRDefault="0077170F" w:rsidP="00B2243C">
            <w:pPr>
              <w:spacing w:before="0" w:after="0"/>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84299A">
              <w:rPr>
                <w:color w:val="auto"/>
                <w:sz w:val="18"/>
                <w:szCs w:val="18"/>
              </w:rPr>
              <w:t>Share of</w:t>
            </w:r>
            <w:r w:rsidRPr="0084299A">
              <w:rPr>
                <w:color w:val="auto"/>
                <w:sz w:val="18"/>
                <w:szCs w:val="18"/>
              </w:rPr>
              <w:br/>
            </w:r>
            <w:r w:rsidR="008D016F" w:rsidRPr="0084299A">
              <w:rPr>
                <w:color w:val="auto"/>
                <w:sz w:val="18"/>
                <w:szCs w:val="18"/>
              </w:rPr>
              <w:t>2012-13 total</w:t>
            </w:r>
          </w:p>
        </w:tc>
        <w:tc>
          <w:tcPr>
            <w:tcW w:w="3404" w:type="dxa"/>
            <w:gridSpan w:val="2"/>
            <w:tcBorders>
              <w:top w:val="single" w:sz="8" w:space="0" w:color="2B3B5F"/>
              <w:left w:val="single" w:sz="8" w:space="0" w:color="2B3B5F"/>
              <w:bottom w:val="single" w:sz="8" w:space="0" w:color="2B3B5F"/>
              <w:right w:val="single" w:sz="8" w:space="0" w:color="2B3B5F"/>
            </w:tcBorders>
            <w:shd w:val="clear" w:color="auto" w:fill="95A4C6"/>
            <w:hideMark/>
          </w:tcPr>
          <w:p w:rsidR="00785FF0" w:rsidRPr="0084299A" w:rsidRDefault="00785FF0" w:rsidP="00B2243C">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r w:rsidRPr="0084299A">
              <w:rPr>
                <w:color w:val="auto"/>
                <w:sz w:val="18"/>
                <w:szCs w:val="18"/>
              </w:rPr>
              <w:t>Real spending growth 2002-03 to 2012-13</w:t>
            </w:r>
          </w:p>
        </w:tc>
      </w:tr>
      <w:tr w:rsidR="00516A1D" w:rsidRPr="00F83C3F" w:rsidTr="006D2B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0" w:type="dxa"/>
            <w:vMerge/>
            <w:tcBorders>
              <w:top w:val="single" w:sz="8" w:space="0" w:color="2B3B5F"/>
              <w:left w:val="single" w:sz="8" w:space="0" w:color="2B3B5F"/>
              <w:bottom w:val="single" w:sz="8" w:space="0" w:color="2B3B5F"/>
              <w:right w:val="single" w:sz="8" w:space="0" w:color="2B3B5F"/>
            </w:tcBorders>
            <w:shd w:val="clear" w:color="auto" w:fill="95A4C6"/>
            <w:hideMark/>
          </w:tcPr>
          <w:p w:rsidR="00785FF0" w:rsidRPr="00F83C3F" w:rsidRDefault="00785FF0" w:rsidP="00B2243C">
            <w:pPr>
              <w:spacing w:before="0" w:after="0"/>
              <w:rPr>
                <w:sz w:val="18"/>
                <w:szCs w:val="18"/>
              </w:rPr>
            </w:pPr>
          </w:p>
        </w:tc>
        <w:tc>
          <w:tcPr>
            <w:tcW w:w="1560" w:type="dxa"/>
            <w:vMerge/>
            <w:tcBorders>
              <w:top w:val="single" w:sz="8" w:space="0" w:color="2B3B5F"/>
              <w:left w:val="single" w:sz="8" w:space="0" w:color="2B3B5F"/>
              <w:bottom w:val="single" w:sz="8" w:space="0" w:color="2B3B5F"/>
              <w:right w:val="single" w:sz="8" w:space="0" w:color="2B3B5F"/>
            </w:tcBorders>
            <w:shd w:val="clear" w:color="auto" w:fill="95A4C6"/>
            <w:hideMark/>
          </w:tcPr>
          <w:p w:rsidR="00785FF0" w:rsidRPr="00F83C3F" w:rsidRDefault="00785FF0" w:rsidP="00B2243C">
            <w:pPr>
              <w:spacing w:before="0" w:after="0"/>
              <w:cnfStyle w:val="000000100000" w:firstRow="0" w:lastRow="0" w:firstColumn="0" w:lastColumn="0" w:oddVBand="0" w:evenVBand="0" w:oddHBand="1" w:evenHBand="0" w:firstRowFirstColumn="0" w:firstRowLastColumn="0" w:lastRowFirstColumn="0" w:lastRowLastColumn="0"/>
              <w:rPr>
                <w:sz w:val="18"/>
                <w:szCs w:val="18"/>
              </w:rPr>
            </w:pPr>
          </w:p>
        </w:tc>
        <w:tc>
          <w:tcPr>
            <w:tcW w:w="1560" w:type="dxa"/>
            <w:tcBorders>
              <w:top w:val="single" w:sz="8" w:space="0" w:color="2B3B5F"/>
              <w:left w:val="single" w:sz="8" w:space="0" w:color="2B3B5F"/>
              <w:bottom w:val="single" w:sz="8" w:space="0" w:color="2B3B5F"/>
              <w:right w:val="single" w:sz="8" w:space="0" w:color="2B3B5F"/>
            </w:tcBorders>
            <w:shd w:val="clear" w:color="auto" w:fill="95A4C6"/>
            <w:hideMark/>
          </w:tcPr>
          <w:p w:rsidR="00785FF0" w:rsidRPr="0084299A" w:rsidRDefault="00785FF0" w:rsidP="00B2243C">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84299A">
              <w:rPr>
                <w:b/>
                <w:sz w:val="18"/>
                <w:szCs w:val="18"/>
              </w:rPr>
              <w:t>Annual growth</w:t>
            </w:r>
          </w:p>
        </w:tc>
        <w:tc>
          <w:tcPr>
            <w:tcW w:w="1844" w:type="dxa"/>
            <w:tcBorders>
              <w:top w:val="single" w:sz="8" w:space="0" w:color="2B3B5F"/>
              <w:left w:val="single" w:sz="8" w:space="0" w:color="2B3B5F"/>
              <w:bottom w:val="single" w:sz="8" w:space="0" w:color="2B3B5F"/>
              <w:right w:val="single" w:sz="8" w:space="0" w:color="2B3B5F"/>
            </w:tcBorders>
            <w:shd w:val="clear" w:color="auto" w:fill="95A4C6"/>
            <w:hideMark/>
          </w:tcPr>
          <w:p w:rsidR="00785FF0" w:rsidRPr="0084299A" w:rsidRDefault="00785FF0" w:rsidP="00B2243C">
            <w:pPr>
              <w:spacing w:before="0" w:after="0"/>
              <w:cnfStyle w:val="000000100000" w:firstRow="0" w:lastRow="0" w:firstColumn="0" w:lastColumn="0" w:oddVBand="0" w:evenVBand="0" w:oddHBand="1" w:evenHBand="0" w:firstRowFirstColumn="0" w:firstRowLastColumn="0" w:lastRowFirstColumn="0" w:lastRowLastColumn="0"/>
              <w:rPr>
                <w:b/>
                <w:sz w:val="18"/>
                <w:szCs w:val="18"/>
              </w:rPr>
            </w:pPr>
            <w:r w:rsidRPr="0084299A">
              <w:rPr>
                <w:b/>
                <w:sz w:val="18"/>
                <w:szCs w:val="18"/>
              </w:rPr>
              <w:t>Contribution to</w:t>
            </w:r>
            <w:r w:rsidR="00F83C3F" w:rsidRPr="0084299A">
              <w:rPr>
                <w:b/>
                <w:sz w:val="18"/>
                <w:szCs w:val="18"/>
              </w:rPr>
              <w:br/>
            </w:r>
            <w:r w:rsidRPr="0084299A">
              <w:rPr>
                <w:b/>
                <w:sz w:val="18"/>
                <w:szCs w:val="18"/>
              </w:rPr>
              <w:t xml:space="preserve">total growth </w:t>
            </w:r>
          </w:p>
        </w:tc>
      </w:tr>
      <w:tr w:rsidR="00516A1D" w:rsidRPr="00F83C3F" w:rsidTr="00F909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0" w:type="dxa"/>
            <w:tcBorders>
              <w:top w:val="single" w:sz="8" w:space="0" w:color="2B3B5F"/>
              <w:left w:val="single" w:sz="8" w:space="0" w:color="2B3B5F"/>
              <w:bottom w:val="single" w:sz="8" w:space="0" w:color="2B3B5F"/>
              <w:right w:val="single" w:sz="8" w:space="0" w:color="2B3B5F"/>
            </w:tcBorders>
            <w:shd w:val="clear" w:color="auto" w:fill="D7DDE9"/>
            <w:hideMark/>
          </w:tcPr>
          <w:p w:rsidR="009A07F5" w:rsidRPr="00705528" w:rsidRDefault="00D6187E" w:rsidP="00F909BF">
            <w:pPr>
              <w:spacing w:before="0" w:after="0"/>
              <w:ind w:left="57"/>
              <w:rPr>
                <w:sz w:val="18"/>
                <w:szCs w:val="18"/>
              </w:rPr>
            </w:pPr>
            <w:r w:rsidRPr="00705528">
              <w:rPr>
                <w:sz w:val="18"/>
                <w:szCs w:val="18"/>
              </w:rPr>
              <w:t>Unit</w:t>
            </w:r>
          </w:p>
        </w:tc>
        <w:tc>
          <w:tcPr>
            <w:tcW w:w="1560" w:type="dxa"/>
            <w:tcBorders>
              <w:top w:val="single" w:sz="8" w:space="0" w:color="2B3B5F"/>
              <w:left w:val="single" w:sz="8" w:space="0" w:color="2B3B5F"/>
              <w:bottom w:val="single" w:sz="8" w:space="0" w:color="2B3B5F"/>
              <w:right w:val="single" w:sz="8" w:space="0" w:color="2B3B5F"/>
            </w:tcBorders>
            <w:shd w:val="clear" w:color="auto" w:fill="D7DDE9"/>
            <w:hideMark/>
          </w:tcPr>
          <w:p w:rsidR="009A07F5" w:rsidRPr="00705528" w:rsidRDefault="009A07F5" w:rsidP="00E316FF">
            <w:pPr>
              <w:spacing w:before="0" w:after="0"/>
              <w:ind w:right="227"/>
              <w:jc w:val="right"/>
              <w:cnfStyle w:val="000000010000" w:firstRow="0" w:lastRow="0" w:firstColumn="0" w:lastColumn="0" w:oddVBand="0" w:evenVBand="0" w:oddHBand="0" w:evenHBand="1" w:firstRowFirstColumn="0" w:firstRowLastColumn="0" w:lastRowFirstColumn="0" w:lastRowLastColumn="0"/>
              <w:rPr>
                <w:b/>
                <w:sz w:val="18"/>
                <w:szCs w:val="18"/>
              </w:rPr>
            </w:pPr>
            <w:r w:rsidRPr="00705528">
              <w:rPr>
                <w:b/>
                <w:sz w:val="18"/>
                <w:szCs w:val="18"/>
              </w:rPr>
              <w:t>%</w:t>
            </w:r>
          </w:p>
        </w:tc>
        <w:tc>
          <w:tcPr>
            <w:tcW w:w="1560" w:type="dxa"/>
            <w:tcBorders>
              <w:top w:val="single" w:sz="8" w:space="0" w:color="2B3B5F"/>
              <w:left w:val="single" w:sz="8" w:space="0" w:color="2B3B5F"/>
              <w:bottom w:val="single" w:sz="8" w:space="0" w:color="2B3B5F"/>
              <w:right w:val="single" w:sz="8" w:space="0" w:color="2B3B5F"/>
            </w:tcBorders>
            <w:shd w:val="clear" w:color="auto" w:fill="D7DDE9"/>
            <w:hideMark/>
          </w:tcPr>
          <w:p w:rsidR="009A07F5" w:rsidRPr="00705528" w:rsidRDefault="009A07F5" w:rsidP="00E316FF">
            <w:pPr>
              <w:spacing w:before="0" w:after="0"/>
              <w:ind w:right="227"/>
              <w:jc w:val="right"/>
              <w:cnfStyle w:val="000000010000" w:firstRow="0" w:lastRow="0" w:firstColumn="0" w:lastColumn="0" w:oddVBand="0" w:evenVBand="0" w:oddHBand="0" w:evenHBand="1" w:firstRowFirstColumn="0" w:firstRowLastColumn="0" w:lastRowFirstColumn="0" w:lastRowLastColumn="0"/>
              <w:rPr>
                <w:b/>
                <w:sz w:val="18"/>
                <w:szCs w:val="18"/>
              </w:rPr>
            </w:pPr>
            <w:r w:rsidRPr="00705528">
              <w:rPr>
                <w:b/>
                <w:sz w:val="18"/>
                <w:szCs w:val="18"/>
              </w:rPr>
              <w:t>%</w:t>
            </w:r>
          </w:p>
        </w:tc>
        <w:tc>
          <w:tcPr>
            <w:tcW w:w="1844" w:type="dxa"/>
            <w:tcBorders>
              <w:top w:val="single" w:sz="8" w:space="0" w:color="2B3B5F"/>
              <w:left w:val="single" w:sz="8" w:space="0" w:color="2B3B5F"/>
              <w:bottom w:val="single" w:sz="8" w:space="0" w:color="2B3B5F"/>
              <w:right w:val="single" w:sz="8" w:space="0" w:color="2B3B5F"/>
            </w:tcBorders>
            <w:shd w:val="clear" w:color="auto" w:fill="D7DDE9"/>
            <w:hideMark/>
          </w:tcPr>
          <w:p w:rsidR="009A07F5" w:rsidRPr="00705528" w:rsidRDefault="009A07F5" w:rsidP="00E316FF">
            <w:pPr>
              <w:spacing w:before="0" w:after="0"/>
              <w:ind w:right="227"/>
              <w:jc w:val="right"/>
              <w:cnfStyle w:val="000000010000" w:firstRow="0" w:lastRow="0" w:firstColumn="0" w:lastColumn="0" w:oddVBand="0" w:evenVBand="0" w:oddHBand="0" w:evenHBand="1" w:firstRowFirstColumn="0" w:firstRowLastColumn="0" w:lastRowFirstColumn="0" w:lastRowLastColumn="0"/>
              <w:rPr>
                <w:b/>
                <w:sz w:val="18"/>
                <w:szCs w:val="18"/>
              </w:rPr>
            </w:pPr>
            <w:r w:rsidRPr="00705528">
              <w:rPr>
                <w:b/>
                <w:sz w:val="18"/>
                <w:szCs w:val="18"/>
              </w:rPr>
              <w:t>percentage points</w:t>
            </w:r>
          </w:p>
        </w:tc>
      </w:tr>
      <w:tr w:rsidR="0084299A" w:rsidRPr="00F83C3F" w:rsidTr="00F909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0" w:type="dxa"/>
            <w:tcBorders>
              <w:top w:val="single" w:sz="8" w:space="0" w:color="2B3B5F"/>
              <w:left w:val="single" w:sz="8" w:space="0" w:color="2B3B5F"/>
              <w:right w:val="single" w:sz="8" w:space="0" w:color="2B3B5F"/>
            </w:tcBorders>
            <w:shd w:val="clear" w:color="auto" w:fill="auto"/>
            <w:hideMark/>
          </w:tcPr>
          <w:p w:rsidR="0084299A" w:rsidRPr="0084299A" w:rsidRDefault="0084299A" w:rsidP="00F909BF">
            <w:pPr>
              <w:spacing w:before="0" w:after="0"/>
              <w:ind w:left="57"/>
              <w:rPr>
                <w:b w:val="0"/>
                <w:color w:val="000000"/>
                <w:sz w:val="18"/>
                <w:szCs w:val="18"/>
              </w:rPr>
            </w:pPr>
            <w:r w:rsidRPr="0084299A">
              <w:rPr>
                <w:b w:val="0"/>
                <w:color w:val="000000"/>
                <w:sz w:val="18"/>
                <w:szCs w:val="18"/>
              </w:rPr>
              <w:t>Assistance to the aged</w:t>
            </w:r>
          </w:p>
        </w:tc>
        <w:tc>
          <w:tcPr>
            <w:tcW w:w="1560" w:type="dxa"/>
            <w:tcBorders>
              <w:top w:val="single" w:sz="8" w:space="0" w:color="2B3B5F"/>
              <w:left w:val="single" w:sz="8" w:space="0" w:color="2B3B5F"/>
              <w:right w:val="single" w:sz="8" w:space="0" w:color="2B3B5F"/>
            </w:tcBorders>
            <w:shd w:val="clear" w:color="auto" w:fill="auto"/>
            <w:noWrap/>
            <w:hideMark/>
          </w:tcPr>
          <w:p w:rsidR="0084299A" w:rsidRPr="0084299A" w:rsidRDefault="0084299A" w:rsidP="00E316F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99A">
              <w:rPr>
                <w:color w:val="000000"/>
                <w:sz w:val="18"/>
                <w:szCs w:val="18"/>
              </w:rPr>
              <w:t>38.4</w:t>
            </w:r>
          </w:p>
        </w:tc>
        <w:tc>
          <w:tcPr>
            <w:tcW w:w="1560" w:type="dxa"/>
            <w:tcBorders>
              <w:top w:val="single" w:sz="8" w:space="0" w:color="2B3B5F"/>
              <w:left w:val="single" w:sz="8" w:space="0" w:color="2B3B5F"/>
              <w:right w:val="single" w:sz="8" w:space="0" w:color="2B3B5F"/>
            </w:tcBorders>
            <w:shd w:val="clear" w:color="auto" w:fill="auto"/>
            <w:noWrap/>
            <w:hideMark/>
          </w:tcPr>
          <w:p w:rsidR="0084299A" w:rsidRPr="0084299A" w:rsidRDefault="0084299A" w:rsidP="00E316F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99A">
              <w:rPr>
                <w:color w:val="000000"/>
                <w:sz w:val="18"/>
                <w:szCs w:val="18"/>
              </w:rPr>
              <w:t>4.5</w:t>
            </w:r>
          </w:p>
        </w:tc>
        <w:tc>
          <w:tcPr>
            <w:tcW w:w="1844" w:type="dxa"/>
            <w:tcBorders>
              <w:top w:val="single" w:sz="8" w:space="0" w:color="2B3B5F"/>
              <w:left w:val="single" w:sz="8" w:space="0" w:color="2B3B5F"/>
              <w:right w:val="single" w:sz="8" w:space="0" w:color="2B3B5F"/>
            </w:tcBorders>
            <w:shd w:val="clear" w:color="auto" w:fill="auto"/>
            <w:noWrap/>
            <w:hideMark/>
          </w:tcPr>
          <w:p w:rsidR="0084299A" w:rsidRPr="0084299A" w:rsidRDefault="0084299A" w:rsidP="00E316F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99A">
              <w:rPr>
                <w:color w:val="000000"/>
                <w:sz w:val="18"/>
                <w:szCs w:val="18"/>
              </w:rPr>
              <w:t>19.6</w:t>
            </w:r>
          </w:p>
        </w:tc>
      </w:tr>
      <w:tr w:rsidR="0084299A" w:rsidRPr="00F83C3F" w:rsidTr="00F909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0" w:type="dxa"/>
            <w:tcBorders>
              <w:left w:val="single" w:sz="8" w:space="0" w:color="2B3B5F"/>
              <w:right w:val="single" w:sz="8" w:space="0" w:color="2B3B5F"/>
            </w:tcBorders>
            <w:shd w:val="clear" w:color="auto" w:fill="D7DDE9"/>
            <w:hideMark/>
          </w:tcPr>
          <w:p w:rsidR="0084299A" w:rsidRPr="0084299A" w:rsidRDefault="0084299A" w:rsidP="00F909BF">
            <w:pPr>
              <w:spacing w:before="0" w:after="0"/>
              <w:ind w:left="57"/>
              <w:rPr>
                <w:b w:val="0"/>
                <w:color w:val="000000"/>
                <w:sz w:val="18"/>
                <w:szCs w:val="18"/>
              </w:rPr>
            </w:pPr>
            <w:r w:rsidRPr="0084299A">
              <w:rPr>
                <w:b w:val="0"/>
                <w:color w:val="000000"/>
                <w:sz w:val="18"/>
                <w:szCs w:val="18"/>
              </w:rPr>
              <w:t>Assistance to families with children</w:t>
            </w:r>
          </w:p>
        </w:tc>
        <w:tc>
          <w:tcPr>
            <w:tcW w:w="1560" w:type="dxa"/>
            <w:tcBorders>
              <w:left w:val="single" w:sz="8" w:space="0" w:color="2B3B5F"/>
              <w:right w:val="single" w:sz="8" w:space="0" w:color="2B3B5F"/>
            </w:tcBorders>
            <w:shd w:val="clear" w:color="auto" w:fill="D7DDE9"/>
            <w:noWrap/>
            <w:hideMark/>
          </w:tcPr>
          <w:p w:rsidR="0084299A" w:rsidRPr="0084299A" w:rsidRDefault="0084299A" w:rsidP="00E316F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84299A">
              <w:rPr>
                <w:color w:val="000000"/>
                <w:sz w:val="18"/>
                <w:szCs w:val="18"/>
              </w:rPr>
              <w:t>26.6</w:t>
            </w:r>
          </w:p>
        </w:tc>
        <w:tc>
          <w:tcPr>
            <w:tcW w:w="1560" w:type="dxa"/>
            <w:tcBorders>
              <w:left w:val="single" w:sz="8" w:space="0" w:color="2B3B5F"/>
              <w:right w:val="single" w:sz="8" w:space="0" w:color="2B3B5F"/>
            </w:tcBorders>
            <w:shd w:val="clear" w:color="auto" w:fill="D7DDE9"/>
            <w:noWrap/>
            <w:hideMark/>
          </w:tcPr>
          <w:p w:rsidR="0084299A" w:rsidRPr="0084299A" w:rsidRDefault="0084299A" w:rsidP="00E316F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84299A">
              <w:rPr>
                <w:color w:val="000000"/>
                <w:sz w:val="18"/>
                <w:szCs w:val="18"/>
              </w:rPr>
              <w:t>2.8</w:t>
            </w:r>
          </w:p>
        </w:tc>
        <w:tc>
          <w:tcPr>
            <w:tcW w:w="1844" w:type="dxa"/>
            <w:tcBorders>
              <w:left w:val="single" w:sz="8" w:space="0" w:color="2B3B5F"/>
              <w:right w:val="single" w:sz="8" w:space="0" w:color="2B3B5F"/>
            </w:tcBorders>
            <w:shd w:val="clear" w:color="auto" w:fill="D7DDE9"/>
            <w:noWrap/>
            <w:hideMark/>
          </w:tcPr>
          <w:p w:rsidR="0084299A" w:rsidRPr="0084299A" w:rsidRDefault="0084299A" w:rsidP="00E316F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84299A">
              <w:rPr>
                <w:color w:val="000000"/>
                <w:sz w:val="18"/>
                <w:szCs w:val="18"/>
              </w:rPr>
              <w:t>9.3</w:t>
            </w:r>
          </w:p>
        </w:tc>
      </w:tr>
      <w:tr w:rsidR="0084299A" w:rsidRPr="00F83C3F" w:rsidTr="00F909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0" w:type="dxa"/>
            <w:tcBorders>
              <w:left w:val="single" w:sz="8" w:space="0" w:color="2B3B5F"/>
              <w:right w:val="single" w:sz="8" w:space="0" w:color="2B3B5F"/>
            </w:tcBorders>
            <w:shd w:val="clear" w:color="auto" w:fill="auto"/>
            <w:hideMark/>
          </w:tcPr>
          <w:p w:rsidR="0084299A" w:rsidRPr="0084299A" w:rsidRDefault="0084299A" w:rsidP="00F909BF">
            <w:pPr>
              <w:spacing w:before="0" w:after="0"/>
              <w:ind w:left="57"/>
              <w:rPr>
                <w:b w:val="0"/>
                <w:color w:val="000000"/>
                <w:sz w:val="18"/>
                <w:szCs w:val="18"/>
              </w:rPr>
            </w:pPr>
            <w:r w:rsidRPr="0084299A">
              <w:rPr>
                <w:b w:val="0"/>
                <w:color w:val="000000"/>
                <w:sz w:val="18"/>
                <w:szCs w:val="18"/>
              </w:rPr>
              <w:t>Assistance to people with disabilities</w:t>
            </w:r>
          </w:p>
        </w:tc>
        <w:tc>
          <w:tcPr>
            <w:tcW w:w="1560" w:type="dxa"/>
            <w:tcBorders>
              <w:left w:val="single" w:sz="8" w:space="0" w:color="2B3B5F"/>
              <w:right w:val="single" w:sz="8" w:space="0" w:color="2B3B5F"/>
            </w:tcBorders>
            <w:shd w:val="clear" w:color="auto" w:fill="auto"/>
            <w:noWrap/>
            <w:hideMark/>
          </w:tcPr>
          <w:p w:rsidR="0084299A" w:rsidRPr="0084299A" w:rsidRDefault="0084299A" w:rsidP="00E316F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99A">
              <w:rPr>
                <w:color w:val="000000"/>
                <w:sz w:val="18"/>
                <w:szCs w:val="18"/>
              </w:rPr>
              <w:t>18.2</w:t>
            </w:r>
          </w:p>
        </w:tc>
        <w:tc>
          <w:tcPr>
            <w:tcW w:w="1560" w:type="dxa"/>
            <w:tcBorders>
              <w:left w:val="single" w:sz="8" w:space="0" w:color="2B3B5F"/>
              <w:right w:val="single" w:sz="8" w:space="0" w:color="2B3B5F"/>
            </w:tcBorders>
            <w:shd w:val="clear" w:color="auto" w:fill="auto"/>
            <w:noWrap/>
            <w:hideMark/>
          </w:tcPr>
          <w:p w:rsidR="0084299A" w:rsidRPr="0084299A" w:rsidRDefault="0084299A" w:rsidP="00E316F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99A">
              <w:rPr>
                <w:color w:val="000000"/>
                <w:sz w:val="18"/>
                <w:szCs w:val="18"/>
              </w:rPr>
              <w:t>6.7</w:t>
            </w:r>
          </w:p>
        </w:tc>
        <w:tc>
          <w:tcPr>
            <w:tcW w:w="1844" w:type="dxa"/>
            <w:tcBorders>
              <w:left w:val="single" w:sz="8" w:space="0" w:color="2B3B5F"/>
              <w:right w:val="single" w:sz="8" w:space="0" w:color="2B3B5F"/>
            </w:tcBorders>
            <w:shd w:val="clear" w:color="auto" w:fill="auto"/>
            <w:noWrap/>
            <w:hideMark/>
          </w:tcPr>
          <w:p w:rsidR="0084299A" w:rsidRPr="0084299A" w:rsidRDefault="0084299A" w:rsidP="00E316F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99A">
              <w:rPr>
                <w:color w:val="000000"/>
                <w:sz w:val="18"/>
                <w:szCs w:val="18"/>
              </w:rPr>
              <w:t>12.5</w:t>
            </w:r>
          </w:p>
        </w:tc>
      </w:tr>
      <w:tr w:rsidR="0084299A" w:rsidRPr="00F83C3F" w:rsidTr="00F909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0" w:type="dxa"/>
            <w:tcBorders>
              <w:left w:val="single" w:sz="8" w:space="0" w:color="2B3B5F"/>
              <w:right w:val="single" w:sz="8" w:space="0" w:color="2B3B5F"/>
            </w:tcBorders>
            <w:shd w:val="clear" w:color="auto" w:fill="D7DDE9"/>
            <w:hideMark/>
          </w:tcPr>
          <w:p w:rsidR="0084299A" w:rsidRPr="0084299A" w:rsidRDefault="0084299A" w:rsidP="00F909BF">
            <w:pPr>
              <w:spacing w:before="0" w:after="0"/>
              <w:ind w:left="57"/>
              <w:rPr>
                <w:b w:val="0"/>
                <w:color w:val="000000"/>
                <w:sz w:val="18"/>
                <w:szCs w:val="18"/>
              </w:rPr>
            </w:pPr>
            <w:r w:rsidRPr="0084299A">
              <w:rPr>
                <w:b w:val="0"/>
                <w:color w:val="000000"/>
                <w:sz w:val="18"/>
                <w:szCs w:val="18"/>
              </w:rPr>
              <w:t>Assistance to the unemployed and the sick</w:t>
            </w:r>
          </w:p>
        </w:tc>
        <w:tc>
          <w:tcPr>
            <w:tcW w:w="1560" w:type="dxa"/>
            <w:tcBorders>
              <w:left w:val="single" w:sz="8" w:space="0" w:color="2B3B5F"/>
              <w:right w:val="single" w:sz="8" w:space="0" w:color="2B3B5F"/>
            </w:tcBorders>
            <w:shd w:val="clear" w:color="auto" w:fill="D7DDE9"/>
            <w:noWrap/>
            <w:hideMark/>
          </w:tcPr>
          <w:p w:rsidR="0084299A" w:rsidRPr="0084299A" w:rsidRDefault="0084299A" w:rsidP="00E316F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84299A">
              <w:rPr>
                <w:color w:val="000000"/>
                <w:sz w:val="18"/>
                <w:szCs w:val="18"/>
              </w:rPr>
              <w:t>6.5</w:t>
            </w:r>
          </w:p>
        </w:tc>
        <w:tc>
          <w:tcPr>
            <w:tcW w:w="1560" w:type="dxa"/>
            <w:tcBorders>
              <w:left w:val="single" w:sz="8" w:space="0" w:color="2B3B5F"/>
              <w:right w:val="single" w:sz="8" w:space="0" w:color="2B3B5F"/>
            </w:tcBorders>
            <w:shd w:val="clear" w:color="auto" w:fill="D7DDE9"/>
            <w:noWrap/>
            <w:hideMark/>
          </w:tcPr>
          <w:p w:rsidR="0084299A" w:rsidRPr="0084299A" w:rsidRDefault="0084299A" w:rsidP="00E316F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84299A">
              <w:rPr>
                <w:color w:val="000000"/>
                <w:sz w:val="18"/>
                <w:szCs w:val="18"/>
              </w:rPr>
              <w:t>0.6</w:t>
            </w:r>
          </w:p>
        </w:tc>
        <w:tc>
          <w:tcPr>
            <w:tcW w:w="1844" w:type="dxa"/>
            <w:tcBorders>
              <w:left w:val="single" w:sz="8" w:space="0" w:color="2B3B5F"/>
              <w:right w:val="single" w:sz="8" w:space="0" w:color="2B3B5F"/>
            </w:tcBorders>
            <w:shd w:val="clear" w:color="auto" w:fill="D7DDE9"/>
            <w:noWrap/>
            <w:hideMark/>
          </w:tcPr>
          <w:p w:rsidR="0084299A" w:rsidRPr="0084299A" w:rsidRDefault="0084299A" w:rsidP="00E316F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84299A">
              <w:rPr>
                <w:color w:val="000000"/>
                <w:sz w:val="18"/>
                <w:szCs w:val="18"/>
              </w:rPr>
              <w:t>0.5</w:t>
            </w:r>
          </w:p>
        </w:tc>
      </w:tr>
      <w:tr w:rsidR="0084299A" w:rsidRPr="00F83C3F" w:rsidTr="00F909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0" w:type="dxa"/>
            <w:tcBorders>
              <w:left w:val="single" w:sz="8" w:space="0" w:color="2B3B5F"/>
              <w:right w:val="single" w:sz="8" w:space="0" w:color="2B3B5F"/>
            </w:tcBorders>
            <w:shd w:val="clear" w:color="auto" w:fill="auto"/>
            <w:hideMark/>
          </w:tcPr>
          <w:p w:rsidR="0084299A" w:rsidRPr="0084299A" w:rsidRDefault="0084299A" w:rsidP="00F909BF">
            <w:pPr>
              <w:spacing w:before="0" w:after="0"/>
              <w:ind w:left="57"/>
              <w:rPr>
                <w:b w:val="0"/>
                <w:color w:val="000000"/>
                <w:sz w:val="18"/>
                <w:szCs w:val="18"/>
              </w:rPr>
            </w:pPr>
            <w:r w:rsidRPr="0084299A">
              <w:rPr>
                <w:b w:val="0"/>
                <w:color w:val="000000"/>
                <w:sz w:val="18"/>
                <w:szCs w:val="18"/>
              </w:rPr>
              <w:t>Assistance to veterans and dependants</w:t>
            </w:r>
          </w:p>
        </w:tc>
        <w:tc>
          <w:tcPr>
            <w:tcW w:w="1560" w:type="dxa"/>
            <w:tcBorders>
              <w:left w:val="single" w:sz="8" w:space="0" w:color="2B3B5F"/>
              <w:right w:val="single" w:sz="8" w:space="0" w:color="2B3B5F"/>
            </w:tcBorders>
            <w:shd w:val="clear" w:color="auto" w:fill="auto"/>
            <w:noWrap/>
            <w:hideMark/>
          </w:tcPr>
          <w:p w:rsidR="0084299A" w:rsidRPr="0084299A" w:rsidRDefault="0084299A" w:rsidP="00E316F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99A">
              <w:rPr>
                <w:color w:val="000000"/>
                <w:sz w:val="18"/>
                <w:szCs w:val="18"/>
              </w:rPr>
              <w:t>5.3</w:t>
            </w:r>
          </w:p>
        </w:tc>
        <w:tc>
          <w:tcPr>
            <w:tcW w:w="1560" w:type="dxa"/>
            <w:tcBorders>
              <w:left w:val="single" w:sz="8" w:space="0" w:color="2B3B5F"/>
              <w:right w:val="single" w:sz="8" w:space="0" w:color="2B3B5F"/>
            </w:tcBorders>
            <w:shd w:val="clear" w:color="auto" w:fill="auto"/>
            <w:noWrap/>
            <w:hideMark/>
          </w:tcPr>
          <w:p w:rsidR="0084299A" w:rsidRPr="0084299A" w:rsidRDefault="0084299A" w:rsidP="00E316F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99A">
              <w:rPr>
                <w:color w:val="000000"/>
                <w:sz w:val="18"/>
                <w:szCs w:val="18"/>
              </w:rPr>
              <w:t>-0.5</w:t>
            </w:r>
          </w:p>
        </w:tc>
        <w:tc>
          <w:tcPr>
            <w:tcW w:w="1844" w:type="dxa"/>
            <w:tcBorders>
              <w:left w:val="single" w:sz="8" w:space="0" w:color="2B3B5F"/>
              <w:right w:val="single" w:sz="8" w:space="0" w:color="2B3B5F"/>
            </w:tcBorders>
            <w:shd w:val="clear" w:color="auto" w:fill="auto"/>
            <w:noWrap/>
            <w:hideMark/>
          </w:tcPr>
          <w:p w:rsidR="0084299A" w:rsidRPr="0084299A" w:rsidRDefault="0084299A" w:rsidP="00E316F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99A">
              <w:rPr>
                <w:color w:val="000000"/>
                <w:sz w:val="18"/>
                <w:szCs w:val="18"/>
              </w:rPr>
              <w:t>-0.4</w:t>
            </w:r>
          </w:p>
        </w:tc>
      </w:tr>
      <w:tr w:rsidR="0084299A" w:rsidRPr="00F83C3F" w:rsidTr="00F909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0" w:type="dxa"/>
            <w:tcBorders>
              <w:left w:val="single" w:sz="8" w:space="0" w:color="2B3B5F"/>
              <w:right w:val="single" w:sz="8" w:space="0" w:color="2B3B5F"/>
            </w:tcBorders>
            <w:shd w:val="clear" w:color="auto" w:fill="D7DDE9"/>
            <w:hideMark/>
          </w:tcPr>
          <w:p w:rsidR="0084299A" w:rsidRPr="0084299A" w:rsidRDefault="0084299A" w:rsidP="00F909BF">
            <w:pPr>
              <w:spacing w:before="0" w:after="0"/>
              <w:ind w:left="57"/>
              <w:rPr>
                <w:b w:val="0"/>
                <w:color w:val="000000"/>
                <w:sz w:val="18"/>
                <w:szCs w:val="18"/>
              </w:rPr>
            </w:pPr>
            <w:r w:rsidRPr="0084299A">
              <w:rPr>
                <w:b w:val="0"/>
                <w:color w:val="000000"/>
                <w:sz w:val="18"/>
                <w:szCs w:val="18"/>
              </w:rPr>
              <w:t>General administration</w:t>
            </w:r>
          </w:p>
        </w:tc>
        <w:tc>
          <w:tcPr>
            <w:tcW w:w="1560" w:type="dxa"/>
            <w:tcBorders>
              <w:left w:val="single" w:sz="8" w:space="0" w:color="2B3B5F"/>
              <w:right w:val="single" w:sz="8" w:space="0" w:color="2B3B5F"/>
            </w:tcBorders>
            <w:shd w:val="clear" w:color="auto" w:fill="D7DDE9"/>
            <w:noWrap/>
            <w:hideMark/>
          </w:tcPr>
          <w:p w:rsidR="0084299A" w:rsidRPr="0084299A" w:rsidRDefault="0084299A" w:rsidP="00E316F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84299A">
              <w:rPr>
                <w:color w:val="000000"/>
                <w:sz w:val="18"/>
                <w:szCs w:val="18"/>
              </w:rPr>
              <w:t>2.9</w:t>
            </w:r>
          </w:p>
        </w:tc>
        <w:tc>
          <w:tcPr>
            <w:tcW w:w="1560" w:type="dxa"/>
            <w:tcBorders>
              <w:left w:val="single" w:sz="8" w:space="0" w:color="2B3B5F"/>
              <w:right w:val="single" w:sz="8" w:space="0" w:color="2B3B5F"/>
            </w:tcBorders>
            <w:shd w:val="clear" w:color="auto" w:fill="D7DDE9"/>
            <w:noWrap/>
            <w:hideMark/>
          </w:tcPr>
          <w:p w:rsidR="0084299A" w:rsidRPr="0084299A" w:rsidRDefault="0084299A" w:rsidP="00E316F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84299A">
              <w:rPr>
                <w:color w:val="000000"/>
                <w:sz w:val="18"/>
                <w:szCs w:val="18"/>
              </w:rPr>
              <w:t>2.8</w:t>
            </w:r>
          </w:p>
        </w:tc>
        <w:tc>
          <w:tcPr>
            <w:tcW w:w="1844" w:type="dxa"/>
            <w:tcBorders>
              <w:left w:val="single" w:sz="8" w:space="0" w:color="2B3B5F"/>
              <w:right w:val="single" w:sz="8" w:space="0" w:color="2B3B5F"/>
            </w:tcBorders>
            <w:shd w:val="clear" w:color="auto" w:fill="D7DDE9"/>
            <w:noWrap/>
            <w:hideMark/>
          </w:tcPr>
          <w:p w:rsidR="0084299A" w:rsidRPr="0084299A" w:rsidRDefault="0084299A" w:rsidP="00E316F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84299A">
              <w:rPr>
                <w:color w:val="000000"/>
                <w:sz w:val="18"/>
                <w:szCs w:val="18"/>
              </w:rPr>
              <w:t>1.0</w:t>
            </w:r>
          </w:p>
        </w:tc>
      </w:tr>
      <w:tr w:rsidR="0084299A" w:rsidRPr="00F83C3F" w:rsidTr="00F909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0" w:type="dxa"/>
            <w:tcBorders>
              <w:left w:val="single" w:sz="8" w:space="0" w:color="2B3B5F"/>
              <w:right w:val="single" w:sz="8" w:space="0" w:color="2B3B5F"/>
            </w:tcBorders>
            <w:shd w:val="clear" w:color="auto" w:fill="auto"/>
            <w:hideMark/>
          </w:tcPr>
          <w:p w:rsidR="0084299A" w:rsidRPr="0084299A" w:rsidRDefault="0084299A" w:rsidP="00F909BF">
            <w:pPr>
              <w:spacing w:before="0" w:after="0"/>
              <w:ind w:left="57"/>
              <w:rPr>
                <w:b w:val="0"/>
                <w:color w:val="000000"/>
                <w:sz w:val="18"/>
                <w:szCs w:val="18"/>
              </w:rPr>
            </w:pPr>
            <w:r w:rsidRPr="0084299A">
              <w:rPr>
                <w:b w:val="0"/>
                <w:color w:val="000000"/>
                <w:sz w:val="18"/>
                <w:szCs w:val="18"/>
              </w:rPr>
              <w:t>Other welfare programs</w:t>
            </w:r>
          </w:p>
        </w:tc>
        <w:tc>
          <w:tcPr>
            <w:tcW w:w="1560" w:type="dxa"/>
            <w:tcBorders>
              <w:left w:val="single" w:sz="8" w:space="0" w:color="2B3B5F"/>
              <w:right w:val="single" w:sz="8" w:space="0" w:color="2B3B5F"/>
            </w:tcBorders>
            <w:shd w:val="clear" w:color="auto" w:fill="auto"/>
            <w:noWrap/>
            <w:hideMark/>
          </w:tcPr>
          <w:p w:rsidR="0084299A" w:rsidRPr="0084299A" w:rsidRDefault="0084299A" w:rsidP="00E316F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99A">
              <w:rPr>
                <w:color w:val="000000"/>
                <w:sz w:val="18"/>
                <w:szCs w:val="18"/>
              </w:rPr>
              <w:t>1.2</w:t>
            </w:r>
          </w:p>
        </w:tc>
        <w:tc>
          <w:tcPr>
            <w:tcW w:w="1560" w:type="dxa"/>
            <w:tcBorders>
              <w:left w:val="single" w:sz="8" w:space="0" w:color="2B3B5F"/>
              <w:right w:val="single" w:sz="8" w:space="0" w:color="2B3B5F"/>
            </w:tcBorders>
            <w:shd w:val="clear" w:color="auto" w:fill="auto"/>
            <w:noWrap/>
            <w:hideMark/>
          </w:tcPr>
          <w:p w:rsidR="0084299A" w:rsidRPr="0084299A" w:rsidRDefault="0084299A" w:rsidP="00E316F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99A">
              <w:rPr>
                <w:color w:val="000000"/>
                <w:sz w:val="18"/>
                <w:szCs w:val="18"/>
              </w:rPr>
              <w:t>14.4</w:t>
            </w:r>
          </w:p>
        </w:tc>
        <w:tc>
          <w:tcPr>
            <w:tcW w:w="1844" w:type="dxa"/>
            <w:tcBorders>
              <w:left w:val="single" w:sz="8" w:space="0" w:color="2B3B5F"/>
              <w:right w:val="single" w:sz="8" w:space="0" w:color="2B3B5F"/>
            </w:tcBorders>
            <w:shd w:val="clear" w:color="auto" w:fill="auto"/>
            <w:noWrap/>
            <w:hideMark/>
          </w:tcPr>
          <w:p w:rsidR="0084299A" w:rsidRPr="0084299A" w:rsidRDefault="0084299A" w:rsidP="00E316FF">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99A">
              <w:rPr>
                <w:color w:val="000000"/>
                <w:sz w:val="18"/>
                <w:szCs w:val="18"/>
              </w:rPr>
              <w:t>1.2</w:t>
            </w:r>
          </w:p>
        </w:tc>
      </w:tr>
      <w:tr w:rsidR="0084299A" w:rsidRPr="00F83C3F" w:rsidTr="00F909B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0" w:type="dxa"/>
            <w:tcBorders>
              <w:left w:val="single" w:sz="8" w:space="0" w:color="2B3B5F"/>
              <w:right w:val="single" w:sz="8" w:space="0" w:color="2B3B5F"/>
            </w:tcBorders>
            <w:shd w:val="clear" w:color="auto" w:fill="D7DDE9"/>
            <w:hideMark/>
          </w:tcPr>
          <w:p w:rsidR="0084299A" w:rsidRPr="0084299A" w:rsidRDefault="0084299A" w:rsidP="00F909BF">
            <w:pPr>
              <w:spacing w:before="0" w:after="0"/>
              <w:ind w:left="57"/>
              <w:rPr>
                <w:b w:val="0"/>
                <w:color w:val="000000"/>
                <w:sz w:val="18"/>
                <w:szCs w:val="18"/>
              </w:rPr>
            </w:pPr>
            <w:r w:rsidRPr="0084299A">
              <w:rPr>
                <w:b w:val="0"/>
                <w:color w:val="000000"/>
                <w:sz w:val="18"/>
                <w:szCs w:val="18"/>
              </w:rPr>
              <w:t xml:space="preserve">Assistance for Indigenous Australians </w:t>
            </w:r>
            <w:proofErr w:type="spellStart"/>
            <w:r w:rsidRPr="0084299A">
              <w:rPr>
                <w:b w:val="0"/>
                <w:color w:val="000000"/>
                <w:sz w:val="18"/>
                <w:szCs w:val="18"/>
              </w:rPr>
              <w:t>nec</w:t>
            </w:r>
            <w:proofErr w:type="spellEnd"/>
          </w:p>
        </w:tc>
        <w:tc>
          <w:tcPr>
            <w:tcW w:w="1560" w:type="dxa"/>
            <w:tcBorders>
              <w:left w:val="single" w:sz="8" w:space="0" w:color="2B3B5F"/>
              <w:right w:val="single" w:sz="8" w:space="0" w:color="2B3B5F"/>
            </w:tcBorders>
            <w:shd w:val="clear" w:color="auto" w:fill="D7DDE9"/>
            <w:noWrap/>
            <w:hideMark/>
          </w:tcPr>
          <w:p w:rsidR="0084299A" w:rsidRPr="0084299A" w:rsidRDefault="0084299A" w:rsidP="00E316F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84299A">
              <w:rPr>
                <w:color w:val="000000"/>
                <w:sz w:val="18"/>
                <w:szCs w:val="18"/>
              </w:rPr>
              <w:t>0.9</w:t>
            </w:r>
          </w:p>
        </w:tc>
        <w:tc>
          <w:tcPr>
            <w:tcW w:w="1560" w:type="dxa"/>
            <w:tcBorders>
              <w:left w:val="single" w:sz="8" w:space="0" w:color="2B3B5F"/>
              <w:right w:val="single" w:sz="8" w:space="0" w:color="2B3B5F"/>
            </w:tcBorders>
            <w:shd w:val="clear" w:color="auto" w:fill="D7DDE9"/>
            <w:noWrap/>
            <w:hideMark/>
          </w:tcPr>
          <w:p w:rsidR="0084299A" w:rsidRPr="0084299A" w:rsidRDefault="0084299A" w:rsidP="00E316F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84299A">
              <w:rPr>
                <w:color w:val="000000"/>
                <w:sz w:val="18"/>
                <w:szCs w:val="18"/>
              </w:rPr>
              <w:t>-3.5</w:t>
            </w:r>
          </w:p>
        </w:tc>
        <w:tc>
          <w:tcPr>
            <w:tcW w:w="1844" w:type="dxa"/>
            <w:tcBorders>
              <w:left w:val="single" w:sz="8" w:space="0" w:color="2B3B5F"/>
              <w:right w:val="single" w:sz="8" w:space="0" w:color="2B3B5F"/>
            </w:tcBorders>
            <w:shd w:val="clear" w:color="auto" w:fill="D7DDE9"/>
            <w:noWrap/>
            <w:hideMark/>
          </w:tcPr>
          <w:p w:rsidR="0084299A" w:rsidRPr="0084299A" w:rsidRDefault="0084299A" w:rsidP="00E316FF">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84299A">
              <w:rPr>
                <w:color w:val="000000"/>
                <w:sz w:val="18"/>
                <w:szCs w:val="18"/>
              </w:rPr>
              <w:t>-0.5</w:t>
            </w:r>
          </w:p>
        </w:tc>
      </w:tr>
      <w:tr w:rsidR="0084299A" w:rsidRPr="0084299A" w:rsidTr="00F909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0" w:type="dxa"/>
            <w:tcBorders>
              <w:left w:val="single" w:sz="8" w:space="0" w:color="2B3B5F"/>
              <w:bottom w:val="single" w:sz="8" w:space="0" w:color="2B3B5F"/>
              <w:right w:val="single" w:sz="8" w:space="0" w:color="2B3B5F"/>
            </w:tcBorders>
            <w:shd w:val="clear" w:color="auto" w:fill="auto"/>
            <w:hideMark/>
          </w:tcPr>
          <w:p w:rsidR="0084299A" w:rsidRPr="0084299A" w:rsidRDefault="0084299A" w:rsidP="00F909BF">
            <w:pPr>
              <w:spacing w:before="0" w:after="0"/>
              <w:ind w:left="57"/>
              <w:rPr>
                <w:bCs/>
                <w:color w:val="000000"/>
                <w:sz w:val="18"/>
                <w:szCs w:val="18"/>
              </w:rPr>
            </w:pPr>
            <w:r w:rsidRPr="0084299A">
              <w:rPr>
                <w:bCs/>
                <w:color w:val="000000"/>
                <w:sz w:val="18"/>
                <w:szCs w:val="18"/>
              </w:rPr>
              <w:t>Total</w:t>
            </w:r>
          </w:p>
        </w:tc>
        <w:tc>
          <w:tcPr>
            <w:tcW w:w="1560" w:type="dxa"/>
            <w:tcBorders>
              <w:left w:val="single" w:sz="8" w:space="0" w:color="2B3B5F"/>
              <w:bottom w:val="single" w:sz="8" w:space="0" w:color="2B3B5F"/>
              <w:right w:val="single" w:sz="8" w:space="0" w:color="2B3B5F"/>
            </w:tcBorders>
            <w:shd w:val="clear" w:color="auto" w:fill="auto"/>
            <w:noWrap/>
            <w:hideMark/>
          </w:tcPr>
          <w:p w:rsidR="0084299A" w:rsidRPr="0084299A" w:rsidRDefault="0084299A" w:rsidP="00E316FF">
            <w:pPr>
              <w:spacing w:before="0" w:after="0"/>
              <w:ind w:right="227"/>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84299A">
              <w:rPr>
                <w:b/>
                <w:bCs/>
                <w:color w:val="000000"/>
                <w:sz w:val="18"/>
                <w:szCs w:val="18"/>
              </w:rPr>
              <w:t>100.0</w:t>
            </w:r>
          </w:p>
        </w:tc>
        <w:tc>
          <w:tcPr>
            <w:tcW w:w="1560" w:type="dxa"/>
            <w:tcBorders>
              <w:left w:val="single" w:sz="8" w:space="0" w:color="2B3B5F"/>
              <w:bottom w:val="single" w:sz="8" w:space="0" w:color="2B3B5F"/>
              <w:right w:val="single" w:sz="8" w:space="0" w:color="2B3B5F"/>
            </w:tcBorders>
            <w:shd w:val="clear" w:color="auto" w:fill="auto"/>
            <w:noWrap/>
            <w:hideMark/>
          </w:tcPr>
          <w:p w:rsidR="0084299A" w:rsidRPr="0084299A" w:rsidRDefault="0084299A" w:rsidP="00E316FF">
            <w:pPr>
              <w:spacing w:before="0" w:after="0"/>
              <w:ind w:right="227"/>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84299A">
              <w:rPr>
                <w:b/>
                <w:bCs/>
                <w:color w:val="000000"/>
                <w:sz w:val="18"/>
                <w:szCs w:val="18"/>
              </w:rPr>
              <w:t>3.7</w:t>
            </w:r>
          </w:p>
        </w:tc>
        <w:tc>
          <w:tcPr>
            <w:tcW w:w="1844" w:type="dxa"/>
            <w:tcBorders>
              <w:left w:val="single" w:sz="8" w:space="0" w:color="2B3B5F"/>
              <w:bottom w:val="single" w:sz="8" w:space="0" w:color="2B3B5F"/>
              <w:right w:val="single" w:sz="8" w:space="0" w:color="2B3B5F"/>
            </w:tcBorders>
            <w:shd w:val="clear" w:color="auto" w:fill="auto"/>
            <w:noWrap/>
            <w:hideMark/>
          </w:tcPr>
          <w:p w:rsidR="0084299A" w:rsidRPr="0084299A" w:rsidRDefault="0084299A" w:rsidP="00E316FF">
            <w:pPr>
              <w:spacing w:before="0" w:after="0"/>
              <w:ind w:right="227"/>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84299A">
              <w:rPr>
                <w:b/>
                <w:bCs/>
                <w:color w:val="000000"/>
                <w:sz w:val="18"/>
                <w:szCs w:val="18"/>
              </w:rPr>
              <w:t>43.2</w:t>
            </w:r>
          </w:p>
        </w:tc>
      </w:tr>
    </w:tbl>
    <w:p w:rsidR="00D6187E" w:rsidRPr="00414653" w:rsidRDefault="00D6187E" w:rsidP="0077170F">
      <w:pPr>
        <w:pStyle w:val="Heading30"/>
      </w:pPr>
      <w:r w:rsidRPr="00414653">
        <w:t>Contribution from assistance to the aged</w:t>
      </w:r>
    </w:p>
    <w:p w:rsidR="00D6187E" w:rsidRPr="00414653" w:rsidRDefault="00D6187E" w:rsidP="00516A1D">
      <w:pPr>
        <w:pStyle w:val="PBOtext"/>
        <w:jc w:val="both"/>
      </w:pPr>
      <w:r>
        <w:t>Over the period 2002</w:t>
      </w:r>
      <w:r w:rsidR="003E0138" w:rsidRPr="006B456E">
        <w:noBreakHyphen/>
      </w:r>
      <w:r>
        <w:t>03 to 2012</w:t>
      </w:r>
      <w:r w:rsidR="003E0138" w:rsidRPr="006B456E">
        <w:noBreakHyphen/>
      </w:r>
      <w:r>
        <w:t>13</w:t>
      </w:r>
      <w:r w:rsidRPr="00414653">
        <w:t>, the largest contributor to overall growth in social</w:t>
      </w:r>
      <w:r>
        <w:t xml:space="preserve"> </w:t>
      </w:r>
      <w:r w:rsidRPr="00414653">
        <w:t xml:space="preserve">security and </w:t>
      </w:r>
      <w:r w:rsidRPr="00974F65">
        <w:t>welfare</w:t>
      </w:r>
      <w:r w:rsidRPr="00974F65" w:rsidDel="00615B4B">
        <w:t xml:space="preserve"> </w:t>
      </w:r>
      <w:r w:rsidR="00445839" w:rsidRPr="00974F65">
        <w:t>wa</w:t>
      </w:r>
      <w:r w:rsidRPr="00974F65">
        <w:t>s assistanc</w:t>
      </w:r>
      <w:r w:rsidR="00445839" w:rsidRPr="00974F65">
        <w:t>e to the aged, which contributed</w:t>
      </w:r>
      <w:r w:rsidRPr="00974F65">
        <w:t xml:space="preserve"> </w:t>
      </w:r>
      <w:r w:rsidR="007B42BC" w:rsidRPr="00974F65">
        <w:t>19.6</w:t>
      </w:r>
      <w:r w:rsidR="003E0138">
        <w:t> </w:t>
      </w:r>
      <w:r w:rsidRPr="00974F65">
        <w:t xml:space="preserve">percentage points of the total growth of </w:t>
      </w:r>
      <w:r w:rsidR="007B42BC" w:rsidRPr="00974F65">
        <w:t>43.2</w:t>
      </w:r>
      <w:r w:rsidRPr="00974F65">
        <w:t> per</w:t>
      </w:r>
      <w:r w:rsidR="00646A10">
        <w:t> </w:t>
      </w:r>
      <w:r w:rsidRPr="00974F65">
        <w:t>cent (or almost half of total</w:t>
      </w:r>
      <w:r w:rsidR="00646A10">
        <w:t xml:space="preserve"> growth).</w:t>
      </w:r>
    </w:p>
    <w:p w:rsidR="00D6187E" w:rsidRPr="00414653" w:rsidRDefault="00445839" w:rsidP="0077170F">
      <w:pPr>
        <w:pStyle w:val="PBOtext"/>
      </w:pPr>
      <w:r>
        <w:t xml:space="preserve">The </w:t>
      </w:r>
      <w:r w:rsidR="00D6187E">
        <w:t xml:space="preserve">annual </w:t>
      </w:r>
      <w:r w:rsidR="00D6187E" w:rsidRPr="00414653">
        <w:t>growth rate in assistance to the aged fro</w:t>
      </w:r>
      <w:r>
        <w:t>m 2002</w:t>
      </w:r>
      <w:r w:rsidR="003E0138" w:rsidRPr="006B456E">
        <w:noBreakHyphen/>
      </w:r>
      <w:r>
        <w:t>03 to 2012</w:t>
      </w:r>
      <w:r w:rsidR="003E0138" w:rsidRPr="006B456E">
        <w:noBreakHyphen/>
      </w:r>
      <w:r>
        <w:t>13 wa</w:t>
      </w:r>
      <w:r w:rsidR="00D6187E">
        <w:t>s 4.5 per </w:t>
      </w:r>
      <w:r w:rsidR="00D6187E" w:rsidRPr="00414653">
        <w:t xml:space="preserve">cent, with </w:t>
      </w:r>
      <w:r w:rsidR="00D6187E">
        <w:t>around 70</w:t>
      </w:r>
      <w:r w:rsidR="00646A10">
        <w:t> </w:t>
      </w:r>
      <w:r w:rsidR="00D6187E">
        <w:t>per</w:t>
      </w:r>
      <w:r w:rsidR="00646A10">
        <w:t> </w:t>
      </w:r>
      <w:r w:rsidR="00D6187E">
        <w:t>cent of this coming from</w:t>
      </w:r>
      <w:r w:rsidR="00D6187E" w:rsidRPr="00414653">
        <w:t xml:space="preserve"> growth in </w:t>
      </w:r>
      <w:r w:rsidR="00D6187E">
        <w:t xml:space="preserve">spending on </w:t>
      </w:r>
      <w:r w:rsidR="00D6187E" w:rsidRPr="00414653">
        <w:t xml:space="preserve">the </w:t>
      </w:r>
      <w:r w:rsidR="00D6187E">
        <w:t>A</w:t>
      </w:r>
      <w:r w:rsidR="00D6187E" w:rsidRPr="00414653">
        <w:t>g</w:t>
      </w:r>
      <w:r w:rsidR="00D6187E">
        <w:t>e Pension, and around 30</w:t>
      </w:r>
      <w:r w:rsidR="0078351A">
        <w:t> </w:t>
      </w:r>
      <w:r w:rsidR="00D6187E">
        <w:t>per</w:t>
      </w:r>
      <w:r w:rsidR="0078351A">
        <w:t> </w:t>
      </w:r>
      <w:r w:rsidR="00D6187E">
        <w:t xml:space="preserve">cent from </w:t>
      </w:r>
      <w:r w:rsidR="00D6187E" w:rsidRPr="00414653">
        <w:t xml:space="preserve">growth in </w:t>
      </w:r>
      <w:r w:rsidR="00D6187E">
        <w:t>aged</w:t>
      </w:r>
      <w:r w:rsidR="00D6187E" w:rsidRPr="00414653">
        <w:t xml:space="preserve"> care</w:t>
      </w:r>
      <w:r w:rsidR="00D6187E">
        <w:t xml:space="preserve"> expenses</w:t>
      </w:r>
      <w:r w:rsidR="00D6187E" w:rsidRPr="00414653">
        <w:t>.</w:t>
      </w:r>
    </w:p>
    <w:p w:rsidR="00D6187E" w:rsidRPr="00816B94" w:rsidRDefault="00D6187E" w:rsidP="00816B94">
      <w:pPr>
        <w:pStyle w:val="Heading40"/>
      </w:pPr>
      <w:r w:rsidRPr="00816B94">
        <w:t>Age Pension</w:t>
      </w:r>
    </w:p>
    <w:p w:rsidR="00D6187E" w:rsidRDefault="00495F0B" w:rsidP="00816B94">
      <w:r>
        <w:t>S</w:t>
      </w:r>
      <w:r w:rsidR="00D6187E">
        <w:t xml:space="preserve">pending on the Age Pension </w:t>
      </w:r>
      <w:r w:rsidR="00EC2DD1">
        <w:t>increased by 4.6</w:t>
      </w:r>
      <w:r>
        <w:t xml:space="preserve"> per cent </w:t>
      </w:r>
      <w:r w:rsidR="00B67C71">
        <w:t xml:space="preserve">annually </w:t>
      </w:r>
      <w:r w:rsidR="009F4997">
        <w:t xml:space="preserve">from 2002-03 to 2012-13 </w:t>
      </w:r>
      <w:r>
        <w:t xml:space="preserve">as a result of </w:t>
      </w:r>
      <w:r w:rsidR="00D6187E">
        <w:t xml:space="preserve">increases in the real rate of the </w:t>
      </w:r>
      <w:r w:rsidR="00ED7764">
        <w:t>p</w:t>
      </w:r>
      <w:r w:rsidR="00D6187E">
        <w:t>ension, and increases in the number of pensioners.</w:t>
      </w:r>
    </w:p>
    <w:p w:rsidR="00D6187E" w:rsidRDefault="00D6187E" w:rsidP="00816B94">
      <w:r>
        <w:t>Following the decision to formally be</w:t>
      </w:r>
      <w:r w:rsidR="00ED7764">
        <w:t>nchmark the single rate of the Age P</w:t>
      </w:r>
      <w:r w:rsidR="00646A10">
        <w:t>ension to 25 </w:t>
      </w:r>
      <w:r>
        <w:t>per</w:t>
      </w:r>
      <w:r w:rsidR="00646A10">
        <w:t> </w:t>
      </w:r>
      <w:r>
        <w:t>cent of male total average weekly earnings (MTA</w:t>
      </w:r>
      <w:r w:rsidR="00ED7764">
        <w:t>WE) in the 1997</w:t>
      </w:r>
      <w:r w:rsidR="003E0138" w:rsidRPr="006B456E">
        <w:noBreakHyphen/>
      </w:r>
      <w:r w:rsidR="00ED7764">
        <w:t>98</w:t>
      </w:r>
      <w:r w:rsidR="003E0138">
        <w:t> </w:t>
      </w:r>
      <w:r w:rsidR="00ED7764">
        <w:t>Budget, the Age P</w:t>
      </w:r>
      <w:r>
        <w:t>ension is now effectively indexed to wages.</w:t>
      </w:r>
      <w:r w:rsidR="00646A10">
        <w:t xml:space="preserve"> </w:t>
      </w:r>
      <w:r>
        <w:t xml:space="preserve"> As wages </w:t>
      </w:r>
      <w:r w:rsidR="00445839">
        <w:t xml:space="preserve">have </w:t>
      </w:r>
      <w:r>
        <w:t>generally grow</w:t>
      </w:r>
      <w:r w:rsidR="00445839">
        <w:t>n</w:t>
      </w:r>
      <w:r>
        <w:t xml:space="preserve"> faster than inflation, the real rate</w:t>
      </w:r>
      <w:r w:rsidR="00ED7764">
        <w:t xml:space="preserve"> of the Age P</w:t>
      </w:r>
      <w:r>
        <w:t>ensi</w:t>
      </w:r>
      <w:r w:rsidR="00646A10">
        <w:t>on has been growing over time.</w:t>
      </w:r>
    </w:p>
    <w:p w:rsidR="001178A9" w:rsidRDefault="001178A9">
      <w:pPr>
        <w:spacing w:before="0" w:after="200" w:line="252" w:lineRule="auto"/>
      </w:pPr>
      <w:r>
        <w:br w:type="page"/>
      </w:r>
    </w:p>
    <w:p w:rsidR="00D6187E" w:rsidRDefault="00D6187E" w:rsidP="00B33E18">
      <w:pPr>
        <w:jc w:val="both"/>
      </w:pPr>
      <w:r w:rsidRPr="004236EB">
        <w:lastRenderedPageBreak/>
        <w:t xml:space="preserve">There were also several policy changes that </w:t>
      </w:r>
      <w:r w:rsidR="00ED7764" w:rsidRPr="004236EB">
        <w:t xml:space="preserve">further </w:t>
      </w:r>
      <w:r w:rsidRPr="004236EB">
        <w:t>increased the rate of the pension.</w:t>
      </w:r>
      <w:r w:rsidR="00F54F7D" w:rsidRPr="004236EB">
        <w:t xml:space="preserve"> </w:t>
      </w:r>
      <w:r w:rsidRPr="004236EB">
        <w:t xml:space="preserve"> The single pension rate </w:t>
      </w:r>
      <w:r w:rsidR="00F54F7D" w:rsidRPr="004236EB">
        <w:t xml:space="preserve">and Pension Supplement </w:t>
      </w:r>
      <w:r w:rsidR="00445839" w:rsidRPr="004236EB">
        <w:t>were</w:t>
      </w:r>
      <w:r w:rsidRPr="004236EB">
        <w:t xml:space="preserve"> increased in the 2009</w:t>
      </w:r>
      <w:r w:rsidR="003E0138" w:rsidRPr="006B456E">
        <w:noBreakHyphen/>
      </w:r>
      <w:r w:rsidRPr="004236EB">
        <w:t>10</w:t>
      </w:r>
      <w:r w:rsidR="003E0138">
        <w:t> </w:t>
      </w:r>
      <w:r w:rsidRPr="004236EB">
        <w:t>Budget at a cost of $14.2</w:t>
      </w:r>
      <w:r w:rsidR="00646A10">
        <w:t> </w:t>
      </w:r>
      <w:r w:rsidRPr="004236EB">
        <w:t>billion over five years from 2008</w:t>
      </w:r>
      <w:r w:rsidR="003E0138" w:rsidRPr="006B456E">
        <w:noBreakHyphen/>
      </w:r>
      <w:r w:rsidRPr="004236EB">
        <w:t>09</w:t>
      </w:r>
      <w:r w:rsidR="00D1046A">
        <w:t>,</w:t>
      </w:r>
      <w:r w:rsidRPr="004236EB">
        <w:rPr>
          <w:rStyle w:val="FootnoteReference"/>
        </w:rPr>
        <w:footnoteReference w:id="7"/>
      </w:r>
      <w:r w:rsidRPr="004236EB">
        <w:t xml:space="preserve"> with the </w:t>
      </w:r>
      <w:r w:rsidR="00ED7764" w:rsidRPr="004236EB">
        <w:t xml:space="preserve">benchmark for the </w:t>
      </w:r>
      <w:r w:rsidR="00633416" w:rsidRPr="004236EB">
        <w:t>single rate of the Age P</w:t>
      </w:r>
      <w:r w:rsidRPr="004236EB">
        <w:t xml:space="preserve">ension </w:t>
      </w:r>
      <w:r w:rsidR="00ED7764" w:rsidRPr="004236EB">
        <w:t>increased</w:t>
      </w:r>
      <w:r w:rsidRPr="004236EB">
        <w:t xml:space="preserve"> to 27.7</w:t>
      </w:r>
      <w:r w:rsidR="00646A10">
        <w:t> </w:t>
      </w:r>
      <w:r w:rsidRPr="004236EB">
        <w:t>per</w:t>
      </w:r>
      <w:r w:rsidR="00646A10">
        <w:t> </w:t>
      </w:r>
      <w:r w:rsidRPr="004236EB">
        <w:t xml:space="preserve">cent of MTAWE. Further increases were provided as part of the </w:t>
      </w:r>
      <w:r w:rsidRPr="004236EB">
        <w:rPr>
          <w:i/>
        </w:rPr>
        <w:t>Clean Energy Future</w:t>
      </w:r>
      <w:r w:rsidRPr="004236EB">
        <w:t xml:space="preserve"> package,</w:t>
      </w:r>
      <w:r>
        <w:t xml:space="preserve"> </w:t>
      </w:r>
      <w:r w:rsidRPr="00414653">
        <w:t xml:space="preserve">which </w:t>
      </w:r>
      <w:r>
        <w:t>made a one</w:t>
      </w:r>
      <w:r w:rsidR="003E0138" w:rsidRPr="006B456E">
        <w:noBreakHyphen/>
      </w:r>
      <w:r>
        <w:t>off payment to pensioners in late 2011</w:t>
      </w:r>
      <w:r w:rsidR="003E0138" w:rsidRPr="006B456E">
        <w:noBreakHyphen/>
      </w:r>
      <w:r>
        <w:t xml:space="preserve">12 and </w:t>
      </w:r>
      <w:r w:rsidRPr="00414653">
        <w:t>increased the maximum pension rates b</w:t>
      </w:r>
      <w:r>
        <w:t>y 1.7 per </w:t>
      </w:r>
      <w:r w:rsidRPr="00414653">
        <w:t>cent</w:t>
      </w:r>
      <w:r>
        <w:t xml:space="preserve"> from March</w:t>
      </w:r>
      <w:r w:rsidR="003E0138">
        <w:t> </w:t>
      </w:r>
      <w:r>
        <w:t>2013</w:t>
      </w:r>
      <w:r w:rsidR="00D6428F">
        <w:t>.</w:t>
      </w:r>
    </w:p>
    <w:p w:rsidR="00D6187E" w:rsidRPr="00414653" w:rsidRDefault="00F54F7D" w:rsidP="00816B94">
      <w:r>
        <w:t xml:space="preserve">There have also been a number of changes to eligibility criteria which have altered both the average payment per recipient of the Age Pension and </w:t>
      </w:r>
      <w:r w:rsidR="00633416">
        <w:t xml:space="preserve">the </w:t>
      </w:r>
      <w:r>
        <w:t>number of recipients.  The pension assets test was relaxed in September</w:t>
      </w:r>
      <w:r w:rsidR="003E0138">
        <w:t> </w:t>
      </w:r>
      <w:r>
        <w:t xml:space="preserve">2007 as part of </w:t>
      </w:r>
      <w:r w:rsidRPr="00F16869">
        <w:rPr>
          <w:i/>
        </w:rPr>
        <w:t>Simpler Superannuation</w:t>
      </w:r>
      <w:r>
        <w:t xml:space="preserve"> changes, at a cost of $2.</w:t>
      </w:r>
      <w:r w:rsidR="00646A10">
        <w:t>4 </w:t>
      </w:r>
      <w:r w:rsidRPr="002371A2">
        <w:t>billion</w:t>
      </w:r>
      <w:r w:rsidRPr="002371A2">
        <w:rPr>
          <w:rStyle w:val="FootnoteReference"/>
        </w:rPr>
        <w:footnoteReference w:id="8"/>
      </w:r>
      <w:r w:rsidR="001B3E35" w:rsidRPr="002371A2">
        <w:t xml:space="preserve"> </w:t>
      </w:r>
      <w:r w:rsidRPr="002371A2">
        <w:t>over</w:t>
      </w:r>
      <w:r w:rsidR="003E0138">
        <w:t xml:space="preserve"> four years from 2006</w:t>
      </w:r>
      <w:r w:rsidR="003E0138" w:rsidRPr="006B456E">
        <w:noBreakHyphen/>
      </w:r>
      <w:r>
        <w:t xml:space="preserve">07.  </w:t>
      </w:r>
      <w:r w:rsidR="00D6187E" w:rsidRPr="00414653">
        <w:t xml:space="preserve">Partly offsetting </w:t>
      </w:r>
      <w:r>
        <w:t>the cost of this decision</w:t>
      </w:r>
      <w:r w:rsidR="00D6187E" w:rsidRPr="00414653">
        <w:t xml:space="preserve"> was an increase in the pension </w:t>
      </w:r>
      <w:r w:rsidR="00D6187E">
        <w:t xml:space="preserve">income test </w:t>
      </w:r>
      <w:r w:rsidR="00D6187E" w:rsidRPr="00414653">
        <w:t>taper rate announced in the 2009</w:t>
      </w:r>
      <w:r w:rsidR="003E0138" w:rsidRPr="006B456E">
        <w:noBreakHyphen/>
      </w:r>
      <w:r w:rsidR="00D6187E" w:rsidRPr="00414653">
        <w:t>10 Budget</w:t>
      </w:r>
      <w:r w:rsidR="00D1046A">
        <w:t>,</w:t>
      </w:r>
      <w:r w:rsidR="00D6187E" w:rsidRPr="0041748B">
        <w:rPr>
          <w:rStyle w:val="FootnoteReference"/>
        </w:rPr>
        <w:footnoteReference w:id="9"/>
      </w:r>
      <w:r>
        <w:t xml:space="preserve"> which provided savings of $1.6</w:t>
      </w:r>
      <w:r w:rsidR="00646A10">
        <w:t> </w:t>
      </w:r>
      <w:r>
        <w:t>billion over five years from 2008</w:t>
      </w:r>
      <w:r w:rsidR="003E0138" w:rsidRPr="006B456E">
        <w:noBreakHyphen/>
      </w:r>
      <w:r>
        <w:t>09</w:t>
      </w:r>
      <w:r w:rsidR="00D6187E" w:rsidRPr="00414653">
        <w:t>.</w:t>
      </w:r>
    </w:p>
    <w:p w:rsidR="00D6187E" w:rsidRDefault="00D6187E" w:rsidP="00816B94">
      <w:r>
        <w:t xml:space="preserve">As a consequence of the indexation and the policy changes above, the real Age Pension </w:t>
      </w:r>
      <w:r w:rsidR="00205037">
        <w:t>payment per recipient</w:t>
      </w:r>
      <w:r>
        <w:t xml:space="preserve"> increased by 2.2 per</w:t>
      </w:r>
      <w:r w:rsidR="007063EC">
        <w:t> </w:t>
      </w:r>
      <w:r>
        <w:t xml:space="preserve">cent </w:t>
      </w:r>
      <w:r w:rsidR="00425D64">
        <w:t>annually</w:t>
      </w:r>
      <w:r w:rsidR="0000519C">
        <w:t xml:space="preserve"> </w:t>
      </w:r>
      <w:r>
        <w:t>in the period 2002</w:t>
      </w:r>
      <w:r w:rsidR="003E0138" w:rsidRPr="006B456E">
        <w:noBreakHyphen/>
      </w:r>
      <w:r>
        <w:t>03 to 2012</w:t>
      </w:r>
      <w:r w:rsidR="003E0138" w:rsidRPr="006B456E">
        <w:noBreakHyphen/>
      </w:r>
      <w:r>
        <w:t>13.</w:t>
      </w:r>
    </w:p>
    <w:p w:rsidR="00D6187E" w:rsidRDefault="00D6187E" w:rsidP="00816B94">
      <w:r w:rsidRPr="004236EB">
        <w:t>The other main factor driving the increase in spending on the Age Pension is the number of pensioners</w:t>
      </w:r>
      <w:r w:rsidR="000F6CCC">
        <w:t>.  T</w:t>
      </w:r>
      <w:r w:rsidRPr="004236EB">
        <w:t xml:space="preserve">he number of </w:t>
      </w:r>
      <w:r w:rsidR="000F6CCC">
        <w:t xml:space="preserve">Age Pension </w:t>
      </w:r>
      <w:r w:rsidRPr="004236EB">
        <w:t>recipients grew 2.3</w:t>
      </w:r>
      <w:r w:rsidR="00A86416">
        <w:t> per </w:t>
      </w:r>
      <w:r w:rsidRPr="004236EB">
        <w:t xml:space="preserve">cent </w:t>
      </w:r>
      <w:r w:rsidR="00442FDF" w:rsidRPr="004236EB">
        <w:t>annually</w:t>
      </w:r>
      <w:r w:rsidRPr="004236EB">
        <w:t xml:space="preserve"> from 2002 to 201</w:t>
      </w:r>
      <w:r w:rsidR="009476C9" w:rsidRPr="004236EB">
        <w:t>1, which is greater than annual</w:t>
      </w:r>
      <w:r w:rsidRPr="004236EB">
        <w:t xml:space="preserve"> po</w:t>
      </w:r>
      <w:r w:rsidR="009476C9" w:rsidRPr="004236EB">
        <w:t xml:space="preserve">pulation growth of 1.5 per cent </w:t>
      </w:r>
      <w:r w:rsidRPr="004236EB">
        <w:t xml:space="preserve">over the same time period. </w:t>
      </w:r>
      <w:r w:rsidR="0000519C" w:rsidRPr="004236EB">
        <w:t xml:space="preserve"> Factors driving this increase in pension recipient numbers include the ageing of the population and changes to economic conditions and government policies that have impacted on eligibility for the Age Pension, including the relaxation of the pension assets test in 2007 (see above).</w:t>
      </w:r>
    </w:p>
    <w:p w:rsidR="00D6187E" w:rsidRPr="00414653" w:rsidRDefault="00D6187E" w:rsidP="00816B94">
      <w:pPr>
        <w:pStyle w:val="Heading40"/>
      </w:pPr>
      <w:r>
        <w:t>Aged care</w:t>
      </w:r>
    </w:p>
    <w:p w:rsidR="00D6187E" w:rsidRDefault="00D6187E" w:rsidP="00816B94">
      <w:r w:rsidRPr="00414653">
        <w:t xml:space="preserve">Also contributing to the increase in assistance to the aged was the increase in </w:t>
      </w:r>
      <w:r w:rsidR="009476C9">
        <w:t>a</w:t>
      </w:r>
      <w:r w:rsidRPr="00414653">
        <w:t>ged care</w:t>
      </w:r>
      <w:r w:rsidR="009476C9">
        <w:t xml:space="preserve"> spending</w:t>
      </w:r>
      <w:r w:rsidRPr="00414653">
        <w:t xml:space="preserve">, which </w:t>
      </w:r>
      <w:r>
        <w:t>grew</w:t>
      </w:r>
      <w:r w:rsidRPr="00414653">
        <w:t xml:space="preserve"> </w:t>
      </w:r>
      <w:r w:rsidRPr="007D255D">
        <w:t>by</w:t>
      </w:r>
      <w:r w:rsidR="007B42BC" w:rsidRPr="007D255D">
        <w:t xml:space="preserve"> 6.1</w:t>
      </w:r>
      <w:r w:rsidR="0000519C" w:rsidRPr="007D255D">
        <w:t xml:space="preserve"> per cent </w:t>
      </w:r>
      <w:r w:rsidR="00425D64" w:rsidRPr="007D255D">
        <w:t>annually</w:t>
      </w:r>
      <w:r>
        <w:t xml:space="preserve"> from 2002</w:t>
      </w:r>
      <w:r w:rsidR="003E0138" w:rsidRPr="006B456E">
        <w:noBreakHyphen/>
      </w:r>
      <w:r>
        <w:t>03 to 2012</w:t>
      </w:r>
      <w:r w:rsidR="003E0138" w:rsidRPr="006B456E">
        <w:noBreakHyphen/>
      </w:r>
      <w:r>
        <w:t>13.</w:t>
      </w:r>
      <w:r w:rsidR="00A86416">
        <w:t xml:space="preserve"> </w:t>
      </w:r>
      <w:r>
        <w:t xml:space="preserve"> Factors driving this growth include growth in the number of government subsidised aged care places associated with the ageing of the population and the </w:t>
      </w:r>
      <w:r w:rsidRPr="002E7426">
        <w:rPr>
          <w:i/>
        </w:rPr>
        <w:t>Investing in Aus</w:t>
      </w:r>
      <w:r w:rsidR="0000519C">
        <w:rPr>
          <w:i/>
        </w:rPr>
        <w:t>t</w:t>
      </w:r>
      <w:r w:rsidRPr="002E7426">
        <w:rPr>
          <w:i/>
        </w:rPr>
        <w:t>ralia’s aged care: more places, better care</w:t>
      </w:r>
      <w:r w:rsidR="00D6428F">
        <w:t xml:space="preserve"> package in the 2004</w:t>
      </w:r>
      <w:r w:rsidR="003E0138" w:rsidRPr="006B456E">
        <w:noBreakHyphen/>
      </w:r>
      <w:r>
        <w:t>05</w:t>
      </w:r>
      <w:r w:rsidR="009476C9">
        <w:t> </w:t>
      </w:r>
      <w:r>
        <w:t>Budget.  This package provided $2.2</w:t>
      </w:r>
      <w:r w:rsidR="00A86416">
        <w:t> </w:t>
      </w:r>
      <w:r>
        <w:t>billion over five years to improve the quality and avai</w:t>
      </w:r>
      <w:r w:rsidR="00A86416">
        <w:t>lability of aged care services.</w:t>
      </w:r>
    </w:p>
    <w:p w:rsidR="00D6187E" w:rsidRPr="00414653" w:rsidRDefault="00D6187E" w:rsidP="00816B94">
      <w:pPr>
        <w:pStyle w:val="Heading30"/>
      </w:pPr>
      <w:r w:rsidRPr="00414653">
        <w:t>Contribution from assi</w:t>
      </w:r>
      <w:r w:rsidR="0000519C">
        <w:t>stance to people with disabilities</w:t>
      </w:r>
    </w:p>
    <w:p w:rsidR="00D6187E" w:rsidRPr="00414653" w:rsidRDefault="00D6187E" w:rsidP="00816B94">
      <w:r w:rsidRPr="00414653">
        <w:t xml:space="preserve">The second largest contributor to growth in spending on social security and welfare </w:t>
      </w:r>
      <w:r>
        <w:t>over the period 2002</w:t>
      </w:r>
      <w:r w:rsidR="003E0138" w:rsidRPr="006B456E">
        <w:noBreakHyphen/>
      </w:r>
      <w:r>
        <w:t>03 to 2012</w:t>
      </w:r>
      <w:r w:rsidR="003E0138" w:rsidRPr="006B456E">
        <w:noBreakHyphen/>
      </w:r>
      <w:r>
        <w:t xml:space="preserve">13 </w:t>
      </w:r>
      <w:r w:rsidR="0000519C">
        <w:t>wa</w:t>
      </w:r>
      <w:r w:rsidRPr="00414653">
        <w:t>s spending on assistance to people with di</w:t>
      </w:r>
      <w:r>
        <w:t>sabilities</w:t>
      </w:r>
      <w:r w:rsidR="000F6CCC">
        <w:t>.  This spending grew at 6.7</w:t>
      </w:r>
      <w:r w:rsidR="008D3366">
        <w:t> </w:t>
      </w:r>
      <w:r w:rsidR="000F6CCC">
        <w:t xml:space="preserve">per cent annually and </w:t>
      </w:r>
      <w:r>
        <w:t>contribute</w:t>
      </w:r>
      <w:r w:rsidR="0000519C">
        <w:t>d</w:t>
      </w:r>
      <w:r>
        <w:t xml:space="preserve"> 12</w:t>
      </w:r>
      <w:r w:rsidRPr="00414653">
        <w:t>.</w:t>
      </w:r>
      <w:r>
        <w:t>5</w:t>
      </w:r>
      <w:r w:rsidR="0078351A">
        <w:t> </w:t>
      </w:r>
      <w:r w:rsidRPr="00414653">
        <w:t xml:space="preserve">percentage points or </w:t>
      </w:r>
      <w:r>
        <w:t>almost</w:t>
      </w:r>
      <w:r w:rsidRPr="00414653">
        <w:t xml:space="preserve"> one third of the total growth. </w:t>
      </w:r>
      <w:r w:rsidR="0000519C">
        <w:t xml:space="preserve"> </w:t>
      </w:r>
      <w:r w:rsidRPr="00414653">
        <w:t>A</w:t>
      </w:r>
      <w:r>
        <w:t>round</w:t>
      </w:r>
      <w:r w:rsidRPr="00414653">
        <w:t xml:space="preserve"> half of this </w:t>
      </w:r>
      <w:r w:rsidR="0000519C">
        <w:t xml:space="preserve">growth </w:t>
      </w:r>
      <w:r w:rsidR="009476C9">
        <w:t>wa</w:t>
      </w:r>
      <w:r w:rsidRPr="00414653">
        <w:t xml:space="preserve">s from the </w:t>
      </w:r>
      <w:r w:rsidR="009476C9">
        <w:t>DSP and</w:t>
      </w:r>
      <w:r>
        <w:t xml:space="preserve"> </w:t>
      </w:r>
      <w:r w:rsidRPr="00414653">
        <w:t xml:space="preserve">just </w:t>
      </w:r>
      <w:r>
        <w:t>under</w:t>
      </w:r>
      <w:r w:rsidR="009476C9">
        <w:t xml:space="preserve"> a quarter </w:t>
      </w:r>
      <w:r w:rsidRPr="00414653">
        <w:t>from increases in the Carer Payment.</w:t>
      </w:r>
    </w:p>
    <w:p w:rsidR="00562B7D" w:rsidRDefault="00D6187E" w:rsidP="00816B94">
      <w:r w:rsidRPr="00414653">
        <w:lastRenderedPageBreak/>
        <w:t xml:space="preserve">The increase in spending on the DSP </w:t>
      </w:r>
      <w:r w:rsidR="009476C9">
        <w:t>was</w:t>
      </w:r>
      <w:r w:rsidRPr="00414653">
        <w:t xml:space="preserve"> driven by increases in the rate of this payment, which is in</w:t>
      </w:r>
      <w:r w:rsidR="0000519C">
        <w:t>dexed to wages (similar to the A</w:t>
      </w:r>
      <w:r w:rsidRPr="00414653">
        <w:t xml:space="preserve">ge </w:t>
      </w:r>
      <w:r w:rsidR="0000519C">
        <w:t>P</w:t>
      </w:r>
      <w:r w:rsidRPr="00414653">
        <w:t xml:space="preserve">ension), and increases in the number of </w:t>
      </w:r>
      <w:r w:rsidR="000F6CCC">
        <w:t>recipients</w:t>
      </w:r>
      <w:r w:rsidRPr="00414653">
        <w:t xml:space="preserve"> which grew over the period 200</w:t>
      </w:r>
      <w:r>
        <w:t>2</w:t>
      </w:r>
      <w:r w:rsidRPr="00414653">
        <w:t xml:space="preserve"> to 2011 by </w:t>
      </w:r>
      <w:r>
        <w:t>2.4</w:t>
      </w:r>
      <w:r w:rsidR="00A86416">
        <w:t> </w:t>
      </w:r>
      <w:r w:rsidRPr="00414653">
        <w:t>per</w:t>
      </w:r>
      <w:r w:rsidR="00A86416">
        <w:t> </w:t>
      </w:r>
      <w:r w:rsidRPr="00414653">
        <w:t xml:space="preserve">cent </w:t>
      </w:r>
      <w:r w:rsidR="00442FDF">
        <w:t>annually</w:t>
      </w:r>
      <w:r w:rsidRPr="00414653">
        <w:t xml:space="preserve">, significantly above </w:t>
      </w:r>
      <w:r w:rsidR="009476C9">
        <w:t xml:space="preserve">annual </w:t>
      </w:r>
      <w:r w:rsidR="00A86416">
        <w:t>population growth of 1.5 p</w:t>
      </w:r>
      <w:r w:rsidRPr="00414653">
        <w:t>er</w:t>
      </w:r>
      <w:r w:rsidR="00A86416">
        <w:t> </w:t>
      </w:r>
      <w:r w:rsidRPr="00414653">
        <w:t>cent</w:t>
      </w:r>
      <w:r w:rsidR="00EF14BC">
        <w:t>.</w:t>
      </w:r>
    </w:p>
    <w:p w:rsidR="00D6187E" w:rsidRPr="00414653" w:rsidRDefault="00D6187E" w:rsidP="00816B94">
      <w:r w:rsidRPr="00414653">
        <w:t xml:space="preserve">The largest driver of </w:t>
      </w:r>
      <w:r w:rsidR="00445839">
        <w:t xml:space="preserve">the </w:t>
      </w:r>
      <w:r w:rsidRPr="00414653">
        <w:t xml:space="preserve">increase in Carer Payment </w:t>
      </w:r>
      <w:r w:rsidR="009476C9">
        <w:t>spending was the</w:t>
      </w:r>
      <w:r w:rsidRPr="00414653">
        <w:t xml:space="preserve"> 12.</w:t>
      </w:r>
      <w:r>
        <w:t>0</w:t>
      </w:r>
      <w:r w:rsidRPr="00414653">
        <w:t xml:space="preserve"> per cent </w:t>
      </w:r>
      <w:r>
        <w:t xml:space="preserve">annual </w:t>
      </w:r>
      <w:r w:rsidR="009476C9">
        <w:t>growth</w:t>
      </w:r>
      <w:r w:rsidRPr="00414653">
        <w:t xml:space="preserve"> in the number of recipients of this payment over the period 200</w:t>
      </w:r>
      <w:r>
        <w:t>2</w:t>
      </w:r>
      <w:r w:rsidRPr="00414653">
        <w:t xml:space="preserve"> to 2011, compared to </w:t>
      </w:r>
      <w:r>
        <w:t xml:space="preserve">annual </w:t>
      </w:r>
      <w:r w:rsidRPr="00414653">
        <w:t>population growth of 1.5</w:t>
      </w:r>
      <w:r w:rsidR="00A86416">
        <w:t> </w:t>
      </w:r>
      <w:r w:rsidRPr="00414653">
        <w:t>per</w:t>
      </w:r>
      <w:r w:rsidR="00A86416">
        <w:t> </w:t>
      </w:r>
      <w:r w:rsidRPr="00414653">
        <w:t>cent.</w:t>
      </w:r>
      <w:r>
        <w:t xml:space="preserve">  </w:t>
      </w:r>
      <w:r w:rsidRPr="00414653">
        <w:t>The Carer Payment is also indexed to wages</w:t>
      </w:r>
      <w:r w:rsidR="00562B7D">
        <w:t xml:space="preserve">. </w:t>
      </w:r>
      <w:r w:rsidR="00445839">
        <w:t xml:space="preserve">Further </w:t>
      </w:r>
      <w:r w:rsidR="00445839" w:rsidRPr="00414653">
        <w:t>increases in payments to carers</w:t>
      </w:r>
      <w:r w:rsidR="00445839">
        <w:t xml:space="preserve"> resulted from the payment of</w:t>
      </w:r>
      <w:r w:rsidR="00445839" w:rsidRPr="00414653">
        <w:t xml:space="preserve"> carer bonuses </w:t>
      </w:r>
      <w:r w:rsidR="00445839">
        <w:t>each year from</w:t>
      </w:r>
      <w:r w:rsidR="00445839" w:rsidRPr="00414653">
        <w:t xml:space="preserve"> 2003</w:t>
      </w:r>
      <w:r w:rsidR="003E0138" w:rsidRPr="006B456E">
        <w:noBreakHyphen/>
      </w:r>
      <w:r w:rsidR="00445839" w:rsidRPr="00414653">
        <w:t>04</w:t>
      </w:r>
      <w:r w:rsidR="00445839">
        <w:t xml:space="preserve"> to 2007</w:t>
      </w:r>
      <w:r w:rsidR="003E0138" w:rsidRPr="006B456E">
        <w:noBreakHyphen/>
      </w:r>
      <w:r w:rsidR="00445839">
        <w:t>08</w:t>
      </w:r>
      <w:r w:rsidR="00445839" w:rsidRPr="00414653">
        <w:t>, the introduction of the Carer Supplement (of $600</w:t>
      </w:r>
      <w:r w:rsidR="00A86416">
        <w:t> </w:t>
      </w:r>
      <w:r w:rsidR="00445839" w:rsidRPr="00414653">
        <w:t>per eligible carer) in June 2009</w:t>
      </w:r>
      <w:r w:rsidR="00445839">
        <w:t>,</w:t>
      </w:r>
      <w:r w:rsidR="00445839" w:rsidRPr="00414653">
        <w:t xml:space="preserve"> and commencement of the Child Disability Assistance Payment (of $1,000 for each </w:t>
      </w:r>
      <w:r w:rsidR="0000519C">
        <w:t xml:space="preserve">eligible </w:t>
      </w:r>
      <w:r w:rsidR="00445839" w:rsidRPr="00414653">
        <w:t>child) in July</w:t>
      </w:r>
      <w:r w:rsidR="00A86416">
        <w:t> </w:t>
      </w:r>
      <w:r w:rsidR="00445839" w:rsidRPr="00414653">
        <w:t>2007.</w:t>
      </w:r>
      <w:r w:rsidR="0000519C">
        <w:t xml:space="preserve"> </w:t>
      </w:r>
      <w:r w:rsidR="00445839" w:rsidRPr="00414653">
        <w:t xml:space="preserve"> The Carer Supplement and Child Disability Assistance Payment are not indexed </w:t>
      </w:r>
      <w:r w:rsidR="0000519C">
        <w:t xml:space="preserve">and have therefore </w:t>
      </w:r>
      <w:r w:rsidR="00445839" w:rsidRPr="00414653">
        <w:t>declin</w:t>
      </w:r>
      <w:r w:rsidR="00445839">
        <w:t>ed</w:t>
      </w:r>
      <w:r w:rsidR="009476C9">
        <w:t xml:space="preserve"> in real terms over the period</w:t>
      </w:r>
      <w:r w:rsidRPr="00414653">
        <w:t>.</w:t>
      </w:r>
    </w:p>
    <w:p w:rsidR="00D6187E" w:rsidRPr="00414653" w:rsidRDefault="00D6187E" w:rsidP="00816B94">
      <w:pPr>
        <w:pStyle w:val="Heading30"/>
      </w:pPr>
      <w:r w:rsidRPr="00414653">
        <w:t>Contribution from assistance to families with children</w:t>
      </w:r>
    </w:p>
    <w:p w:rsidR="00D6187E" w:rsidRPr="00414653" w:rsidRDefault="00D6187E" w:rsidP="00816B94">
      <w:r w:rsidRPr="00414653">
        <w:t>The next largest contributor to growth in spending on social security and welfa</w:t>
      </w:r>
      <w:r w:rsidR="009476C9">
        <w:t>re wa</w:t>
      </w:r>
      <w:r w:rsidRPr="00414653">
        <w:t xml:space="preserve">s assistance to </w:t>
      </w:r>
      <w:r w:rsidRPr="004236EB">
        <w:t xml:space="preserve">families with children, which </w:t>
      </w:r>
      <w:r w:rsidRPr="001B3E35">
        <w:t>contribute</w:t>
      </w:r>
      <w:r w:rsidR="009476C9" w:rsidRPr="001B3E35">
        <w:t>d</w:t>
      </w:r>
      <w:r w:rsidR="007B42BC" w:rsidRPr="001B3E35">
        <w:t xml:space="preserve"> 9.3</w:t>
      </w:r>
      <w:r w:rsidRPr="001B3E35">
        <w:t> percentage</w:t>
      </w:r>
      <w:r w:rsidRPr="004236EB">
        <w:t xml:space="preserve"> points to overall growth</w:t>
      </w:r>
      <w:r w:rsidR="00562B7D">
        <w:t>,</w:t>
      </w:r>
      <w:r w:rsidRPr="004236EB">
        <w:t xml:space="preserve"> or around one fifth of total growth. </w:t>
      </w:r>
      <w:r w:rsidR="0000519C" w:rsidRPr="004236EB">
        <w:t xml:space="preserve"> </w:t>
      </w:r>
      <w:r w:rsidRPr="004236EB">
        <w:t xml:space="preserve">A significant driver was the </w:t>
      </w:r>
      <w:r w:rsidRPr="004236EB">
        <w:rPr>
          <w:i/>
        </w:rPr>
        <w:t>More Help for Families</w:t>
      </w:r>
      <w:r w:rsidRPr="004236EB">
        <w:t xml:space="preserve"> package</w:t>
      </w:r>
      <w:r w:rsidR="00417B71" w:rsidRPr="004236EB">
        <w:t xml:space="preserve"> </w:t>
      </w:r>
      <w:r w:rsidR="001B1BB9" w:rsidRPr="004236EB">
        <w:t>c</w:t>
      </w:r>
      <w:r w:rsidR="00417B71" w:rsidRPr="004236EB">
        <w:t xml:space="preserve">osting around $4 billion </w:t>
      </w:r>
      <w:r w:rsidR="00442FDF" w:rsidRPr="004236EB">
        <w:t>annually</w:t>
      </w:r>
      <w:r w:rsidR="00417B71" w:rsidRPr="004236EB">
        <w:t xml:space="preserve"> starting in 20</w:t>
      </w:r>
      <w:r w:rsidRPr="004236EB">
        <w:t>03</w:t>
      </w:r>
      <w:r w:rsidR="003E0138" w:rsidRPr="006B456E">
        <w:noBreakHyphen/>
      </w:r>
      <w:r w:rsidRPr="004236EB">
        <w:t>04.</w:t>
      </w:r>
      <w:r w:rsidR="00417B71" w:rsidRPr="004236EB">
        <w:t xml:space="preserve"> </w:t>
      </w:r>
      <w:r w:rsidRPr="004236EB">
        <w:t xml:space="preserve"> This package </w:t>
      </w:r>
      <w:r w:rsidR="001B3E35">
        <w:t>increased FTB-A by $</w:t>
      </w:r>
      <w:r w:rsidR="001B3E35" w:rsidRPr="002371A2">
        <w:t>600</w:t>
      </w:r>
      <w:r w:rsidR="00A86416">
        <w:t> </w:t>
      </w:r>
      <w:r w:rsidR="001B3E35" w:rsidRPr="002371A2">
        <w:t>per</w:t>
      </w:r>
      <w:r w:rsidR="00A86416">
        <w:t> </w:t>
      </w:r>
      <w:r w:rsidR="001B3E35" w:rsidRPr="002371A2">
        <w:t>year</w:t>
      </w:r>
      <w:r w:rsidRPr="002371A2">
        <w:t>, reduced</w:t>
      </w:r>
      <w:r w:rsidRPr="004236EB">
        <w:t xml:space="preserve"> the taper rate on this payment, relaxed the income test for FTB-B and introduced a Maternity Payment</w:t>
      </w:r>
      <w:r w:rsidRPr="00414653">
        <w:t xml:space="preserve"> (subsequently renamed the Baby Bonus).</w:t>
      </w:r>
    </w:p>
    <w:p w:rsidR="00D6187E" w:rsidRDefault="007B42BC" w:rsidP="00816B94">
      <w:r>
        <w:t xml:space="preserve">Of </w:t>
      </w:r>
      <w:r w:rsidRPr="001B3E35">
        <w:t>the 9.3</w:t>
      </w:r>
      <w:r w:rsidR="00A86416">
        <w:t> </w:t>
      </w:r>
      <w:r w:rsidR="00D6187E" w:rsidRPr="001B3E35">
        <w:t xml:space="preserve">percentage </w:t>
      </w:r>
      <w:proofErr w:type="gramStart"/>
      <w:r w:rsidR="00D6187E" w:rsidRPr="001B3E35">
        <w:t>points</w:t>
      </w:r>
      <w:proofErr w:type="gramEnd"/>
      <w:r w:rsidR="00D6187E" w:rsidRPr="001B3E35">
        <w:t xml:space="preserve"> contribution to growth in social security and welfare from assistance to families with children, the growth in 2003</w:t>
      </w:r>
      <w:r w:rsidR="003E0138" w:rsidRPr="006B456E">
        <w:noBreakHyphen/>
      </w:r>
      <w:r w:rsidR="00D6187E" w:rsidRPr="001B3E35">
        <w:t>04 alone made up 6.1</w:t>
      </w:r>
      <w:r w:rsidR="00A86416">
        <w:t> </w:t>
      </w:r>
      <w:r w:rsidR="00D6187E" w:rsidRPr="001B3E35">
        <w:t>percentage points</w:t>
      </w:r>
      <w:r w:rsidR="00562B7D">
        <w:t>.</w:t>
      </w:r>
      <w:r w:rsidR="00A86416">
        <w:t xml:space="preserve"> </w:t>
      </w:r>
      <w:r w:rsidR="00D6187E" w:rsidRPr="00414653">
        <w:t xml:space="preserve"> A large part of the increase after 2003</w:t>
      </w:r>
      <w:r w:rsidR="003E0138" w:rsidRPr="006B456E">
        <w:noBreakHyphen/>
      </w:r>
      <w:r w:rsidR="00D6187E" w:rsidRPr="00414653">
        <w:t>04 was due to increases in child care pa</w:t>
      </w:r>
      <w:r w:rsidR="006A234A">
        <w:t>yments and the introduction of Paid Parental Leave.</w:t>
      </w:r>
      <w:r w:rsidR="00A86416">
        <w:t xml:space="preserve"> </w:t>
      </w:r>
      <w:r w:rsidR="006A234A">
        <w:t xml:space="preserve"> The Child Care Tax R</w:t>
      </w:r>
      <w:r w:rsidR="00D6187E" w:rsidRPr="00414653">
        <w:t>ebate was introduced in</w:t>
      </w:r>
      <w:r w:rsidR="00D6187E">
        <w:t xml:space="preserve"> the 2004</w:t>
      </w:r>
      <w:r w:rsidR="003E0138" w:rsidRPr="006B456E">
        <w:noBreakHyphen/>
      </w:r>
      <w:r w:rsidR="00D6187E">
        <w:t>05</w:t>
      </w:r>
      <w:r w:rsidR="003E0138">
        <w:t> </w:t>
      </w:r>
      <w:r w:rsidR="00D6187E">
        <w:t>MYEFO</w:t>
      </w:r>
      <w:r w:rsidR="00D6187E" w:rsidRPr="00414653">
        <w:t>, providing a rebate of 30</w:t>
      </w:r>
      <w:r w:rsidR="00A86416">
        <w:t> </w:t>
      </w:r>
      <w:r w:rsidR="00D6187E" w:rsidRPr="00414653">
        <w:t>per</w:t>
      </w:r>
      <w:r w:rsidR="00A86416">
        <w:t> </w:t>
      </w:r>
      <w:r w:rsidR="00D6187E" w:rsidRPr="00414653">
        <w:t xml:space="preserve">cent </w:t>
      </w:r>
      <w:r w:rsidR="006A234A">
        <w:t>of costs not reimbursed by the Child Care B</w:t>
      </w:r>
      <w:r w:rsidR="00D6187E" w:rsidRPr="00414653">
        <w:t>enefit</w:t>
      </w:r>
      <w:r w:rsidR="00D6187E">
        <w:t>.</w:t>
      </w:r>
      <w:r w:rsidR="00A86416">
        <w:t xml:space="preserve"> </w:t>
      </w:r>
      <w:r w:rsidR="00D6187E">
        <w:t xml:space="preserve"> This rebate</w:t>
      </w:r>
      <w:r w:rsidR="00D6187E" w:rsidRPr="00414653">
        <w:t xml:space="preserve"> was converted to a </w:t>
      </w:r>
      <w:r w:rsidR="003E0138">
        <w:t xml:space="preserve">direct payment in the </w:t>
      </w:r>
      <w:r w:rsidR="009476C9">
        <w:t>2007</w:t>
      </w:r>
      <w:r w:rsidR="003E0138" w:rsidRPr="006B456E">
        <w:noBreakHyphen/>
      </w:r>
      <w:r w:rsidR="00D6187E" w:rsidRPr="00414653">
        <w:t>08</w:t>
      </w:r>
      <w:r w:rsidR="009476C9">
        <w:t> </w:t>
      </w:r>
      <w:r w:rsidR="00D6187E" w:rsidRPr="00414653">
        <w:t>Budget, and was increased to 50</w:t>
      </w:r>
      <w:r w:rsidR="00A86416">
        <w:t> </w:t>
      </w:r>
      <w:r w:rsidR="00D6187E" w:rsidRPr="00414653">
        <w:t>pe</w:t>
      </w:r>
      <w:r w:rsidR="00D6187E">
        <w:t>r</w:t>
      </w:r>
      <w:r w:rsidR="00A86416">
        <w:t> </w:t>
      </w:r>
      <w:r w:rsidR="00D6187E">
        <w:t xml:space="preserve">cent in </w:t>
      </w:r>
      <w:r w:rsidR="003E0138">
        <w:t>2008</w:t>
      </w:r>
      <w:r w:rsidR="003E0138" w:rsidRPr="006B456E">
        <w:noBreakHyphen/>
      </w:r>
      <w:r w:rsidR="00D6187E" w:rsidRPr="002371A2">
        <w:t xml:space="preserve">09. </w:t>
      </w:r>
      <w:r w:rsidR="006A234A" w:rsidRPr="002371A2">
        <w:t xml:space="preserve"> </w:t>
      </w:r>
      <w:r w:rsidR="00D6187E" w:rsidRPr="002371A2">
        <w:t>The rebate cost $2.2 billion in 2012</w:t>
      </w:r>
      <w:r w:rsidR="003E0138" w:rsidRPr="006B456E">
        <w:noBreakHyphen/>
      </w:r>
      <w:r w:rsidR="00D6187E" w:rsidRPr="002371A2">
        <w:t xml:space="preserve">13. </w:t>
      </w:r>
      <w:r w:rsidR="006A234A" w:rsidRPr="002371A2">
        <w:t xml:space="preserve"> </w:t>
      </w:r>
      <w:r w:rsidR="00D6187E" w:rsidRPr="002371A2">
        <w:t xml:space="preserve">Paid </w:t>
      </w:r>
      <w:r w:rsidR="006A234A" w:rsidRPr="002371A2">
        <w:t>P</w:t>
      </w:r>
      <w:r w:rsidR="00D6187E" w:rsidRPr="002371A2">
        <w:t xml:space="preserve">arental </w:t>
      </w:r>
      <w:r w:rsidR="006A234A" w:rsidRPr="002371A2">
        <w:t>L</w:t>
      </w:r>
      <w:r w:rsidR="00D6187E" w:rsidRPr="002371A2">
        <w:t>e</w:t>
      </w:r>
      <w:r w:rsidR="00A86416">
        <w:t>ave was introduced from January </w:t>
      </w:r>
      <w:r w:rsidR="00D6187E" w:rsidRPr="002371A2">
        <w:t xml:space="preserve">2011, and cost </w:t>
      </w:r>
      <w:r w:rsidR="001B3E35" w:rsidRPr="002371A2">
        <w:t>$</w:t>
      </w:r>
      <w:r w:rsidR="00D6187E" w:rsidRPr="002371A2">
        <w:t>1.4</w:t>
      </w:r>
      <w:r w:rsidR="00A86416">
        <w:t> </w:t>
      </w:r>
      <w:r w:rsidR="00D6187E">
        <w:t>billion in 2012</w:t>
      </w:r>
      <w:r w:rsidR="003E0138" w:rsidRPr="006B456E">
        <w:noBreakHyphen/>
      </w:r>
      <w:r w:rsidR="00D6187E">
        <w:t>13</w:t>
      </w:r>
      <w:r w:rsidR="00D6187E" w:rsidRPr="00414653">
        <w:t xml:space="preserve"> (this payment is taxable, so the costs are partly offset by higher income tax revenue and reduced </w:t>
      </w:r>
      <w:r w:rsidR="00D6187E">
        <w:t>family assistance payments</w:t>
      </w:r>
      <w:r w:rsidR="00D6187E" w:rsidRPr="001B72BF">
        <w:t>).</w:t>
      </w:r>
    </w:p>
    <w:p w:rsidR="00D6187E" w:rsidRDefault="00D6187E" w:rsidP="006A234A">
      <w:pPr>
        <w:pStyle w:val="PBOtext"/>
      </w:pPr>
      <w:r w:rsidRPr="001B72BF">
        <w:t>The introduction</w:t>
      </w:r>
      <w:r>
        <w:t xml:space="preserve"> of the Schoolkids Bonus </w:t>
      </w:r>
      <w:r w:rsidR="006A234A">
        <w:t>from 2011</w:t>
      </w:r>
      <w:r w:rsidR="003E0138" w:rsidRPr="006B456E">
        <w:noBreakHyphen/>
      </w:r>
      <w:proofErr w:type="gramStart"/>
      <w:r w:rsidR="006A234A">
        <w:t>12</w:t>
      </w:r>
      <w:r w:rsidR="009476C9">
        <w:t>,</w:t>
      </w:r>
      <w:proofErr w:type="gramEnd"/>
      <w:r>
        <w:t xml:space="preserve"> also increased spending on assi</w:t>
      </w:r>
      <w:r w:rsidR="009476C9">
        <w:t>stance to families with</w:t>
      </w:r>
      <w:r w:rsidR="006A234A">
        <w:t xml:space="preserve"> children.  </w:t>
      </w:r>
      <w:r w:rsidR="006A234A" w:rsidRPr="001E6DD4">
        <w:t>T</w:t>
      </w:r>
      <w:r w:rsidR="006A234A">
        <w:t>he Schoolkids Bonus provides $410</w:t>
      </w:r>
      <w:r w:rsidR="00890B49">
        <w:t xml:space="preserve"> </w:t>
      </w:r>
      <w:r w:rsidR="00425D64">
        <w:t>annually</w:t>
      </w:r>
      <w:r w:rsidR="006A234A">
        <w:t xml:space="preserve"> for each primary school student and $820 </w:t>
      </w:r>
      <w:r w:rsidR="00425D64">
        <w:t>annually</w:t>
      </w:r>
      <w:r w:rsidR="006A234A">
        <w:t xml:space="preserve"> for each secondary school student for families entitled to FTB</w:t>
      </w:r>
      <w:r w:rsidR="003E0138" w:rsidRPr="006B456E">
        <w:noBreakHyphen/>
      </w:r>
      <w:r w:rsidR="006A234A">
        <w:t>A.</w:t>
      </w:r>
    </w:p>
    <w:p w:rsidR="00D6187E" w:rsidRDefault="00D6187E" w:rsidP="00816B94">
      <w:r w:rsidRPr="00414653">
        <w:t xml:space="preserve">The contribution of these factors to </w:t>
      </w:r>
      <w:r w:rsidR="00562B7D">
        <w:t xml:space="preserve">spending </w:t>
      </w:r>
      <w:r w:rsidRPr="00414653">
        <w:t xml:space="preserve">growth </w:t>
      </w:r>
      <w:r w:rsidR="00445839">
        <w:t>was</w:t>
      </w:r>
      <w:r w:rsidRPr="00414653">
        <w:t xml:space="preserve"> partly offset by </w:t>
      </w:r>
      <w:r>
        <w:t>the following:</w:t>
      </w:r>
    </w:p>
    <w:p w:rsidR="00D6187E" w:rsidRPr="002371A2" w:rsidRDefault="009476C9" w:rsidP="00247070">
      <w:pPr>
        <w:pStyle w:val="PBObullet"/>
        <w:numPr>
          <w:ilvl w:val="0"/>
          <w:numId w:val="5"/>
        </w:numPr>
        <w:ind w:left="284" w:hanging="284"/>
      </w:pPr>
      <w:r w:rsidRPr="002371A2">
        <w:t>a</w:t>
      </w:r>
      <w:r w:rsidR="00D6187E" w:rsidRPr="002371A2">
        <w:t xml:space="preserve"> change in indexation of FTB</w:t>
      </w:r>
      <w:r w:rsidR="003E0138" w:rsidRPr="006B456E">
        <w:noBreakHyphen/>
      </w:r>
      <w:r w:rsidR="00D6187E" w:rsidRPr="002371A2">
        <w:t xml:space="preserve">A, </w:t>
      </w:r>
      <w:r w:rsidR="00445839" w:rsidRPr="002371A2">
        <w:t>to</w:t>
      </w:r>
      <w:r w:rsidR="00D6187E" w:rsidRPr="002371A2">
        <w:t xml:space="preserve"> link</w:t>
      </w:r>
      <w:r w:rsidR="00445839" w:rsidRPr="002371A2">
        <w:t xml:space="preserve"> it</w:t>
      </w:r>
      <w:r w:rsidR="00D6187E" w:rsidRPr="002371A2">
        <w:t xml:space="preserve"> to inflation rather than wages, announced in the </w:t>
      </w:r>
      <w:r w:rsidR="00890B49">
        <w:br/>
      </w:r>
      <w:r w:rsidR="00D6187E" w:rsidRPr="002371A2">
        <w:t>2009</w:t>
      </w:r>
      <w:r w:rsidR="00890B49">
        <w:t>-</w:t>
      </w:r>
      <w:r w:rsidR="00D6187E" w:rsidRPr="002371A2">
        <w:t>10</w:t>
      </w:r>
      <w:r w:rsidR="001B3E35" w:rsidRPr="002371A2">
        <w:t> </w:t>
      </w:r>
      <w:r w:rsidR="00D6187E" w:rsidRPr="002371A2">
        <w:t xml:space="preserve">Budget; </w:t>
      </w:r>
    </w:p>
    <w:p w:rsidR="00D6187E" w:rsidRPr="0041748B" w:rsidRDefault="00D6187E" w:rsidP="00247070">
      <w:pPr>
        <w:pStyle w:val="PBObullet"/>
        <w:numPr>
          <w:ilvl w:val="0"/>
          <w:numId w:val="5"/>
        </w:numPr>
        <w:ind w:left="284" w:hanging="284"/>
      </w:pPr>
      <w:r w:rsidRPr="0041748B">
        <w:t>the tightening of income tests for FTB</w:t>
      </w:r>
      <w:r w:rsidR="003E0138" w:rsidRPr="006B456E">
        <w:noBreakHyphen/>
      </w:r>
      <w:r w:rsidR="003E0138">
        <w:t>B announced in the 2008</w:t>
      </w:r>
      <w:r w:rsidR="003E0138" w:rsidRPr="006B456E">
        <w:noBreakHyphen/>
      </w:r>
      <w:r w:rsidRPr="0041748B">
        <w:t>09</w:t>
      </w:r>
      <w:r w:rsidR="00890B49">
        <w:t> </w:t>
      </w:r>
      <w:r w:rsidRPr="0041748B">
        <w:t xml:space="preserve">Budget; </w:t>
      </w:r>
    </w:p>
    <w:p w:rsidR="00D6187E" w:rsidRPr="0041748B" w:rsidRDefault="00D6187E" w:rsidP="00247070">
      <w:pPr>
        <w:pStyle w:val="PBObullet"/>
        <w:numPr>
          <w:ilvl w:val="0"/>
          <w:numId w:val="5"/>
        </w:numPr>
        <w:ind w:left="284" w:hanging="284"/>
      </w:pPr>
      <w:r w:rsidRPr="0041748B">
        <w:t>a pause in indexation of the upper income threshold for FTB</w:t>
      </w:r>
      <w:r w:rsidR="003E0138" w:rsidRPr="006B456E">
        <w:noBreakHyphen/>
      </w:r>
      <w:r w:rsidRPr="0041748B">
        <w:t>A and FTB</w:t>
      </w:r>
      <w:r w:rsidR="003E0138" w:rsidRPr="006B456E">
        <w:noBreakHyphen/>
      </w:r>
      <w:r w:rsidRPr="0041748B">
        <w:t>B in the 2009</w:t>
      </w:r>
      <w:r w:rsidR="003E0138" w:rsidRPr="006B456E">
        <w:noBreakHyphen/>
      </w:r>
      <w:r w:rsidRPr="0041748B">
        <w:t>10</w:t>
      </w:r>
      <w:r w:rsidR="00890B49">
        <w:t> </w:t>
      </w:r>
      <w:r w:rsidRPr="0041748B">
        <w:t xml:space="preserve">Budget; </w:t>
      </w:r>
    </w:p>
    <w:p w:rsidR="00D6187E" w:rsidRPr="0041748B" w:rsidRDefault="00D6187E" w:rsidP="00247070">
      <w:pPr>
        <w:pStyle w:val="PBObullet"/>
        <w:numPr>
          <w:ilvl w:val="0"/>
          <w:numId w:val="5"/>
        </w:numPr>
        <w:ind w:left="284" w:hanging="284"/>
      </w:pPr>
      <w:r w:rsidRPr="0041748B">
        <w:t xml:space="preserve">a pause to indexation of FTB supplements, upper limits and thresholds announced in the </w:t>
      </w:r>
      <w:r w:rsidR="00890B49">
        <w:br/>
      </w:r>
      <w:r w:rsidRPr="0041748B">
        <w:t>2011</w:t>
      </w:r>
      <w:r w:rsidR="00890B49">
        <w:t>-</w:t>
      </w:r>
      <w:r w:rsidRPr="0041748B">
        <w:t>12</w:t>
      </w:r>
      <w:r>
        <w:t> Budget</w:t>
      </w:r>
      <w:r w:rsidRPr="0041748B">
        <w:t xml:space="preserve">; </w:t>
      </w:r>
    </w:p>
    <w:p w:rsidR="00D6187E" w:rsidRPr="0041748B" w:rsidRDefault="00D6187E" w:rsidP="00247070">
      <w:pPr>
        <w:pStyle w:val="PBObullet"/>
        <w:numPr>
          <w:ilvl w:val="0"/>
          <w:numId w:val="5"/>
        </w:numPr>
        <w:ind w:left="284" w:hanging="284"/>
      </w:pPr>
      <w:r w:rsidRPr="0041748B">
        <w:t>reduction</w:t>
      </w:r>
      <w:r>
        <w:t>s</w:t>
      </w:r>
      <w:r w:rsidRPr="0041748B">
        <w:t xml:space="preserve"> in the age of eligibility for FTB</w:t>
      </w:r>
      <w:r w:rsidR="003E0138" w:rsidRPr="006B456E">
        <w:noBreakHyphen/>
      </w:r>
      <w:r w:rsidRPr="0041748B">
        <w:t>A announced in the 2012</w:t>
      </w:r>
      <w:r w:rsidR="003E0138" w:rsidRPr="006B456E">
        <w:noBreakHyphen/>
      </w:r>
      <w:r w:rsidRPr="0041748B">
        <w:t>13</w:t>
      </w:r>
      <w:r w:rsidR="00890B49">
        <w:t> </w:t>
      </w:r>
      <w:r w:rsidRPr="0041748B">
        <w:t xml:space="preserve">Budget; and </w:t>
      </w:r>
    </w:p>
    <w:p w:rsidR="00D6187E" w:rsidRDefault="00D6187E" w:rsidP="00247070">
      <w:pPr>
        <w:pStyle w:val="PBObullet"/>
        <w:numPr>
          <w:ilvl w:val="0"/>
          <w:numId w:val="5"/>
        </w:numPr>
        <w:ind w:left="284" w:hanging="284"/>
      </w:pPr>
      <w:r w:rsidRPr="0041748B">
        <w:t>ongoing declines in the number of recipients of the Parenting Payment driven by tighter eligibility requirements for this payment</w:t>
      </w:r>
      <w:r>
        <w:t xml:space="preserve">, </w:t>
      </w:r>
      <w:r w:rsidRPr="0041748B">
        <w:t xml:space="preserve">with the number of recipients declining </w:t>
      </w:r>
      <w:r>
        <w:t xml:space="preserve">annually </w:t>
      </w:r>
      <w:r w:rsidRPr="0041748B">
        <w:t>by 3.</w:t>
      </w:r>
      <w:r>
        <w:t>6</w:t>
      </w:r>
      <w:r w:rsidR="00890B49">
        <w:t> </w:t>
      </w:r>
      <w:r w:rsidRPr="0041748B">
        <w:t>per</w:t>
      </w:r>
      <w:r w:rsidR="00890B49">
        <w:t> </w:t>
      </w:r>
      <w:r w:rsidRPr="0041748B">
        <w:t>cent over the period 200</w:t>
      </w:r>
      <w:r>
        <w:t>2</w:t>
      </w:r>
      <w:r w:rsidRPr="0041748B">
        <w:t xml:space="preserve"> to 2011.</w:t>
      </w:r>
    </w:p>
    <w:p w:rsidR="00D6187E" w:rsidRPr="00414653" w:rsidRDefault="00D6187E" w:rsidP="00816B94">
      <w:pPr>
        <w:pStyle w:val="Heading30"/>
      </w:pPr>
      <w:r w:rsidRPr="00414653">
        <w:lastRenderedPageBreak/>
        <w:t>Other contributions to growth</w:t>
      </w:r>
    </w:p>
    <w:p w:rsidR="006A234A" w:rsidRPr="001B3E35" w:rsidRDefault="006A234A" w:rsidP="006A234A">
      <w:pPr>
        <w:pStyle w:val="PBOtext"/>
      </w:pPr>
      <w:r w:rsidRPr="004236EB">
        <w:rPr>
          <w:b/>
        </w:rPr>
        <w:t>Other welfare programs</w:t>
      </w:r>
      <w:r w:rsidR="007B42BC">
        <w:t xml:space="preserve"> </w:t>
      </w:r>
      <w:r w:rsidR="007B42BC" w:rsidRPr="001B3E35">
        <w:t>contributed 1.2</w:t>
      </w:r>
      <w:r w:rsidR="00890B49">
        <w:t> </w:t>
      </w:r>
      <w:r w:rsidRPr="001B3E35">
        <w:t>percentage points to overall growth in social security and welfare</w:t>
      </w:r>
      <w:r w:rsidR="00562B7D">
        <w:t xml:space="preserve"> spending</w:t>
      </w:r>
      <w:r w:rsidRPr="001B3E35">
        <w:t>, mainly driven by the introduction of the Superannuation Co-contribution in 2003</w:t>
      </w:r>
      <w:r w:rsidR="003E0138" w:rsidRPr="006B456E">
        <w:noBreakHyphen/>
      </w:r>
      <w:r w:rsidRPr="001B3E35">
        <w:t>04 and the Low Income Superannu</w:t>
      </w:r>
      <w:r w:rsidR="00890B49">
        <w:t>ation Contribution in 2012</w:t>
      </w:r>
      <w:r w:rsidR="003E0138" w:rsidRPr="006B456E">
        <w:noBreakHyphen/>
      </w:r>
      <w:r w:rsidR="00890B49">
        <w:t>13.</w:t>
      </w:r>
    </w:p>
    <w:p w:rsidR="00D6187E" w:rsidRPr="004236EB" w:rsidRDefault="006A234A" w:rsidP="006A234A">
      <w:pPr>
        <w:pStyle w:val="PBOtext"/>
      </w:pPr>
      <w:r w:rsidRPr="001B3E35">
        <w:t>Other welfare programs made a small contribution to growth overall because it is a small proportion of overall spend</w:t>
      </w:r>
      <w:r w:rsidR="007B42BC" w:rsidRPr="001B3E35">
        <w:t>ing, even though it grew by 14.4</w:t>
      </w:r>
      <w:r w:rsidRPr="001B3E35">
        <w:t xml:space="preserve"> per cent </w:t>
      </w:r>
      <w:r w:rsidR="00425D64" w:rsidRPr="001B3E35">
        <w:t>annually</w:t>
      </w:r>
      <w:r w:rsidRPr="004236EB">
        <w:t xml:space="preserve"> from 2002</w:t>
      </w:r>
      <w:r w:rsidR="003E0138" w:rsidRPr="006B456E">
        <w:noBreakHyphen/>
      </w:r>
      <w:r w:rsidRPr="004236EB">
        <w:t>03 to 2012</w:t>
      </w:r>
      <w:r w:rsidR="003E0138" w:rsidRPr="006B456E">
        <w:noBreakHyphen/>
      </w:r>
      <w:r w:rsidRPr="004236EB">
        <w:t>13</w:t>
      </w:r>
      <w:r w:rsidR="00D6187E" w:rsidRPr="004236EB">
        <w:t>.</w:t>
      </w:r>
    </w:p>
    <w:p w:rsidR="00D6187E" w:rsidRPr="002371A2" w:rsidRDefault="006A234A" w:rsidP="00816B94">
      <w:r w:rsidRPr="004236EB">
        <w:rPr>
          <w:b/>
        </w:rPr>
        <w:t>General administration</w:t>
      </w:r>
      <w:r w:rsidRPr="004236EB">
        <w:t xml:space="preserve"> relating to social security and welfare contributed 1.0</w:t>
      </w:r>
      <w:r w:rsidR="00890B49">
        <w:t> </w:t>
      </w:r>
      <w:r w:rsidRPr="004236EB">
        <w:t xml:space="preserve">percentage point, driven by increased staffing levels to administer new programs and increases in the number of recipients of existing programs. </w:t>
      </w:r>
      <w:r w:rsidR="00890B49">
        <w:t xml:space="preserve"> </w:t>
      </w:r>
      <w:r w:rsidRPr="004236EB">
        <w:t>The impact of these increases has been partly offset by ongoing efficiencies in service de</w:t>
      </w:r>
      <w:r w:rsidR="00A17707" w:rsidRPr="004236EB">
        <w:t>livery (including</w:t>
      </w:r>
      <w:r w:rsidR="00A17707">
        <w:t xml:space="preserve"> </w:t>
      </w:r>
      <w:r w:rsidRPr="00A13CFC">
        <w:t>the merging of Centrelink and Medicare Australia with the Department of Human Services</w:t>
      </w:r>
      <w:r w:rsidRPr="002371A2">
        <w:t>).</w:t>
      </w:r>
      <w:r w:rsidR="004304E2" w:rsidRPr="002371A2">
        <w:t xml:space="preserve"> </w:t>
      </w:r>
      <w:r w:rsidRPr="002371A2">
        <w:t xml:space="preserve"> In </w:t>
      </w:r>
      <w:r w:rsidR="001B3E35" w:rsidRPr="002371A2">
        <w:t>Figure</w:t>
      </w:r>
      <w:r w:rsidR="004304E2" w:rsidRPr="002371A2">
        <w:t> </w:t>
      </w:r>
      <w:r w:rsidR="005F5894" w:rsidRPr="002371A2">
        <w:t>2.</w:t>
      </w:r>
      <w:r w:rsidR="001B3E35" w:rsidRPr="002371A2">
        <w:t>2</w:t>
      </w:r>
      <w:r w:rsidR="005F5894" w:rsidRPr="002371A2">
        <w:t xml:space="preserve"> </w:t>
      </w:r>
      <w:r w:rsidRPr="002371A2">
        <w:t xml:space="preserve">above, this </w:t>
      </w:r>
      <w:r w:rsidR="00A17707" w:rsidRPr="002371A2">
        <w:t>sub-</w:t>
      </w:r>
      <w:r w:rsidRPr="002371A2">
        <w:t>function is included in ‘combined assistance other’</w:t>
      </w:r>
      <w:r w:rsidR="00D6187E" w:rsidRPr="002371A2">
        <w:t>.</w:t>
      </w:r>
    </w:p>
    <w:p w:rsidR="00D6187E" w:rsidRPr="002371A2" w:rsidRDefault="00D6187E" w:rsidP="00816B94">
      <w:r w:rsidRPr="002371A2">
        <w:rPr>
          <w:b/>
        </w:rPr>
        <w:t>Assistance to the unemployed and the sick</w:t>
      </w:r>
      <w:r w:rsidR="00890B49">
        <w:t xml:space="preserve"> contributed 0.5 </w:t>
      </w:r>
      <w:r w:rsidRPr="002371A2">
        <w:t xml:space="preserve">percentage points to growth in social security and welfare, driven mainly by increases in spending on the </w:t>
      </w:r>
      <w:proofErr w:type="spellStart"/>
      <w:r w:rsidRPr="002371A2">
        <w:t>Newstart</w:t>
      </w:r>
      <w:proofErr w:type="spellEnd"/>
      <w:r w:rsidRPr="002371A2">
        <w:t xml:space="preserve"> Allowance (the unemployment benefit). </w:t>
      </w:r>
      <w:r w:rsidR="00890B49">
        <w:t xml:space="preserve"> </w:t>
      </w:r>
      <w:r w:rsidRPr="002371A2">
        <w:t>Total spending on this payment fell until the global financial crisis and has since been growing strongly, in conjunction with change</w:t>
      </w:r>
      <w:r w:rsidR="00890B49">
        <w:t>s in employment in the economy.</w:t>
      </w:r>
    </w:p>
    <w:p w:rsidR="00010AE1" w:rsidRPr="002371A2" w:rsidRDefault="00010AE1" w:rsidP="00010AE1">
      <w:r w:rsidRPr="002371A2">
        <w:t xml:space="preserve">Changes in spending on the </w:t>
      </w:r>
      <w:proofErr w:type="spellStart"/>
      <w:r w:rsidRPr="002371A2">
        <w:t>Newstart</w:t>
      </w:r>
      <w:proofErr w:type="spellEnd"/>
      <w:r w:rsidRPr="002371A2">
        <w:t xml:space="preserve"> Allowance have been almost exclusively driven by the change in the number of recipients rather than the rate of payment. </w:t>
      </w:r>
      <w:r w:rsidR="00890B49">
        <w:t xml:space="preserve"> </w:t>
      </w:r>
      <w:r w:rsidRPr="002371A2">
        <w:t xml:space="preserve">This is because </w:t>
      </w:r>
      <w:proofErr w:type="spellStart"/>
      <w:r w:rsidRPr="002371A2">
        <w:t>Newstart</w:t>
      </w:r>
      <w:proofErr w:type="spellEnd"/>
      <w:r w:rsidRPr="002371A2">
        <w:t xml:space="preserve"> is indexed to inflation, so the payment rate remains broadly unchanged in real terms over time unless there</w:t>
      </w:r>
      <w:r w:rsidR="003E0138">
        <w:t xml:space="preserve"> are policy changes.  From 2002</w:t>
      </w:r>
      <w:r w:rsidR="003E0138" w:rsidRPr="006B456E">
        <w:noBreakHyphen/>
      </w:r>
      <w:r w:rsidR="003E0138">
        <w:t>03 to 2007</w:t>
      </w:r>
      <w:r w:rsidR="003E0138" w:rsidRPr="006B456E">
        <w:noBreakHyphen/>
      </w:r>
      <w:r w:rsidRPr="002371A2">
        <w:t xml:space="preserve">08, spending on the </w:t>
      </w:r>
      <w:proofErr w:type="spellStart"/>
      <w:r w:rsidRPr="002371A2">
        <w:t>Newstart</w:t>
      </w:r>
      <w:proofErr w:type="spellEnd"/>
      <w:r w:rsidRPr="002371A2">
        <w:t xml:space="preserve"> Allowance declined by 25</w:t>
      </w:r>
      <w:r w:rsidR="0078351A" w:rsidRPr="002371A2">
        <w:t> </w:t>
      </w:r>
      <w:r w:rsidRPr="002371A2">
        <w:t>per</w:t>
      </w:r>
      <w:r w:rsidR="0078351A" w:rsidRPr="002371A2">
        <w:t> </w:t>
      </w:r>
      <w:r w:rsidRPr="002371A2">
        <w:t>cent, reflecting the 23</w:t>
      </w:r>
      <w:r w:rsidR="00890B49">
        <w:t> </w:t>
      </w:r>
      <w:r w:rsidRPr="002371A2">
        <w:t>per</w:t>
      </w:r>
      <w:r w:rsidR="00890B49">
        <w:t> </w:t>
      </w:r>
      <w:r w:rsidRPr="002371A2">
        <w:t>cent decline in the average number of people unemployed over the same time period. From 2007</w:t>
      </w:r>
      <w:r w:rsidR="003E0138" w:rsidRPr="006B456E">
        <w:noBreakHyphen/>
      </w:r>
      <w:r w:rsidRPr="002371A2">
        <w:t>08 to 2012</w:t>
      </w:r>
      <w:r w:rsidR="003E0138" w:rsidRPr="006B456E">
        <w:noBreakHyphen/>
      </w:r>
      <w:r w:rsidRPr="002371A2">
        <w:t xml:space="preserve">13, the costs of </w:t>
      </w:r>
      <w:proofErr w:type="spellStart"/>
      <w:r w:rsidRPr="002371A2">
        <w:t>Newstart</w:t>
      </w:r>
      <w:proofErr w:type="spellEnd"/>
      <w:r w:rsidRPr="002371A2">
        <w:t xml:space="preserve"> increased by 57</w:t>
      </w:r>
      <w:r w:rsidR="00890B49">
        <w:t> </w:t>
      </w:r>
      <w:r w:rsidRPr="002371A2">
        <w:t>per</w:t>
      </w:r>
      <w:r w:rsidR="00890B49">
        <w:t> </w:t>
      </w:r>
      <w:r w:rsidRPr="002371A2">
        <w:t>cent, while the average number of unemployed increased by 40</w:t>
      </w:r>
      <w:r w:rsidR="00890B49">
        <w:t> </w:t>
      </w:r>
      <w:r w:rsidRPr="002371A2">
        <w:t>per</w:t>
      </w:r>
      <w:r w:rsidR="00890B49">
        <w:t> </w:t>
      </w:r>
      <w:r w:rsidRPr="002371A2">
        <w:t>cent.</w:t>
      </w:r>
    </w:p>
    <w:p w:rsidR="00D6187E" w:rsidRPr="002371A2" w:rsidRDefault="006A234A" w:rsidP="006A234A">
      <w:pPr>
        <w:pStyle w:val="PBOtext"/>
      </w:pPr>
      <w:r w:rsidRPr="002371A2">
        <w:t xml:space="preserve">In </w:t>
      </w:r>
      <w:r w:rsidR="001B3E35" w:rsidRPr="002371A2">
        <w:t>Figure</w:t>
      </w:r>
      <w:r w:rsidR="00890B49">
        <w:t> </w:t>
      </w:r>
      <w:r w:rsidR="001B3E35" w:rsidRPr="002371A2">
        <w:t>2.2</w:t>
      </w:r>
      <w:r w:rsidR="003D2C32" w:rsidRPr="002371A2">
        <w:t xml:space="preserve"> above, </w:t>
      </w:r>
      <w:r w:rsidRPr="002371A2">
        <w:t>assistance to the unemployed and the sick is included in ‘combined assistance other’</w:t>
      </w:r>
      <w:r w:rsidR="00D6187E" w:rsidRPr="002371A2">
        <w:t>.</w:t>
      </w:r>
    </w:p>
    <w:p w:rsidR="006A234A" w:rsidRPr="002371A2" w:rsidRDefault="006A234A" w:rsidP="006A234A">
      <w:pPr>
        <w:pStyle w:val="Heading30"/>
      </w:pPr>
      <w:r w:rsidRPr="002371A2">
        <w:t xml:space="preserve">Offsets to </w:t>
      </w:r>
      <w:r w:rsidR="006B2E25">
        <w:t xml:space="preserve">spending </w:t>
      </w:r>
      <w:r w:rsidRPr="002371A2">
        <w:t>growth</w:t>
      </w:r>
    </w:p>
    <w:p w:rsidR="006A234A" w:rsidRPr="00414653" w:rsidRDefault="006A234A" w:rsidP="006A234A">
      <w:pPr>
        <w:pStyle w:val="PBOtext"/>
      </w:pPr>
      <w:r w:rsidRPr="002371A2">
        <w:t xml:space="preserve">The contributions to overall </w:t>
      </w:r>
      <w:r w:rsidR="006B2E25">
        <w:t xml:space="preserve">social security and welfare spending </w:t>
      </w:r>
      <w:r w:rsidRPr="002371A2">
        <w:t xml:space="preserve">growth of </w:t>
      </w:r>
      <w:r w:rsidR="007B42BC" w:rsidRPr="002371A2">
        <w:t>43.2</w:t>
      </w:r>
      <w:r w:rsidR="00890B49">
        <w:t> </w:t>
      </w:r>
      <w:r w:rsidRPr="002371A2">
        <w:t>per</w:t>
      </w:r>
      <w:r w:rsidR="00890B49">
        <w:t> </w:t>
      </w:r>
      <w:r w:rsidRPr="002371A2">
        <w:t xml:space="preserve">cent outlined above were partly offset by </w:t>
      </w:r>
      <w:r w:rsidR="006B2E25">
        <w:t>reduced levels of spending</w:t>
      </w:r>
      <w:r w:rsidRPr="002371A2">
        <w:t xml:space="preserve"> in several categories. In </w:t>
      </w:r>
      <w:r w:rsidR="001B3E35" w:rsidRPr="002371A2">
        <w:t>Figure</w:t>
      </w:r>
      <w:r w:rsidR="00890B49">
        <w:t> </w:t>
      </w:r>
      <w:r w:rsidR="002E73C6" w:rsidRPr="002371A2">
        <w:t>2.</w:t>
      </w:r>
      <w:r w:rsidR="001B3E35" w:rsidRPr="002371A2">
        <w:t>2</w:t>
      </w:r>
      <w:r w:rsidRPr="002371A2">
        <w:t xml:space="preserve"> above, these categories</w:t>
      </w:r>
      <w:r w:rsidRPr="00414653">
        <w:t xml:space="preserve"> are included in ‘combined assistance other’.</w:t>
      </w:r>
    </w:p>
    <w:p w:rsidR="006A234A" w:rsidRPr="004236EB" w:rsidRDefault="006A234A" w:rsidP="006A234A">
      <w:pPr>
        <w:pStyle w:val="PBOtext"/>
      </w:pPr>
      <w:r w:rsidRPr="00A24B3D">
        <w:rPr>
          <w:b/>
        </w:rPr>
        <w:t>Assistance for Indigenous Australians</w:t>
      </w:r>
      <w:r>
        <w:rPr>
          <w:b/>
        </w:rPr>
        <w:t xml:space="preserve"> </w:t>
      </w:r>
      <w:proofErr w:type="spellStart"/>
      <w:proofErr w:type="gramStart"/>
      <w:r>
        <w:rPr>
          <w:b/>
        </w:rPr>
        <w:t>nec</w:t>
      </w:r>
      <w:proofErr w:type="spellEnd"/>
      <w:proofErr w:type="gramEnd"/>
      <w:r w:rsidRPr="00414653">
        <w:t xml:space="preserve"> made a negative contribution to growth in spending on </w:t>
      </w:r>
      <w:r w:rsidRPr="004236EB">
        <w:t>social security and welfare of 0.5</w:t>
      </w:r>
      <w:r w:rsidR="00890B49">
        <w:t> </w:t>
      </w:r>
      <w:r w:rsidRPr="004236EB">
        <w:t>percentage points.</w:t>
      </w:r>
      <w:r w:rsidR="00890B49">
        <w:t xml:space="preserve"> </w:t>
      </w:r>
      <w:r w:rsidRPr="004236EB">
        <w:t xml:space="preserve"> This was partly due to </w:t>
      </w:r>
      <w:r w:rsidR="006B2E25">
        <w:t>changes</w:t>
      </w:r>
      <w:r w:rsidR="006B2E25" w:rsidRPr="004236EB">
        <w:t xml:space="preserve"> </w:t>
      </w:r>
      <w:r w:rsidRPr="004236EB">
        <w:t xml:space="preserve">to the Community Development Employment Projects (CDEP) program over the period.  These </w:t>
      </w:r>
      <w:r w:rsidR="006B2E25">
        <w:t>changes</w:t>
      </w:r>
      <w:r w:rsidR="006B2E25" w:rsidRPr="004236EB">
        <w:t xml:space="preserve"> </w:t>
      </w:r>
      <w:r w:rsidRPr="004236EB">
        <w:t xml:space="preserve">included the conversion of some CDEP positions into government jobs, resulting in the transfer of expenses from this category to various other </w:t>
      </w:r>
      <w:r w:rsidR="00981027" w:rsidRPr="004236EB">
        <w:t>spending</w:t>
      </w:r>
      <w:r w:rsidRPr="004236EB">
        <w:t xml:space="preserve"> categories.</w:t>
      </w:r>
    </w:p>
    <w:p w:rsidR="00D6187E" w:rsidRPr="0041748B" w:rsidRDefault="006A234A" w:rsidP="006A234A">
      <w:pPr>
        <w:pStyle w:val="PBOtext"/>
      </w:pPr>
      <w:r w:rsidRPr="004236EB">
        <w:rPr>
          <w:b/>
        </w:rPr>
        <w:t>Assistance to veterans and dependants</w:t>
      </w:r>
      <w:r w:rsidRPr="004236EB">
        <w:t xml:space="preserve"> made</w:t>
      </w:r>
      <w:r w:rsidR="00890B49">
        <w:t xml:space="preserve"> a negative contribution of 0.4 </w:t>
      </w:r>
      <w:r w:rsidRPr="004236EB">
        <w:t>percentage points, driven by ongoing declines in the number of people eligible for assistance.</w:t>
      </w:r>
      <w:r w:rsidR="009E15D1" w:rsidRPr="004236EB">
        <w:t xml:space="preserve"> </w:t>
      </w:r>
      <w:r w:rsidRPr="004236EB">
        <w:t xml:space="preserve"> From 2002 to 2011, the number of recipients of the veterans’ service pension and income support declined by 4.7</w:t>
      </w:r>
      <w:r w:rsidR="009E15D1" w:rsidRPr="004236EB">
        <w:t xml:space="preserve"> per cent </w:t>
      </w:r>
      <w:r w:rsidR="00425D64" w:rsidRPr="004236EB">
        <w:t>annually</w:t>
      </w:r>
      <w:r w:rsidRPr="004236EB">
        <w:t xml:space="preserve">. </w:t>
      </w:r>
      <w:r w:rsidR="009E15D1" w:rsidRPr="004236EB">
        <w:t xml:space="preserve"> </w:t>
      </w:r>
      <w:r w:rsidRPr="004236EB">
        <w:t xml:space="preserve">The impact of declining recipient numbers was partly offset by increases in payment rates which have grown in a similar manner to the Age Pension.  Like the Age Pension, the service pension is effectively indexed to wages and thus </w:t>
      </w:r>
      <w:r w:rsidR="006B2E25">
        <w:t>has grown</w:t>
      </w:r>
      <w:r w:rsidRPr="004236EB">
        <w:t xml:space="preserve"> in real terms over time.  There were also several policy decisions to increase payment rates over the period, including the increase to pensions in the 2009</w:t>
      </w:r>
      <w:r w:rsidR="003E0138" w:rsidRPr="006B456E">
        <w:noBreakHyphen/>
      </w:r>
      <w:r w:rsidRPr="004236EB">
        <w:t>10</w:t>
      </w:r>
      <w:r w:rsidR="00890B49">
        <w:t> Budget and the 1.7 </w:t>
      </w:r>
      <w:r w:rsidRPr="004236EB">
        <w:t>per</w:t>
      </w:r>
      <w:r w:rsidR="00890B49">
        <w:t> </w:t>
      </w:r>
      <w:r w:rsidRPr="004236EB">
        <w:t xml:space="preserve">cent increase as part of the </w:t>
      </w:r>
      <w:r w:rsidRPr="004236EB">
        <w:rPr>
          <w:i/>
        </w:rPr>
        <w:t>Clean Energy Future</w:t>
      </w:r>
      <w:r w:rsidRPr="004236EB">
        <w:t xml:space="preserve"> household assistance package.</w:t>
      </w:r>
    </w:p>
    <w:p w:rsidR="007C31D6" w:rsidRDefault="007C31D6" w:rsidP="00394D97">
      <w:pPr>
        <w:sectPr w:rsidR="007C31D6" w:rsidSect="00C66F4F">
          <w:footerReference w:type="default" r:id="rId24"/>
          <w:pgSz w:w="11900" w:h="16840"/>
          <w:pgMar w:top="1440" w:right="1797" w:bottom="1440" w:left="1797" w:header="709" w:footer="709" w:gutter="0"/>
          <w:pgNumType w:start="10"/>
          <w:cols w:space="708"/>
          <w:titlePg/>
          <w:docGrid w:linePitch="326"/>
        </w:sectPr>
      </w:pPr>
    </w:p>
    <w:p w:rsidR="007C31D6" w:rsidRDefault="007C31D6" w:rsidP="003D676E">
      <w:pPr>
        <w:pStyle w:val="Heading1"/>
        <w:numPr>
          <w:ilvl w:val="0"/>
          <w:numId w:val="26"/>
        </w:numPr>
        <w:ind w:left="709" w:hanging="709"/>
      </w:pPr>
      <w:bookmarkStart w:id="74" w:name="_Toc372697968"/>
      <w:bookmarkStart w:id="75" w:name="_Toc373778491"/>
      <w:bookmarkStart w:id="76" w:name="_Toc374182865"/>
      <w:bookmarkStart w:id="77" w:name="_Toc374349461"/>
      <w:r>
        <w:lastRenderedPageBreak/>
        <w:t>Other purposes</w:t>
      </w:r>
      <w:bookmarkEnd w:id="74"/>
      <w:r w:rsidR="00F947A1" w:rsidRPr="00686315">
        <w:t xml:space="preserve"> expenses</w:t>
      </w:r>
      <w:bookmarkEnd w:id="75"/>
      <w:bookmarkEnd w:id="76"/>
      <w:bookmarkEnd w:id="77"/>
    </w:p>
    <w:p w:rsidR="007C31D6" w:rsidRPr="00165EBD" w:rsidRDefault="00C921C7" w:rsidP="00394D97">
      <w:r>
        <w:t>O</w:t>
      </w:r>
      <w:r w:rsidR="007C31D6">
        <w:t xml:space="preserve">ther purposes </w:t>
      </w:r>
      <w:r>
        <w:t xml:space="preserve">spending </w:t>
      </w:r>
      <w:r w:rsidR="007C31D6">
        <w:t>w</w:t>
      </w:r>
      <w:r>
        <w:t>as</w:t>
      </w:r>
      <w:r w:rsidR="007C31D6" w:rsidRPr="00D32755">
        <w:t xml:space="preserve"> $7</w:t>
      </w:r>
      <w:r w:rsidR="007C31D6">
        <w:t>2</w:t>
      </w:r>
      <w:r w:rsidR="00890B49">
        <w:t> </w:t>
      </w:r>
      <w:r w:rsidR="007C31D6">
        <w:t>6</w:t>
      </w:r>
      <w:r w:rsidR="0018267B">
        <w:t xml:space="preserve"> billion or </w:t>
      </w:r>
      <w:r w:rsidR="004304E2">
        <w:t>18.9</w:t>
      </w:r>
      <w:r w:rsidR="00890B49">
        <w:t> </w:t>
      </w:r>
      <w:r w:rsidR="007C31D6" w:rsidRPr="00D32755">
        <w:t>per</w:t>
      </w:r>
      <w:r w:rsidR="00890B49">
        <w:t> </w:t>
      </w:r>
      <w:r w:rsidR="007C31D6" w:rsidRPr="00D32755">
        <w:t>c</w:t>
      </w:r>
      <w:r w:rsidR="007C31D6">
        <w:t xml:space="preserve">ent of total </w:t>
      </w:r>
      <w:r w:rsidR="007C31D6" w:rsidRPr="00C921C7">
        <w:t xml:space="preserve">government </w:t>
      </w:r>
      <w:r>
        <w:t>spending</w:t>
      </w:r>
      <w:r w:rsidR="007C31D6" w:rsidRPr="00D32755">
        <w:t xml:space="preserve"> in 201</w:t>
      </w:r>
      <w:r w:rsidR="007C31D6">
        <w:t>2</w:t>
      </w:r>
      <w:r w:rsidR="003E0138" w:rsidRPr="006B456E">
        <w:noBreakHyphen/>
      </w:r>
      <w:r w:rsidR="007C31D6" w:rsidRPr="00D32755">
        <w:t>1</w:t>
      </w:r>
      <w:r w:rsidR="007C31D6">
        <w:t>3</w:t>
      </w:r>
      <w:r w:rsidR="007C31D6" w:rsidRPr="00D32755">
        <w:t xml:space="preserve">.  </w:t>
      </w:r>
      <w:r w:rsidR="00BF2351" w:rsidRPr="00414653">
        <w:t xml:space="preserve">The </w:t>
      </w:r>
      <w:r w:rsidR="00BF2351">
        <w:t>composition</w:t>
      </w:r>
      <w:r w:rsidR="00BF2351" w:rsidRPr="00414653">
        <w:t xml:space="preserve"> of this </w:t>
      </w:r>
      <w:r w:rsidR="00BF2351">
        <w:t xml:space="preserve">spending is shown in Figure 3.1 </w:t>
      </w:r>
      <w:r w:rsidR="00BF2351" w:rsidRPr="00414653">
        <w:t>below</w:t>
      </w:r>
      <w:r w:rsidR="00BF2351" w:rsidRPr="00A47403">
        <w:t>.</w:t>
      </w:r>
    </w:p>
    <w:p w:rsidR="00FB5521" w:rsidRDefault="00FB5521" w:rsidP="007A4A40">
      <w:pPr>
        <w:pStyle w:val="Caption"/>
      </w:pPr>
      <w:bookmarkStart w:id="78" w:name="_Toc373422174"/>
      <w:bookmarkStart w:id="79" w:name="_Toc373873647"/>
      <w:bookmarkStart w:id="80" w:name="_Toc373955550"/>
      <w:bookmarkStart w:id="81" w:name="_Toc374088494"/>
      <w:bookmarkStart w:id="82" w:name="_Toc374102202"/>
      <w:bookmarkStart w:id="83" w:name="_Toc374349990"/>
      <w:proofErr w:type="gramStart"/>
      <w:r w:rsidRPr="004236EB">
        <w:t xml:space="preserve">Figure </w:t>
      </w:r>
      <w:fldSimple w:instr=" STYLEREF 1 \s ">
        <w:r w:rsidR="00E862AC">
          <w:rPr>
            <w:noProof/>
          </w:rPr>
          <w:t>3</w:t>
        </w:r>
      </w:fldSimple>
      <w:r w:rsidR="00F90856" w:rsidRPr="004236EB">
        <w:t>.</w:t>
      </w:r>
      <w:proofErr w:type="gramEnd"/>
      <w:r w:rsidR="00143AAD">
        <w:fldChar w:fldCharType="begin"/>
      </w:r>
      <w:r w:rsidR="00143AAD">
        <w:instrText xml:space="preserve"> SEQ Figure \* ARABIC \s 1 </w:instrText>
      </w:r>
      <w:r w:rsidR="00143AAD">
        <w:fldChar w:fldCharType="separate"/>
      </w:r>
      <w:r w:rsidR="00E862AC">
        <w:rPr>
          <w:noProof/>
        </w:rPr>
        <w:t>1</w:t>
      </w:r>
      <w:r w:rsidR="00143AAD">
        <w:rPr>
          <w:noProof/>
        </w:rPr>
        <w:fldChar w:fldCharType="end"/>
      </w:r>
      <w:r w:rsidR="00773778">
        <w:t>:</w:t>
      </w:r>
      <w:r w:rsidR="00773778">
        <w:tab/>
      </w:r>
      <w:r w:rsidRPr="004236EB">
        <w:t xml:space="preserve">Composition of other purposes </w:t>
      </w:r>
      <w:r w:rsidR="008A1BDB" w:rsidRPr="004236EB">
        <w:t>expenses</w:t>
      </w:r>
      <w:r w:rsidRPr="004236EB">
        <w:t xml:space="preserve"> in 2012-13</w:t>
      </w:r>
      <w:bookmarkEnd w:id="78"/>
      <w:bookmarkEnd w:id="79"/>
      <w:bookmarkEnd w:id="80"/>
      <w:bookmarkEnd w:id="81"/>
      <w:bookmarkEnd w:id="82"/>
      <w:bookmarkEnd w:id="83"/>
    </w:p>
    <w:p w:rsidR="007C31D6" w:rsidRDefault="00E316FF" w:rsidP="00B055EE">
      <w:pPr>
        <w:spacing w:before="0" w:after="0"/>
        <w:jc w:val="center"/>
      </w:pPr>
      <w:r>
        <w:rPr>
          <w:noProof/>
        </w:rPr>
        <w:drawing>
          <wp:inline distT="0" distB="0" distL="0" distR="0" wp14:anchorId="0FB12ABF" wp14:editId="1AC1AAD2">
            <wp:extent cx="4675435" cy="3543300"/>
            <wp:effectExtent l="0" t="0" r="0" b="0"/>
            <wp:docPr id="19" name="Picture 19" descr="This chart shows the composition of other purposes expenses in 2012–13.  Spending on general revenue assistance was the largest area of spending making up two thirds, followed by public debt interest at 17 per cent and nominal superannuation interest at 9 per cent.&#10;"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t="2234" b="8633"/>
                    <a:stretch/>
                  </pic:blipFill>
                  <pic:spPr bwMode="auto">
                    <a:xfrm>
                      <a:off x="0" y="0"/>
                      <a:ext cx="4681855" cy="3548166"/>
                    </a:xfrm>
                    <a:prstGeom prst="rect">
                      <a:avLst/>
                    </a:prstGeom>
                    <a:noFill/>
                    <a:ln>
                      <a:noFill/>
                    </a:ln>
                    <a:extLst>
                      <a:ext uri="{53640926-AAD7-44D8-BBD7-CCE9431645EC}">
                        <a14:shadowObscured xmlns:a14="http://schemas.microsoft.com/office/drawing/2010/main"/>
                      </a:ext>
                    </a:extLst>
                  </pic:spPr>
                </pic:pic>
              </a:graphicData>
            </a:graphic>
          </wp:inline>
        </w:drawing>
      </w:r>
    </w:p>
    <w:p w:rsidR="00390F8D" w:rsidRDefault="007C31D6" w:rsidP="00B055EE">
      <w:pPr>
        <w:pStyle w:val="FigureCaption"/>
      </w:pPr>
      <w:r w:rsidRPr="008D189C">
        <w:t xml:space="preserve">Source: </w:t>
      </w:r>
      <w:r w:rsidR="00390F8D">
        <w:t>Australian Government Final Budget Outcome 20</w:t>
      </w:r>
      <w:r w:rsidR="00390F8D" w:rsidRPr="0041748B">
        <w:t>12</w:t>
      </w:r>
      <w:r w:rsidR="00390F8D">
        <w:t>-13</w:t>
      </w:r>
    </w:p>
    <w:p w:rsidR="007C31D6" w:rsidRDefault="007C31D6" w:rsidP="00390F8D">
      <w:r>
        <w:t xml:space="preserve">The Commonwealth pays </w:t>
      </w:r>
      <w:r>
        <w:rPr>
          <w:b/>
        </w:rPr>
        <w:t>ge</w:t>
      </w:r>
      <w:r w:rsidRPr="00620F60">
        <w:rPr>
          <w:b/>
        </w:rPr>
        <w:t>neral revenue assistance</w:t>
      </w:r>
      <w:r>
        <w:t xml:space="preserve"> to the States and Territories on an untied basis. </w:t>
      </w:r>
      <w:r w:rsidR="00890B49">
        <w:t xml:space="preserve"> </w:t>
      </w:r>
      <w:r>
        <w:t>Th</w:t>
      </w:r>
      <w:r w:rsidR="00890B49">
        <w:t>ese payments were $49.2 </w:t>
      </w:r>
      <w:r>
        <w:t>billion in 2012</w:t>
      </w:r>
      <w:r w:rsidR="003E0138" w:rsidRPr="006B456E">
        <w:noBreakHyphen/>
      </w:r>
      <w:r>
        <w:t xml:space="preserve">13 and made up two thirds of </w:t>
      </w:r>
      <w:r w:rsidR="00442FDF">
        <w:t>other purposes spending</w:t>
      </w:r>
      <w:r>
        <w:t>.  General revenue assistance p</w:t>
      </w:r>
      <w:r w:rsidR="00A17707">
        <w:t>rimarily represents the payment</w:t>
      </w:r>
      <w:r>
        <w:t xml:space="preserve"> to the States and Territories</w:t>
      </w:r>
      <w:r w:rsidR="00842A6D">
        <w:t xml:space="preserve"> of revenue generated from the G</w:t>
      </w:r>
      <w:r>
        <w:t xml:space="preserve">oods and </w:t>
      </w:r>
      <w:r w:rsidR="00842A6D">
        <w:t>S</w:t>
      </w:r>
      <w:r>
        <w:t xml:space="preserve">ervices </w:t>
      </w:r>
      <w:r w:rsidR="00842A6D">
        <w:t>T</w:t>
      </w:r>
      <w:r>
        <w:t xml:space="preserve">ax (GST).  States and Territories can allocate the payments </w:t>
      </w:r>
      <w:r w:rsidR="00890B49">
        <w:t>to their individual priorities.</w:t>
      </w:r>
    </w:p>
    <w:p w:rsidR="007C31D6" w:rsidRDefault="007C31D6" w:rsidP="00394D97">
      <w:r w:rsidRPr="00951763">
        <w:rPr>
          <w:b/>
        </w:rPr>
        <w:t>Public debt interest</w:t>
      </w:r>
      <w:r>
        <w:rPr>
          <w:b/>
        </w:rPr>
        <w:t xml:space="preserve"> </w:t>
      </w:r>
      <w:r>
        <w:t>is paid by the Commonwealth on its borrowings and was $12.5 bi</w:t>
      </w:r>
      <w:r w:rsidR="00442FDF">
        <w:t>llion in 2012</w:t>
      </w:r>
      <w:r w:rsidR="003E0138" w:rsidRPr="006B456E">
        <w:noBreakHyphen/>
      </w:r>
      <w:r w:rsidR="00442FDF">
        <w:t>13, or around 17</w:t>
      </w:r>
      <w:r>
        <w:t> per cent of other purposes</w:t>
      </w:r>
      <w:r w:rsidR="00442FDF">
        <w:t xml:space="preserve"> spending</w:t>
      </w:r>
      <w:r w:rsidR="007F2075">
        <w:t>.</w:t>
      </w:r>
    </w:p>
    <w:p w:rsidR="007C31D6" w:rsidRDefault="007C31D6" w:rsidP="00394D97">
      <w:r>
        <w:t>In 2012</w:t>
      </w:r>
      <w:r w:rsidR="003E0138" w:rsidRPr="006B456E">
        <w:noBreakHyphen/>
      </w:r>
      <w:r>
        <w:t xml:space="preserve">13, the Commonwealth had </w:t>
      </w:r>
      <w:r>
        <w:rPr>
          <w:b/>
        </w:rPr>
        <w:t>no</w:t>
      </w:r>
      <w:r w:rsidRPr="00620F60">
        <w:rPr>
          <w:b/>
        </w:rPr>
        <w:t>minal superannuation interest</w:t>
      </w:r>
      <w:r w:rsidR="00442FDF">
        <w:t xml:space="preserve"> expenses of $6.7 billion or 9</w:t>
      </w:r>
      <w:r>
        <w:t xml:space="preserve"> per cent of other purposes </w:t>
      </w:r>
      <w:r w:rsidR="00442FDF">
        <w:t>spending</w:t>
      </w:r>
      <w:r>
        <w:t xml:space="preserve">. </w:t>
      </w:r>
      <w:r w:rsidR="00890B49">
        <w:t xml:space="preserve"> </w:t>
      </w:r>
      <w:r>
        <w:t xml:space="preserve">This </w:t>
      </w:r>
      <w:r w:rsidR="00CB075B">
        <w:t xml:space="preserve">spending </w:t>
      </w:r>
      <w:r>
        <w:t xml:space="preserve">represents the imputed nominal interest expense accrued during the period on unfunded liabilities for government superannuation benefits. </w:t>
      </w:r>
      <w:r w:rsidR="00890B49">
        <w:t xml:space="preserve"> </w:t>
      </w:r>
      <w:r>
        <w:t>Government superannuation</w:t>
      </w:r>
      <w:r w:rsidR="00F34510">
        <w:t xml:space="preserve"> benefits expense discussed in </w:t>
      </w:r>
      <w:r w:rsidR="00F34510" w:rsidRPr="009303B4">
        <w:t>C</w:t>
      </w:r>
      <w:r w:rsidR="0088715E" w:rsidRPr="009303B4">
        <w:t>hapter</w:t>
      </w:r>
      <w:r w:rsidR="003E0138">
        <w:t> </w:t>
      </w:r>
      <w:r w:rsidR="0088715E" w:rsidRPr="009303B4">
        <w:t>6</w:t>
      </w:r>
      <w:r w:rsidRPr="009303B4">
        <w:t xml:space="preserve"> is different from</w:t>
      </w:r>
      <w:r>
        <w:t xml:space="preserve"> nominal superannuation interest as it is the accrued </w:t>
      </w:r>
      <w:r w:rsidRPr="00381744">
        <w:t>Commonwealth superannuatio</w:t>
      </w:r>
      <w:r>
        <w:t>n liabilities for employees in</w:t>
      </w:r>
      <w:r w:rsidRPr="00381744">
        <w:t xml:space="preserve"> a given financial year</w:t>
      </w:r>
      <w:r w:rsidR="00890B49">
        <w:t>.</w:t>
      </w:r>
    </w:p>
    <w:p w:rsidR="007C31D6" w:rsidRDefault="007C31D6" w:rsidP="00394D97">
      <w:r w:rsidRPr="0096545F">
        <w:t>In 2012</w:t>
      </w:r>
      <w:r w:rsidR="003E0138" w:rsidRPr="0096545F">
        <w:noBreakHyphen/>
      </w:r>
      <w:r w:rsidRPr="0096545F">
        <w:t xml:space="preserve">13, the Commonwealth provided $2.2 billion in </w:t>
      </w:r>
      <w:r w:rsidRPr="0096545F">
        <w:rPr>
          <w:b/>
        </w:rPr>
        <w:t>local government financial assistance</w:t>
      </w:r>
      <w:r w:rsidR="00890B49" w:rsidRPr="0096545F">
        <w:t>,</w:t>
      </w:r>
      <w:r w:rsidR="0044498D" w:rsidRPr="0096545F">
        <w:t xml:space="preserve"> which represented</w:t>
      </w:r>
      <w:r w:rsidRPr="0096545F">
        <w:t xml:space="preserve"> financial assistance grants to l</w:t>
      </w:r>
      <w:r w:rsidR="0044498D" w:rsidRPr="0096545F">
        <w:t>ocal councils.  These grants were</w:t>
      </w:r>
      <w:r w:rsidRPr="0096545F">
        <w:t xml:space="preserve"> made to States and Territories</w:t>
      </w:r>
      <w:r w:rsidR="00890B49" w:rsidRPr="0096545F">
        <w:t>,</w:t>
      </w:r>
      <w:r w:rsidRPr="0096545F">
        <w:t xml:space="preserve"> to</w:t>
      </w:r>
      <w:r>
        <w:t xml:space="preserve"> be distributed to local councils that can direct these grants </w:t>
      </w:r>
      <w:r w:rsidR="00DA2938">
        <w:t>to their individual priorities.</w:t>
      </w:r>
    </w:p>
    <w:p w:rsidR="007C31D6" w:rsidRDefault="007C31D6" w:rsidP="00394D97">
      <w:r w:rsidRPr="00951763">
        <w:rPr>
          <w:b/>
        </w:rPr>
        <w:lastRenderedPageBreak/>
        <w:t>Natu</w:t>
      </w:r>
      <w:r>
        <w:rPr>
          <w:b/>
        </w:rPr>
        <w:t>ral disaster relief</w:t>
      </w:r>
      <w:r>
        <w:t xml:space="preserve"> represents government expenses on assistance for communities that have been affected by events such as floods, fires and cyclones.  In 2012</w:t>
      </w:r>
      <w:r w:rsidR="003E0138" w:rsidRPr="006B456E">
        <w:noBreakHyphen/>
      </w:r>
      <w:r>
        <w:t>13, the Commonwealth spent $1.9 bill</w:t>
      </w:r>
      <w:r w:rsidR="00DA2938">
        <w:t>ion on natural disaster relief.</w:t>
      </w:r>
    </w:p>
    <w:p w:rsidR="007C31D6" w:rsidRPr="00394D97" w:rsidRDefault="007C31D6" w:rsidP="00394D97">
      <w:pPr>
        <w:pStyle w:val="Heading20"/>
      </w:pPr>
      <w:bookmarkStart w:id="84" w:name="_Toc372693134"/>
      <w:bookmarkStart w:id="85" w:name="_Toc372697969"/>
      <w:r w:rsidRPr="00394D97">
        <w:t>Trends in other purposes expenses</w:t>
      </w:r>
      <w:bookmarkEnd w:id="84"/>
      <w:bookmarkEnd w:id="85"/>
    </w:p>
    <w:p w:rsidR="007C31D6" w:rsidRDefault="008E7C85" w:rsidP="00394D97">
      <w:r w:rsidRPr="008E7C85">
        <w:t>Over the period 2002</w:t>
      </w:r>
      <w:r w:rsidRPr="008E7C85">
        <w:noBreakHyphen/>
        <w:t>03 to 2012</w:t>
      </w:r>
      <w:r w:rsidRPr="008E7C85">
        <w:noBreakHyphen/>
        <w:t>13, other purposes spending grew by 24.6 per cent, or 2.2 per cent annually.  This was significantly slower than GDP growth of 34.3 per cent, or 3.0 per cent annually.</w:t>
      </w:r>
      <w:r w:rsidR="00FF5868" w:rsidRPr="008E7C85">
        <w:t xml:space="preserve">  A</w:t>
      </w:r>
      <w:r w:rsidR="00FF5868">
        <w:t xml:space="preserve"> major reason why growth in other pu</w:t>
      </w:r>
      <w:r w:rsidR="0044498D">
        <w:t>rposes was slower than GDP growth wa</w:t>
      </w:r>
      <w:r w:rsidR="00FF5868">
        <w:t xml:space="preserve">s that GST revenue collections and hence GST payments to the States </w:t>
      </w:r>
      <w:r w:rsidR="00A17707">
        <w:t>grew</w:t>
      </w:r>
      <w:r w:rsidR="00FF5868">
        <w:t xml:space="preserve"> more slowly than GDP.  In addition, growth in nominal interest incurred on unfunded sup</w:t>
      </w:r>
      <w:r w:rsidR="00A17707">
        <w:t>erannuation liabilities was</w:t>
      </w:r>
      <w:r w:rsidR="00FF5868">
        <w:t xml:space="preserve"> below that of GDP</w:t>
      </w:r>
      <w:r w:rsidR="00DA2938">
        <w:t>.</w:t>
      </w:r>
    </w:p>
    <w:p w:rsidR="007C31D6" w:rsidRDefault="007C31D6" w:rsidP="00394D97">
      <w:r w:rsidRPr="00414653">
        <w:t>Th</w:t>
      </w:r>
      <w:r>
        <w:t xml:space="preserve">e cumulative growth in expenses </w:t>
      </w:r>
      <w:r w:rsidRPr="00414653">
        <w:t xml:space="preserve">on this function </w:t>
      </w:r>
      <w:r>
        <w:t>is</w:t>
      </w:r>
      <w:r w:rsidRPr="00414653">
        <w:t xml:space="preserve"> shown in </w:t>
      </w:r>
      <w:r w:rsidR="009035B5">
        <w:fldChar w:fldCharType="begin"/>
      </w:r>
      <w:r w:rsidR="009035B5">
        <w:instrText xml:space="preserve"> REF _Ref372709821 \h </w:instrText>
      </w:r>
      <w:r w:rsidR="009035B5">
        <w:fldChar w:fldCharType="separate"/>
      </w:r>
      <w:r w:rsidR="00E862AC" w:rsidRPr="004236EB">
        <w:t xml:space="preserve">Figure </w:t>
      </w:r>
      <w:r w:rsidR="00E862AC">
        <w:rPr>
          <w:noProof/>
        </w:rPr>
        <w:t>3</w:t>
      </w:r>
      <w:r w:rsidR="00E862AC" w:rsidRPr="004236EB">
        <w:t>.</w:t>
      </w:r>
      <w:r w:rsidR="00E862AC">
        <w:rPr>
          <w:noProof/>
        </w:rPr>
        <w:t>2</w:t>
      </w:r>
      <w:r w:rsidR="009035B5">
        <w:fldChar w:fldCharType="end"/>
      </w:r>
      <w:r w:rsidRPr="00414653">
        <w:t xml:space="preserve"> below.</w:t>
      </w:r>
    </w:p>
    <w:p w:rsidR="00AE4086" w:rsidRDefault="00AE4086" w:rsidP="007A4A40">
      <w:pPr>
        <w:pStyle w:val="Caption"/>
      </w:pPr>
      <w:bookmarkStart w:id="86" w:name="_Ref372709821"/>
      <w:bookmarkStart w:id="87" w:name="_Toc373422175"/>
      <w:bookmarkStart w:id="88" w:name="_Toc373873648"/>
      <w:bookmarkStart w:id="89" w:name="_Toc373955551"/>
      <w:bookmarkStart w:id="90" w:name="_Toc374088495"/>
      <w:bookmarkStart w:id="91" w:name="_Toc374102203"/>
      <w:bookmarkStart w:id="92" w:name="_Toc374349991"/>
      <w:proofErr w:type="gramStart"/>
      <w:r w:rsidRPr="004236EB">
        <w:t xml:space="preserve">Figure </w:t>
      </w:r>
      <w:fldSimple w:instr=" STYLEREF 1 \s ">
        <w:r w:rsidR="00E862AC">
          <w:rPr>
            <w:noProof/>
          </w:rPr>
          <w:t>3</w:t>
        </w:r>
      </w:fldSimple>
      <w:r w:rsidR="00F90856" w:rsidRPr="004236EB">
        <w:t>.</w:t>
      </w:r>
      <w:proofErr w:type="gramEnd"/>
      <w:r w:rsidR="00143AAD">
        <w:fldChar w:fldCharType="begin"/>
      </w:r>
      <w:r w:rsidR="00143AAD">
        <w:instrText xml:space="preserve"> SEQ Figure \* ARABIC \s 1 </w:instrText>
      </w:r>
      <w:r w:rsidR="00143AAD">
        <w:fldChar w:fldCharType="separate"/>
      </w:r>
      <w:r w:rsidR="00E862AC">
        <w:rPr>
          <w:noProof/>
        </w:rPr>
        <w:t>2</w:t>
      </w:r>
      <w:r w:rsidR="00143AAD">
        <w:rPr>
          <w:noProof/>
        </w:rPr>
        <w:fldChar w:fldCharType="end"/>
      </w:r>
      <w:bookmarkEnd w:id="86"/>
      <w:r w:rsidR="00773778">
        <w:t>:</w:t>
      </w:r>
      <w:r w:rsidR="00773778">
        <w:tab/>
      </w:r>
      <w:r w:rsidRPr="004236EB">
        <w:t xml:space="preserve">Contributions to growth in other purposes </w:t>
      </w:r>
      <w:r w:rsidR="008A1BDB" w:rsidRPr="004236EB">
        <w:t>expenses</w:t>
      </w:r>
      <w:bookmarkEnd w:id="87"/>
      <w:bookmarkEnd w:id="88"/>
      <w:bookmarkEnd w:id="89"/>
      <w:bookmarkEnd w:id="90"/>
      <w:bookmarkEnd w:id="91"/>
      <w:bookmarkEnd w:id="92"/>
      <w:r w:rsidR="008E7C85">
        <w:rPr>
          <w:rStyle w:val="FootnoteReference"/>
        </w:rPr>
        <w:footnoteReference w:id="10"/>
      </w:r>
    </w:p>
    <w:p w:rsidR="009D4751" w:rsidRDefault="007F2075" w:rsidP="00081B9F">
      <w:pPr>
        <w:pStyle w:val="PBOtext"/>
        <w:spacing w:before="0" w:after="0"/>
        <w:jc w:val="center"/>
      </w:pPr>
      <w:r>
        <w:rPr>
          <w:noProof/>
        </w:rPr>
        <w:drawing>
          <wp:inline distT="0" distB="0" distL="0" distR="0" wp14:anchorId="12C2EE11" wp14:editId="5B33C95B">
            <wp:extent cx="5403167" cy="3587750"/>
            <wp:effectExtent l="0" t="0" r="7620" b="0"/>
            <wp:docPr id="30" name="Picture 30" descr="This chart shows that real other purposes expenses grew slower than real GDP over the period 2002–03 to 2012–13.  It highlights that the largest contribution to this growth came from public debt interest followed closely by general revenue assistance.&#10;"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t="1203" b="1718"/>
                    <a:stretch/>
                  </pic:blipFill>
                  <pic:spPr bwMode="auto">
                    <a:xfrm>
                      <a:off x="0" y="0"/>
                      <a:ext cx="5401310" cy="3586517"/>
                    </a:xfrm>
                    <a:prstGeom prst="rect">
                      <a:avLst/>
                    </a:prstGeom>
                    <a:noFill/>
                    <a:ln>
                      <a:noFill/>
                    </a:ln>
                    <a:extLst>
                      <a:ext uri="{53640926-AAD7-44D8-BBD7-CCE9431645EC}">
                        <a14:shadowObscured xmlns:a14="http://schemas.microsoft.com/office/drawing/2010/main"/>
                      </a:ext>
                    </a:extLst>
                  </pic:spPr>
                </pic:pic>
              </a:graphicData>
            </a:graphic>
          </wp:inline>
        </w:drawing>
      </w:r>
    </w:p>
    <w:p w:rsidR="007C31D6" w:rsidRDefault="007C31D6" w:rsidP="00A96975">
      <w:pPr>
        <w:pStyle w:val="FigureCaption"/>
      </w:pPr>
      <w:r w:rsidRPr="0066246B">
        <w:t>Source</w:t>
      </w:r>
      <w:r w:rsidR="00B132DA">
        <w:t>s</w:t>
      </w:r>
      <w:r w:rsidRPr="0066246B">
        <w:t xml:space="preserve">: Australian Government </w:t>
      </w:r>
      <w:r>
        <w:t xml:space="preserve">Final Budget Outcomes and </w:t>
      </w:r>
      <w:r w:rsidRPr="0066246B">
        <w:t>ABS</w:t>
      </w:r>
    </w:p>
    <w:p w:rsidR="00F909BF" w:rsidRDefault="00FF5868" w:rsidP="00F909BF">
      <w:pPr>
        <w:pStyle w:val="PBOtext"/>
      </w:pPr>
      <w:r>
        <w:t>In some sub-periods</w:t>
      </w:r>
      <w:r w:rsidR="00A17707">
        <w:t>,</w:t>
      </w:r>
      <w:r>
        <w:t xml:space="preserve"> components of other purposes grew faster than GDP growth.  In particular, public debt interest grew more quickly than GDP from 2009</w:t>
      </w:r>
      <w:r w:rsidR="003E0138" w:rsidRPr="006B456E">
        <w:noBreakHyphen/>
      </w:r>
      <w:r>
        <w:t>10 to 2012</w:t>
      </w:r>
      <w:r w:rsidR="003E0138" w:rsidRPr="006B456E">
        <w:noBreakHyphen/>
      </w:r>
      <w:r>
        <w:t>13 due to increased borrowings to finance the budget deficits accumulated in the period from 2008</w:t>
      </w:r>
      <w:r w:rsidR="003E0138" w:rsidRPr="006B456E">
        <w:noBreakHyphen/>
      </w:r>
      <w:r>
        <w:t xml:space="preserve">09.  There was also a spike in </w:t>
      </w:r>
      <w:r w:rsidR="00981027">
        <w:t>spending</w:t>
      </w:r>
      <w:r>
        <w:t xml:space="preserve"> on other purposes due to the need to provide additional natural disaster relief in the wake of the natural disasters that occurred in 2010</w:t>
      </w:r>
      <w:r w:rsidR="003E0138" w:rsidRPr="006B456E">
        <w:noBreakHyphen/>
      </w:r>
      <w:r>
        <w:t>11</w:t>
      </w:r>
      <w:r w:rsidR="007C31D6">
        <w:t>.</w:t>
      </w:r>
    </w:p>
    <w:p w:rsidR="00F909BF" w:rsidRDefault="00F909BF" w:rsidP="00F909BF">
      <w:r>
        <w:br w:type="page"/>
      </w:r>
    </w:p>
    <w:p w:rsidR="00AE4086" w:rsidRDefault="00AE4086" w:rsidP="006220A8">
      <w:pPr>
        <w:pStyle w:val="PBOfiguretableheading"/>
        <w:tabs>
          <w:tab w:val="left" w:pos="1134"/>
        </w:tabs>
      </w:pPr>
      <w:bookmarkStart w:id="93" w:name="_Toc373422195"/>
      <w:bookmarkStart w:id="94" w:name="_Toc373873649"/>
      <w:bookmarkStart w:id="95" w:name="_Toc374102204"/>
      <w:bookmarkStart w:id="96" w:name="_Toc374350036"/>
      <w:proofErr w:type="gramStart"/>
      <w:r>
        <w:lastRenderedPageBreak/>
        <w:t xml:space="preserve">Table </w:t>
      </w:r>
      <w:fldSimple w:instr=" STYLEREF 1 \s ">
        <w:r w:rsidR="00E862AC">
          <w:rPr>
            <w:noProof/>
          </w:rPr>
          <w:t>3</w:t>
        </w:r>
      </w:fldSimple>
      <w:r w:rsidR="00935C60">
        <w:t>.</w:t>
      </w:r>
      <w:proofErr w:type="gramEnd"/>
      <w:r w:rsidR="00143AAD">
        <w:fldChar w:fldCharType="begin"/>
      </w:r>
      <w:r w:rsidR="00143AAD">
        <w:instrText xml:space="preserve"> SEQ Table \* ARABIC \s 1 </w:instrText>
      </w:r>
      <w:r w:rsidR="00143AAD">
        <w:fldChar w:fldCharType="separate"/>
      </w:r>
      <w:r w:rsidR="00E862AC">
        <w:rPr>
          <w:noProof/>
        </w:rPr>
        <w:t>1</w:t>
      </w:r>
      <w:r w:rsidR="00143AAD">
        <w:rPr>
          <w:noProof/>
        </w:rPr>
        <w:fldChar w:fldCharType="end"/>
      </w:r>
      <w:r>
        <w:t>:</w:t>
      </w:r>
      <w:r w:rsidR="00773778">
        <w:tab/>
      </w:r>
      <w:r>
        <w:t>Su</w:t>
      </w:r>
      <w:r w:rsidR="00BB4557">
        <w:t>mmary of other purposes expenses</w:t>
      </w:r>
      <w:r>
        <w:t xml:space="preserve"> trends</w:t>
      </w:r>
      <w:bookmarkEnd w:id="93"/>
      <w:bookmarkEnd w:id="94"/>
      <w:bookmarkEnd w:id="95"/>
      <w:bookmarkEnd w:id="96"/>
    </w:p>
    <w:tbl>
      <w:tblPr>
        <w:tblStyle w:val="PBOtables"/>
        <w:tblW w:w="8363" w:type="dxa"/>
        <w:tblInd w:w="108" w:type="dxa"/>
        <w:tblLook w:val="04A0" w:firstRow="1" w:lastRow="0" w:firstColumn="1" w:lastColumn="0" w:noHBand="0" w:noVBand="1"/>
      </w:tblPr>
      <w:tblGrid>
        <w:gridCol w:w="3260"/>
        <w:gridCol w:w="1701"/>
        <w:gridCol w:w="1559"/>
        <w:gridCol w:w="1843"/>
      </w:tblGrid>
      <w:tr w:rsidR="006D2B1C" w:rsidRPr="006D2B1C" w:rsidTr="000A401D">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260" w:type="dxa"/>
            <w:vMerge w:val="restart"/>
            <w:tcBorders>
              <w:top w:val="single" w:sz="8" w:space="0" w:color="2B3B5F"/>
              <w:left w:val="single" w:sz="8" w:space="0" w:color="2B3B5F"/>
              <w:bottom w:val="single" w:sz="8" w:space="0" w:color="2B3B5F"/>
              <w:right w:val="single" w:sz="8" w:space="0" w:color="2B3B5F"/>
            </w:tcBorders>
            <w:shd w:val="clear" w:color="auto" w:fill="95A4C6"/>
            <w:noWrap/>
            <w:hideMark/>
          </w:tcPr>
          <w:p w:rsidR="00775935" w:rsidRPr="006D2B1C" w:rsidRDefault="00775935" w:rsidP="001B6DCD">
            <w:pPr>
              <w:spacing w:before="0" w:after="0"/>
              <w:rPr>
                <w:color w:val="auto"/>
                <w:sz w:val="18"/>
                <w:szCs w:val="18"/>
              </w:rPr>
            </w:pPr>
            <w:r w:rsidRPr="006D2B1C">
              <w:rPr>
                <w:color w:val="auto"/>
                <w:sz w:val="18"/>
                <w:szCs w:val="18"/>
              </w:rPr>
              <w:t>Category</w:t>
            </w:r>
          </w:p>
        </w:tc>
        <w:tc>
          <w:tcPr>
            <w:tcW w:w="1701" w:type="dxa"/>
            <w:vMerge w:val="restart"/>
            <w:tcBorders>
              <w:top w:val="single" w:sz="8" w:space="0" w:color="2B3B5F"/>
              <w:left w:val="single" w:sz="8" w:space="0" w:color="2B3B5F"/>
              <w:bottom w:val="single" w:sz="8" w:space="0" w:color="2B3B5F"/>
              <w:right w:val="single" w:sz="8" w:space="0" w:color="2B3B5F"/>
            </w:tcBorders>
            <w:shd w:val="clear" w:color="auto" w:fill="95A4C6"/>
            <w:noWrap/>
            <w:hideMark/>
          </w:tcPr>
          <w:p w:rsidR="00775935" w:rsidRPr="006D2B1C" w:rsidRDefault="00E66CD1" w:rsidP="001B6DCD">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Share of</w:t>
            </w:r>
            <w:r>
              <w:rPr>
                <w:color w:val="auto"/>
                <w:sz w:val="18"/>
                <w:szCs w:val="18"/>
              </w:rPr>
              <w:br/>
              <w:t xml:space="preserve">2012-13 </w:t>
            </w:r>
            <w:r w:rsidR="00775935" w:rsidRPr="006D2B1C">
              <w:rPr>
                <w:color w:val="auto"/>
                <w:sz w:val="18"/>
                <w:szCs w:val="18"/>
              </w:rPr>
              <w:t>total</w:t>
            </w:r>
          </w:p>
        </w:tc>
        <w:tc>
          <w:tcPr>
            <w:tcW w:w="3402" w:type="dxa"/>
            <w:gridSpan w:val="2"/>
            <w:tcBorders>
              <w:top w:val="single" w:sz="8" w:space="0" w:color="2B3B5F"/>
              <w:left w:val="single" w:sz="8" w:space="0" w:color="2B3B5F"/>
              <w:bottom w:val="single" w:sz="8" w:space="0" w:color="2B3B5F"/>
              <w:right w:val="single" w:sz="8" w:space="0" w:color="2B3B5F"/>
            </w:tcBorders>
            <w:shd w:val="clear" w:color="auto" w:fill="95A4C6"/>
            <w:noWrap/>
          </w:tcPr>
          <w:p w:rsidR="00775935" w:rsidRPr="006D2B1C" w:rsidRDefault="00775935" w:rsidP="001B6DCD">
            <w:pPr>
              <w:spacing w:before="0" w:after="0"/>
              <w:cnfStyle w:val="100000000000" w:firstRow="1" w:lastRow="0" w:firstColumn="0" w:lastColumn="0" w:oddVBand="0" w:evenVBand="0" w:oddHBand="0" w:evenHBand="0" w:firstRowFirstColumn="0" w:firstRowLastColumn="0" w:lastRowFirstColumn="0" w:lastRowLastColumn="0"/>
              <w:rPr>
                <w:bCs/>
                <w:color w:val="auto"/>
                <w:sz w:val="18"/>
                <w:szCs w:val="18"/>
              </w:rPr>
            </w:pPr>
            <w:r w:rsidRPr="006D2B1C">
              <w:rPr>
                <w:color w:val="auto"/>
                <w:sz w:val="18"/>
                <w:szCs w:val="18"/>
              </w:rPr>
              <w:t>Real spending growth 2002-03 to 2012-13</w:t>
            </w:r>
          </w:p>
        </w:tc>
      </w:tr>
      <w:tr w:rsidR="006D2B1C" w:rsidRPr="006D2B1C" w:rsidTr="000A401D">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260" w:type="dxa"/>
            <w:vMerge/>
            <w:tcBorders>
              <w:top w:val="single" w:sz="8" w:space="0" w:color="2B3B5F"/>
              <w:left w:val="single" w:sz="8" w:space="0" w:color="2B3B5F"/>
              <w:bottom w:val="single" w:sz="8" w:space="0" w:color="2B3B5F"/>
              <w:right w:val="single" w:sz="8" w:space="0" w:color="2B3B5F"/>
            </w:tcBorders>
            <w:shd w:val="clear" w:color="auto" w:fill="95A4C6"/>
            <w:noWrap/>
            <w:hideMark/>
          </w:tcPr>
          <w:p w:rsidR="00775935" w:rsidRPr="006D2B1C" w:rsidRDefault="00775935" w:rsidP="001B6DCD">
            <w:pPr>
              <w:spacing w:before="0" w:after="0"/>
              <w:jc w:val="left"/>
              <w:rPr>
                <w:b w:val="0"/>
                <w:color w:val="auto"/>
                <w:sz w:val="18"/>
                <w:szCs w:val="18"/>
              </w:rPr>
            </w:pPr>
          </w:p>
        </w:tc>
        <w:tc>
          <w:tcPr>
            <w:tcW w:w="1701" w:type="dxa"/>
            <w:vMerge/>
            <w:tcBorders>
              <w:top w:val="single" w:sz="8" w:space="0" w:color="2B3B5F"/>
              <w:left w:val="single" w:sz="8" w:space="0" w:color="2B3B5F"/>
              <w:bottom w:val="single" w:sz="8" w:space="0" w:color="2B3B5F"/>
              <w:right w:val="single" w:sz="8" w:space="0" w:color="2B3B5F"/>
            </w:tcBorders>
            <w:shd w:val="clear" w:color="auto" w:fill="95A4C6"/>
            <w:noWrap/>
          </w:tcPr>
          <w:p w:rsidR="00775935" w:rsidRPr="006D2B1C" w:rsidRDefault="00775935" w:rsidP="001B6DCD">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1559" w:type="dxa"/>
            <w:tcBorders>
              <w:top w:val="single" w:sz="8" w:space="0" w:color="2B3B5F"/>
              <w:left w:val="single" w:sz="8" w:space="0" w:color="2B3B5F"/>
              <w:bottom w:val="single" w:sz="8" w:space="0" w:color="2B3B5F"/>
              <w:right w:val="single" w:sz="8" w:space="0" w:color="2B3B5F"/>
            </w:tcBorders>
            <w:shd w:val="clear" w:color="auto" w:fill="95A4C6"/>
          </w:tcPr>
          <w:p w:rsidR="00775935" w:rsidRPr="006D2B1C" w:rsidRDefault="00775935" w:rsidP="001B6DCD">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r w:rsidRPr="006D2B1C">
              <w:rPr>
                <w:color w:val="auto"/>
                <w:sz w:val="18"/>
                <w:szCs w:val="18"/>
              </w:rPr>
              <w:t>Annual growth</w:t>
            </w:r>
          </w:p>
        </w:tc>
        <w:tc>
          <w:tcPr>
            <w:tcW w:w="1843" w:type="dxa"/>
            <w:tcBorders>
              <w:top w:val="single" w:sz="8" w:space="0" w:color="2B3B5F"/>
              <w:left w:val="single" w:sz="8" w:space="0" w:color="2B3B5F"/>
              <w:bottom w:val="single" w:sz="8" w:space="0" w:color="2B3B5F"/>
              <w:right w:val="single" w:sz="8" w:space="0" w:color="2B3B5F"/>
            </w:tcBorders>
            <w:shd w:val="clear" w:color="auto" w:fill="95A4C6"/>
            <w:noWrap/>
          </w:tcPr>
          <w:p w:rsidR="00775935" w:rsidRPr="006D2B1C" w:rsidRDefault="00775935" w:rsidP="001B6DCD">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r w:rsidRPr="006D2B1C">
              <w:rPr>
                <w:color w:val="auto"/>
                <w:sz w:val="18"/>
                <w:szCs w:val="18"/>
              </w:rPr>
              <w:t>Contribution to</w:t>
            </w:r>
            <w:r w:rsidRPr="006D2B1C">
              <w:rPr>
                <w:color w:val="auto"/>
                <w:sz w:val="18"/>
                <w:szCs w:val="18"/>
              </w:rPr>
              <w:br/>
              <w:t>total growth</w:t>
            </w:r>
          </w:p>
        </w:tc>
      </w:tr>
      <w:tr w:rsidR="00542B6B" w:rsidRPr="00542B6B" w:rsidTr="000A40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tcBorders>
              <w:top w:val="single" w:sz="8" w:space="0" w:color="2B3B5F"/>
              <w:left w:val="single" w:sz="8" w:space="0" w:color="2B3B5F"/>
              <w:bottom w:val="single" w:sz="8" w:space="0" w:color="2B3B5F"/>
              <w:right w:val="single" w:sz="8" w:space="0" w:color="2B3B5F"/>
            </w:tcBorders>
            <w:shd w:val="clear" w:color="auto" w:fill="D7DDE9"/>
            <w:noWrap/>
          </w:tcPr>
          <w:p w:rsidR="00542B6B" w:rsidRPr="00411FC5" w:rsidRDefault="00542B6B" w:rsidP="00DA2938">
            <w:pPr>
              <w:spacing w:before="0" w:after="0"/>
              <w:ind w:left="57"/>
              <w:rPr>
                <w:color w:val="000000"/>
                <w:sz w:val="18"/>
                <w:szCs w:val="18"/>
              </w:rPr>
            </w:pPr>
            <w:r w:rsidRPr="00411FC5">
              <w:rPr>
                <w:color w:val="000000"/>
                <w:sz w:val="18"/>
                <w:szCs w:val="18"/>
              </w:rPr>
              <w:t>Unit</w:t>
            </w:r>
          </w:p>
        </w:tc>
        <w:tc>
          <w:tcPr>
            <w:tcW w:w="1701" w:type="dxa"/>
            <w:tcBorders>
              <w:top w:val="single" w:sz="8" w:space="0" w:color="2B3B5F"/>
              <w:left w:val="single" w:sz="8" w:space="0" w:color="2B3B5F"/>
              <w:bottom w:val="single" w:sz="8" w:space="0" w:color="2B3B5F"/>
              <w:right w:val="single" w:sz="8" w:space="0" w:color="2B3B5F"/>
            </w:tcBorders>
            <w:shd w:val="clear" w:color="auto" w:fill="D7DDE9"/>
            <w:noWrap/>
          </w:tcPr>
          <w:p w:rsidR="00542B6B" w:rsidRPr="00411FC5" w:rsidRDefault="00542B6B" w:rsidP="006D2B1C">
            <w:pPr>
              <w:spacing w:before="0" w:after="0"/>
              <w:ind w:right="227"/>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sidRPr="00411FC5">
              <w:rPr>
                <w:b/>
                <w:color w:val="000000"/>
                <w:sz w:val="18"/>
                <w:szCs w:val="18"/>
              </w:rPr>
              <w:t>%</w:t>
            </w:r>
          </w:p>
        </w:tc>
        <w:tc>
          <w:tcPr>
            <w:tcW w:w="1559" w:type="dxa"/>
            <w:tcBorders>
              <w:top w:val="single" w:sz="8" w:space="0" w:color="2B3B5F"/>
              <w:left w:val="single" w:sz="8" w:space="0" w:color="2B3B5F"/>
              <w:bottom w:val="single" w:sz="8" w:space="0" w:color="2B3B5F"/>
              <w:right w:val="single" w:sz="8" w:space="0" w:color="2B3B5F"/>
            </w:tcBorders>
            <w:shd w:val="clear" w:color="auto" w:fill="D7DDE9"/>
          </w:tcPr>
          <w:p w:rsidR="00542B6B" w:rsidRPr="00411FC5" w:rsidRDefault="00542B6B" w:rsidP="006D2B1C">
            <w:pPr>
              <w:spacing w:before="0" w:after="0"/>
              <w:ind w:right="227"/>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sidRPr="00411FC5">
              <w:rPr>
                <w:b/>
                <w:color w:val="000000"/>
                <w:sz w:val="18"/>
                <w:szCs w:val="18"/>
              </w:rPr>
              <w:t>%</w:t>
            </w:r>
          </w:p>
        </w:tc>
        <w:tc>
          <w:tcPr>
            <w:tcW w:w="1843" w:type="dxa"/>
            <w:tcBorders>
              <w:top w:val="single" w:sz="8" w:space="0" w:color="2B3B5F"/>
              <w:left w:val="single" w:sz="8" w:space="0" w:color="2B3B5F"/>
              <w:bottom w:val="single" w:sz="8" w:space="0" w:color="2B3B5F"/>
              <w:right w:val="single" w:sz="8" w:space="0" w:color="2B3B5F"/>
            </w:tcBorders>
            <w:shd w:val="clear" w:color="auto" w:fill="D7DDE9"/>
            <w:noWrap/>
          </w:tcPr>
          <w:p w:rsidR="00542B6B" w:rsidRPr="00411FC5" w:rsidRDefault="00542B6B" w:rsidP="006D2B1C">
            <w:pPr>
              <w:spacing w:before="0" w:after="0"/>
              <w:ind w:right="227"/>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sidRPr="00411FC5">
              <w:rPr>
                <w:b/>
                <w:color w:val="000000"/>
                <w:sz w:val="18"/>
                <w:szCs w:val="18"/>
              </w:rPr>
              <w:t>percentage points</w:t>
            </w:r>
          </w:p>
        </w:tc>
      </w:tr>
      <w:tr w:rsidR="006D2B1C" w:rsidRPr="006D2B1C" w:rsidTr="000A401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tcBorders>
              <w:top w:val="single" w:sz="8" w:space="0" w:color="2B3B5F"/>
              <w:left w:val="single" w:sz="8" w:space="0" w:color="2B3B5F"/>
              <w:right w:val="single" w:sz="8" w:space="0" w:color="2B3B5F"/>
            </w:tcBorders>
            <w:shd w:val="clear" w:color="auto" w:fill="auto"/>
            <w:noWrap/>
          </w:tcPr>
          <w:p w:rsidR="006D2B1C" w:rsidRPr="006D2B1C" w:rsidRDefault="006D2B1C" w:rsidP="006D2B1C">
            <w:pPr>
              <w:spacing w:before="0" w:after="0"/>
              <w:ind w:left="57"/>
              <w:rPr>
                <w:b w:val="0"/>
                <w:color w:val="000000"/>
                <w:sz w:val="18"/>
                <w:szCs w:val="18"/>
              </w:rPr>
            </w:pPr>
            <w:r w:rsidRPr="006D2B1C">
              <w:rPr>
                <w:b w:val="0"/>
                <w:color w:val="000000"/>
                <w:sz w:val="18"/>
                <w:szCs w:val="18"/>
              </w:rPr>
              <w:t>General revenue assistance</w:t>
            </w:r>
          </w:p>
        </w:tc>
        <w:tc>
          <w:tcPr>
            <w:tcW w:w="1701" w:type="dxa"/>
            <w:tcBorders>
              <w:top w:val="single" w:sz="8" w:space="0" w:color="2B3B5F"/>
              <w:left w:val="single" w:sz="8" w:space="0" w:color="2B3B5F"/>
              <w:right w:val="single" w:sz="8" w:space="0" w:color="2B3B5F"/>
            </w:tcBorders>
            <w:shd w:val="clear" w:color="auto" w:fill="auto"/>
            <w:noWrap/>
          </w:tcPr>
          <w:p w:rsidR="006D2B1C" w:rsidRPr="006D2B1C" w:rsidRDefault="006D2B1C" w:rsidP="006D2B1C">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6D2B1C">
              <w:rPr>
                <w:color w:val="000000"/>
                <w:sz w:val="18"/>
                <w:szCs w:val="18"/>
              </w:rPr>
              <w:t>67.8</w:t>
            </w:r>
          </w:p>
        </w:tc>
        <w:tc>
          <w:tcPr>
            <w:tcW w:w="1559" w:type="dxa"/>
            <w:tcBorders>
              <w:top w:val="single" w:sz="8" w:space="0" w:color="2B3B5F"/>
              <w:left w:val="single" w:sz="8" w:space="0" w:color="2B3B5F"/>
              <w:right w:val="single" w:sz="8" w:space="0" w:color="2B3B5F"/>
            </w:tcBorders>
            <w:shd w:val="clear" w:color="auto" w:fill="auto"/>
          </w:tcPr>
          <w:p w:rsidR="006D2B1C" w:rsidRPr="006D2B1C" w:rsidRDefault="006D2B1C" w:rsidP="006D2B1C">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6D2B1C">
              <w:rPr>
                <w:color w:val="000000"/>
                <w:sz w:val="18"/>
                <w:szCs w:val="18"/>
              </w:rPr>
              <w:t>1.3</w:t>
            </w:r>
          </w:p>
        </w:tc>
        <w:tc>
          <w:tcPr>
            <w:tcW w:w="1843" w:type="dxa"/>
            <w:tcBorders>
              <w:top w:val="single" w:sz="8" w:space="0" w:color="2B3B5F"/>
              <w:left w:val="single" w:sz="8" w:space="0" w:color="2B3B5F"/>
              <w:right w:val="single" w:sz="8" w:space="0" w:color="2B3B5F"/>
            </w:tcBorders>
            <w:shd w:val="clear" w:color="auto" w:fill="auto"/>
            <w:noWrap/>
          </w:tcPr>
          <w:p w:rsidR="006D2B1C" w:rsidRPr="006D2B1C" w:rsidRDefault="006D2B1C" w:rsidP="006D2B1C">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6D2B1C">
              <w:rPr>
                <w:color w:val="000000"/>
                <w:sz w:val="18"/>
                <w:szCs w:val="18"/>
              </w:rPr>
              <w:t>10.5</w:t>
            </w:r>
          </w:p>
        </w:tc>
      </w:tr>
      <w:tr w:rsidR="006D2B1C" w:rsidRPr="006D2B1C" w:rsidTr="000A40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tcBorders>
              <w:left w:val="single" w:sz="8" w:space="0" w:color="2B3B5F"/>
              <w:right w:val="single" w:sz="8" w:space="0" w:color="2B3B5F"/>
            </w:tcBorders>
            <w:shd w:val="clear" w:color="auto" w:fill="D7DDE9"/>
            <w:noWrap/>
          </w:tcPr>
          <w:p w:rsidR="006D2B1C" w:rsidRPr="006D2B1C" w:rsidRDefault="006D2B1C" w:rsidP="006D2B1C">
            <w:pPr>
              <w:spacing w:before="0" w:after="0"/>
              <w:ind w:left="57"/>
              <w:rPr>
                <w:b w:val="0"/>
                <w:color w:val="000000"/>
                <w:sz w:val="18"/>
                <w:szCs w:val="18"/>
              </w:rPr>
            </w:pPr>
            <w:r w:rsidRPr="006D2B1C">
              <w:rPr>
                <w:b w:val="0"/>
                <w:color w:val="000000"/>
                <w:sz w:val="18"/>
                <w:szCs w:val="18"/>
              </w:rPr>
              <w:t>Public debt interest</w:t>
            </w:r>
          </w:p>
        </w:tc>
        <w:tc>
          <w:tcPr>
            <w:tcW w:w="1701" w:type="dxa"/>
            <w:tcBorders>
              <w:left w:val="single" w:sz="8" w:space="0" w:color="2B3B5F"/>
              <w:right w:val="single" w:sz="8" w:space="0" w:color="2B3B5F"/>
            </w:tcBorders>
            <w:shd w:val="clear" w:color="auto" w:fill="D7DDE9"/>
            <w:noWrap/>
          </w:tcPr>
          <w:p w:rsidR="006D2B1C" w:rsidRPr="006D2B1C" w:rsidRDefault="006D2B1C" w:rsidP="006D2B1C">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D2B1C">
              <w:rPr>
                <w:color w:val="000000"/>
                <w:sz w:val="18"/>
                <w:szCs w:val="18"/>
              </w:rPr>
              <w:t>17.2</w:t>
            </w:r>
          </w:p>
        </w:tc>
        <w:tc>
          <w:tcPr>
            <w:tcW w:w="1559" w:type="dxa"/>
            <w:tcBorders>
              <w:left w:val="single" w:sz="8" w:space="0" w:color="2B3B5F"/>
              <w:right w:val="single" w:sz="8" w:space="0" w:color="2B3B5F"/>
            </w:tcBorders>
            <w:shd w:val="clear" w:color="auto" w:fill="D7DDE9"/>
          </w:tcPr>
          <w:p w:rsidR="006D2B1C" w:rsidRPr="006D2B1C" w:rsidRDefault="006D2B1C" w:rsidP="006D2B1C">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D2B1C">
              <w:rPr>
                <w:color w:val="000000"/>
                <w:sz w:val="18"/>
                <w:szCs w:val="18"/>
              </w:rPr>
              <w:t>7.5</w:t>
            </w:r>
          </w:p>
        </w:tc>
        <w:tc>
          <w:tcPr>
            <w:tcW w:w="1843" w:type="dxa"/>
            <w:tcBorders>
              <w:left w:val="single" w:sz="8" w:space="0" w:color="2B3B5F"/>
              <w:right w:val="single" w:sz="8" w:space="0" w:color="2B3B5F"/>
            </w:tcBorders>
            <w:shd w:val="clear" w:color="auto" w:fill="D7DDE9"/>
            <w:noWrap/>
          </w:tcPr>
          <w:p w:rsidR="006D2B1C" w:rsidRPr="006D2B1C" w:rsidRDefault="006D2B1C" w:rsidP="006D2B1C">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D2B1C">
              <w:rPr>
                <w:color w:val="000000"/>
                <w:sz w:val="18"/>
                <w:szCs w:val="18"/>
              </w:rPr>
              <w:t>11.1</w:t>
            </w:r>
          </w:p>
        </w:tc>
      </w:tr>
      <w:tr w:rsidR="006D2B1C" w:rsidRPr="006D2B1C" w:rsidTr="000A401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tcBorders>
              <w:left w:val="single" w:sz="8" w:space="0" w:color="2B3B5F"/>
              <w:right w:val="single" w:sz="8" w:space="0" w:color="2B3B5F"/>
            </w:tcBorders>
            <w:shd w:val="clear" w:color="auto" w:fill="auto"/>
            <w:noWrap/>
          </w:tcPr>
          <w:p w:rsidR="006D2B1C" w:rsidRPr="006D2B1C" w:rsidRDefault="006D2B1C" w:rsidP="006D2B1C">
            <w:pPr>
              <w:spacing w:before="0" w:after="0"/>
              <w:ind w:left="57"/>
              <w:rPr>
                <w:b w:val="0"/>
                <w:color w:val="000000"/>
                <w:sz w:val="18"/>
                <w:szCs w:val="18"/>
              </w:rPr>
            </w:pPr>
            <w:r w:rsidRPr="006D2B1C">
              <w:rPr>
                <w:b w:val="0"/>
                <w:color w:val="000000"/>
                <w:sz w:val="18"/>
                <w:szCs w:val="18"/>
              </w:rPr>
              <w:t xml:space="preserve">Nominal superannuation interest </w:t>
            </w:r>
          </w:p>
        </w:tc>
        <w:tc>
          <w:tcPr>
            <w:tcW w:w="1701" w:type="dxa"/>
            <w:tcBorders>
              <w:left w:val="single" w:sz="8" w:space="0" w:color="2B3B5F"/>
              <w:right w:val="single" w:sz="8" w:space="0" w:color="2B3B5F"/>
            </w:tcBorders>
            <w:shd w:val="clear" w:color="auto" w:fill="auto"/>
            <w:noWrap/>
          </w:tcPr>
          <w:p w:rsidR="006D2B1C" w:rsidRPr="006D2B1C" w:rsidRDefault="006D2B1C" w:rsidP="006D2B1C">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6D2B1C">
              <w:rPr>
                <w:color w:val="000000"/>
                <w:sz w:val="18"/>
                <w:szCs w:val="18"/>
              </w:rPr>
              <w:t>9.3</w:t>
            </w:r>
          </w:p>
        </w:tc>
        <w:tc>
          <w:tcPr>
            <w:tcW w:w="1559" w:type="dxa"/>
            <w:tcBorders>
              <w:left w:val="single" w:sz="8" w:space="0" w:color="2B3B5F"/>
              <w:right w:val="single" w:sz="8" w:space="0" w:color="2B3B5F"/>
            </w:tcBorders>
            <w:shd w:val="clear" w:color="auto" w:fill="auto"/>
          </w:tcPr>
          <w:p w:rsidR="006D2B1C" w:rsidRPr="006D2B1C" w:rsidRDefault="006D2B1C" w:rsidP="006D2B1C">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6D2B1C">
              <w:rPr>
                <w:color w:val="000000"/>
                <w:sz w:val="18"/>
                <w:szCs w:val="18"/>
              </w:rPr>
              <w:t>-0.5</w:t>
            </w:r>
          </w:p>
        </w:tc>
        <w:tc>
          <w:tcPr>
            <w:tcW w:w="1843" w:type="dxa"/>
            <w:tcBorders>
              <w:left w:val="single" w:sz="8" w:space="0" w:color="2B3B5F"/>
              <w:right w:val="single" w:sz="8" w:space="0" w:color="2B3B5F"/>
            </w:tcBorders>
            <w:shd w:val="clear" w:color="auto" w:fill="auto"/>
            <w:noWrap/>
          </w:tcPr>
          <w:p w:rsidR="006D2B1C" w:rsidRPr="006D2B1C" w:rsidRDefault="006D2B1C" w:rsidP="006D2B1C">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6D2B1C">
              <w:rPr>
                <w:color w:val="000000"/>
                <w:sz w:val="18"/>
                <w:szCs w:val="18"/>
              </w:rPr>
              <w:t>-0.6</w:t>
            </w:r>
          </w:p>
        </w:tc>
      </w:tr>
      <w:tr w:rsidR="006D2B1C" w:rsidRPr="006D2B1C" w:rsidTr="000A40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tcBorders>
              <w:left w:val="single" w:sz="8" w:space="0" w:color="2B3B5F"/>
              <w:right w:val="single" w:sz="8" w:space="0" w:color="2B3B5F"/>
            </w:tcBorders>
            <w:shd w:val="clear" w:color="auto" w:fill="D7DDE9"/>
            <w:noWrap/>
          </w:tcPr>
          <w:p w:rsidR="006D2B1C" w:rsidRPr="006D2B1C" w:rsidRDefault="006D2B1C" w:rsidP="006D2B1C">
            <w:pPr>
              <w:spacing w:before="0" w:after="0"/>
              <w:ind w:left="57"/>
              <w:rPr>
                <w:b w:val="0"/>
                <w:color w:val="000000"/>
                <w:sz w:val="18"/>
                <w:szCs w:val="18"/>
              </w:rPr>
            </w:pPr>
            <w:r w:rsidRPr="006D2B1C">
              <w:rPr>
                <w:b w:val="0"/>
                <w:color w:val="000000"/>
                <w:sz w:val="18"/>
                <w:szCs w:val="18"/>
              </w:rPr>
              <w:t>Local government assistance</w:t>
            </w:r>
          </w:p>
        </w:tc>
        <w:tc>
          <w:tcPr>
            <w:tcW w:w="1701" w:type="dxa"/>
            <w:tcBorders>
              <w:left w:val="single" w:sz="8" w:space="0" w:color="2B3B5F"/>
              <w:right w:val="single" w:sz="8" w:space="0" w:color="2B3B5F"/>
            </w:tcBorders>
            <w:shd w:val="clear" w:color="auto" w:fill="D7DDE9"/>
            <w:noWrap/>
          </w:tcPr>
          <w:p w:rsidR="006D2B1C" w:rsidRPr="006D2B1C" w:rsidRDefault="006D2B1C" w:rsidP="006D2B1C">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D2B1C">
              <w:rPr>
                <w:color w:val="000000"/>
                <w:sz w:val="18"/>
                <w:szCs w:val="18"/>
              </w:rPr>
              <w:t>3.1</w:t>
            </w:r>
          </w:p>
        </w:tc>
        <w:tc>
          <w:tcPr>
            <w:tcW w:w="1559" w:type="dxa"/>
            <w:tcBorders>
              <w:left w:val="single" w:sz="8" w:space="0" w:color="2B3B5F"/>
              <w:right w:val="single" w:sz="8" w:space="0" w:color="2B3B5F"/>
            </w:tcBorders>
            <w:shd w:val="clear" w:color="auto" w:fill="D7DDE9"/>
          </w:tcPr>
          <w:p w:rsidR="006D2B1C" w:rsidRPr="006D2B1C" w:rsidRDefault="006D2B1C" w:rsidP="006D2B1C">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D2B1C">
              <w:rPr>
                <w:color w:val="000000"/>
                <w:sz w:val="18"/>
                <w:szCs w:val="18"/>
              </w:rPr>
              <w:t>1.6</w:t>
            </w:r>
          </w:p>
        </w:tc>
        <w:tc>
          <w:tcPr>
            <w:tcW w:w="1843" w:type="dxa"/>
            <w:tcBorders>
              <w:left w:val="single" w:sz="8" w:space="0" w:color="2B3B5F"/>
              <w:right w:val="single" w:sz="8" w:space="0" w:color="2B3B5F"/>
            </w:tcBorders>
            <w:shd w:val="clear" w:color="auto" w:fill="D7DDE9"/>
            <w:noWrap/>
          </w:tcPr>
          <w:p w:rsidR="006D2B1C" w:rsidRPr="006D2B1C" w:rsidRDefault="006D2B1C" w:rsidP="006D2B1C">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6D2B1C">
              <w:rPr>
                <w:color w:val="000000"/>
                <w:sz w:val="18"/>
                <w:szCs w:val="18"/>
              </w:rPr>
              <w:t>0.6</w:t>
            </w:r>
          </w:p>
        </w:tc>
      </w:tr>
      <w:tr w:rsidR="006D2B1C" w:rsidRPr="006D2B1C" w:rsidTr="000A401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tcBorders>
              <w:left w:val="single" w:sz="8" w:space="0" w:color="2B3B5F"/>
              <w:right w:val="single" w:sz="8" w:space="0" w:color="2B3B5F"/>
            </w:tcBorders>
            <w:shd w:val="clear" w:color="auto" w:fill="auto"/>
            <w:noWrap/>
          </w:tcPr>
          <w:p w:rsidR="006D2B1C" w:rsidRPr="006D2B1C" w:rsidRDefault="006D2B1C" w:rsidP="006D2B1C">
            <w:pPr>
              <w:spacing w:before="0" w:after="0"/>
              <w:ind w:left="57"/>
              <w:rPr>
                <w:b w:val="0"/>
                <w:color w:val="000000"/>
                <w:sz w:val="18"/>
                <w:szCs w:val="18"/>
              </w:rPr>
            </w:pPr>
            <w:r w:rsidRPr="006D2B1C">
              <w:rPr>
                <w:b w:val="0"/>
                <w:color w:val="000000"/>
                <w:sz w:val="18"/>
                <w:szCs w:val="18"/>
              </w:rPr>
              <w:t>Natural disaster relief</w:t>
            </w:r>
          </w:p>
        </w:tc>
        <w:tc>
          <w:tcPr>
            <w:tcW w:w="1701" w:type="dxa"/>
            <w:tcBorders>
              <w:left w:val="single" w:sz="8" w:space="0" w:color="2B3B5F"/>
              <w:right w:val="single" w:sz="8" w:space="0" w:color="2B3B5F"/>
            </w:tcBorders>
            <w:shd w:val="clear" w:color="auto" w:fill="auto"/>
            <w:noWrap/>
          </w:tcPr>
          <w:p w:rsidR="006D2B1C" w:rsidRPr="006D2B1C" w:rsidRDefault="006D2B1C" w:rsidP="006D2B1C">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6D2B1C">
              <w:rPr>
                <w:color w:val="000000"/>
                <w:sz w:val="18"/>
                <w:szCs w:val="18"/>
              </w:rPr>
              <w:t>2.6</w:t>
            </w:r>
          </w:p>
        </w:tc>
        <w:tc>
          <w:tcPr>
            <w:tcW w:w="1559" w:type="dxa"/>
            <w:tcBorders>
              <w:left w:val="single" w:sz="8" w:space="0" w:color="2B3B5F"/>
              <w:right w:val="single" w:sz="8" w:space="0" w:color="2B3B5F"/>
            </w:tcBorders>
            <w:shd w:val="clear" w:color="auto" w:fill="auto"/>
          </w:tcPr>
          <w:p w:rsidR="006D2B1C" w:rsidRPr="006D2B1C" w:rsidRDefault="006D2B1C" w:rsidP="006D2B1C">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6D2B1C">
              <w:rPr>
                <w:color w:val="000000"/>
                <w:sz w:val="18"/>
                <w:szCs w:val="18"/>
              </w:rPr>
              <w:t>38.5</w:t>
            </w:r>
          </w:p>
        </w:tc>
        <w:tc>
          <w:tcPr>
            <w:tcW w:w="1843" w:type="dxa"/>
            <w:tcBorders>
              <w:left w:val="single" w:sz="8" w:space="0" w:color="2B3B5F"/>
              <w:right w:val="single" w:sz="8" w:space="0" w:color="2B3B5F"/>
            </w:tcBorders>
            <w:shd w:val="clear" w:color="auto" w:fill="auto"/>
            <w:noWrap/>
          </w:tcPr>
          <w:p w:rsidR="006D2B1C" w:rsidRPr="006D2B1C" w:rsidRDefault="006D2B1C" w:rsidP="006D2B1C">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6D2B1C">
              <w:rPr>
                <w:color w:val="000000"/>
                <w:sz w:val="18"/>
                <w:szCs w:val="18"/>
              </w:rPr>
              <w:t>3.1</w:t>
            </w:r>
          </w:p>
        </w:tc>
      </w:tr>
      <w:tr w:rsidR="006D2B1C" w:rsidRPr="006D2B1C" w:rsidTr="000A401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tcBorders>
              <w:left w:val="single" w:sz="8" w:space="0" w:color="2B3B5F"/>
              <w:bottom w:val="single" w:sz="8" w:space="0" w:color="2B3B5F"/>
              <w:right w:val="single" w:sz="8" w:space="0" w:color="2B3B5F"/>
            </w:tcBorders>
            <w:shd w:val="clear" w:color="auto" w:fill="D7DDE9"/>
            <w:noWrap/>
          </w:tcPr>
          <w:p w:rsidR="006D2B1C" w:rsidRPr="006D2B1C" w:rsidRDefault="006D2B1C" w:rsidP="006D2B1C">
            <w:pPr>
              <w:spacing w:before="0" w:after="0"/>
              <w:ind w:left="57"/>
              <w:rPr>
                <w:bCs/>
                <w:color w:val="000000"/>
                <w:sz w:val="18"/>
                <w:szCs w:val="18"/>
              </w:rPr>
            </w:pPr>
            <w:r w:rsidRPr="006D2B1C">
              <w:rPr>
                <w:bCs/>
                <w:color w:val="000000"/>
                <w:sz w:val="18"/>
                <w:szCs w:val="18"/>
              </w:rPr>
              <w:t>Total</w:t>
            </w:r>
          </w:p>
        </w:tc>
        <w:tc>
          <w:tcPr>
            <w:tcW w:w="1701" w:type="dxa"/>
            <w:tcBorders>
              <w:left w:val="single" w:sz="8" w:space="0" w:color="2B3B5F"/>
              <w:bottom w:val="single" w:sz="8" w:space="0" w:color="2B3B5F"/>
              <w:right w:val="single" w:sz="8" w:space="0" w:color="2B3B5F"/>
            </w:tcBorders>
            <w:shd w:val="clear" w:color="auto" w:fill="D7DDE9"/>
            <w:noWrap/>
          </w:tcPr>
          <w:p w:rsidR="006D2B1C" w:rsidRPr="006D2B1C" w:rsidRDefault="006D2B1C" w:rsidP="006D2B1C">
            <w:pPr>
              <w:spacing w:before="0" w:after="0"/>
              <w:ind w:right="227"/>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6D2B1C">
              <w:rPr>
                <w:b/>
                <w:bCs/>
                <w:color w:val="000000"/>
                <w:sz w:val="18"/>
                <w:szCs w:val="18"/>
              </w:rPr>
              <w:t>100</w:t>
            </w:r>
          </w:p>
        </w:tc>
        <w:tc>
          <w:tcPr>
            <w:tcW w:w="1559" w:type="dxa"/>
            <w:tcBorders>
              <w:left w:val="single" w:sz="8" w:space="0" w:color="2B3B5F"/>
              <w:bottom w:val="single" w:sz="8" w:space="0" w:color="2B3B5F"/>
              <w:right w:val="single" w:sz="8" w:space="0" w:color="2B3B5F"/>
            </w:tcBorders>
            <w:shd w:val="clear" w:color="auto" w:fill="D7DDE9"/>
          </w:tcPr>
          <w:p w:rsidR="006D2B1C" w:rsidRPr="006D2B1C" w:rsidRDefault="006D2B1C" w:rsidP="006D2B1C">
            <w:pPr>
              <w:spacing w:before="0" w:after="0"/>
              <w:ind w:right="227"/>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6D2B1C">
              <w:rPr>
                <w:b/>
                <w:bCs/>
                <w:color w:val="000000"/>
                <w:sz w:val="18"/>
                <w:szCs w:val="18"/>
              </w:rPr>
              <w:t>2.2</w:t>
            </w:r>
          </w:p>
        </w:tc>
        <w:tc>
          <w:tcPr>
            <w:tcW w:w="1843" w:type="dxa"/>
            <w:tcBorders>
              <w:left w:val="single" w:sz="8" w:space="0" w:color="2B3B5F"/>
              <w:bottom w:val="single" w:sz="8" w:space="0" w:color="2B3B5F"/>
              <w:right w:val="single" w:sz="8" w:space="0" w:color="2B3B5F"/>
            </w:tcBorders>
            <w:shd w:val="clear" w:color="auto" w:fill="D7DDE9"/>
            <w:noWrap/>
          </w:tcPr>
          <w:p w:rsidR="006D2B1C" w:rsidRPr="006D2B1C" w:rsidRDefault="006D2B1C" w:rsidP="006D2B1C">
            <w:pPr>
              <w:spacing w:before="0" w:after="0"/>
              <w:ind w:right="227"/>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6D2B1C">
              <w:rPr>
                <w:b/>
                <w:bCs/>
                <w:color w:val="000000"/>
                <w:sz w:val="18"/>
                <w:szCs w:val="18"/>
              </w:rPr>
              <w:t>24.6</w:t>
            </w:r>
          </w:p>
        </w:tc>
      </w:tr>
    </w:tbl>
    <w:p w:rsidR="007D447B" w:rsidRDefault="007D447B" w:rsidP="00190FB0">
      <w:pPr>
        <w:pStyle w:val="Heading30"/>
      </w:pPr>
      <w:r>
        <w:t>Contribution from public debt interest</w:t>
      </w:r>
    </w:p>
    <w:p w:rsidR="007D447B" w:rsidRDefault="0018267B" w:rsidP="00190FB0">
      <w:r w:rsidRPr="009303B4">
        <w:t>Over the period</w:t>
      </w:r>
      <w:r w:rsidR="00FF5868" w:rsidRPr="009303B4">
        <w:t xml:space="preserve"> 2002</w:t>
      </w:r>
      <w:r w:rsidR="003E0138" w:rsidRPr="006B456E">
        <w:noBreakHyphen/>
      </w:r>
      <w:r w:rsidR="00FF5868" w:rsidRPr="009303B4">
        <w:t>03 to</w:t>
      </w:r>
      <w:r w:rsidRPr="009303B4">
        <w:t xml:space="preserve"> </w:t>
      </w:r>
      <w:r w:rsidR="00FF5868" w:rsidRPr="009303B4">
        <w:t>2012</w:t>
      </w:r>
      <w:r w:rsidR="003E0138" w:rsidRPr="006B456E">
        <w:noBreakHyphen/>
      </w:r>
      <w:r w:rsidR="00FF5868" w:rsidRPr="009303B4">
        <w:t>13, the largest contributor to growth in other purposes expenses was public debt interest with a cumulativ</w:t>
      </w:r>
      <w:r w:rsidRPr="009303B4">
        <w:t>e contribution to growth of 11.1</w:t>
      </w:r>
      <w:r w:rsidR="00682690">
        <w:t> </w:t>
      </w:r>
      <w:r w:rsidR="006552FA" w:rsidRPr="009303B4">
        <w:t>percentage points, or 45</w:t>
      </w:r>
      <w:r w:rsidR="0078351A" w:rsidRPr="009303B4">
        <w:t> </w:t>
      </w:r>
      <w:r w:rsidR="00FF5868" w:rsidRPr="009303B4">
        <w:t>per cent</w:t>
      </w:r>
      <w:r w:rsidR="00FF5868">
        <w:t xml:space="preserve"> of the total growth.</w:t>
      </w:r>
      <w:r w:rsidR="00CB075B">
        <w:t xml:space="preserve"> </w:t>
      </w:r>
      <w:r w:rsidR="00FF5868">
        <w:t xml:space="preserve"> The increase in public debt interest was driven by the change in the </w:t>
      </w:r>
      <w:r w:rsidR="00FF5868" w:rsidRPr="008E7C85">
        <w:t>government’s position as a net lender to a net borrower from 2008</w:t>
      </w:r>
      <w:r w:rsidR="003E0138" w:rsidRPr="008E7C85">
        <w:noBreakHyphen/>
      </w:r>
      <w:r w:rsidR="00FF5868" w:rsidRPr="008E7C85">
        <w:t>09</w:t>
      </w:r>
      <w:r w:rsidR="00CB075B" w:rsidRPr="008E7C85">
        <w:t xml:space="preserve"> </w:t>
      </w:r>
      <w:r w:rsidR="00FF5868" w:rsidRPr="008E7C85">
        <w:t>onwards</w:t>
      </w:r>
      <w:r w:rsidR="008E7C85" w:rsidRPr="008E7C85">
        <w:t>, as well as the financing of equity investments in government corporations such as NBN Co and the Clean Energy Finance Corporation.</w:t>
      </w:r>
    </w:p>
    <w:p w:rsidR="007D447B" w:rsidRDefault="007D447B" w:rsidP="00394D97">
      <w:pPr>
        <w:pStyle w:val="Heading30"/>
      </w:pPr>
      <w:r>
        <w:t>Contribution from general revenue assistance</w:t>
      </w:r>
    </w:p>
    <w:p w:rsidR="003B7350" w:rsidRDefault="00FF5868" w:rsidP="00FF5868">
      <w:r>
        <w:t>The second largest contributor to overall growth in this function was general revenue assistance, principally the transf</w:t>
      </w:r>
      <w:r w:rsidR="00BE58D9">
        <w:t>er of GST revenue to the States, which</w:t>
      </w:r>
      <w:r>
        <w:t xml:space="preserve"> contributed 10.5</w:t>
      </w:r>
      <w:r w:rsidR="00682690">
        <w:t> </w:t>
      </w:r>
      <w:r>
        <w:t>percentage points,</w:t>
      </w:r>
      <w:r w:rsidR="006552FA">
        <w:t xml:space="preserve"> or</w:t>
      </w:r>
      <w:r>
        <w:t xml:space="preserve"> 43</w:t>
      </w:r>
      <w:r w:rsidR="0078351A">
        <w:t> </w:t>
      </w:r>
      <w:r>
        <w:t>per</w:t>
      </w:r>
      <w:r w:rsidR="00682690">
        <w:t> </w:t>
      </w:r>
      <w:r>
        <w:t>cent of the total growth.</w:t>
      </w:r>
      <w:r w:rsidR="00CB075B">
        <w:t xml:space="preserve"> </w:t>
      </w:r>
      <w:r>
        <w:t xml:space="preserve"> </w:t>
      </w:r>
      <w:r w:rsidR="00CB075B">
        <w:t xml:space="preserve">This </w:t>
      </w:r>
      <w:r w:rsidR="00981027">
        <w:t>spending</w:t>
      </w:r>
      <w:r w:rsidR="0044498D">
        <w:t xml:space="preserve"> was</w:t>
      </w:r>
      <w:r>
        <w:t xml:space="preserve"> dri</w:t>
      </w:r>
      <w:r w:rsidR="0044498D">
        <w:t>ven by consumer spending that was</w:t>
      </w:r>
      <w:r w:rsidR="00682690">
        <w:t xml:space="preserve"> subject to GST.</w:t>
      </w:r>
    </w:p>
    <w:p w:rsidR="001526DD" w:rsidRDefault="00FF5868" w:rsidP="00773778">
      <w:r w:rsidRPr="004236EB">
        <w:t xml:space="preserve">Over the period, </w:t>
      </w:r>
      <w:r w:rsidR="00677D42" w:rsidRPr="004236EB">
        <w:t xml:space="preserve">growth in </w:t>
      </w:r>
      <w:r w:rsidR="0044498D" w:rsidRPr="004236EB">
        <w:t>consumer spending that was</w:t>
      </w:r>
      <w:r w:rsidR="00442FDF" w:rsidRPr="004236EB">
        <w:t xml:space="preserve"> subject to GST </w:t>
      </w:r>
      <w:r w:rsidR="00677D42" w:rsidRPr="004236EB">
        <w:t xml:space="preserve">was slower than total consumer spending.  As a result, consumer spending that </w:t>
      </w:r>
      <w:r w:rsidR="0044498D" w:rsidRPr="004236EB">
        <w:t>wa</w:t>
      </w:r>
      <w:r w:rsidR="00677D42" w:rsidRPr="004236EB">
        <w:t>s subject to GST fell as a</w:t>
      </w:r>
      <w:r w:rsidRPr="004236EB">
        <w:t xml:space="preserve"> proportion of total household spending</w:t>
      </w:r>
      <w:r w:rsidR="00BE58D9" w:rsidRPr="004236EB">
        <w:t xml:space="preserve"> </w:t>
      </w:r>
      <w:r w:rsidRPr="004236EB">
        <w:t>from aro</w:t>
      </w:r>
      <w:r w:rsidR="006552FA">
        <w:t>und 61</w:t>
      </w:r>
      <w:r w:rsidR="00682690">
        <w:t> </w:t>
      </w:r>
      <w:r w:rsidR="006552FA">
        <w:t>per</w:t>
      </w:r>
      <w:r w:rsidR="00682690">
        <w:t> </w:t>
      </w:r>
      <w:r w:rsidR="006552FA">
        <w:t xml:space="preserve">cent in </w:t>
      </w:r>
      <w:r w:rsidR="006552FA" w:rsidRPr="009303B4">
        <w:t>2002</w:t>
      </w:r>
      <w:r w:rsidR="003E0138" w:rsidRPr="006B456E">
        <w:noBreakHyphen/>
      </w:r>
      <w:r w:rsidR="006552FA" w:rsidRPr="009303B4">
        <w:t>03 to 55</w:t>
      </w:r>
      <w:r w:rsidR="00682690">
        <w:t> </w:t>
      </w:r>
      <w:r w:rsidRPr="009303B4">
        <w:t>pe</w:t>
      </w:r>
      <w:r w:rsidR="00682690">
        <w:t>r </w:t>
      </w:r>
      <w:r w:rsidRPr="004236EB">
        <w:t>cent in 2012</w:t>
      </w:r>
      <w:r w:rsidR="003E0138" w:rsidRPr="006B456E">
        <w:noBreakHyphen/>
      </w:r>
      <w:r w:rsidRPr="004236EB">
        <w:t>13 (see</w:t>
      </w:r>
      <w:r w:rsidR="004B5BFA">
        <w:t> Figure 3.3</w:t>
      </w:r>
      <w:r w:rsidRPr="004236EB">
        <w:t xml:space="preserve">). </w:t>
      </w:r>
      <w:r w:rsidR="003B7350" w:rsidRPr="004236EB">
        <w:t xml:space="preserve"> </w:t>
      </w:r>
      <w:r w:rsidR="00BE58D9" w:rsidRPr="004236EB">
        <w:t xml:space="preserve">The declining share of consumer spending on goods and services subject to GST was largely driven </w:t>
      </w:r>
      <w:r w:rsidRPr="004236EB">
        <w:t>by</w:t>
      </w:r>
      <w:r w:rsidR="00442FDF" w:rsidRPr="004236EB">
        <w:t xml:space="preserve"> </w:t>
      </w:r>
      <w:r w:rsidR="00870593" w:rsidRPr="004236EB">
        <w:t>d</w:t>
      </w:r>
      <w:r w:rsidR="0044498D" w:rsidRPr="004236EB">
        <w:t>ivergent movements in prices for</w:t>
      </w:r>
      <w:r w:rsidR="00870593" w:rsidRPr="004236EB">
        <w:t xml:space="preserve"> </w:t>
      </w:r>
      <w:r w:rsidR="0044498D" w:rsidRPr="004236EB">
        <w:t>goods and services.</w:t>
      </w:r>
      <w:r w:rsidR="00870593" w:rsidRPr="004236EB">
        <w:t xml:space="preserve">  T</w:t>
      </w:r>
      <w:r w:rsidR="00BE58D9" w:rsidRPr="004236EB">
        <w:t xml:space="preserve">he </w:t>
      </w:r>
      <w:r w:rsidRPr="004236EB">
        <w:t>prices of goods and services that are subject to GST</w:t>
      </w:r>
      <w:r w:rsidR="00BE58D9" w:rsidRPr="004236EB">
        <w:t xml:space="preserve"> decreas</w:t>
      </w:r>
      <w:r w:rsidR="00870593" w:rsidRPr="004236EB">
        <w:t>ed over the period</w:t>
      </w:r>
      <w:r w:rsidR="00677D42" w:rsidRPr="004236EB">
        <w:t xml:space="preserve">. </w:t>
      </w:r>
      <w:r w:rsidR="00BE58D9" w:rsidRPr="004236EB">
        <w:t xml:space="preserve"> </w:t>
      </w:r>
      <w:r w:rsidR="00677D42" w:rsidRPr="004236EB">
        <w:t>I</w:t>
      </w:r>
      <w:r w:rsidR="00BE58D9" w:rsidRPr="004236EB">
        <w:t>n contrast</w:t>
      </w:r>
      <w:r w:rsidR="00677D42" w:rsidRPr="004236EB">
        <w:t>,</w:t>
      </w:r>
      <w:r w:rsidR="00BE58D9" w:rsidRPr="004236EB">
        <w:t xml:space="preserve"> the p</w:t>
      </w:r>
      <w:r w:rsidRPr="004236EB">
        <w:t>rice</w:t>
      </w:r>
      <w:r w:rsidR="0044498D" w:rsidRPr="004236EB">
        <w:t>s of goods and services that were</w:t>
      </w:r>
      <w:r w:rsidRPr="004236EB">
        <w:t xml:space="preserve"> not subject to GST, such as education services and rent and ot</w:t>
      </w:r>
      <w:r w:rsidR="00BE58D9" w:rsidRPr="004236EB">
        <w:t>her dwelling services,</w:t>
      </w:r>
      <w:r w:rsidR="00870593" w:rsidRPr="004236EB">
        <w:t xml:space="preserve"> </w:t>
      </w:r>
      <w:r w:rsidR="00BE58D9" w:rsidRPr="004236EB">
        <w:t>increas</w:t>
      </w:r>
      <w:r w:rsidR="00870593" w:rsidRPr="004236EB">
        <w:t>ed</w:t>
      </w:r>
      <w:r w:rsidR="00BE58D9" w:rsidRPr="004236EB">
        <w:t xml:space="preserve"> significantly</w:t>
      </w:r>
      <w:r w:rsidRPr="004236EB">
        <w:t xml:space="preserve"> (</w:t>
      </w:r>
      <w:r w:rsidR="004B5BFA">
        <w:t>Figure</w:t>
      </w:r>
      <w:r w:rsidR="00682690">
        <w:t> </w:t>
      </w:r>
      <w:r w:rsidR="004B5BFA">
        <w:t>3.4</w:t>
      </w:r>
      <w:r w:rsidRPr="004236EB">
        <w:t>).</w:t>
      </w:r>
      <w:r w:rsidR="001526DD">
        <w:br w:type="page"/>
      </w:r>
    </w:p>
    <w:tbl>
      <w:tblPr>
        <w:tblStyle w:val="TableGrid"/>
        <w:tblW w:w="8392" w:type="dxa"/>
        <w:tblInd w:w="108" w:type="dxa"/>
        <w:tblBorders>
          <w:top w:val="single" w:sz="8" w:space="0" w:color="2B3B5F"/>
          <w:left w:val="single" w:sz="8" w:space="0" w:color="2B3B5F"/>
          <w:bottom w:val="single" w:sz="8" w:space="0" w:color="2B3B5F"/>
          <w:right w:val="single" w:sz="8" w:space="0" w:color="2B3B5F"/>
          <w:insideH w:val="single" w:sz="8" w:space="0" w:color="2B3B5F"/>
          <w:insideV w:val="single" w:sz="8" w:space="0" w:color="2B3B5F"/>
        </w:tblBorders>
        <w:shd w:val="clear" w:color="auto" w:fill="DFE9F5"/>
        <w:tblLook w:val="04A0" w:firstRow="1" w:lastRow="0" w:firstColumn="1" w:lastColumn="0" w:noHBand="0" w:noVBand="1"/>
      </w:tblPr>
      <w:tblGrid>
        <w:gridCol w:w="4195"/>
        <w:gridCol w:w="4197"/>
      </w:tblGrid>
      <w:tr w:rsidR="00542B6B" w:rsidTr="0071506B">
        <w:trPr>
          <w:trHeight w:val="119"/>
        </w:trPr>
        <w:tc>
          <w:tcPr>
            <w:tcW w:w="4195" w:type="dxa"/>
            <w:tcBorders>
              <w:top w:val="nil"/>
              <w:left w:val="nil"/>
              <w:bottom w:val="nil"/>
              <w:right w:val="nil"/>
            </w:tcBorders>
            <w:shd w:val="clear" w:color="auto" w:fill="D7DDE9"/>
          </w:tcPr>
          <w:p w:rsidR="0071506B" w:rsidRPr="0071506B" w:rsidRDefault="00773778" w:rsidP="007A4A40">
            <w:pPr>
              <w:pStyle w:val="Caption"/>
            </w:pPr>
            <w:bookmarkStart w:id="97" w:name="_Toc373955553"/>
            <w:bookmarkStart w:id="98" w:name="_Toc374088496"/>
            <w:bookmarkStart w:id="99" w:name="_Toc374102205"/>
            <w:bookmarkStart w:id="100" w:name="_Toc374349992"/>
            <w:r w:rsidRPr="001526DD">
              <w:lastRenderedPageBreak/>
              <w:t xml:space="preserve">Figure </w:t>
            </w:r>
            <w:fldSimple w:instr=" STYLEREF 1 \s ">
              <w:r w:rsidR="00E862AC">
                <w:rPr>
                  <w:noProof/>
                </w:rPr>
                <w:t>3</w:t>
              </w:r>
            </w:fldSimple>
            <w:r w:rsidRPr="001526DD">
              <w:t>.</w:t>
            </w:r>
            <w:fldSimple w:instr=" SEQ Figure \* ARABIC \s 1 ">
              <w:r w:rsidR="00E862AC">
                <w:rPr>
                  <w:noProof/>
                </w:rPr>
                <w:t>3</w:t>
              </w:r>
            </w:fldSimple>
            <w:r>
              <w:t>:</w:t>
            </w:r>
            <w:r>
              <w:tab/>
            </w:r>
            <w:r w:rsidRPr="001526DD">
              <w:t>Consumption subject to GST</w:t>
            </w:r>
            <w:bookmarkEnd w:id="97"/>
            <w:bookmarkEnd w:id="98"/>
            <w:bookmarkEnd w:id="99"/>
            <w:bookmarkEnd w:id="100"/>
          </w:p>
        </w:tc>
        <w:tc>
          <w:tcPr>
            <w:tcW w:w="4197" w:type="dxa"/>
            <w:tcBorders>
              <w:top w:val="nil"/>
              <w:left w:val="nil"/>
              <w:bottom w:val="nil"/>
              <w:right w:val="nil"/>
            </w:tcBorders>
            <w:shd w:val="clear" w:color="auto" w:fill="D7DDE9"/>
          </w:tcPr>
          <w:p w:rsidR="00542B6B" w:rsidRPr="008C1286" w:rsidRDefault="00773778" w:rsidP="007A4A40">
            <w:pPr>
              <w:pStyle w:val="Caption"/>
            </w:pPr>
            <w:bookmarkStart w:id="101" w:name="_Toc373955554"/>
            <w:bookmarkStart w:id="102" w:name="_Toc374088497"/>
            <w:bookmarkStart w:id="103" w:name="_Toc374102206"/>
            <w:bookmarkStart w:id="104" w:name="_Toc374349993"/>
            <w:r w:rsidRPr="008C1286">
              <w:t xml:space="preserve">Figure </w:t>
            </w:r>
            <w:fldSimple w:instr=" STYLEREF 1 \s ">
              <w:r w:rsidR="00E862AC">
                <w:rPr>
                  <w:noProof/>
                </w:rPr>
                <w:t>3</w:t>
              </w:r>
            </w:fldSimple>
            <w:r w:rsidRPr="008C1286">
              <w:t>.</w:t>
            </w:r>
            <w:fldSimple w:instr=" SEQ Figure \* ARABIC \s 1 ">
              <w:r w:rsidR="00E862AC">
                <w:rPr>
                  <w:noProof/>
                </w:rPr>
                <w:t>4</w:t>
              </w:r>
            </w:fldSimple>
            <w:r w:rsidRPr="008C1286">
              <w:t>:</w:t>
            </w:r>
            <w:r>
              <w:tab/>
            </w:r>
            <w:r w:rsidRPr="008C1286">
              <w:t>Household consumption prices</w:t>
            </w:r>
            <w:bookmarkEnd w:id="101"/>
            <w:bookmarkEnd w:id="102"/>
            <w:bookmarkEnd w:id="103"/>
            <w:bookmarkEnd w:id="104"/>
          </w:p>
        </w:tc>
      </w:tr>
      <w:tr w:rsidR="00A96975" w:rsidTr="0071506B">
        <w:tc>
          <w:tcPr>
            <w:tcW w:w="4195" w:type="dxa"/>
            <w:tcBorders>
              <w:top w:val="nil"/>
              <w:left w:val="nil"/>
              <w:bottom w:val="nil"/>
              <w:right w:val="nil"/>
            </w:tcBorders>
            <w:shd w:val="clear" w:color="auto" w:fill="D7DDE9"/>
          </w:tcPr>
          <w:p w:rsidR="00A96975" w:rsidRPr="00A96975" w:rsidRDefault="00457E94" w:rsidP="0071506B">
            <w:pPr>
              <w:spacing w:before="0" w:after="0"/>
              <w:jc w:val="center"/>
            </w:pPr>
            <w:r>
              <w:rPr>
                <w:noProof/>
              </w:rPr>
              <w:drawing>
                <wp:inline distT="0" distB="0" distL="0" distR="0" wp14:anchorId="6CC09753" wp14:editId="337A413E">
                  <wp:extent cx="2332502" cy="2527300"/>
                  <wp:effectExtent l="0" t="0" r="0" b="6350"/>
                  <wp:docPr id="47" name="Picture 47" descr="This chart shows the decline in the share of consumption that is subject to GST to total household consumption from 61 per cent in 2002–03 to 55 per cent in 2012–13.&#10;"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2892" cy="2527722"/>
                          </a:xfrm>
                          <a:prstGeom prst="rect">
                            <a:avLst/>
                          </a:prstGeom>
                          <a:noFill/>
                        </pic:spPr>
                      </pic:pic>
                    </a:graphicData>
                  </a:graphic>
                </wp:inline>
              </w:drawing>
            </w:r>
          </w:p>
        </w:tc>
        <w:tc>
          <w:tcPr>
            <w:tcW w:w="4197" w:type="dxa"/>
            <w:tcBorders>
              <w:top w:val="nil"/>
              <w:left w:val="nil"/>
              <w:bottom w:val="nil"/>
              <w:right w:val="nil"/>
            </w:tcBorders>
            <w:shd w:val="clear" w:color="auto" w:fill="D7DDE9"/>
          </w:tcPr>
          <w:p w:rsidR="00542B6B" w:rsidRPr="00A96975" w:rsidRDefault="00457E94" w:rsidP="0071506B">
            <w:pPr>
              <w:spacing w:before="0" w:after="0"/>
              <w:jc w:val="center"/>
            </w:pPr>
            <w:r>
              <w:rPr>
                <w:noProof/>
              </w:rPr>
              <w:drawing>
                <wp:inline distT="0" distB="0" distL="0" distR="0" wp14:anchorId="7425A530" wp14:editId="633F0F15">
                  <wp:extent cx="2332502" cy="2527300"/>
                  <wp:effectExtent l="0" t="0" r="0" b="6350"/>
                  <wp:docPr id="55" name="Picture 55" descr="This chart shows that the main reason for the declining share of consumption subject to GST has been due to declining prices.  In contrast, prices for those goods and services not subject to GST, such as education services and rents, have increased significantly.&#10;"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2892" cy="2527723"/>
                          </a:xfrm>
                          <a:prstGeom prst="rect">
                            <a:avLst/>
                          </a:prstGeom>
                          <a:noFill/>
                        </pic:spPr>
                      </pic:pic>
                    </a:graphicData>
                  </a:graphic>
                </wp:inline>
              </w:drawing>
            </w:r>
          </w:p>
        </w:tc>
      </w:tr>
      <w:tr w:rsidR="008D5907" w:rsidTr="008D5907">
        <w:tc>
          <w:tcPr>
            <w:tcW w:w="8392" w:type="dxa"/>
            <w:gridSpan w:val="2"/>
            <w:tcBorders>
              <w:top w:val="nil"/>
              <w:left w:val="nil"/>
              <w:bottom w:val="nil"/>
              <w:right w:val="nil"/>
            </w:tcBorders>
            <w:shd w:val="clear" w:color="auto" w:fill="D7DDE9"/>
          </w:tcPr>
          <w:p w:rsidR="008D5907" w:rsidRDefault="008D5907" w:rsidP="008D5907">
            <w:pPr>
              <w:spacing w:before="0"/>
              <w:rPr>
                <w:noProof/>
              </w:rPr>
            </w:pPr>
            <w:r>
              <w:rPr>
                <w:noProof/>
              </w:rPr>
              <w:t>Source: ABS</w:t>
            </w:r>
          </w:p>
        </w:tc>
      </w:tr>
    </w:tbl>
    <w:p w:rsidR="007D447B" w:rsidRDefault="007D447B" w:rsidP="00394D97">
      <w:pPr>
        <w:pStyle w:val="Heading30"/>
      </w:pPr>
      <w:r>
        <w:t>Other contributions</w:t>
      </w:r>
    </w:p>
    <w:p w:rsidR="00D54056" w:rsidRPr="00D54056" w:rsidRDefault="00D54056" w:rsidP="00D54056">
      <w:r w:rsidRPr="00D54056">
        <w:t>The contribution to growth from natural disaster relief over the period 2002-03 to 2012-13 was 3.1 percentage points, or 13 per cent of total growth in other purposes.  Within the period, there was a significant peak in spending on natural disaster relief in 2010</w:t>
      </w:r>
      <w:r w:rsidRPr="00D54056">
        <w:noBreakHyphen/>
        <w:t>11 in response to the Queensland and Victorian floods and Queensland cyclones that occurred around January 2011.</w:t>
      </w:r>
    </w:p>
    <w:p w:rsidR="00D54056" w:rsidRPr="00D54056" w:rsidRDefault="00D54056" w:rsidP="00D54056">
      <w:r w:rsidRPr="00D54056">
        <w:t>Nominal superannuation interest made a negative contribution to growth of 0.6 percentage points reflecting an a</w:t>
      </w:r>
      <w:r w:rsidR="00EC4EFA">
        <w:t>nnual decline of 0.5 per cent.</w:t>
      </w:r>
    </w:p>
    <w:p w:rsidR="007D447B" w:rsidRDefault="007D447B" w:rsidP="00394D97"/>
    <w:p w:rsidR="00475C16" w:rsidRDefault="00475C16" w:rsidP="00344501">
      <w:pPr>
        <w:sectPr w:rsidR="00475C16" w:rsidSect="0099638E">
          <w:footerReference w:type="default" r:id="rId29"/>
          <w:pgSz w:w="11900" w:h="16840"/>
          <w:pgMar w:top="1440" w:right="1797" w:bottom="1440" w:left="1797" w:header="709" w:footer="709" w:gutter="0"/>
          <w:cols w:space="708"/>
          <w:titlePg/>
          <w:docGrid w:linePitch="326"/>
        </w:sectPr>
      </w:pPr>
    </w:p>
    <w:p w:rsidR="00475C16" w:rsidRDefault="00475C16" w:rsidP="003D676E">
      <w:pPr>
        <w:pStyle w:val="Heading1"/>
        <w:numPr>
          <w:ilvl w:val="0"/>
          <w:numId w:val="30"/>
        </w:numPr>
        <w:ind w:left="709" w:hanging="709"/>
      </w:pPr>
      <w:bookmarkStart w:id="105" w:name="_Toc372697971"/>
      <w:bookmarkStart w:id="106" w:name="_Toc373778492"/>
      <w:bookmarkStart w:id="107" w:name="_Toc374182866"/>
      <w:bookmarkStart w:id="108" w:name="_Toc374349462"/>
      <w:r>
        <w:lastRenderedPageBreak/>
        <w:t>Health</w:t>
      </w:r>
      <w:bookmarkEnd w:id="105"/>
      <w:r w:rsidR="00F947A1" w:rsidRPr="00686315">
        <w:t xml:space="preserve"> expenses</w:t>
      </w:r>
      <w:bookmarkEnd w:id="106"/>
      <w:bookmarkEnd w:id="107"/>
      <w:bookmarkEnd w:id="108"/>
    </w:p>
    <w:p w:rsidR="00475C16" w:rsidRDefault="00475C16" w:rsidP="00394D97">
      <w:r w:rsidRPr="00EE018B">
        <w:t>In 2012</w:t>
      </w:r>
      <w:r w:rsidR="003E0138" w:rsidRPr="006B456E">
        <w:noBreakHyphen/>
      </w:r>
      <w:r w:rsidRPr="00EE018B">
        <w:t xml:space="preserve">13, health </w:t>
      </w:r>
      <w:r w:rsidR="00CA527A">
        <w:t xml:space="preserve">spending </w:t>
      </w:r>
      <w:r>
        <w:t>was</w:t>
      </w:r>
      <w:r w:rsidRPr="00EE018B">
        <w:t xml:space="preserve"> $61.3</w:t>
      </w:r>
      <w:r w:rsidR="00682690">
        <w:t> </w:t>
      </w:r>
      <w:r w:rsidRPr="00EE018B">
        <w:t>billion</w:t>
      </w:r>
      <w:r w:rsidR="009F6295">
        <w:t xml:space="preserve">, which accounted for </w:t>
      </w:r>
      <w:r>
        <w:t>16</w:t>
      </w:r>
      <w:r w:rsidR="009F6295">
        <w:t>.0</w:t>
      </w:r>
      <w:r w:rsidR="0078351A">
        <w:t> </w:t>
      </w:r>
      <w:r w:rsidRPr="00EE018B">
        <w:t>per</w:t>
      </w:r>
      <w:r w:rsidR="0078351A">
        <w:t> </w:t>
      </w:r>
      <w:r w:rsidRPr="00EE018B">
        <w:t xml:space="preserve">cent of total government spending.  </w:t>
      </w:r>
      <w:r w:rsidR="00BF2351" w:rsidRPr="00414653">
        <w:t xml:space="preserve">The </w:t>
      </w:r>
      <w:r w:rsidR="00BF2351">
        <w:t>composition</w:t>
      </w:r>
      <w:r w:rsidR="00BF2351" w:rsidRPr="00414653">
        <w:t xml:space="preserve"> of this </w:t>
      </w:r>
      <w:r w:rsidR="00BF2351">
        <w:t xml:space="preserve">spending is shown in Figure 4.1 </w:t>
      </w:r>
      <w:r w:rsidR="00BF2351" w:rsidRPr="00414653">
        <w:t>below</w:t>
      </w:r>
      <w:r w:rsidR="00BF2351" w:rsidRPr="00A47403">
        <w:t>.</w:t>
      </w:r>
    </w:p>
    <w:p w:rsidR="00AE4086" w:rsidRDefault="00AE4086" w:rsidP="007A4A40">
      <w:pPr>
        <w:pStyle w:val="Caption"/>
      </w:pPr>
      <w:bookmarkStart w:id="109" w:name="_Toc373422178"/>
      <w:bookmarkStart w:id="110" w:name="_Toc373873652"/>
      <w:bookmarkStart w:id="111" w:name="_Toc373955555"/>
      <w:bookmarkStart w:id="112" w:name="_Toc374088498"/>
      <w:bookmarkStart w:id="113" w:name="_Toc374102207"/>
      <w:bookmarkStart w:id="114" w:name="_Toc374349994"/>
      <w:proofErr w:type="gramStart"/>
      <w:r w:rsidRPr="004236EB">
        <w:t xml:space="preserve">Figure </w:t>
      </w:r>
      <w:fldSimple w:instr=" STYLEREF 1 \s ">
        <w:r w:rsidR="00E862AC">
          <w:rPr>
            <w:noProof/>
          </w:rPr>
          <w:t>4</w:t>
        </w:r>
      </w:fldSimple>
      <w:r w:rsidR="00F90856" w:rsidRPr="004236EB">
        <w:t>.</w:t>
      </w:r>
      <w:proofErr w:type="gramEnd"/>
      <w:r w:rsidR="00143AAD">
        <w:fldChar w:fldCharType="begin"/>
      </w:r>
      <w:r w:rsidR="00143AAD">
        <w:instrText xml:space="preserve"> SEQ Figure \* ARABIC \s 1 </w:instrText>
      </w:r>
      <w:r w:rsidR="00143AAD">
        <w:fldChar w:fldCharType="separate"/>
      </w:r>
      <w:r w:rsidR="00E862AC">
        <w:rPr>
          <w:noProof/>
        </w:rPr>
        <w:t>1</w:t>
      </w:r>
      <w:r w:rsidR="00143AAD">
        <w:rPr>
          <w:noProof/>
        </w:rPr>
        <w:fldChar w:fldCharType="end"/>
      </w:r>
      <w:r w:rsidRPr="004236EB">
        <w:t>:</w:t>
      </w:r>
      <w:r w:rsidR="00773778">
        <w:tab/>
      </w:r>
      <w:r w:rsidRPr="004236EB">
        <w:t xml:space="preserve">Composition of health </w:t>
      </w:r>
      <w:r w:rsidR="008A1BDB" w:rsidRPr="004236EB">
        <w:t>expenses</w:t>
      </w:r>
      <w:r w:rsidRPr="004236EB">
        <w:t xml:space="preserve"> in 2012-13</w:t>
      </w:r>
      <w:bookmarkEnd w:id="109"/>
      <w:bookmarkEnd w:id="110"/>
      <w:bookmarkEnd w:id="111"/>
      <w:bookmarkEnd w:id="112"/>
      <w:bookmarkEnd w:id="113"/>
      <w:bookmarkEnd w:id="114"/>
    </w:p>
    <w:p w:rsidR="00475C16" w:rsidRDefault="008D5907" w:rsidP="00D00F68">
      <w:pPr>
        <w:pStyle w:val="PBOtext"/>
        <w:spacing w:before="0" w:after="0"/>
        <w:jc w:val="center"/>
      </w:pPr>
      <w:r>
        <w:rPr>
          <w:noProof/>
        </w:rPr>
        <w:drawing>
          <wp:inline distT="0" distB="0" distL="0" distR="0" wp14:anchorId="05328102" wp14:editId="7D8BDE2C">
            <wp:extent cx="4679950" cy="3422650"/>
            <wp:effectExtent l="0" t="0" r="6350" b="6350"/>
            <wp:docPr id="14" name="Picture 14" descr="This chart shows the composition of health expenses in 2012–13.  Spending on medical services and benefits was the largest area of spending at 41 per cent, followed by hospital services at 26 per cent and pharmaceutical benefits and services at 16 per cent.&#10;"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8535" b="5452"/>
                    <a:stretch/>
                  </pic:blipFill>
                  <pic:spPr bwMode="auto">
                    <a:xfrm>
                      <a:off x="0" y="0"/>
                      <a:ext cx="4681855" cy="3424043"/>
                    </a:xfrm>
                    <a:prstGeom prst="rect">
                      <a:avLst/>
                    </a:prstGeom>
                    <a:noFill/>
                    <a:ln>
                      <a:noFill/>
                    </a:ln>
                    <a:extLst>
                      <a:ext uri="{53640926-AAD7-44D8-BBD7-CCE9431645EC}">
                        <a14:shadowObscured xmlns:a14="http://schemas.microsoft.com/office/drawing/2010/main"/>
                      </a:ext>
                    </a:extLst>
                  </pic:spPr>
                </pic:pic>
              </a:graphicData>
            </a:graphic>
          </wp:inline>
        </w:drawing>
      </w:r>
    </w:p>
    <w:p w:rsidR="00475C16" w:rsidRPr="006F367A" w:rsidRDefault="00475C16" w:rsidP="00D00F68">
      <w:pPr>
        <w:pStyle w:val="FigureCaption"/>
      </w:pPr>
      <w:r w:rsidRPr="006F367A">
        <w:t xml:space="preserve">Source: </w:t>
      </w:r>
      <w:r w:rsidR="00390F8D">
        <w:t>Australian Government Final Budget Outcome 20</w:t>
      </w:r>
      <w:r w:rsidR="00390F8D" w:rsidRPr="0041748B">
        <w:t>12</w:t>
      </w:r>
      <w:r w:rsidR="00390F8D">
        <w:t>-13</w:t>
      </w:r>
    </w:p>
    <w:p w:rsidR="00CB075B" w:rsidRDefault="00FF5868" w:rsidP="00FF5868">
      <w:r>
        <w:t xml:space="preserve">The largest </w:t>
      </w:r>
      <w:r w:rsidR="00682690">
        <w:t>area of health spending in 2012</w:t>
      </w:r>
      <w:r w:rsidR="003E0138" w:rsidRPr="006B456E">
        <w:noBreakHyphen/>
      </w:r>
      <w:r>
        <w:t xml:space="preserve">13 was on </w:t>
      </w:r>
      <w:r w:rsidRPr="006F367A">
        <w:rPr>
          <w:b/>
        </w:rPr>
        <w:t>medical services and benefits</w:t>
      </w:r>
      <w:r>
        <w:t xml:space="preserve"> </w:t>
      </w:r>
      <w:r w:rsidR="00CA527A">
        <w:t>of</w:t>
      </w:r>
      <w:r>
        <w:t xml:space="preserve"> $25.3 billion, or 41</w:t>
      </w:r>
      <w:r w:rsidR="00682690">
        <w:t> </w:t>
      </w:r>
      <w:r>
        <w:t>per</w:t>
      </w:r>
      <w:r w:rsidR="00682690">
        <w:t> </w:t>
      </w:r>
      <w:r>
        <w:t xml:space="preserve">cent of </w:t>
      </w:r>
      <w:r w:rsidR="00442FDF">
        <w:t xml:space="preserve">health </w:t>
      </w:r>
      <w:r>
        <w:t>spending</w:t>
      </w:r>
      <w:r w:rsidR="00981027">
        <w:t>.</w:t>
      </w:r>
      <w:r w:rsidR="00682690">
        <w:t xml:space="preserve"> </w:t>
      </w:r>
      <w:r w:rsidR="00981027">
        <w:t xml:space="preserve"> This</w:t>
      </w:r>
      <w:r w:rsidR="00CB075B">
        <w:t xml:space="preserve"> </w:t>
      </w:r>
      <w:r>
        <w:t xml:space="preserve">mainly </w:t>
      </w:r>
      <w:r w:rsidR="00CB075B">
        <w:t xml:space="preserve">comprised </w:t>
      </w:r>
      <w:r w:rsidR="00981027">
        <w:t>spending</w:t>
      </w:r>
      <w:r>
        <w:t xml:space="preserve"> of $18.6</w:t>
      </w:r>
      <w:r w:rsidR="00CB075B">
        <w:t> </w:t>
      </w:r>
      <w:r>
        <w:t xml:space="preserve">billion on the Medicare Benefits </w:t>
      </w:r>
      <w:r w:rsidR="00DB41D4">
        <w:t>Schedule</w:t>
      </w:r>
      <w:r>
        <w:t xml:space="preserve"> (MBS)</w:t>
      </w:r>
      <w:r w:rsidR="00E23E1E">
        <w:t>,</w:t>
      </w:r>
      <w:r>
        <w:t xml:space="preserve"> which provides access to free or subsidised treatment by health </w:t>
      </w:r>
      <w:proofErr w:type="gramStart"/>
      <w:r>
        <w:t>professionals,</w:t>
      </w:r>
      <w:proofErr w:type="gramEnd"/>
      <w:r>
        <w:t xml:space="preserve"> and private </w:t>
      </w:r>
      <w:r w:rsidR="003D2C32">
        <w:t>health insurance rebate expenses of $5.2</w:t>
      </w:r>
      <w:r>
        <w:t> billion</w:t>
      </w:r>
      <w:r w:rsidR="00CB075B">
        <w:t>.</w:t>
      </w:r>
    </w:p>
    <w:p w:rsidR="00FF5868" w:rsidRDefault="00FF5868" w:rsidP="00FF5868">
      <w:r>
        <w:t xml:space="preserve">Commonwealth spending on </w:t>
      </w:r>
      <w:r w:rsidRPr="006F367A">
        <w:rPr>
          <w:b/>
        </w:rPr>
        <w:t>hospital services</w:t>
      </w:r>
      <w:r>
        <w:t xml:space="preserve"> was 26</w:t>
      </w:r>
      <w:r w:rsidR="00682690">
        <w:t> </w:t>
      </w:r>
      <w:r>
        <w:t>per</w:t>
      </w:r>
      <w:r w:rsidR="00682690">
        <w:t> </w:t>
      </w:r>
      <w:r>
        <w:t>cent of health spending, and</w:t>
      </w:r>
      <w:r w:rsidR="006A07C8">
        <w:t xml:space="preserve"> totalled $15.9 billion in 2012</w:t>
      </w:r>
      <w:r w:rsidR="003E0138" w:rsidRPr="006B456E">
        <w:noBreakHyphen/>
      </w:r>
      <w:r>
        <w:t>13, of which $13.3</w:t>
      </w:r>
      <w:r w:rsidR="00682690">
        <w:t> </w:t>
      </w:r>
      <w:r>
        <w:t>billion was provided to</w:t>
      </w:r>
      <w:r w:rsidR="00CB075B">
        <w:t xml:space="preserve"> the States and Territories </w:t>
      </w:r>
      <w:r>
        <w:t>to assist with funding for the provision of free public hospital services under the</w:t>
      </w:r>
      <w:r w:rsidR="00682690">
        <w:t xml:space="preserve"> National Health Reform program.</w:t>
      </w:r>
    </w:p>
    <w:p w:rsidR="00FF5868" w:rsidRPr="00550FC1" w:rsidRDefault="00FF5868" w:rsidP="00FF5868">
      <w:r>
        <w:t>In 2012</w:t>
      </w:r>
      <w:r w:rsidR="003E0138" w:rsidRPr="006B456E">
        <w:noBreakHyphen/>
      </w:r>
      <w:r>
        <w:t xml:space="preserve">13, </w:t>
      </w:r>
      <w:r w:rsidR="00981027">
        <w:t>spending</w:t>
      </w:r>
      <w:r>
        <w:t xml:space="preserve"> on </w:t>
      </w:r>
      <w:r w:rsidRPr="006F367A">
        <w:rPr>
          <w:b/>
        </w:rPr>
        <w:t>pharmaceutical benefits and services</w:t>
      </w:r>
      <w:r>
        <w:t xml:space="preserve"> totalled $9.8</w:t>
      </w:r>
      <w:r w:rsidR="00682690">
        <w:t> </w:t>
      </w:r>
      <w:r>
        <w:t xml:space="preserve">billion, the majority of </w:t>
      </w:r>
      <w:r w:rsidRPr="00550FC1">
        <w:t>which was spent on the Pharmaceutical Benefits Scheme (PBS)</w:t>
      </w:r>
      <w:r w:rsidR="00682690" w:rsidRPr="00550FC1">
        <w:t>,</w:t>
      </w:r>
      <w:r w:rsidRPr="00550FC1">
        <w:t xml:space="preserve"> which provides Australians with access to</w:t>
      </w:r>
      <w:r w:rsidR="00682690" w:rsidRPr="00550FC1">
        <w:t xml:space="preserve"> free or subsidised medicines.</w:t>
      </w:r>
    </w:p>
    <w:p w:rsidR="00FF5868" w:rsidRDefault="003D2C32" w:rsidP="00FF5868">
      <w:r w:rsidRPr="00550FC1">
        <w:t>The Commonwealth spent $9.5</w:t>
      </w:r>
      <w:r w:rsidR="00682690" w:rsidRPr="00550FC1">
        <w:t> </w:t>
      </w:r>
      <w:r w:rsidR="00FF5868" w:rsidRPr="00550FC1">
        <w:t xml:space="preserve">billion on </w:t>
      </w:r>
      <w:r w:rsidR="00FF5868" w:rsidRPr="00550FC1">
        <w:rPr>
          <w:b/>
        </w:rPr>
        <w:t>health services</w:t>
      </w:r>
      <w:r w:rsidR="00FF5868" w:rsidRPr="00550FC1">
        <w:t xml:space="preserve"> in</w:t>
      </w:r>
      <w:r w:rsidR="00FF5868">
        <w:t xml:space="preserve"> 2012</w:t>
      </w:r>
      <w:r w:rsidR="003E0138" w:rsidRPr="006B456E">
        <w:noBreakHyphen/>
      </w:r>
      <w:r w:rsidR="00FF5868">
        <w:t>13, which included fund</w:t>
      </w:r>
      <w:r w:rsidR="00CA527A">
        <w:t>ing for general administration (</w:t>
      </w:r>
      <w:r w:rsidR="00FF5868">
        <w:t>which includes the cos</w:t>
      </w:r>
      <w:r w:rsidR="00CA527A">
        <w:t>t of delivering health programs)</w:t>
      </w:r>
      <w:r w:rsidR="00FF5868">
        <w:t xml:space="preserve"> as well as numerous health programs, such as measures to support population health, including treatment for chronic disease, contributions to the National Blood Authority to support access to the supply of blood and blood products, hearing services, research capacity and quality, and targeted assistance with aids and appliances.</w:t>
      </w:r>
    </w:p>
    <w:p w:rsidR="00475C16" w:rsidRDefault="00FF5868" w:rsidP="00FF5868">
      <w:r>
        <w:lastRenderedPageBreak/>
        <w:t xml:space="preserve">The area of </w:t>
      </w:r>
      <w:r w:rsidRPr="00AD2256">
        <w:rPr>
          <w:b/>
        </w:rPr>
        <w:t>Aboriginal and Torres Strait Islander health</w:t>
      </w:r>
      <w:r>
        <w:t xml:space="preserve">, which includes funding for programs specifically targeted towards improving the health </w:t>
      </w:r>
      <w:r w:rsidR="00E23E1E">
        <w:t xml:space="preserve">of </w:t>
      </w:r>
      <w:r>
        <w:t>Aboriginal and Torres Strait Islander peoples represented the smallest area of health spending, accounting for $0.7</w:t>
      </w:r>
      <w:r w:rsidR="001D3954">
        <w:t> </w:t>
      </w:r>
      <w:r>
        <w:t>billion of spending in 2012</w:t>
      </w:r>
      <w:r w:rsidR="003E0138" w:rsidRPr="006B456E">
        <w:noBreakHyphen/>
      </w:r>
      <w:r>
        <w:t>13</w:t>
      </w:r>
      <w:r w:rsidR="00475C16">
        <w:t>.</w:t>
      </w:r>
    </w:p>
    <w:p w:rsidR="00475C16" w:rsidRPr="0054180E" w:rsidRDefault="00475C16" w:rsidP="00394D97">
      <w:pPr>
        <w:pStyle w:val="Heading20"/>
      </w:pPr>
      <w:bookmarkStart w:id="115" w:name="_Toc372693137"/>
      <w:bookmarkStart w:id="116" w:name="_Toc372697972"/>
      <w:r w:rsidRPr="0054180E">
        <w:t xml:space="preserve">Trends in health </w:t>
      </w:r>
      <w:bookmarkEnd w:id="115"/>
      <w:bookmarkEnd w:id="116"/>
      <w:r w:rsidR="00BB4557">
        <w:t>expenses</w:t>
      </w:r>
    </w:p>
    <w:p w:rsidR="00475C16" w:rsidRPr="0054180E" w:rsidRDefault="00FF5868" w:rsidP="008648F6">
      <w:r>
        <w:t xml:space="preserve">Over the </w:t>
      </w:r>
      <w:r w:rsidR="003E0138">
        <w:t>period 2002</w:t>
      </w:r>
      <w:r w:rsidR="003E0138" w:rsidRPr="006B456E">
        <w:noBreakHyphen/>
      </w:r>
      <w:r w:rsidR="00475C16" w:rsidRPr="0054180E">
        <w:t>03 to 2012</w:t>
      </w:r>
      <w:r w:rsidR="003E0138" w:rsidRPr="006B456E">
        <w:noBreakHyphen/>
      </w:r>
      <w:r w:rsidR="00475C16" w:rsidRPr="0054180E">
        <w:t>13, Commonwealth spending on health grew by around 59</w:t>
      </w:r>
      <w:r w:rsidR="00475C16">
        <w:t> </w:t>
      </w:r>
      <w:r w:rsidR="005A2AAE">
        <w:t>per</w:t>
      </w:r>
      <w:r w:rsidR="001D3954">
        <w:t> </w:t>
      </w:r>
      <w:r w:rsidR="005A2AAE">
        <w:t>cent (</w:t>
      </w:r>
      <w:r w:rsidR="005A2AAE" w:rsidRPr="00E30EA4">
        <w:t>4.8</w:t>
      </w:r>
      <w:r w:rsidR="00442FDF">
        <w:t> per cent annually</w:t>
      </w:r>
      <w:r w:rsidR="00475C16" w:rsidRPr="0054180E">
        <w:t>), which is substantially faster than growth in GDP of 34.3 pe</w:t>
      </w:r>
      <w:r w:rsidR="00442FDF">
        <w:t>r cent (3.0 per cent annually</w:t>
      </w:r>
      <w:r w:rsidR="001D3954">
        <w:t>).</w:t>
      </w:r>
    </w:p>
    <w:p w:rsidR="00475C16" w:rsidRDefault="00475C16" w:rsidP="008648F6">
      <w:r w:rsidRPr="00414653">
        <w:t xml:space="preserve">The cumulative growth in spending on this function </w:t>
      </w:r>
      <w:r>
        <w:t>is</w:t>
      </w:r>
      <w:r w:rsidRPr="00414653">
        <w:t xml:space="preserve"> shown in </w:t>
      </w:r>
      <w:r w:rsidR="009035B5">
        <w:fldChar w:fldCharType="begin"/>
      </w:r>
      <w:r w:rsidR="009035B5">
        <w:instrText xml:space="preserve"> REF _Ref372712872 \h </w:instrText>
      </w:r>
      <w:r w:rsidR="009035B5">
        <w:fldChar w:fldCharType="separate"/>
      </w:r>
      <w:r w:rsidR="00E862AC" w:rsidRPr="004236EB">
        <w:t xml:space="preserve">Figure </w:t>
      </w:r>
      <w:r w:rsidR="00E862AC">
        <w:rPr>
          <w:noProof/>
        </w:rPr>
        <w:t>4</w:t>
      </w:r>
      <w:r w:rsidR="00E862AC" w:rsidRPr="004236EB">
        <w:t>.</w:t>
      </w:r>
      <w:r w:rsidR="00E862AC">
        <w:rPr>
          <w:noProof/>
        </w:rPr>
        <w:t>2</w:t>
      </w:r>
      <w:r w:rsidR="009035B5">
        <w:fldChar w:fldCharType="end"/>
      </w:r>
      <w:r w:rsidR="009035B5">
        <w:t xml:space="preserve"> </w:t>
      </w:r>
      <w:r w:rsidRPr="00414653">
        <w:t>below.</w:t>
      </w:r>
    </w:p>
    <w:p w:rsidR="00AE4086" w:rsidRDefault="00AE4086" w:rsidP="007A4A40">
      <w:pPr>
        <w:pStyle w:val="Caption"/>
      </w:pPr>
      <w:bookmarkStart w:id="117" w:name="_Ref372712872"/>
      <w:bookmarkStart w:id="118" w:name="_Toc373422179"/>
      <w:bookmarkStart w:id="119" w:name="_Toc373873653"/>
      <w:bookmarkStart w:id="120" w:name="_Toc373955556"/>
      <w:bookmarkStart w:id="121" w:name="_Toc374088499"/>
      <w:bookmarkStart w:id="122" w:name="_Toc374102208"/>
      <w:bookmarkStart w:id="123" w:name="_Toc374349995"/>
      <w:proofErr w:type="gramStart"/>
      <w:r w:rsidRPr="004236EB">
        <w:t xml:space="preserve">Figure </w:t>
      </w:r>
      <w:fldSimple w:instr=" STYLEREF 1 \s ">
        <w:r w:rsidR="00E862AC">
          <w:rPr>
            <w:noProof/>
          </w:rPr>
          <w:t>4</w:t>
        </w:r>
      </w:fldSimple>
      <w:r w:rsidR="00F90856" w:rsidRPr="004236EB">
        <w:t>.</w:t>
      </w:r>
      <w:proofErr w:type="gramEnd"/>
      <w:r w:rsidR="00143AAD">
        <w:fldChar w:fldCharType="begin"/>
      </w:r>
      <w:r w:rsidR="00143AAD">
        <w:instrText xml:space="preserve"> SEQ Figure \* ARABIC \s 1 </w:instrText>
      </w:r>
      <w:r w:rsidR="00143AAD">
        <w:fldChar w:fldCharType="separate"/>
      </w:r>
      <w:r w:rsidR="00E862AC">
        <w:rPr>
          <w:noProof/>
        </w:rPr>
        <w:t>2</w:t>
      </w:r>
      <w:r w:rsidR="00143AAD">
        <w:rPr>
          <w:noProof/>
        </w:rPr>
        <w:fldChar w:fldCharType="end"/>
      </w:r>
      <w:bookmarkEnd w:id="117"/>
      <w:r w:rsidR="00773778">
        <w:t>:</w:t>
      </w:r>
      <w:r w:rsidR="00773778">
        <w:tab/>
      </w:r>
      <w:r w:rsidRPr="004236EB">
        <w:t xml:space="preserve">Contributions to growth in health </w:t>
      </w:r>
      <w:r w:rsidR="008A1BDB" w:rsidRPr="004236EB">
        <w:t>expenses</w:t>
      </w:r>
      <w:bookmarkEnd w:id="118"/>
      <w:bookmarkEnd w:id="119"/>
      <w:bookmarkEnd w:id="120"/>
      <w:bookmarkEnd w:id="121"/>
      <w:bookmarkEnd w:id="122"/>
      <w:bookmarkEnd w:id="123"/>
    </w:p>
    <w:p w:rsidR="00A53E5C" w:rsidRDefault="005D5557" w:rsidP="008D5907">
      <w:pPr>
        <w:pStyle w:val="FigureCaption"/>
        <w:spacing w:after="0"/>
        <w:jc w:val="center"/>
      </w:pPr>
      <w:r>
        <w:rPr>
          <w:noProof/>
        </w:rPr>
        <w:drawing>
          <wp:inline distT="0" distB="0" distL="0" distR="0" wp14:anchorId="79D743E1" wp14:editId="5253FF5B">
            <wp:extent cx="5396524" cy="3505200"/>
            <wp:effectExtent l="0" t="0" r="0" b="0"/>
            <wp:docPr id="59" name="Picture 59" descr="This chart shows that real health expenses grew faster than real GDP over the period 2002–03 to 2012–13.  It highlights that the largest contribution to this growth came from medical services and benefits at 44 per cent of total growth followed by health services.&#10;"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t="2065" b="2926"/>
                    <a:stretch/>
                  </pic:blipFill>
                  <pic:spPr bwMode="auto">
                    <a:xfrm>
                      <a:off x="0" y="0"/>
                      <a:ext cx="5395595" cy="3504597"/>
                    </a:xfrm>
                    <a:prstGeom prst="rect">
                      <a:avLst/>
                    </a:prstGeom>
                    <a:noFill/>
                    <a:ln>
                      <a:noFill/>
                    </a:ln>
                    <a:extLst>
                      <a:ext uri="{53640926-AAD7-44D8-BBD7-CCE9431645EC}">
                        <a14:shadowObscured xmlns:a14="http://schemas.microsoft.com/office/drawing/2010/main"/>
                      </a:ext>
                    </a:extLst>
                  </pic:spPr>
                </pic:pic>
              </a:graphicData>
            </a:graphic>
          </wp:inline>
        </w:drawing>
      </w:r>
    </w:p>
    <w:p w:rsidR="005271D5" w:rsidRDefault="005271D5" w:rsidP="00516A1D">
      <w:pPr>
        <w:pStyle w:val="FigureCaption"/>
      </w:pPr>
      <w:r>
        <w:t>Source</w:t>
      </w:r>
      <w:r w:rsidR="00B132DA">
        <w:t>s</w:t>
      </w:r>
      <w:r>
        <w:t>: Australian Government Final Budget Outcomes and ABS</w:t>
      </w:r>
    </w:p>
    <w:p w:rsidR="00857D55" w:rsidRDefault="00B57E01" w:rsidP="00394D97">
      <w:r>
        <w:t>Over the p</w:t>
      </w:r>
      <w:r w:rsidR="00857D55">
        <w:t xml:space="preserve">ast ten years, </w:t>
      </w:r>
      <w:r>
        <w:t>s</w:t>
      </w:r>
      <w:r w:rsidR="00857D55">
        <w:t>pending on health was driven by continued growth in some of the Australian</w:t>
      </w:r>
      <w:r w:rsidR="00706358">
        <w:t> </w:t>
      </w:r>
      <w:r w:rsidR="00857D55" w:rsidRPr="00706358">
        <w:t>Government’s</w:t>
      </w:r>
      <w:r w:rsidR="00857D55">
        <w:t xml:space="preserve"> largest programs which include the MBS, the PBS and payments to the States and Territories for National Health Reform, and the Pr</w:t>
      </w:r>
      <w:r w:rsidR="001D3954">
        <w:t>ivate Health Insurance rebate.</w:t>
      </w:r>
    </w:p>
    <w:p w:rsidR="003D2C32" w:rsidRDefault="003D2C32" w:rsidP="003D2C32">
      <w:r w:rsidRPr="0036529A">
        <w:t xml:space="preserve">As part of its response to the economic downturn in 2009, the </w:t>
      </w:r>
      <w:r w:rsidRPr="00706358">
        <w:t>Government</w:t>
      </w:r>
      <w:r w:rsidRPr="0036529A">
        <w:t xml:space="preserve"> engaged in fiscal stimulus spending.  Fiscal stimulus spending in health included the </w:t>
      </w:r>
      <w:r>
        <w:t>provision</w:t>
      </w:r>
      <w:r w:rsidRPr="0036529A">
        <w:t xml:space="preserve"> of </w:t>
      </w:r>
      <w:r>
        <w:t xml:space="preserve">an additional </w:t>
      </w:r>
      <w:r w:rsidRPr="0036529A">
        <w:t xml:space="preserve">$750 million to the States for </w:t>
      </w:r>
      <w:r>
        <w:t>e</w:t>
      </w:r>
      <w:r w:rsidRPr="0036529A">
        <w:t xml:space="preserve">mergency </w:t>
      </w:r>
      <w:r>
        <w:t>d</w:t>
      </w:r>
      <w:r w:rsidRPr="0036529A">
        <w:t>epartments in 2008</w:t>
      </w:r>
      <w:r w:rsidR="003E0138" w:rsidRPr="006B456E">
        <w:noBreakHyphen/>
      </w:r>
      <w:r w:rsidRPr="0036529A">
        <w:t xml:space="preserve">09, </w:t>
      </w:r>
      <w:r>
        <w:t xml:space="preserve">as well as the </w:t>
      </w:r>
      <w:r w:rsidRPr="00CA527A">
        <w:rPr>
          <w:i/>
        </w:rPr>
        <w:t>Nation Building</w:t>
      </w:r>
      <w:r>
        <w:t xml:space="preserve"> </w:t>
      </w:r>
      <w:r w:rsidRPr="004236EB">
        <w:t>package of Health and Hospitals Fund (HFF) projects of around $2.4</w:t>
      </w:r>
      <w:r w:rsidR="001D3954">
        <w:t> </w:t>
      </w:r>
      <w:r w:rsidRPr="004236EB">
        <w:t>billion from 2008</w:t>
      </w:r>
      <w:r w:rsidR="003E0138" w:rsidRPr="006B456E">
        <w:noBreakHyphen/>
      </w:r>
      <w:r w:rsidRPr="004236EB">
        <w:t>09 to 2011</w:t>
      </w:r>
      <w:r w:rsidR="003E0138" w:rsidRPr="006B456E">
        <w:noBreakHyphen/>
      </w:r>
      <w:r w:rsidRPr="004236EB">
        <w:t>12,</w:t>
      </w:r>
      <w:r w:rsidR="003E0138">
        <w:t xml:space="preserve"> announced in the 2009</w:t>
      </w:r>
      <w:r w:rsidR="003E0138" w:rsidRPr="006B456E">
        <w:noBreakHyphen/>
      </w:r>
      <w:r>
        <w:t>10</w:t>
      </w:r>
      <w:r w:rsidR="001D3954">
        <w:t> </w:t>
      </w:r>
      <w:r>
        <w:t>Budget.</w:t>
      </w:r>
    </w:p>
    <w:p w:rsidR="00481DCA" w:rsidRDefault="00481DCA">
      <w:pPr>
        <w:spacing w:before="0" w:after="200" w:line="252" w:lineRule="auto"/>
      </w:pPr>
      <w:r>
        <w:br w:type="page"/>
      </w:r>
    </w:p>
    <w:p w:rsidR="004634FF" w:rsidRDefault="00857D55" w:rsidP="004634FF">
      <w:r>
        <w:lastRenderedPageBreak/>
        <w:t>A summary of health spending is provided in Table</w:t>
      </w:r>
      <w:r w:rsidR="001D3954">
        <w:t> </w:t>
      </w:r>
      <w:r>
        <w:t>4.1 below</w:t>
      </w:r>
      <w:r w:rsidRPr="000A107C">
        <w:t>.</w:t>
      </w:r>
    </w:p>
    <w:p w:rsidR="00AE4086" w:rsidRDefault="00AE4086" w:rsidP="006220A8">
      <w:pPr>
        <w:pStyle w:val="PBOfiguretableheading"/>
        <w:tabs>
          <w:tab w:val="left" w:pos="1134"/>
        </w:tabs>
      </w:pPr>
      <w:bookmarkStart w:id="124" w:name="_Toc373422196"/>
      <w:bookmarkStart w:id="125" w:name="_Toc373873654"/>
      <w:bookmarkStart w:id="126" w:name="_Toc374102209"/>
      <w:bookmarkStart w:id="127" w:name="_Toc374350037"/>
      <w:proofErr w:type="gramStart"/>
      <w:r>
        <w:t xml:space="preserve">Table </w:t>
      </w:r>
      <w:fldSimple w:instr=" STYLEREF 1 \s ">
        <w:r w:rsidR="00E862AC">
          <w:rPr>
            <w:noProof/>
          </w:rPr>
          <w:t>4</w:t>
        </w:r>
      </w:fldSimple>
      <w:r w:rsidR="00935C60">
        <w:t>.</w:t>
      </w:r>
      <w:proofErr w:type="gramEnd"/>
      <w:r w:rsidR="00143AAD">
        <w:fldChar w:fldCharType="begin"/>
      </w:r>
      <w:r w:rsidR="00143AAD">
        <w:instrText xml:space="preserve"> SEQ Table \* ARABIC \s 1 </w:instrText>
      </w:r>
      <w:r w:rsidR="00143AAD">
        <w:fldChar w:fldCharType="separate"/>
      </w:r>
      <w:r w:rsidR="00E862AC">
        <w:rPr>
          <w:noProof/>
        </w:rPr>
        <w:t>1</w:t>
      </w:r>
      <w:r w:rsidR="00143AAD">
        <w:rPr>
          <w:noProof/>
        </w:rPr>
        <w:fldChar w:fldCharType="end"/>
      </w:r>
      <w:r w:rsidR="00773778">
        <w:t>:</w:t>
      </w:r>
      <w:r w:rsidR="00773778">
        <w:tab/>
      </w:r>
      <w:r w:rsidR="00F90AF6">
        <w:t>Summary of health expenses</w:t>
      </w:r>
      <w:r>
        <w:t xml:space="preserve"> trends</w:t>
      </w:r>
      <w:bookmarkEnd w:id="124"/>
      <w:bookmarkEnd w:id="125"/>
      <w:bookmarkEnd w:id="126"/>
      <w:bookmarkEnd w:id="127"/>
    </w:p>
    <w:tbl>
      <w:tblPr>
        <w:tblStyle w:val="PBOtables"/>
        <w:tblW w:w="8364" w:type="dxa"/>
        <w:tblInd w:w="108" w:type="dxa"/>
        <w:tblBorders>
          <w:top w:val="single" w:sz="8" w:space="0" w:color="2B3B5F"/>
          <w:left w:val="single" w:sz="8" w:space="0" w:color="2B3B5F"/>
          <w:bottom w:val="single" w:sz="8" w:space="0" w:color="2B3B5F"/>
          <w:right w:val="single" w:sz="8" w:space="0" w:color="2B3B5F"/>
          <w:insideH w:val="single" w:sz="8" w:space="0" w:color="2B3B5F"/>
          <w:insideV w:val="single" w:sz="8" w:space="0" w:color="2B3B5F"/>
        </w:tblBorders>
        <w:tblLayout w:type="fixed"/>
        <w:tblLook w:val="04A0" w:firstRow="1" w:lastRow="0" w:firstColumn="1" w:lastColumn="0" w:noHBand="0" w:noVBand="1"/>
      </w:tblPr>
      <w:tblGrid>
        <w:gridCol w:w="3501"/>
        <w:gridCol w:w="1461"/>
        <w:gridCol w:w="1559"/>
        <w:gridCol w:w="1843"/>
      </w:tblGrid>
      <w:tr w:rsidR="008D5907" w:rsidRPr="008D5907" w:rsidTr="000376C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501" w:type="dxa"/>
            <w:vMerge w:val="restart"/>
            <w:tcBorders>
              <w:right w:val="none" w:sz="0" w:space="0" w:color="auto"/>
            </w:tcBorders>
            <w:shd w:val="clear" w:color="auto" w:fill="95A4C6"/>
            <w:noWrap/>
            <w:hideMark/>
          </w:tcPr>
          <w:p w:rsidR="00857D55" w:rsidRPr="008D5907" w:rsidRDefault="00857D55" w:rsidP="001B6DCD">
            <w:pPr>
              <w:spacing w:before="0" w:after="0"/>
              <w:rPr>
                <w:b w:val="0"/>
                <w:color w:val="auto"/>
                <w:sz w:val="18"/>
                <w:szCs w:val="18"/>
              </w:rPr>
            </w:pPr>
            <w:r w:rsidRPr="008D5907">
              <w:rPr>
                <w:color w:val="auto"/>
                <w:sz w:val="18"/>
                <w:szCs w:val="18"/>
              </w:rPr>
              <w:t>Category</w:t>
            </w:r>
          </w:p>
        </w:tc>
        <w:tc>
          <w:tcPr>
            <w:tcW w:w="1461" w:type="dxa"/>
            <w:vMerge w:val="restart"/>
            <w:tcBorders>
              <w:left w:val="none" w:sz="0" w:space="0" w:color="auto"/>
              <w:right w:val="none" w:sz="0" w:space="0" w:color="auto"/>
            </w:tcBorders>
            <w:shd w:val="clear" w:color="auto" w:fill="95A4C6"/>
            <w:noWrap/>
            <w:hideMark/>
          </w:tcPr>
          <w:p w:rsidR="00857D55" w:rsidRPr="008D5907" w:rsidRDefault="00190FB0" w:rsidP="001B6DCD">
            <w:pPr>
              <w:spacing w:before="0" w:after="0"/>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8D5907">
              <w:rPr>
                <w:color w:val="auto"/>
                <w:sz w:val="18"/>
                <w:szCs w:val="18"/>
              </w:rPr>
              <w:t>Share of</w:t>
            </w:r>
            <w:r w:rsidRPr="008D5907">
              <w:rPr>
                <w:color w:val="auto"/>
                <w:sz w:val="18"/>
                <w:szCs w:val="18"/>
              </w:rPr>
              <w:br/>
            </w:r>
            <w:r w:rsidR="008D016F" w:rsidRPr="008D5907">
              <w:rPr>
                <w:color w:val="auto"/>
                <w:sz w:val="18"/>
                <w:szCs w:val="18"/>
              </w:rPr>
              <w:t>2012-13 total</w:t>
            </w:r>
          </w:p>
        </w:tc>
        <w:tc>
          <w:tcPr>
            <w:tcW w:w="3402" w:type="dxa"/>
            <w:gridSpan w:val="2"/>
            <w:tcBorders>
              <w:left w:val="none" w:sz="0" w:space="0" w:color="auto"/>
            </w:tcBorders>
            <w:shd w:val="clear" w:color="auto" w:fill="95A4C6"/>
          </w:tcPr>
          <w:p w:rsidR="00857D55" w:rsidRPr="008D5907" w:rsidRDefault="00857D55" w:rsidP="001B6DCD">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r w:rsidRPr="008D5907">
              <w:rPr>
                <w:color w:val="auto"/>
                <w:sz w:val="18"/>
                <w:szCs w:val="18"/>
              </w:rPr>
              <w:t>Real spending growth 2002-03 to 2012-13</w:t>
            </w:r>
          </w:p>
        </w:tc>
      </w:tr>
      <w:tr w:rsidR="008D5907" w:rsidRPr="008D5907" w:rsidTr="00175EA4">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501" w:type="dxa"/>
            <w:vMerge/>
            <w:tcBorders>
              <w:bottom w:val="single" w:sz="8" w:space="0" w:color="2B3B5F"/>
              <w:right w:val="none" w:sz="0" w:space="0" w:color="auto"/>
            </w:tcBorders>
            <w:shd w:val="clear" w:color="auto" w:fill="95A4C6"/>
            <w:noWrap/>
            <w:hideMark/>
          </w:tcPr>
          <w:p w:rsidR="00857D55" w:rsidRPr="008D5907" w:rsidRDefault="00857D55" w:rsidP="001B6DCD">
            <w:pPr>
              <w:spacing w:before="0" w:after="0"/>
              <w:rPr>
                <w:color w:val="auto"/>
                <w:sz w:val="18"/>
                <w:szCs w:val="18"/>
              </w:rPr>
            </w:pPr>
          </w:p>
        </w:tc>
        <w:tc>
          <w:tcPr>
            <w:tcW w:w="1461" w:type="dxa"/>
            <w:vMerge/>
            <w:tcBorders>
              <w:left w:val="none" w:sz="0" w:space="0" w:color="auto"/>
              <w:bottom w:val="single" w:sz="8" w:space="0" w:color="2B3B5F"/>
              <w:right w:val="none" w:sz="0" w:space="0" w:color="auto"/>
            </w:tcBorders>
            <w:shd w:val="clear" w:color="auto" w:fill="95A4C6"/>
            <w:noWrap/>
          </w:tcPr>
          <w:p w:rsidR="00857D55" w:rsidRPr="008D5907" w:rsidRDefault="00857D55" w:rsidP="001B6DCD">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1559" w:type="dxa"/>
            <w:tcBorders>
              <w:left w:val="none" w:sz="0" w:space="0" w:color="auto"/>
              <w:bottom w:val="single" w:sz="8" w:space="0" w:color="2B3B5F"/>
              <w:right w:val="none" w:sz="0" w:space="0" w:color="auto"/>
            </w:tcBorders>
            <w:shd w:val="clear" w:color="auto" w:fill="95A4C6"/>
          </w:tcPr>
          <w:p w:rsidR="00857D55" w:rsidRPr="008D5907" w:rsidRDefault="00857D55" w:rsidP="001B6DCD">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r w:rsidRPr="008D5907">
              <w:rPr>
                <w:color w:val="auto"/>
                <w:sz w:val="18"/>
                <w:szCs w:val="18"/>
              </w:rPr>
              <w:t>Annual growth</w:t>
            </w:r>
          </w:p>
        </w:tc>
        <w:tc>
          <w:tcPr>
            <w:tcW w:w="1843" w:type="dxa"/>
            <w:tcBorders>
              <w:left w:val="none" w:sz="0" w:space="0" w:color="auto"/>
              <w:bottom w:val="single" w:sz="8" w:space="0" w:color="2B3B5F"/>
            </w:tcBorders>
            <w:shd w:val="clear" w:color="auto" w:fill="95A4C6"/>
          </w:tcPr>
          <w:p w:rsidR="00857D55" w:rsidRPr="008D5907" w:rsidRDefault="00857D55" w:rsidP="001B6DCD">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r w:rsidRPr="008D5907">
              <w:rPr>
                <w:color w:val="auto"/>
                <w:sz w:val="18"/>
                <w:szCs w:val="18"/>
              </w:rPr>
              <w:t xml:space="preserve">Contribution to </w:t>
            </w:r>
            <w:r w:rsidR="00190FB0" w:rsidRPr="008D5907">
              <w:rPr>
                <w:color w:val="auto"/>
                <w:sz w:val="18"/>
                <w:szCs w:val="18"/>
              </w:rPr>
              <w:br/>
            </w:r>
            <w:r w:rsidRPr="008D5907">
              <w:rPr>
                <w:color w:val="auto"/>
                <w:sz w:val="18"/>
                <w:szCs w:val="18"/>
              </w:rPr>
              <w:t>total growth</w:t>
            </w:r>
          </w:p>
        </w:tc>
      </w:tr>
      <w:tr w:rsidR="00857D55" w:rsidRPr="0097181B" w:rsidTr="00175E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dxa"/>
            <w:tcBorders>
              <w:bottom w:val="single" w:sz="8" w:space="0" w:color="2B3B5F"/>
            </w:tcBorders>
            <w:shd w:val="clear" w:color="auto" w:fill="D7DDE9"/>
            <w:noWrap/>
          </w:tcPr>
          <w:p w:rsidR="00857D55" w:rsidRPr="00DF077A" w:rsidRDefault="00857D55" w:rsidP="000376CB">
            <w:pPr>
              <w:spacing w:before="0" w:after="0"/>
              <w:ind w:left="57"/>
              <w:rPr>
                <w:sz w:val="18"/>
                <w:szCs w:val="18"/>
              </w:rPr>
            </w:pPr>
            <w:r w:rsidRPr="00DF077A">
              <w:rPr>
                <w:sz w:val="18"/>
                <w:szCs w:val="18"/>
              </w:rPr>
              <w:t>Unit</w:t>
            </w:r>
          </w:p>
        </w:tc>
        <w:tc>
          <w:tcPr>
            <w:tcW w:w="1461" w:type="dxa"/>
            <w:tcBorders>
              <w:bottom w:val="single" w:sz="8" w:space="0" w:color="2B3B5F"/>
            </w:tcBorders>
            <w:shd w:val="clear" w:color="auto" w:fill="D7DDE9"/>
            <w:noWrap/>
          </w:tcPr>
          <w:p w:rsidR="00857D55" w:rsidRPr="00DF077A" w:rsidRDefault="00857D55" w:rsidP="000376CB">
            <w:pPr>
              <w:spacing w:before="0" w:after="0"/>
              <w:ind w:right="227"/>
              <w:jc w:val="right"/>
              <w:cnfStyle w:val="000000100000" w:firstRow="0" w:lastRow="0" w:firstColumn="0" w:lastColumn="0" w:oddVBand="0" w:evenVBand="0" w:oddHBand="1" w:evenHBand="0" w:firstRowFirstColumn="0" w:firstRowLastColumn="0" w:lastRowFirstColumn="0" w:lastRowLastColumn="0"/>
              <w:rPr>
                <w:b/>
                <w:sz w:val="18"/>
                <w:szCs w:val="18"/>
              </w:rPr>
            </w:pPr>
            <w:r w:rsidRPr="00DF077A">
              <w:rPr>
                <w:b/>
                <w:sz w:val="18"/>
                <w:szCs w:val="18"/>
              </w:rPr>
              <w:t>%</w:t>
            </w:r>
          </w:p>
        </w:tc>
        <w:tc>
          <w:tcPr>
            <w:tcW w:w="1559" w:type="dxa"/>
            <w:tcBorders>
              <w:bottom w:val="single" w:sz="8" w:space="0" w:color="2B3B5F"/>
            </w:tcBorders>
            <w:shd w:val="clear" w:color="auto" w:fill="D7DDE9"/>
          </w:tcPr>
          <w:p w:rsidR="00857D55" w:rsidRPr="00DF077A" w:rsidRDefault="00857D55" w:rsidP="000376CB">
            <w:pPr>
              <w:spacing w:before="0" w:after="0"/>
              <w:ind w:right="227"/>
              <w:jc w:val="right"/>
              <w:cnfStyle w:val="000000100000" w:firstRow="0" w:lastRow="0" w:firstColumn="0" w:lastColumn="0" w:oddVBand="0" w:evenVBand="0" w:oddHBand="1" w:evenHBand="0" w:firstRowFirstColumn="0" w:firstRowLastColumn="0" w:lastRowFirstColumn="0" w:lastRowLastColumn="0"/>
              <w:rPr>
                <w:b/>
                <w:sz w:val="18"/>
                <w:szCs w:val="18"/>
              </w:rPr>
            </w:pPr>
            <w:r w:rsidRPr="00DF077A">
              <w:rPr>
                <w:b/>
                <w:sz w:val="18"/>
                <w:szCs w:val="18"/>
              </w:rPr>
              <w:t>%</w:t>
            </w:r>
          </w:p>
        </w:tc>
        <w:tc>
          <w:tcPr>
            <w:tcW w:w="1843" w:type="dxa"/>
            <w:tcBorders>
              <w:bottom w:val="single" w:sz="8" w:space="0" w:color="2B3B5F"/>
            </w:tcBorders>
            <w:shd w:val="clear" w:color="auto" w:fill="D7DDE9"/>
          </w:tcPr>
          <w:p w:rsidR="00857D55" w:rsidRPr="00DF077A" w:rsidRDefault="00857D55" w:rsidP="000376CB">
            <w:pPr>
              <w:spacing w:before="0" w:after="0"/>
              <w:ind w:right="227"/>
              <w:jc w:val="right"/>
              <w:cnfStyle w:val="000000100000" w:firstRow="0" w:lastRow="0" w:firstColumn="0" w:lastColumn="0" w:oddVBand="0" w:evenVBand="0" w:oddHBand="1" w:evenHBand="0" w:firstRowFirstColumn="0" w:firstRowLastColumn="0" w:lastRowFirstColumn="0" w:lastRowLastColumn="0"/>
              <w:rPr>
                <w:b/>
                <w:sz w:val="18"/>
                <w:szCs w:val="18"/>
              </w:rPr>
            </w:pPr>
            <w:r w:rsidRPr="00DF077A">
              <w:rPr>
                <w:b/>
                <w:sz w:val="18"/>
                <w:szCs w:val="18"/>
              </w:rPr>
              <w:t>percentage points</w:t>
            </w:r>
          </w:p>
        </w:tc>
      </w:tr>
      <w:tr w:rsidR="008D5907" w:rsidRPr="0097181B" w:rsidTr="00175EA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dxa"/>
            <w:tcBorders>
              <w:top w:val="single" w:sz="8" w:space="0" w:color="2B3B5F"/>
              <w:bottom w:val="nil"/>
            </w:tcBorders>
            <w:shd w:val="clear" w:color="auto" w:fill="auto"/>
            <w:noWrap/>
          </w:tcPr>
          <w:p w:rsidR="008D5907" w:rsidRPr="008D5907" w:rsidRDefault="008D5907" w:rsidP="000376CB">
            <w:pPr>
              <w:spacing w:before="0" w:after="0"/>
              <w:ind w:left="57"/>
              <w:rPr>
                <w:rFonts w:cs="Arial"/>
                <w:b w:val="0"/>
                <w:color w:val="000000"/>
                <w:sz w:val="18"/>
                <w:szCs w:val="18"/>
              </w:rPr>
            </w:pPr>
            <w:r w:rsidRPr="008D5907">
              <w:rPr>
                <w:rFonts w:cs="Arial"/>
                <w:b w:val="0"/>
                <w:color w:val="000000"/>
                <w:sz w:val="18"/>
                <w:szCs w:val="18"/>
              </w:rPr>
              <w:t>Medical services and benefits</w:t>
            </w:r>
          </w:p>
        </w:tc>
        <w:tc>
          <w:tcPr>
            <w:tcW w:w="1461" w:type="dxa"/>
            <w:tcBorders>
              <w:top w:val="single" w:sz="8" w:space="0" w:color="2B3B5F"/>
              <w:bottom w:val="nil"/>
            </w:tcBorders>
            <w:shd w:val="clear" w:color="auto" w:fill="auto"/>
            <w:noWrap/>
          </w:tcPr>
          <w:p w:rsidR="008D5907" w:rsidRPr="008D5907" w:rsidRDefault="008D5907" w:rsidP="000376CB">
            <w:pPr>
              <w:spacing w:before="0" w:after="0"/>
              <w:ind w:right="227"/>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5907">
              <w:rPr>
                <w:rFonts w:cs="Arial"/>
                <w:color w:val="000000"/>
                <w:sz w:val="18"/>
                <w:szCs w:val="18"/>
              </w:rPr>
              <w:t>41.3</w:t>
            </w:r>
          </w:p>
        </w:tc>
        <w:tc>
          <w:tcPr>
            <w:tcW w:w="1559" w:type="dxa"/>
            <w:tcBorders>
              <w:top w:val="single" w:sz="8" w:space="0" w:color="2B3B5F"/>
              <w:bottom w:val="nil"/>
            </w:tcBorders>
            <w:shd w:val="clear" w:color="auto" w:fill="auto"/>
          </w:tcPr>
          <w:p w:rsidR="008D5907" w:rsidRPr="008D5907" w:rsidRDefault="008D5907" w:rsidP="000376CB">
            <w:pPr>
              <w:spacing w:before="0" w:after="0"/>
              <w:ind w:right="227"/>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5907">
              <w:rPr>
                <w:rFonts w:cs="Arial"/>
                <w:color w:val="000000"/>
                <w:sz w:val="18"/>
                <w:szCs w:val="18"/>
              </w:rPr>
              <w:t>5.1</w:t>
            </w:r>
          </w:p>
        </w:tc>
        <w:tc>
          <w:tcPr>
            <w:tcW w:w="1843" w:type="dxa"/>
            <w:tcBorders>
              <w:top w:val="single" w:sz="8" w:space="0" w:color="2B3B5F"/>
              <w:bottom w:val="nil"/>
            </w:tcBorders>
            <w:shd w:val="clear" w:color="auto" w:fill="auto"/>
          </w:tcPr>
          <w:p w:rsidR="008D5907" w:rsidRPr="008D5907" w:rsidRDefault="008D5907" w:rsidP="000376CB">
            <w:pPr>
              <w:spacing w:before="0" w:after="0"/>
              <w:ind w:right="227"/>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5907">
              <w:rPr>
                <w:rFonts w:cs="Arial"/>
                <w:color w:val="000000"/>
                <w:sz w:val="18"/>
                <w:szCs w:val="18"/>
              </w:rPr>
              <w:t>25.9</w:t>
            </w:r>
          </w:p>
        </w:tc>
      </w:tr>
      <w:tr w:rsidR="008D5907" w:rsidRPr="0097181B" w:rsidTr="00175E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dxa"/>
            <w:tcBorders>
              <w:top w:val="nil"/>
              <w:bottom w:val="nil"/>
            </w:tcBorders>
            <w:shd w:val="clear" w:color="auto" w:fill="D7DDE9"/>
            <w:noWrap/>
          </w:tcPr>
          <w:p w:rsidR="008D5907" w:rsidRPr="008D5907" w:rsidRDefault="008D5907" w:rsidP="000376CB">
            <w:pPr>
              <w:spacing w:before="0" w:after="0"/>
              <w:ind w:left="57"/>
              <w:rPr>
                <w:rFonts w:cs="Arial"/>
                <w:b w:val="0"/>
                <w:color w:val="000000"/>
                <w:sz w:val="18"/>
                <w:szCs w:val="18"/>
              </w:rPr>
            </w:pPr>
            <w:r w:rsidRPr="008D5907">
              <w:rPr>
                <w:rFonts w:cs="Arial"/>
                <w:b w:val="0"/>
                <w:color w:val="000000"/>
                <w:sz w:val="18"/>
                <w:szCs w:val="18"/>
              </w:rPr>
              <w:t>Hospital services</w:t>
            </w:r>
          </w:p>
        </w:tc>
        <w:tc>
          <w:tcPr>
            <w:tcW w:w="1461" w:type="dxa"/>
            <w:tcBorders>
              <w:top w:val="nil"/>
              <w:bottom w:val="nil"/>
            </w:tcBorders>
            <w:shd w:val="clear" w:color="auto" w:fill="D7DDE9"/>
            <w:noWrap/>
          </w:tcPr>
          <w:p w:rsidR="008D5907" w:rsidRPr="008D5907" w:rsidRDefault="008D5907" w:rsidP="000376CB">
            <w:pPr>
              <w:spacing w:before="0" w:after="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5907">
              <w:rPr>
                <w:rFonts w:cs="Arial"/>
                <w:color w:val="000000"/>
                <w:sz w:val="18"/>
                <w:szCs w:val="18"/>
              </w:rPr>
              <w:t>26.0</w:t>
            </w:r>
          </w:p>
        </w:tc>
        <w:tc>
          <w:tcPr>
            <w:tcW w:w="1559" w:type="dxa"/>
            <w:tcBorders>
              <w:top w:val="nil"/>
              <w:bottom w:val="nil"/>
            </w:tcBorders>
            <w:shd w:val="clear" w:color="auto" w:fill="D7DDE9"/>
          </w:tcPr>
          <w:p w:rsidR="008D5907" w:rsidRPr="008D5907" w:rsidRDefault="008D5907" w:rsidP="000376CB">
            <w:pPr>
              <w:spacing w:before="0" w:after="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5907">
              <w:rPr>
                <w:rFonts w:cs="Arial"/>
                <w:color w:val="000000"/>
                <w:sz w:val="18"/>
                <w:szCs w:val="18"/>
              </w:rPr>
              <w:t>3.3</w:t>
            </w:r>
          </w:p>
        </w:tc>
        <w:tc>
          <w:tcPr>
            <w:tcW w:w="1843" w:type="dxa"/>
            <w:tcBorders>
              <w:top w:val="nil"/>
              <w:bottom w:val="nil"/>
            </w:tcBorders>
            <w:shd w:val="clear" w:color="auto" w:fill="D7DDE9"/>
          </w:tcPr>
          <w:p w:rsidR="008D5907" w:rsidRPr="008D5907" w:rsidRDefault="008D5907" w:rsidP="000376CB">
            <w:pPr>
              <w:spacing w:before="0" w:after="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5907">
              <w:rPr>
                <w:rFonts w:cs="Arial"/>
                <w:color w:val="000000"/>
                <w:sz w:val="18"/>
                <w:szCs w:val="18"/>
              </w:rPr>
              <w:t>11.5</w:t>
            </w:r>
          </w:p>
        </w:tc>
      </w:tr>
      <w:tr w:rsidR="008D5907" w:rsidRPr="0097181B" w:rsidTr="00175EA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dxa"/>
            <w:tcBorders>
              <w:top w:val="nil"/>
              <w:bottom w:val="nil"/>
            </w:tcBorders>
            <w:shd w:val="clear" w:color="auto" w:fill="auto"/>
            <w:noWrap/>
          </w:tcPr>
          <w:p w:rsidR="008D5907" w:rsidRPr="008D5907" w:rsidRDefault="008D5907" w:rsidP="000376CB">
            <w:pPr>
              <w:spacing w:before="0" w:after="0"/>
              <w:ind w:left="57"/>
              <w:rPr>
                <w:rFonts w:cs="Arial"/>
                <w:b w:val="0"/>
                <w:color w:val="000000"/>
                <w:sz w:val="18"/>
                <w:szCs w:val="18"/>
              </w:rPr>
            </w:pPr>
            <w:r w:rsidRPr="008D5907">
              <w:rPr>
                <w:rFonts w:cs="Arial"/>
                <w:b w:val="0"/>
                <w:color w:val="000000"/>
                <w:sz w:val="18"/>
                <w:szCs w:val="18"/>
              </w:rPr>
              <w:t>Pharmaceutical benefits and services</w:t>
            </w:r>
          </w:p>
        </w:tc>
        <w:tc>
          <w:tcPr>
            <w:tcW w:w="1461" w:type="dxa"/>
            <w:tcBorders>
              <w:top w:val="nil"/>
              <w:bottom w:val="nil"/>
            </w:tcBorders>
            <w:shd w:val="clear" w:color="auto" w:fill="auto"/>
            <w:noWrap/>
          </w:tcPr>
          <w:p w:rsidR="008D5907" w:rsidRPr="008D5907" w:rsidRDefault="008D5907" w:rsidP="000376CB">
            <w:pPr>
              <w:spacing w:before="0" w:after="0"/>
              <w:ind w:right="227"/>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5907">
              <w:rPr>
                <w:rFonts w:cs="Arial"/>
                <w:color w:val="000000"/>
                <w:sz w:val="18"/>
                <w:szCs w:val="18"/>
              </w:rPr>
              <w:t>16.0</w:t>
            </w:r>
          </w:p>
        </w:tc>
        <w:tc>
          <w:tcPr>
            <w:tcW w:w="1559" w:type="dxa"/>
            <w:tcBorders>
              <w:top w:val="nil"/>
              <w:bottom w:val="nil"/>
            </w:tcBorders>
            <w:shd w:val="clear" w:color="auto" w:fill="auto"/>
          </w:tcPr>
          <w:p w:rsidR="008D5907" w:rsidRPr="008D5907" w:rsidRDefault="008D5907" w:rsidP="000376CB">
            <w:pPr>
              <w:spacing w:before="0" w:after="0"/>
              <w:ind w:right="227"/>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5907">
              <w:rPr>
                <w:rFonts w:cs="Arial"/>
                <w:color w:val="000000"/>
                <w:sz w:val="18"/>
                <w:szCs w:val="18"/>
              </w:rPr>
              <w:t>2.7</w:t>
            </w:r>
          </w:p>
        </w:tc>
        <w:tc>
          <w:tcPr>
            <w:tcW w:w="1843" w:type="dxa"/>
            <w:tcBorders>
              <w:top w:val="nil"/>
              <w:bottom w:val="nil"/>
            </w:tcBorders>
            <w:shd w:val="clear" w:color="auto" w:fill="auto"/>
          </w:tcPr>
          <w:p w:rsidR="008D5907" w:rsidRPr="008D5907" w:rsidRDefault="008D5907" w:rsidP="000376CB">
            <w:pPr>
              <w:spacing w:before="0" w:after="0"/>
              <w:ind w:right="227"/>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5907">
              <w:rPr>
                <w:rFonts w:cs="Arial"/>
                <w:color w:val="000000"/>
                <w:sz w:val="18"/>
                <w:szCs w:val="18"/>
              </w:rPr>
              <w:t>6.0</w:t>
            </w:r>
          </w:p>
        </w:tc>
      </w:tr>
      <w:tr w:rsidR="008D5907" w:rsidRPr="0097181B" w:rsidTr="00175E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dxa"/>
            <w:tcBorders>
              <w:top w:val="nil"/>
              <w:bottom w:val="nil"/>
            </w:tcBorders>
            <w:shd w:val="clear" w:color="auto" w:fill="D7DDE9"/>
            <w:noWrap/>
          </w:tcPr>
          <w:p w:rsidR="008D5907" w:rsidRPr="008D5907" w:rsidRDefault="008D5907" w:rsidP="000376CB">
            <w:pPr>
              <w:spacing w:before="0" w:after="0"/>
              <w:ind w:left="57"/>
              <w:rPr>
                <w:rFonts w:cs="Arial"/>
                <w:b w:val="0"/>
                <w:color w:val="000000"/>
                <w:sz w:val="18"/>
                <w:szCs w:val="18"/>
              </w:rPr>
            </w:pPr>
            <w:r w:rsidRPr="008D5907">
              <w:rPr>
                <w:rFonts w:cs="Arial"/>
                <w:b w:val="0"/>
                <w:color w:val="000000"/>
                <w:sz w:val="18"/>
                <w:szCs w:val="18"/>
              </w:rPr>
              <w:t>Health services</w:t>
            </w:r>
          </w:p>
        </w:tc>
        <w:tc>
          <w:tcPr>
            <w:tcW w:w="1461" w:type="dxa"/>
            <w:tcBorders>
              <w:top w:val="nil"/>
              <w:bottom w:val="nil"/>
            </w:tcBorders>
            <w:shd w:val="clear" w:color="auto" w:fill="D7DDE9"/>
            <w:noWrap/>
          </w:tcPr>
          <w:p w:rsidR="008D5907" w:rsidRPr="008D5907" w:rsidRDefault="008D5907" w:rsidP="000376CB">
            <w:pPr>
              <w:spacing w:before="0" w:after="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5907">
              <w:rPr>
                <w:rFonts w:cs="Arial"/>
                <w:color w:val="000000"/>
                <w:sz w:val="18"/>
                <w:szCs w:val="18"/>
              </w:rPr>
              <w:t>15.4</w:t>
            </w:r>
          </w:p>
        </w:tc>
        <w:tc>
          <w:tcPr>
            <w:tcW w:w="1559" w:type="dxa"/>
            <w:tcBorders>
              <w:top w:val="nil"/>
              <w:bottom w:val="nil"/>
            </w:tcBorders>
            <w:shd w:val="clear" w:color="auto" w:fill="D7DDE9"/>
          </w:tcPr>
          <w:p w:rsidR="008D5907" w:rsidRPr="008D5907" w:rsidRDefault="008D5907" w:rsidP="000376CB">
            <w:pPr>
              <w:spacing w:before="0" w:after="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5907">
              <w:rPr>
                <w:rFonts w:cs="Arial"/>
                <w:color w:val="000000"/>
                <w:sz w:val="18"/>
                <w:szCs w:val="18"/>
              </w:rPr>
              <w:t>9.6</w:t>
            </w:r>
          </w:p>
        </w:tc>
        <w:tc>
          <w:tcPr>
            <w:tcW w:w="1843" w:type="dxa"/>
            <w:tcBorders>
              <w:top w:val="nil"/>
              <w:bottom w:val="nil"/>
            </w:tcBorders>
            <w:shd w:val="clear" w:color="auto" w:fill="D7DDE9"/>
          </w:tcPr>
          <w:p w:rsidR="008D5907" w:rsidRPr="008D5907" w:rsidRDefault="008D5907" w:rsidP="000376CB">
            <w:pPr>
              <w:spacing w:before="0" w:after="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D5907">
              <w:rPr>
                <w:rFonts w:cs="Arial"/>
                <w:color w:val="000000"/>
                <w:sz w:val="18"/>
                <w:szCs w:val="18"/>
              </w:rPr>
              <w:t>14.7</w:t>
            </w:r>
          </w:p>
        </w:tc>
      </w:tr>
      <w:tr w:rsidR="008D5907" w:rsidRPr="0097181B" w:rsidTr="00175EA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dxa"/>
            <w:tcBorders>
              <w:top w:val="nil"/>
              <w:bottom w:val="nil"/>
            </w:tcBorders>
            <w:shd w:val="clear" w:color="auto" w:fill="auto"/>
            <w:noWrap/>
            <w:hideMark/>
          </w:tcPr>
          <w:p w:rsidR="008D5907" w:rsidRPr="008D5907" w:rsidRDefault="008D5907" w:rsidP="000376CB">
            <w:pPr>
              <w:spacing w:before="0" w:after="0"/>
              <w:ind w:left="57"/>
              <w:rPr>
                <w:rFonts w:cs="Arial"/>
                <w:b w:val="0"/>
                <w:color w:val="000000"/>
                <w:sz w:val="18"/>
                <w:szCs w:val="18"/>
              </w:rPr>
            </w:pPr>
            <w:r w:rsidRPr="008D5907">
              <w:rPr>
                <w:rFonts w:cs="Arial"/>
                <w:b w:val="0"/>
                <w:color w:val="000000"/>
                <w:sz w:val="18"/>
                <w:szCs w:val="18"/>
              </w:rPr>
              <w:t>Aboriginal and Torres Strait Islander health</w:t>
            </w:r>
          </w:p>
        </w:tc>
        <w:tc>
          <w:tcPr>
            <w:tcW w:w="1461" w:type="dxa"/>
            <w:tcBorders>
              <w:top w:val="nil"/>
              <w:bottom w:val="nil"/>
            </w:tcBorders>
            <w:shd w:val="clear" w:color="auto" w:fill="auto"/>
            <w:noWrap/>
            <w:hideMark/>
          </w:tcPr>
          <w:p w:rsidR="008D5907" w:rsidRPr="008D5907" w:rsidRDefault="008D5907" w:rsidP="000376CB">
            <w:pPr>
              <w:spacing w:before="0" w:after="0"/>
              <w:ind w:right="227"/>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5907">
              <w:rPr>
                <w:rFonts w:cs="Arial"/>
                <w:color w:val="000000"/>
                <w:sz w:val="18"/>
                <w:szCs w:val="18"/>
              </w:rPr>
              <w:t>1.2</w:t>
            </w:r>
          </w:p>
        </w:tc>
        <w:tc>
          <w:tcPr>
            <w:tcW w:w="1559" w:type="dxa"/>
            <w:tcBorders>
              <w:top w:val="nil"/>
              <w:bottom w:val="nil"/>
            </w:tcBorders>
            <w:shd w:val="clear" w:color="auto" w:fill="auto"/>
          </w:tcPr>
          <w:p w:rsidR="008D5907" w:rsidRPr="008D5907" w:rsidRDefault="008D5907" w:rsidP="000376CB">
            <w:pPr>
              <w:spacing w:before="0" w:after="0"/>
              <w:ind w:right="227"/>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5907">
              <w:rPr>
                <w:rFonts w:cs="Arial"/>
                <w:color w:val="000000"/>
                <w:sz w:val="18"/>
                <w:szCs w:val="18"/>
              </w:rPr>
              <w:t>10.3</w:t>
            </w:r>
          </w:p>
        </w:tc>
        <w:tc>
          <w:tcPr>
            <w:tcW w:w="1843" w:type="dxa"/>
            <w:tcBorders>
              <w:top w:val="nil"/>
              <w:bottom w:val="nil"/>
            </w:tcBorders>
            <w:shd w:val="clear" w:color="auto" w:fill="auto"/>
          </w:tcPr>
          <w:p w:rsidR="008D5907" w:rsidRPr="008D5907" w:rsidRDefault="008D5907" w:rsidP="000376CB">
            <w:pPr>
              <w:spacing w:before="0" w:after="0"/>
              <w:ind w:right="227"/>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8D5907">
              <w:rPr>
                <w:rFonts w:cs="Arial"/>
                <w:color w:val="000000"/>
                <w:sz w:val="18"/>
                <w:szCs w:val="18"/>
              </w:rPr>
              <w:t>1.2</w:t>
            </w:r>
          </w:p>
        </w:tc>
      </w:tr>
      <w:tr w:rsidR="008D5907" w:rsidRPr="000376CB" w:rsidTr="00175EA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01" w:type="dxa"/>
            <w:tcBorders>
              <w:top w:val="nil"/>
            </w:tcBorders>
            <w:shd w:val="clear" w:color="auto" w:fill="D7DDE9"/>
            <w:noWrap/>
          </w:tcPr>
          <w:p w:rsidR="008D5907" w:rsidRPr="000376CB" w:rsidRDefault="008D5907" w:rsidP="000376CB">
            <w:pPr>
              <w:spacing w:before="0" w:after="0"/>
              <w:ind w:left="57"/>
              <w:rPr>
                <w:rFonts w:cs="Arial"/>
                <w:bCs/>
                <w:color w:val="000000"/>
                <w:sz w:val="18"/>
                <w:szCs w:val="18"/>
              </w:rPr>
            </w:pPr>
            <w:r w:rsidRPr="000376CB">
              <w:rPr>
                <w:rFonts w:cs="Arial"/>
                <w:bCs/>
                <w:color w:val="000000"/>
                <w:sz w:val="18"/>
                <w:szCs w:val="18"/>
              </w:rPr>
              <w:t>Total health</w:t>
            </w:r>
          </w:p>
        </w:tc>
        <w:tc>
          <w:tcPr>
            <w:tcW w:w="1461" w:type="dxa"/>
            <w:tcBorders>
              <w:top w:val="nil"/>
            </w:tcBorders>
            <w:shd w:val="clear" w:color="auto" w:fill="D7DDE9"/>
            <w:noWrap/>
          </w:tcPr>
          <w:p w:rsidR="008D5907" w:rsidRPr="000376CB" w:rsidRDefault="008D5907" w:rsidP="000376CB">
            <w:pPr>
              <w:spacing w:before="0" w:after="0"/>
              <w:ind w:right="22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0376CB">
              <w:rPr>
                <w:rFonts w:cs="Arial"/>
                <w:b/>
                <w:bCs/>
                <w:color w:val="000000"/>
                <w:sz w:val="18"/>
                <w:szCs w:val="18"/>
              </w:rPr>
              <w:t>100.0</w:t>
            </w:r>
          </w:p>
        </w:tc>
        <w:tc>
          <w:tcPr>
            <w:tcW w:w="1559" w:type="dxa"/>
            <w:tcBorders>
              <w:top w:val="nil"/>
            </w:tcBorders>
            <w:shd w:val="clear" w:color="auto" w:fill="D7DDE9"/>
          </w:tcPr>
          <w:p w:rsidR="008D5907" w:rsidRPr="000376CB" w:rsidRDefault="008D5907" w:rsidP="000376CB">
            <w:pPr>
              <w:spacing w:before="0" w:after="0"/>
              <w:ind w:right="22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0376CB">
              <w:rPr>
                <w:rFonts w:cs="Arial"/>
                <w:b/>
                <w:bCs/>
                <w:color w:val="000000"/>
                <w:sz w:val="18"/>
                <w:szCs w:val="18"/>
              </w:rPr>
              <w:t>4.8</w:t>
            </w:r>
          </w:p>
        </w:tc>
        <w:tc>
          <w:tcPr>
            <w:tcW w:w="1843" w:type="dxa"/>
            <w:tcBorders>
              <w:top w:val="nil"/>
            </w:tcBorders>
            <w:shd w:val="clear" w:color="auto" w:fill="D7DDE9"/>
          </w:tcPr>
          <w:p w:rsidR="008D5907" w:rsidRPr="000376CB" w:rsidRDefault="008D5907" w:rsidP="000376CB">
            <w:pPr>
              <w:spacing w:before="0" w:after="0"/>
              <w:ind w:right="22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0376CB">
              <w:rPr>
                <w:rFonts w:cs="Arial"/>
                <w:b/>
                <w:bCs/>
                <w:color w:val="000000"/>
                <w:sz w:val="18"/>
                <w:szCs w:val="18"/>
              </w:rPr>
              <w:t>59.3</w:t>
            </w:r>
          </w:p>
        </w:tc>
      </w:tr>
    </w:tbl>
    <w:p w:rsidR="00857D55" w:rsidRPr="00165EBD" w:rsidRDefault="00857D55" w:rsidP="00B64B2F">
      <w:pPr>
        <w:pStyle w:val="Heading30"/>
      </w:pPr>
      <w:r>
        <w:t>Contribution from medical services and benefits</w:t>
      </w:r>
    </w:p>
    <w:p w:rsidR="00857D55" w:rsidRPr="00E30EA4" w:rsidRDefault="00857D55" w:rsidP="003E04E1">
      <w:r w:rsidRPr="008311D2">
        <w:t>Over the period 2002</w:t>
      </w:r>
      <w:r w:rsidR="003E0138" w:rsidRPr="006B456E">
        <w:noBreakHyphen/>
      </w:r>
      <w:r w:rsidRPr="008311D2">
        <w:t>03 to 2012</w:t>
      </w:r>
      <w:r w:rsidR="003E0138" w:rsidRPr="006B456E">
        <w:noBreakHyphen/>
      </w:r>
      <w:r w:rsidRPr="008311D2">
        <w:t xml:space="preserve">13, the largest contributor to overall growth in health spending was </w:t>
      </w:r>
      <w:r w:rsidRPr="008311D2">
        <w:rPr>
          <w:b/>
        </w:rPr>
        <w:t>medical services and benefits</w:t>
      </w:r>
      <w:r w:rsidR="005A2AAE">
        <w:t xml:space="preserve">, which </w:t>
      </w:r>
      <w:r w:rsidR="005A2AAE" w:rsidRPr="00E30EA4">
        <w:t>contributed 25.9</w:t>
      </w:r>
      <w:r w:rsidR="001D3954">
        <w:t> </w:t>
      </w:r>
      <w:r w:rsidRPr="00E30EA4">
        <w:t>percentage points</w:t>
      </w:r>
      <w:r w:rsidR="00B57E01" w:rsidRPr="00E30EA4">
        <w:t>, or 44</w:t>
      </w:r>
      <w:r w:rsidR="0078351A" w:rsidRPr="00E30EA4">
        <w:t> </w:t>
      </w:r>
      <w:r w:rsidR="00B57E01" w:rsidRPr="00E30EA4">
        <w:t>per</w:t>
      </w:r>
      <w:r w:rsidR="0078351A" w:rsidRPr="00E30EA4">
        <w:t> </w:t>
      </w:r>
      <w:r w:rsidR="00CA527A" w:rsidRPr="00E30EA4">
        <w:t>cent</w:t>
      </w:r>
      <w:r w:rsidR="00B57E01" w:rsidRPr="00E30EA4">
        <w:t xml:space="preserve"> </w:t>
      </w:r>
      <w:r w:rsidRPr="00E30EA4">
        <w:t xml:space="preserve">of the total growth.  This has been driven by the growth in demand for Medicare services, with the volume of MBS services claimed growing in excess of population growth, and prices paid by the Commonwealth growing faster than inflation.  Growth in expenses on </w:t>
      </w:r>
      <w:r w:rsidRPr="00E30EA4">
        <w:rPr>
          <w:b/>
        </w:rPr>
        <w:t>medical services and benefits</w:t>
      </w:r>
      <w:r w:rsidRPr="00E30EA4">
        <w:t xml:space="preserve"> averaged 5.1 per cent </w:t>
      </w:r>
      <w:r w:rsidR="00442FDF" w:rsidRPr="00E30EA4">
        <w:t>annually</w:t>
      </w:r>
      <w:r w:rsidR="003E0138">
        <w:t xml:space="preserve"> between 2002</w:t>
      </w:r>
      <w:r w:rsidR="003E0138" w:rsidRPr="006B456E">
        <w:noBreakHyphen/>
      </w:r>
      <w:r w:rsidRPr="00E30EA4">
        <w:t>03 and 2012</w:t>
      </w:r>
      <w:r w:rsidR="003E0138" w:rsidRPr="006B456E">
        <w:noBreakHyphen/>
      </w:r>
      <w:r w:rsidRPr="00E30EA4">
        <w:t>13.</w:t>
      </w:r>
    </w:p>
    <w:p w:rsidR="00857D55" w:rsidRPr="00E30EA4" w:rsidRDefault="00857D55" w:rsidP="008D5907">
      <w:r w:rsidRPr="00E30EA4">
        <w:t xml:space="preserve">The average number of MBS services claimed </w:t>
      </w:r>
      <w:r w:rsidR="009853F6">
        <w:t xml:space="preserve">annually </w:t>
      </w:r>
      <w:r w:rsidRPr="00E30EA4">
        <w:t>per person enrolled in Medicare increased</w:t>
      </w:r>
      <w:r w:rsidR="003E0138">
        <w:t xml:space="preserve"> from 10.8 to 14.8 between 2002</w:t>
      </w:r>
      <w:r w:rsidR="003E0138" w:rsidRPr="006B456E">
        <w:noBreakHyphen/>
      </w:r>
      <w:r w:rsidRPr="00E30EA4">
        <w:t>03 and 2012</w:t>
      </w:r>
      <w:r w:rsidR="003E0138" w:rsidRPr="006B456E">
        <w:noBreakHyphen/>
      </w:r>
      <w:r w:rsidRPr="00E30EA4">
        <w:t xml:space="preserve">13.  The growth in volume of MBS services claimed has been facilitated by the expansion of the primary health care workforce.  Between 2007 and 2011, the supply of employed medical practitioners </w:t>
      </w:r>
      <w:r w:rsidR="005A2AAE" w:rsidRPr="00E30EA4">
        <w:t xml:space="preserve">per person </w:t>
      </w:r>
      <w:r w:rsidRPr="00E30EA4">
        <w:t>increased by 10.7 per</w:t>
      </w:r>
      <w:r w:rsidR="001D3954">
        <w:t> </w:t>
      </w:r>
      <w:r w:rsidRPr="00E30EA4">
        <w:t>cent, with the number of full-time equivalent practitioners per 100,000 population incr</w:t>
      </w:r>
      <w:r w:rsidR="001D3954">
        <w:t>easing from around 345 to 381.</w:t>
      </w:r>
    </w:p>
    <w:p w:rsidR="00857D55" w:rsidRPr="00E30EA4" w:rsidRDefault="00857D55" w:rsidP="008D5907">
      <w:r w:rsidRPr="00E30EA4">
        <w:t xml:space="preserve">In addition, as a result of new and amended listings </w:t>
      </w:r>
      <w:r w:rsidR="009853F6">
        <w:t>on</w:t>
      </w:r>
      <w:r w:rsidR="009853F6" w:rsidRPr="00E30EA4">
        <w:t xml:space="preserve"> </w:t>
      </w:r>
      <w:r w:rsidRPr="00E30EA4">
        <w:t>the MBS over time to account for advancements in medical technology and improved medical practices, the number of claimable medical services under Medicare has increased.  This has also facilitated the increase in the volum</w:t>
      </w:r>
      <w:r w:rsidR="001D3954">
        <w:t>e of Medicare services claimed.</w:t>
      </w:r>
    </w:p>
    <w:p w:rsidR="00857D55" w:rsidRPr="00E30EA4" w:rsidRDefault="00857D55" w:rsidP="003F186D">
      <w:r w:rsidRPr="00E30EA4">
        <w:t>Price effects have also contributed to the growth in the Commonwealth’s spending on Medicare services.  Between 2002</w:t>
      </w:r>
      <w:r w:rsidR="003E0138" w:rsidRPr="006B456E">
        <w:noBreakHyphen/>
      </w:r>
      <w:r w:rsidRPr="00E30EA4">
        <w:t>03 and 2012</w:t>
      </w:r>
      <w:r w:rsidR="003E0138" w:rsidRPr="006B456E">
        <w:noBreakHyphen/>
      </w:r>
      <w:r w:rsidRPr="00E30EA4">
        <w:t>13, the average MBS benefit received per person enrolled in Medicare increased from $395.35 to $802.40</w:t>
      </w:r>
      <w:r w:rsidR="009853F6">
        <w:t xml:space="preserve"> annually</w:t>
      </w:r>
      <w:r w:rsidRPr="00E30EA4">
        <w:t>.  Over this same period, the average schedule fee paid by the Commonwealth for an MBS item in</w:t>
      </w:r>
      <w:r w:rsidR="001D3954">
        <w:t>creased from $36.65 to $54.15.</w:t>
      </w:r>
    </w:p>
    <w:p w:rsidR="00B57E01" w:rsidRDefault="00B57E01" w:rsidP="00B57E01">
      <w:r w:rsidRPr="00E30EA4">
        <w:t xml:space="preserve">This is partly a reflection of an increase in prices for MBS services, </w:t>
      </w:r>
      <w:r w:rsidR="003D2C32" w:rsidRPr="00E30EA4">
        <w:t>as well as a substitution towards MBS items that attract higher schedule fees.</w:t>
      </w:r>
      <w:r w:rsidR="008B1FC0" w:rsidRPr="00E30EA4">
        <w:t xml:space="preserve"> </w:t>
      </w:r>
      <w:r w:rsidR="00DE0BB4" w:rsidRPr="00E30EA4">
        <w:t xml:space="preserve"> </w:t>
      </w:r>
      <w:r w:rsidR="00CA527A" w:rsidRPr="00E30EA4">
        <w:t>T</w:t>
      </w:r>
      <w:r w:rsidRPr="00E30EA4">
        <w:t>he schedule fee</w:t>
      </w:r>
      <w:r w:rsidR="00CA527A" w:rsidRPr="00E30EA4">
        <w:t>s</w:t>
      </w:r>
      <w:r w:rsidRPr="00E30EA4">
        <w:t xml:space="preserve"> of most MBS items are indexed by a weighted index that combines changes in wage and non-wage costs.  </w:t>
      </w:r>
      <w:r w:rsidR="005A2AAE" w:rsidRPr="00E30EA4">
        <w:t>From 2002</w:t>
      </w:r>
      <w:r w:rsidR="003E0138" w:rsidRPr="006B456E">
        <w:noBreakHyphen/>
      </w:r>
      <w:r w:rsidR="005A2AAE" w:rsidRPr="00E30EA4">
        <w:t>03</w:t>
      </w:r>
      <w:r w:rsidR="003D2C32" w:rsidRPr="00E30EA4">
        <w:t xml:space="preserve"> to 2011</w:t>
      </w:r>
      <w:r w:rsidR="003E0138" w:rsidRPr="006B456E">
        <w:noBreakHyphen/>
      </w:r>
      <w:r w:rsidR="003D2C32" w:rsidRPr="004236EB">
        <w:t xml:space="preserve">12, </w:t>
      </w:r>
      <w:r w:rsidRPr="004236EB">
        <w:t>the fees charged for Medicare services increased by aroun</w:t>
      </w:r>
      <w:r w:rsidR="003D2C32" w:rsidRPr="004236EB">
        <w:t>d 36</w:t>
      </w:r>
      <w:r w:rsidR="001D3954">
        <w:t> </w:t>
      </w:r>
      <w:r w:rsidRPr="004236EB">
        <w:t>per</w:t>
      </w:r>
      <w:r w:rsidR="001D3954">
        <w:t> </w:t>
      </w:r>
      <w:r w:rsidRPr="004236EB">
        <w:t xml:space="preserve">cent, while </w:t>
      </w:r>
      <w:r w:rsidR="0049145D" w:rsidRPr="004236EB">
        <w:t xml:space="preserve">economy-wide </w:t>
      </w:r>
      <w:r w:rsidRPr="004236EB">
        <w:t>price</w:t>
      </w:r>
      <w:r w:rsidR="0049145D" w:rsidRPr="004236EB">
        <w:t>s (</w:t>
      </w:r>
      <w:r w:rsidRPr="004236EB">
        <w:t>as measured by</w:t>
      </w:r>
      <w:r>
        <w:t xml:space="preserve"> CPI</w:t>
      </w:r>
      <w:r w:rsidR="0049145D">
        <w:t>)</w:t>
      </w:r>
      <w:r>
        <w:t xml:space="preserve"> increase</w:t>
      </w:r>
      <w:r w:rsidR="0049145D">
        <w:t>d</w:t>
      </w:r>
      <w:r>
        <w:t xml:space="preserve"> </w:t>
      </w:r>
      <w:r w:rsidR="0049145D">
        <w:t>by</w:t>
      </w:r>
      <w:r w:rsidR="003D2C32">
        <w:t xml:space="preserve"> around 28</w:t>
      </w:r>
      <w:r w:rsidR="001D3954">
        <w:t> </w:t>
      </w:r>
      <w:r>
        <w:t>per</w:t>
      </w:r>
      <w:r w:rsidR="001D3954">
        <w:t> </w:t>
      </w:r>
      <w:r>
        <w:t>cent.</w:t>
      </w:r>
    </w:p>
    <w:p w:rsidR="00B57E01" w:rsidRPr="00971073" w:rsidRDefault="00B57E01" w:rsidP="00B57E01">
      <w:r>
        <w:t xml:space="preserve">There was also significant growth in </w:t>
      </w:r>
      <w:r w:rsidR="00981027">
        <w:t>spending</w:t>
      </w:r>
      <w:r>
        <w:t xml:space="preserve"> on the Extended Medicare Safety Net (EMSN).  Between 2004 and 2009, growth in </w:t>
      </w:r>
      <w:r w:rsidR="00981027">
        <w:t>spending</w:t>
      </w:r>
      <w:r>
        <w:t xml:space="preserve"> on the EMSN was </w:t>
      </w:r>
      <w:r w:rsidRPr="00971073">
        <w:t xml:space="preserve">133 per cent, with </w:t>
      </w:r>
      <w:r w:rsidR="00981027">
        <w:t>spending</w:t>
      </w:r>
      <w:r w:rsidR="00655EE1">
        <w:t xml:space="preserve"> of over $500</w:t>
      </w:r>
      <w:r w:rsidRPr="00971073">
        <w:t> million in 200</w:t>
      </w:r>
      <w:r w:rsidR="00655EE1">
        <w:t>9</w:t>
      </w:r>
      <w:r w:rsidR="00DE0BB4">
        <w:t>.</w:t>
      </w:r>
    </w:p>
    <w:p w:rsidR="00F909BF" w:rsidRDefault="00F909BF">
      <w:pPr>
        <w:spacing w:before="0" w:after="200" w:line="252" w:lineRule="auto"/>
      </w:pPr>
      <w:r>
        <w:br w:type="page"/>
      </w:r>
    </w:p>
    <w:p w:rsidR="00B57E01" w:rsidRPr="004236EB" w:rsidRDefault="0049145D" w:rsidP="00B57E01">
      <w:r>
        <w:lastRenderedPageBreak/>
        <w:t>From 2002</w:t>
      </w:r>
      <w:r w:rsidR="003E0138" w:rsidRPr="006B456E">
        <w:noBreakHyphen/>
      </w:r>
      <w:r>
        <w:t>03 t</w:t>
      </w:r>
      <w:r w:rsidRPr="00655EE1">
        <w:t>o 2012</w:t>
      </w:r>
      <w:r w:rsidR="003E0138" w:rsidRPr="006B456E">
        <w:noBreakHyphen/>
      </w:r>
      <w:r w:rsidRPr="00655EE1">
        <w:t>13</w:t>
      </w:r>
      <w:r w:rsidR="00B57E01" w:rsidRPr="00971073">
        <w:t>, growth in spending on the Private Hea</w:t>
      </w:r>
      <w:r w:rsidR="00655EE1">
        <w:t xml:space="preserve">lth Insurance rebate averaged </w:t>
      </w:r>
      <w:r w:rsidR="00B57E01" w:rsidRPr="004236EB">
        <w:t>6</w:t>
      </w:r>
      <w:r w:rsidR="00655EE1" w:rsidRPr="004236EB">
        <w:t>.2</w:t>
      </w:r>
      <w:r w:rsidR="001D3954">
        <w:t> per </w:t>
      </w:r>
      <w:r w:rsidR="00B57E01" w:rsidRPr="004236EB">
        <w:t xml:space="preserve">cent annually.  Over this period, the combined impact of the increased take up and higher premiums underpinned this </w:t>
      </w:r>
      <w:r w:rsidR="00655EE1" w:rsidRPr="004236EB">
        <w:t>increase, which contributed ten per cent of the growth in total health expenses.</w:t>
      </w:r>
    </w:p>
    <w:p w:rsidR="00857D55" w:rsidRPr="004236EB" w:rsidRDefault="00857D55" w:rsidP="003F186D">
      <w:pPr>
        <w:pStyle w:val="Heading30"/>
      </w:pPr>
      <w:r w:rsidRPr="004236EB">
        <w:t>Contribution from health services</w:t>
      </w:r>
    </w:p>
    <w:p w:rsidR="00B57E01" w:rsidRPr="00E30EA4" w:rsidRDefault="00B57E01" w:rsidP="00B57E01">
      <w:r w:rsidRPr="00E30EA4">
        <w:t>The next largest contributor, health services which includes general administratio</w:t>
      </w:r>
      <w:r w:rsidR="00B855D9" w:rsidRPr="00E30EA4">
        <w:t>n, grew by 9.6</w:t>
      </w:r>
      <w:r w:rsidR="00442FDF" w:rsidRPr="00E30EA4">
        <w:t> per cent annually</w:t>
      </w:r>
      <w:r w:rsidR="00B855D9" w:rsidRPr="00E30EA4">
        <w:t xml:space="preserve"> and contributed 14.7</w:t>
      </w:r>
      <w:r w:rsidR="001D3954">
        <w:t> </w:t>
      </w:r>
      <w:r w:rsidRPr="00E30EA4">
        <w:t>percentage points or a quarter of the total growth in health spending over the ten years to 2012</w:t>
      </w:r>
      <w:r w:rsidR="003E0138" w:rsidRPr="006B456E">
        <w:noBreakHyphen/>
      </w:r>
      <w:r w:rsidRPr="00E30EA4">
        <w:t>13.  Under health services, the Commonwealth funds many health programs that cumulatively have a significant</w:t>
      </w:r>
      <w:r w:rsidR="0049145D" w:rsidRPr="00E30EA4">
        <w:t xml:space="preserve"> impact on the B</w:t>
      </w:r>
      <w:r w:rsidRPr="00E30EA4">
        <w:t>udget.  These programs include funding to support access to the supply of blood and blood products; population health; mental health initiatives; hearing services</w:t>
      </w:r>
      <w:r w:rsidR="001D3954">
        <w:t>, infrastructure and research.</w:t>
      </w:r>
    </w:p>
    <w:p w:rsidR="00B57E01" w:rsidRDefault="00B57E01" w:rsidP="00B57E01">
      <w:r w:rsidRPr="00E30EA4">
        <w:t>Almost a quarter of this contribution was a result of the increase in administered expenses by the National Blood Authority (NBA), which e</w:t>
      </w:r>
      <w:r w:rsidR="00655EE1" w:rsidRPr="00E30EA4">
        <w:t>xperienced annual growth of 16.0</w:t>
      </w:r>
      <w:r w:rsidR="001D3954">
        <w:t> </w:t>
      </w:r>
      <w:r w:rsidR="00B855D9" w:rsidRPr="00E30EA4">
        <w:t>per</w:t>
      </w:r>
      <w:r w:rsidR="001D3954">
        <w:t> </w:t>
      </w:r>
      <w:r w:rsidR="00B855D9" w:rsidRPr="00E30EA4">
        <w:t>cent (2.0</w:t>
      </w:r>
      <w:r w:rsidRPr="00E30EA4">
        <w:t> percentage</w:t>
      </w:r>
      <w:r w:rsidR="00E30EA4">
        <w:t> </w:t>
      </w:r>
      <w:r w:rsidRPr="00E30EA4">
        <w:t>point c</w:t>
      </w:r>
      <w:r w:rsidR="00655EE1" w:rsidRPr="00E30EA4">
        <w:t>ontribution to growth in total</w:t>
      </w:r>
      <w:r w:rsidRPr="00E30EA4">
        <w:t xml:space="preserve"> health spending).  Commonwealth spending on access to a secure supply of blood products under the National Blood Agreement has </w:t>
      </w:r>
      <w:r w:rsidR="0049145D" w:rsidRPr="00E30EA4">
        <w:t>increased from</w:t>
      </w:r>
      <w:r w:rsidR="0049145D">
        <w:t xml:space="preserve"> $175</w:t>
      </w:r>
      <w:r w:rsidR="001D3954">
        <w:t> </w:t>
      </w:r>
      <w:r w:rsidR="0049145D">
        <w:t>m</w:t>
      </w:r>
      <w:r w:rsidR="00531F4E">
        <w:t>illion</w:t>
      </w:r>
      <w:r w:rsidR="0049145D">
        <w:t xml:space="preserve"> in 2002</w:t>
      </w:r>
      <w:r w:rsidR="003E0138" w:rsidRPr="006B456E">
        <w:noBreakHyphen/>
      </w:r>
      <w:r w:rsidR="0049145D">
        <w:t>03</w:t>
      </w:r>
      <w:r>
        <w:t xml:space="preserve"> to $1.0 billion in 2012</w:t>
      </w:r>
      <w:r w:rsidR="003E0138" w:rsidRPr="006B456E">
        <w:noBreakHyphen/>
      </w:r>
      <w:r>
        <w:t>13.  The increasing demand for blood and blood products, combined with cost increases has</w:t>
      </w:r>
      <w:r w:rsidR="00AF62D5">
        <w:t xml:space="preserve"> also</w:t>
      </w:r>
      <w:r>
        <w:t xml:space="preserve"> pushed </w:t>
      </w:r>
      <w:r w:rsidR="001D3954">
        <w:t>up the NBA’s operational costs.</w:t>
      </w:r>
    </w:p>
    <w:p w:rsidR="00B57E01" w:rsidRDefault="00B57E01" w:rsidP="00B57E01">
      <w:r>
        <w:t>Spending from the Health and Hospitals Fund (HHF) also contributed to growth in health services</w:t>
      </w:r>
      <w:r w:rsidR="00CA527A">
        <w:t xml:space="preserve"> spending</w:t>
      </w:r>
      <w:r>
        <w:t xml:space="preserve">.  The </w:t>
      </w:r>
      <w:r w:rsidRPr="00CA527A">
        <w:rPr>
          <w:i/>
        </w:rPr>
        <w:t>Nation Building</w:t>
      </w:r>
      <w:r>
        <w:t xml:space="preserve"> package of HHF</w:t>
      </w:r>
      <w:r w:rsidR="001D3954">
        <w:t xml:space="preserve"> projects announced in the 2009-</w:t>
      </w:r>
      <w:r>
        <w:t>10 Budget included spending on health infrastructure, cancer centres, and medical research</w:t>
      </w:r>
      <w:r w:rsidR="001D3954">
        <w:t xml:space="preserve"> and workforce infrastructure.</w:t>
      </w:r>
    </w:p>
    <w:p w:rsidR="00857D55" w:rsidRDefault="00B57E01" w:rsidP="00B57E01">
      <w:r>
        <w:t>Funding for mental health was also a substantial contributor to growth in health services, largely as a result of funding for implementation of the $2.2</w:t>
      </w:r>
      <w:r w:rsidR="001D3954">
        <w:t> </w:t>
      </w:r>
      <w:r w:rsidRPr="001B3E35">
        <w:t>billion</w:t>
      </w:r>
      <w:r w:rsidR="00994016" w:rsidRPr="001B3E35">
        <w:t xml:space="preserve"> over five years</w:t>
      </w:r>
      <w:r w:rsidRPr="001B3E35">
        <w:t xml:space="preserve"> </w:t>
      </w:r>
      <w:r w:rsidRPr="001B3E35">
        <w:rPr>
          <w:i/>
        </w:rPr>
        <w:t>National</w:t>
      </w:r>
      <w:r w:rsidRPr="006F6B45">
        <w:rPr>
          <w:i/>
        </w:rPr>
        <w:t xml:space="preserve"> Mental Health Reform</w:t>
      </w:r>
      <w:r>
        <w:t xml:space="preserve"> package announced in the 2011</w:t>
      </w:r>
      <w:r w:rsidR="003E0138" w:rsidRPr="006B456E">
        <w:noBreakHyphen/>
      </w:r>
      <w:r>
        <w:t>12</w:t>
      </w:r>
      <w:r w:rsidR="001D3954">
        <w:t> </w:t>
      </w:r>
      <w:r>
        <w:t>Budget</w:t>
      </w:r>
      <w:r w:rsidR="00857D55">
        <w:t>.</w:t>
      </w:r>
    </w:p>
    <w:p w:rsidR="00857D55" w:rsidRDefault="00857D55" w:rsidP="003F186D">
      <w:pPr>
        <w:pStyle w:val="Heading30"/>
      </w:pPr>
      <w:r>
        <w:t>Contribution from hospital services</w:t>
      </w:r>
    </w:p>
    <w:p w:rsidR="00B57E01" w:rsidRPr="00E30EA4" w:rsidRDefault="00CA527A" w:rsidP="00B57E01">
      <w:r>
        <w:t xml:space="preserve">The next largest </w:t>
      </w:r>
      <w:r w:rsidRPr="00E30EA4">
        <w:t>contributor w</w:t>
      </w:r>
      <w:r w:rsidR="00B57E01" w:rsidRPr="00E30EA4">
        <w:t xml:space="preserve">as </w:t>
      </w:r>
      <w:r w:rsidR="00B57E01" w:rsidRPr="00E30EA4">
        <w:rPr>
          <w:b/>
        </w:rPr>
        <w:t>hospital services</w:t>
      </w:r>
      <w:r w:rsidRPr="00E30EA4">
        <w:t xml:space="preserve"> spending</w:t>
      </w:r>
      <w:r w:rsidR="00B57E01" w:rsidRPr="00E30EA4">
        <w:t>.  By 2012</w:t>
      </w:r>
      <w:r w:rsidR="003E0138" w:rsidRPr="006B456E">
        <w:noBreakHyphen/>
      </w:r>
      <w:r w:rsidR="00B57E01" w:rsidRPr="00E30EA4">
        <w:t>13, funding on hospital services accounted f</w:t>
      </w:r>
      <w:r w:rsidR="00B855D9" w:rsidRPr="00E30EA4">
        <w:t>or 11.5</w:t>
      </w:r>
      <w:r w:rsidR="001D3954">
        <w:t> </w:t>
      </w:r>
      <w:r w:rsidR="00B855D9" w:rsidRPr="00E30EA4">
        <w:t xml:space="preserve">percentage </w:t>
      </w:r>
      <w:proofErr w:type="gramStart"/>
      <w:r w:rsidR="00B855D9" w:rsidRPr="00E30EA4">
        <w:t>points,</w:t>
      </w:r>
      <w:proofErr w:type="gramEnd"/>
      <w:r w:rsidR="00B855D9" w:rsidRPr="00E30EA4">
        <w:t xml:space="preserve"> or 19</w:t>
      </w:r>
      <w:r w:rsidR="001D3954">
        <w:t> </w:t>
      </w:r>
      <w:r w:rsidR="00B57E01" w:rsidRPr="00E30EA4">
        <w:t>per</w:t>
      </w:r>
      <w:r w:rsidR="001D3954">
        <w:t> </w:t>
      </w:r>
      <w:r w:rsidR="00B57E01" w:rsidRPr="00E30EA4">
        <w:t>cent of t</w:t>
      </w:r>
      <w:r w:rsidR="001D3954">
        <w:t>he total growth since 2002</w:t>
      </w:r>
      <w:r w:rsidR="003E0138" w:rsidRPr="006B456E">
        <w:noBreakHyphen/>
      </w:r>
      <w:r w:rsidR="001D3954">
        <w:t>03.</w:t>
      </w:r>
    </w:p>
    <w:p w:rsidR="00B57E01" w:rsidRPr="00E30EA4" w:rsidRDefault="00B57E01" w:rsidP="00B57E01">
      <w:r w:rsidRPr="00E30EA4">
        <w:t>Since the inception of Medicare, the Commonwealth has made substantial financial contributions to the States for the provision of free, universal access to public hospital services.  The Australian Health Care Agreements (AHCAs)</w:t>
      </w:r>
      <w:r w:rsidR="00B855D9" w:rsidRPr="00E30EA4">
        <w:t xml:space="preserve"> signed in </w:t>
      </w:r>
      <w:r w:rsidRPr="00E30EA4">
        <w:t xml:space="preserve">2003 specified </w:t>
      </w:r>
      <w:r w:rsidR="00AF62D5">
        <w:t xml:space="preserve">that </w:t>
      </w:r>
      <w:r w:rsidRPr="00E30EA4">
        <w:t xml:space="preserve">the Commonwealth </w:t>
      </w:r>
      <w:r w:rsidR="00AF62D5">
        <w:t>would provide up to $42</w:t>
      </w:r>
      <w:r w:rsidR="008D3366">
        <w:t> </w:t>
      </w:r>
      <w:r w:rsidR="00AF62D5">
        <w:t xml:space="preserve">billion of </w:t>
      </w:r>
      <w:r w:rsidRPr="00E30EA4">
        <w:t>funding to the States between 2003</w:t>
      </w:r>
      <w:r w:rsidR="003E0138" w:rsidRPr="006B456E">
        <w:noBreakHyphen/>
      </w:r>
      <w:r w:rsidRPr="00E30EA4">
        <w:t>04 and 2007</w:t>
      </w:r>
      <w:r w:rsidR="003E0138" w:rsidRPr="006B456E">
        <w:noBreakHyphen/>
      </w:r>
      <w:r w:rsidRPr="00E30EA4">
        <w:t>08</w:t>
      </w:r>
      <w:r w:rsidR="00AF62D5">
        <w:t>.</w:t>
      </w:r>
      <w:r w:rsidRPr="00E30EA4">
        <w:t xml:space="preserve">  Since 2008</w:t>
      </w:r>
      <w:r w:rsidR="003E0138" w:rsidRPr="006B456E">
        <w:noBreakHyphen/>
      </w:r>
      <w:r w:rsidRPr="00E30EA4">
        <w:t xml:space="preserve">09, COAG agreements have substantially increased the amount of Commonwealth funding provided to the States through changes to base funding and </w:t>
      </w:r>
      <w:r w:rsidR="001D3954">
        <w:t>indexation factors.</w:t>
      </w:r>
    </w:p>
    <w:p w:rsidR="00857D55" w:rsidRPr="00E30EA4" w:rsidRDefault="00857D55" w:rsidP="003F186D">
      <w:pPr>
        <w:pStyle w:val="Heading30"/>
      </w:pPr>
      <w:r w:rsidRPr="00E30EA4">
        <w:t>Contribution from pharmaceutical benefits and services</w:t>
      </w:r>
    </w:p>
    <w:p w:rsidR="00857D55" w:rsidRDefault="00857D55" w:rsidP="003F186D">
      <w:r w:rsidRPr="00E30EA4">
        <w:t xml:space="preserve">Spending on </w:t>
      </w:r>
      <w:r w:rsidRPr="00E30EA4">
        <w:rPr>
          <w:b/>
        </w:rPr>
        <w:t>pharmaceutical benefits and services</w:t>
      </w:r>
      <w:r w:rsidR="001D3954">
        <w:t xml:space="preserve"> contributed around 6.0 </w:t>
      </w:r>
      <w:r w:rsidRPr="00E30EA4">
        <w:t>percentage points</w:t>
      </w:r>
      <w:r w:rsidR="00B57E01" w:rsidRPr="00E30EA4">
        <w:t>, or 10</w:t>
      </w:r>
      <w:r w:rsidR="004B5BFA" w:rsidRPr="00E30EA4">
        <w:t> </w:t>
      </w:r>
      <w:r w:rsidR="00B57E01" w:rsidRPr="00E30EA4">
        <w:t>per</w:t>
      </w:r>
      <w:r w:rsidR="001D3954">
        <w:t> </w:t>
      </w:r>
      <w:r w:rsidR="00B57E01" w:rsidRPr="00E30EA4">
        <w:t xml:space="preserve">cent of </w:t>
      </w:r>
      <w:r w:rsidRPr="00E30EA4">
        <w:t>total growth in health spending from 2002</w:t>
      </w:r>
      <w:r w:rsidR="003E0138" w:rsidRPr="006B456E">
        <w:noBreakHyphen/>
      </w:r>
      <w:r w:rsidRPr="00E30EA4">
        <w:t xml:space="preserve">03 to </w:t>
      </w:r>
      <w:r w:rsidRPr="001B3E35">
        <w:t>2012</w:t>
      </w:r>
      <w:r w:rsidR="003E0138" w:rsidRPr="006B456E">
        <w:noBreakHyphen/>
      </w:r>
      <w:r w:rsidRPr="001B3E35">
        <w:t xml:space="preserve">13. </w:t>
      </w:r>
      <w:r w:rsidR="00B855D9" w:rsidRPr="001B3E35">
        <w:t xml:space="preserve"> Generally</w:t>
      </w:r>
      <w:r w:rsidR="00B855D9" w:rsidRPr="00E30EA4">
        <w:t xml:space="preserve">, the growth in the volume of medicines claimed under the PBS and the Repatriation Pharmaceutical Benefits Scheme (RPBS) has kept roughly in line with population growth. </w:t>
      </w:r>
      <w:r w:rsidR="00655EE1" w:rsidRPr="00E30EA4">
        <w:t xml:space="preserve"> From 2002</w:t>
      </w:r>
      <w:r w:rsidR="003E0138" w:rsidRPr="006B456E">
        <w:noBreakHyphen/>
      </w:r>
      <w:r w:rsidR="00655EE1" w:rsidRPr="00E30EA4">
        <w:t>03 to 2012</w:t>
      </w:r>
      <w:r w:rsidR="003E0138" w:rsidRPr="006B456E">
        <w:noBreakHyphen/>
      </w:r>
      <w:r w:rsidR="003E0138">
        <w:t>0</w:t>
      </w:r>
      <w:r w:rsidR="00655EE1" w:rsidRPr="00E30EA4">
        <w:t>3, while the total number of items claimed under the PBS and the RPBS increased by 2</w:t>
      </w:r>
      <w:r w:rsidR="00B855D9" w:rsidRPr="00E30EA4">
        <w:t>1</w:t>
      </w:r>
      <w:r w:rsidR="00655EE1" w:rsidRPr="00E30EA4">
        <w:t xml:space="preserve"> per cent, the number </w:t>
      </w:r>
      <w:r w:rsidR="00CA527A" w:rsidRPr="00E30EA4">
        <w:t>of items claimed</w:t>
      </w:r>
      <w:r w:rsidR="00CA527A" w:rsidRPr="004236EB">
        <w:t xml:space="preserve"> per person </w:t>
      </w:r>
      <w:r w:rsidR="00655EE1" w:rsidRPr="004236EB">
        <w:t>remained relatively constant at around nine per year.</w:t>
      </w:r>
    </w:p>
    <w:p w:rsidR="00AC353B" w:rsidRDefault="00AC353B">
      <w:pPr>
        <w:spacing w:before="0" w:after="200" w:line="252" w:lineRule="auto"/>
      </w:pPr>
      <w:r>
        <w:br w:type="page"/>
      </w:r>
    </w:p>
    <w:p w:rsidR="00FA1032" w:rsidRDefault="00857D55" w:rsidP="003F186D">
      <w:r>
        <w:lastRenderedPageBreak/>
        <w:t xml:space="preserve">Whilst </w:t>
      </w:r>
      <w:r w:rsidRPr="00655EE1">
        <w:t>the volume of medicines cl</w:t>
      </w:r>
      <w:r w:rsidR="00CA527A">
        <w:t>aimed under the PBS and RPBS</w:t>
      </w:r>
      <w:r w:rsidRPr="00655EE1">
        <w:t xml:space="preserve"> </w:t>
      </w:r>
      <w:r w:rsidR="00C46CA5">
        <w:t>grew</w:t>
      </w:r>
      <w:r w:rsidR="00C46CA5" w:rsidRPr="00655EE1">
        <w:t xml:space="preserve"> </w:t>
      </w:r>
      <w:r w:rsidRPr="00655EE1">
        <w:t>in line with population</w:t>
      </w:r>
      <w:r w:rsidR="00655EE1">
        <w:t xml:space="preserve"> growth, </w:t>
      </w:r>
      <w:r w:rsidRPr="004236EB">
        <w:t>prices paid by the Commonwealth for me</w:t>
      </w:r>
      <w:r w:rsidR="00CA527A" w:rsidRPr="004236EB">
        <w:t>dicines under these schemes increased over the period</w:t>
      </w:r>
      <w:r w:rsidR="00B23E79" w:rsidRPr="004236EB">
        <w:t>,</w:t>
      </w:r>
      <w:r w:rsidRPr="004236EB">
        <w:t xml:space="preserve"> </w:t>
      </w:r>
      <w:r w:rsidR="00655EE1" w:rsidRPr="004236EB">
        <w:t xml:space="preserve">largely </w:t>
      </w:r>
      <w:r w:rsidRPr="004236EB">
        <w:t>expl</w:t>
      </w:r>
      <w:r w:rsidR="00B23E79" w:rsidRPr="004236EB">
        <w:t>aining</w:t>
      </w:r>
      <w:r w:rsidRPr="004236EB">
        <w:t xml:space="preserve"> the growth in PBS </w:t>
      </w:r>
      <w:r w:rsidRPr="00E30EA4">
        <w:t xml:space="preserve">spending </w:t>
      </w:r>
      <w:r w:rsidR="00B855D9" w:rsidRPr="00E30EA4">
        <w:t xml:space="preserve">per person </w:t>
      </w:r>
      <w:r w:rsidRPr="00E30EA4">
        <w:t>up to 2011</w:t>
      </w:r>
      <w:r w:rsidR="003E0138" w:rsidRPr="006B456E">
        <w:noBreakHyphen/>
      </w:r>
      <w:r w:rsidRPr="00E30EA4">
        <w:t>12.  The average Commonwealth benefit paid under these schemes per person increased by about 50 per cent from $256.74 in 2002</w:t>
      </w:r>
      <w:r w:rsidR="003E0138" w:rsidRPr="006B456E">
        <w:noBreakHyphen/>
      </w:r>
      <w:r w:rsidRPr="00E30EA4">
        <w:t>03 to $386.89 in 2011</w:t>
      </w:r>
      <w:r w:rsidR="003E0138" w:rsidRPr="006B456E">
        <w:noBreakHyphen/>
      </w:r>
      <w:r w:rsidRPr="00E30EA4">
        <w:t xml:space="preserve">12.  This increase is </w:t>
      </w:r>
      <w:r w:rsidR="00C46CA5">
        <w:t>mainly</w:t>
      </w:r>
      <w:r w:rsidR="00C46CA5" w:rsidRPr="00E30EA4">
        <w:t xml:space="preserve"> </w:t>
      </w:r>
      <w:r w:rsidRPr="00E30EA4">
        <w:t>due to changes in consumer</w:t>
      </w:r>
      <w:r w:rsidRPr="004236EB">
        <w:t xml:space="preserve"> demand for pharmaceuticals which is increasing</w:t>
      </w:r>
      <w:r w:rsidR="00C46CA5">
        <w:t xml:space="preserve">, </w:t>
      </w:r>
      <w:r w:rsidR="00FA1032">
        <w:t xml:space="preserve">and a </w:t>
      </w:r>
      <w:r w:rsidRPr="004236EB">
        <w:t>substitutio</w:t>
      </w:r>
      <w:r w:rsidR="008B1FC0" w:rsidRPr="004236EB">
        <w:t>n towards more expensive drugs</w:t>
      </w:r>
      <w:r w:rsidR="00C46CA5">
        <w:t>.</w:t>
      </w:r>
    </w:p>
    <w:p w:rsidR="00857D55" w:rsidRPr="004236EB" w:rsidRDefault="00857D55" w:rsidP="003F186D">
      <w:r w:rsidRPr="004236EB">
        <w:t xml:space="preserve">This growth has been </w:t>
      </w:r>
      <w:r w:rsidR="00FB2464">
        <w:t xml:space="preserve">partly </w:t>
      </w:r>
      <w:r w:rsidRPr="004236EB">
        <w:t xml:space="preserve">moderated by successive policy changes to constrain the price paid by the </w:t>
      </w:r>
      <w:r w:rsidR="00706358" w:rsidRPr="00706358">
        <w:t>g</w:t>
      </w:r>
      <w:r w:rsidRPr="00706358">
        <w:t>overnment</w:t>
      </w:r>
      <w:r w:rsidRPr="004236EB">
        <w:t xml:space="preserve"> for medicines under the PBS.  This has included increases to the PBS sa</w:t>
      </w:r>
      <w:r w:rsidR="003E0138">
        <w:t>fety net thresholds in the 2005</w:t>
      </w:r>
      <w:r w:rsidR="003E0138" w:rsidRPr="006B456E">
        <w:noBreakHyphen/>
      </w:r>
      <w:r w:rsidRPr="004236EB">
        <w:t>06</w:t>
      </w:r>
      <w:r w:rsidR="004634FF">
        <w:t> </w:t>
      </w:r>
      <w:r w:rsidRPr="004236EB">
        <w:t>Budget, which was expected to save $140.2</w:t>
      </w:r>
      <w:r w:rsidR="004634FF">
        <w:t> </w:t>
      </w:r>
      <w:r w:rsidRPr="004236EB">
        <w:t>million over four years, a mandatory price reduction of at least 12.5</w:t>
      </w:r>
      <w:r w:rsidR="004634FF">
        <w:t> </w:t>
      </w:r>
      <w:r w:rsidRPr="004236EB">
        <w:t>per</w:t>
      </w:r>
      <w:r w:rsidR="004634FF">
        <w:t> </w:t>
      </w:r>
      <w:r w:rsidRPr="004236EB">
        <w:t xml:space="preserve">cent on new brand listings to the PBS in the </w:t>
      </w:r>
      <w:r w:rsidR="004634FF">
        <w:br/>
      </w:r>
      <w:r w:rsidRPr="004236EB">
        <w:t>2005</w:t>
      </w:r>
      <w:r w:rsidR="004634FF">
        <w:t>-</w:t>
      </w:r>
      <w:r w:rsidRPr="004236EB">
        <w:t>06 Budget, which was estimated to save $1.0</w:t>
      </w:r>
      <w:r w:rsidR="004634FF">
        <w:t> </w:t>
      </w:r>
      <w:r w:rsidRPr="004236EB">
        <w:t>billion over five years, and increases to the co</w:t>
      </w:r>
      <w:r w:rsidRPr="004236EB">
        <w:noBreakHyphen/>
        <w:t>payments for PBS medicines paid by patients in 2005.</w:t>
      </w:r>
    </w:p>
    <w:p w:rsidR="00857D55" w:rsidRDefault="00857D55" w:rsidP="003F186D">
      <w:pPr>
        <w:pStyle w:val="Heading30"/>
      </w:pPr>
      <w:r w:rsidRPr="004236EB">
        <w:t>Contribution from Aboriginal and Torres Strait Islander health</w:t>
      </w:r>
    </w:p>
    <w:p w:rsidR="00857D55" w:rsidRDefault="00857D55" w:rsidP="003F186D">
      <w:r>
        <w:t>The smallest contributor to the growth in health expenses over the historical period was spending on Aboriginal and Torres Strait Islan</w:t>
      </w:r>
      <w:r w:rsidR="004634FF">
        <w:t>der health.</w:t>
      </w:r>
    </w:p>
    <w:p w:rsidR="00857D55" w:rsidRDefault="00857D55" w:rsidP="003F186D">
      <w:r>
        <w:t>Althou</w:t>
      </w:r>
      <w:r w:rsidR="00B23E79">
        <w:t xml:space="preserve">gh </w:t>
      </w:r>
      <w:r>
        <w:t xml:space="preserve">Aboriginal and Torres Strait Islander health </w:t>
      </w:r>
      <w:r w:rsidR="00B23E79">
        <w:t xml:space="preserve">spending </w:t>
      </w:r>
      <w:r w:rsidR="00FB2464">
        <w:t xml:space="preserve">grew by </w:t>
      </w:r>
      <w:r>
        <w:t>10.3</w:t>
      </w:r>
      <w:r w:rsidR="004634FF">
        <w:t> </w:t>
      </w:r>
      <w:r>
        <w:t>per</w:t>
      </w:r>
      <w:r w:rsidR="004634FF">
        <w:t> </w:t>
      </w:r>
      <w:r>
        <w:t xml:space="preserve">cent </w:t>
      </w:r>
      <w:r w:rsidR="00442FDF">
        <w:t>annually</w:t>
      </w:r>
      <w:r>
        <w:t xml:space="preserve"> from 2002</w:t>
      </w:r>
      <w:r w:rsidR="00470A7E" w:rsidRPr="006B456E">
        <w:noBreakHyphen/>
      </w:r>
      <w:r>
        <w:t xml:space="preserve">03 and </w:t>
      </w:r>
      <w:r w:rsidRPr="00470A7E">
        <w:t>2012</w:t>
      </w:r>
      <w:r w:rsidR="00470A7E" w:rsidRPr="006B456E">
        <w:noBreakHyphen/>
      </w:r>
      <w:r w:rsidRPr="00470A7E">
        <w:t>13</w:t>
      </w:r>
      <w:r>
        <w:t>, it contribut</w:t>
      </w:r>
      <w:r w:rsidR="00FB2464">
        <w:t>ed only 1.2 per cent</w:t>
      </w:r>
      <w:r>
        <w:t xml:space="preserve"> to growth overall because it represented </w:t>
      </w:r>
      <w:r w:rsidR="00B57E01">
        <w:t xml:space="preserve">only </w:t>
      </w:r>
      <w:r>
        <w:t>a small proportion of health spending</w:t>
      </w:r>
      <w:r w:rsidR="00FB2464">
        <w:t>.</w:t>
      </w:r>
    </w:p>
    <w:p w:rsidR="00E219A5" w:rsidRDefault="00E219A5" w:rsidP="003F186D"/>
    <w:p w:rsidR="00857D55" w:rsidRDefault="00857D55" w:rsidP="003F186D">
      <w:pPr>
        <w:sectPr w:rsidR="00857D55" w:rsidSect="0099638E">
          <w:footerReference w:type="default" r:id="rId32"/>
          <w:pgSz w:w="11900" w:h="16840"/>
          <w:pgMar w:top="1440" w:right="1797" w:bottom="1440" w:left="1797" w:header="709" w:footer="709" w:gutter="0"/>
          <w:cols w:space="708"/>
          <w:titlePg/>
          <w:docGrid w:linePitch="326"/>
        </w:sectPr>
      </w:pPr>
    </w:p>
    <w:p w:rsidR="00857D55" w:rsidRDefault="00857D55" w:rsidP="003D676E">
      <w:pPr>
        <w:pStyle w:val="Heading1"/>
        <w:numPr>
          <w:ilvl w:val="0"/>
          <w:numId w:val="31"/>
        </w:numPr>
        <w:ind w:left="709" w:hanging="709"/>
      </w:pPr>
      <w:bookmarkStart w:id="128" w:name="_Toc372697973"/>
      <w:bookmarkStart w:id="129" w:name="_Toc373778493"/>
      <w:bookmarkStart w:id="130" w:name="_Toc374182867"/>
      <w:bookmarkStart w:id="131" w:name="_Toc374349463"/>
      <w:r>
        <w:lastRenderedPageBreak/>
        <w:t>Education</w:t>
      </w:r>
      <w:bookmarkEnd w:id="128"/>
      <w:r w:rsidR="00F947A1" w:rsidRPr="00686315">
        <w:t xml:space="preserve"> expenses</w:t>
      </w:r>
      <w:bookmarkEnd w:id="129"/>
      <w:bookmarkEnd w:id="130"/>
      <w:bookmarkEnd w:id="131"/>
    </w:p>
    <w:p w:rsidR="00857D55" w:rsidRDefault="00B23E79" w:rsidP="00344501">
      <w:r>
        <w:t>E</w:t>
      </w:r>
      <w:r w:rsidR="00857D55" w:rsidRPr="00C541FA">
        <w:t>ducation</w:t>
      </w:r>
      <w:r>
        <w:t xml:space="preserve"> spending</w:t>
      </w:r>
      <w:r w:rsidR="00857D55" w:rsidRPr="00C541FA">
        <w:t xml:space="preserve"> was $</w:t>
      </w:r>
      <w:r w:rsidR="00857D55">
        <w:t>28.5</w:t>
      </w:r>
      <w:r w:rsidR="004634FF">
        <w:t> </w:t>
      </w:r>
      <w:r w:rsidR="00857D55">
        <w:t>billion in 2012</w:t>
      </w:r>
      <w:r w:rsidR="00470A7E" w:rsidRPr="006B456E">
        <w:noBreakHyphen/>
      </w:r>
      <w:r w:rsidR="00857D55">
        <w:t>13</w:t>
      </w:r>
      <w:r w:rsidR="009F6295">
        <w:t xml:space="preserve">, or </w:t>
      </w:r>
      <w:r w:rsidR="00857D55">
        <w:t>7.4</w:t>
      </w:r>
      <w:r w:rsidR="004634FF">
        <w:t> </w:t>
      </w:r>
      <w:r w:rsidR="00857D55" w:rsidRPr="00C541FA">
        <w:t>per</w:t>
      </w:r>
      <w:r w:rsidR="004634FF">
        <w:t> </w:t>
      </w:r>
      <w:r w:rsidR="00857D55" w:rsidRPr="00C541FA">
        <w:t xml:space="preserve">cent of total government </w:t>
      </w:r>
      <w:r>
        <w:t>spending</w:t>
      </w:r>
      <w:r w:rsidR="00857D55" w:rsidRPr="00C541FA">
        <w:t>.</w:t>
      </w:r>
      <w:r w:rsidR="00857D55">
        <w:t xml:space="preserve"> </w:t>
      </w:r>
      <w:r w:rsidR="00857D55" w:rsidRPr="00C541FA">
        <w:t xml:space="preserve"> </w:t>
      </w:r>
      <w:r w:rsidR="00BF2351" w:rsidRPr="00414653">
        <w:t xml:space="preserve">The </w:t>
      </w:r>
      <w:r w:rsidR="00BF2351">
        <w:t>composition</w:t>
      </w:r>
      <w:r w:rsidR="00BF2351" w:rsidRPr="00414653">
        <w:t xml:space="preserve"> of this </w:t>
      </w:r>
      <w:r w:rsidR="00BF2351">
        <w:t xml:space="preserve">spending is shown in Figure 5.1 </w:t>
      </w:r>
      <w:r w:rsidR="00BF2351" w:rsidRPr="00414653">
        <w:t>below</w:t>
      </w:r>
      <w:r w:rsidR="00BF2351" w:rsidRPr="00A47403">
        <w:t>.</w:t>
      </w:r>
    </w:p>
    <w:p w:rsidR="005553D0" w:rsidRDefault="005553D0" w:rsidP="007A4A40">
      <w:pPr>
        <w:pStyle w:val="Caption"/>
      </w:pPr>
      <w:bookmarkStart w:id="132" w:name="_Toc373422180"/>
      <w:bookmarkStart w:id="133" w:name="_Toc373873655"/>
      <w:bookmarkStart w:id="134" w:name="_Toc373955558"/>
      <w:bookmarkStart w:id="135" w:name="_Toc374088500"/>
      <w:bookmarkStart w:id="136" w:name="_Toc374102210"/>
      <w:bookmarkStart w:id="137" w:name="_Toc374349996"/>
      <w:proofErr w:type="gramStart"/>
      <w:r w:rsidRPr="004236EB">
        <w:t xml:space="preserve">Figure </w:t>
      </w:r>
      <w:fldSimple w:instr=" STYLEREF 1 \s ">
        <w:r w:rsidR="00E862AC">
          <w:rPr>
            <w:noProof/>
          </w:rPr>
          <w:t>5</w:t>
        </w:r>
      </w:fldSimple>
      <w:r w:rsidR="00F90856" w:rsidRPr="004236EB">
        <w:t>.</w:t>
      </w:r>
      <w:proofErr w:type="gramEnd"/>
      <w:r w:rsidR="00143AAD">
        <w:fldChar w:fldCharType="begin"/>
      </w:r>
      <w:r w:rsidR="00143AAD">
        <w:instrText xml:space="preserve"> SEQ Figure \* ARABIC \s 1 </w:instrText>
      </w:r>
      <w:r w:rsidR="00143AAD">
        <w:fldChar w:fldCharType="separate"/>
      </w:r>
      <w:r w:rsidR="00E862AC">
        <w:rPr>
          <w:noProof/>
        </w:rPr>
        <w:t>1</w:t>
      </w:r>
      <w:r w:rsidR="00143AAD">
        <w:rPr>
          <w:noProof/>
        </w:rPr>
        <w:fldChar w:fldCharType="end"/>
      </w:r>
      <w:r w:rsidR="00773778">
        <w:t>:</w:t>
      </w:r>
      <w:r w:rsidR="00773778">
        <w:tab/>
      </w:r>
      <w:r w:rsidRPr="004236EB">
        <w:t xml:space="preserve">Composition of education </w:t>
      </w:r>
      <w:r w:rsidR="008A1BDB" w:rsidRPr="004236EB">
        <w:t>expenses</w:t>
      </w:r>
      <w:r w:rsidRPr="004236EB">
        <w:t xml:space="preserve"> in 2012-13</w:t>
      </w:r>
      <w:bookmarkEnd w:id="132"/>
      <w:bookmarkEnd w:id="133"/>
      <w:bookmarkEnd w:id="134"/>
      <w:bookmarkEnd w:id="135"/>
      <w:bookmarkEnd w:id="136"/>
      <w:bookmarkEnd w:id="137"/>
    </w:p>
    <w:p w:rsidR="00857D55" w:rsidRDefault="00E36B09" w:rsidP="00442B33">
      <w:pPr>
        <w:pStyle w:val="PBOtext"/>
        <w:spacing w:before="0" w:after="0"/>
        <w:jc w:val="center"/>
      </w:pPr>
      <w:r>
        <w:rPr>
          <w:noProof/>
        </w:rPr>
        <w:drawing>
          <wp:inline distT="0" distB="0" distL="0" distR="0" wp14:anchorId="7B782032" wp14:editId="4A780BB5">
            <wp:extent cx="4679950" cy="3883977"/>
            <wp:effectExtent l="0" t="0" r="6350" b="2540"/>
            <wp:docPr id="8" name="Picture 8" descr="This chart shows the composition of education expenses in 2012–13.  Spending on higher education was the largest area of spending at 31 per cent, followed by non-government schools at 29 per cent and government schools at 15 per cent.&#10;" title="Fig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2393"/>
                    <a:stretch/>
                  </pic:blipFill>
                  <pic:spPr bwMode="auto">
                    <a:xfrm>
                      <a:off x="0" y="0"/>
                      <a:ext cx="4681855" cy="3885558"/>
                    </a:xfrm>
                    <a:prstGeom prst="rect">
                      <a:avLst/>
                    </a:prstGeom>
                    <a:noFill/>
                    <a:ln>
                      <a:noFill/>
                    </a:ln>
                    <a:extLst>
                      <a:ext uri="{53640926-AAD7-44D8-BBD7-CCE9431645EC}">
                        <a14:shadowObscured xmlns:a14="http://schemas.microsoft.com/office/drawing/2010/main"/>
                      </a:ext>
                    </a:extLst>
                  </pic:spPr>
                </pic:pic>
              </a:graphicData>
            </a:graphic>
          </wp:inline>
        </w:drawing>
      </w:r>
    </w:p>
    <w:p w:rsidR="00857D55" w:rsidRPr="002D5948" w:rsidRDefault="00857D55" w:rsidP="00442B33">
      <w:pPr>
        <w:pStyle w:val="FigureCaption"/>
      </w:pPr>
      <w:r w:rsidRPr="002D5948">
        <w:t>Source: Australia</w:t>
      </w:r>
      <w:r w:rsidR="001933B2" w:rsidRPr="002D5948">
        <w:t>n</w:t>
      </w:r>
      <w:r w:rsidRPr="002D5948">
        <w:t xml:space="preserve"> Government Final Budget Outcome 2012-13</w:t>
      </w:r>
    </w:p>
    <w:p w:rsidR="00857D55" w:rsidRPr="002D5948" w:rsidRDefault="00857D55" w:rsidP="00855940">
      <w:r w:rsidRPr="002D5948">
        <w:rPr>
          <w:b/>
        </w:rPr>
        <w:t>Higher education</w:t>
      </w:r>
      <w:r w:rsidR="00E95002" w:rsidRPr="002D5948">
        <w:t xml:space="preserve"> </w:t>
      </w:r>
      <w:r w:rsidR="00B23E79" w:rsidRPr="002D5948">
        <w:t xml:space="preserve">spending </w:t>
      </w:r>
      <w:r w:rsidRPr="002D5948">
        <w:t>to</w:t>
      </w:r>
      <w:r w:rsidR="00E95002" w:rsidRPr="002D5948">
        <w:t>talled</w:t>
      </w:r>
      <w:r w:rsidRPr="002D5948">
        <w:t xml:space="preserve"> $8.7</w:t>
      </w:r>
      <w:r w:rsidR="004634FF">
        <w:t> </w:t>
      </w:r>
      <w:r w:rsidRPr="002D5948">
        <w:t>bill</w:t>
      </w:r>
      <w:r w:rsidR="00470A7E">
        <w:t>ion in 2012</w:t>
      </w:r>
      <w:r w:rsidR="00470A7E" w:rsidRPr="006B456E">
        <w:noBreakHyphen/>
      </w:r>
      <w:r w:rsidR="00442FDF" w:rsidRPr="002D5948">
        <w:t>13, or 31</w:t>
      </w:r>
      <w:r w:rsidR="004634FF">
        <w:t> </w:t>
      </w:r>
      <w:r w:rsidRPr="002D5948">
        <w:t>per</w:t>
      </w:r>
      <w:r w:rsidR="004634FF">
        <w:t> </w:t>
      </w:r>
      <w:r w:rsidRPr="002D5948">
        <w:t xml:space="preserve">cent of </w:t>
      </w:r>
      <w:r w:rsidR="00254CF1">
        <w:t xml:space="preserve">total </w:t>
      </w:r>
      <w:r w:rsidR="00442FDF" w:rsidRPr="002D5948">
        <w:t>education spending</w:t>
      </w:r>
      <w:r w:rsidR="0088715E" w:rsidRPr="002D5948">
        <w:t>.</w:t>
      </w:r>
      <w:r w:rsidR="004634FF">
        <w:t xml:space="preserve"> </w:t>
      </w:r>
      <w:r w:rsidR="0088715E" w:rsidRPr="002D5948">
        <w:t xml:space="preserve"> This included</w:t>
      </w:r>
      <w:r w:rsidRPr="002D5948">
        <w:t xml:space="preserve"> base funding provided by the Australian government to higher education institutions, investment provided for research in these institutions, and in</w:t>
      </w:r>
      <w:r w:rsidR="004634FF">
        <w:t>ternational education support.</w:t>
      </w:r>
    </w:p>
    <w:p w:rsidR="00857D55" w:rsidRDefault="00857D55" w:rsidP="00855940">
      <w:r w:rsidRPr="002D5948">
        <w:t xml:space="preserve">Spending on </w:t>
      </w:r>
      <w:r w:rsidRPr="002D5948">
        <w:rPr>
          <w:b/>
        </w:rPr>
        <w:t>non-government schools</w:t>
      </w:r>
      <w:r w:rsidRPr="002D5948">
        <w:t xml:space="preserve"> was $</w:t>
      </w:r>
      <w:r w:rsidR="00442FDF" w:rsidRPr="002D5948">
        <w:t>8.1</w:t>
      </w:r>
      <w:r w:rsidR="004634FF">
        <w:t> </w:t>
      </w:r>
      <w:r w:rsidR="00442FDF" w:rsidRPr="002D5948">
        <w:t>billion (29</w:t>
      </w:r>
      <w:r w:rsidR="004634FF">
        <w:t> </w:t>
      </w:r>
      <w:r w:rsidRPr="002D5948">
        <w:t>per</w:t>
      </w:r>
      <w:r w:rsidR="004634FF">
        <w:t> </w:t>
      </w:r>
      <w:r w:rsidRPr="002D5948">
        <w:t>cent of the total), and</w:t>
      </w:r>
      <w:r w:rsidR="0088715E" w:rsidRPr="002D5948">
        <w:t xml:space="preserve"> included</w:t>
      </w:r>
      <w:r w:rsidRPr="002D5948">
        <w:t xml:space="preserve"> the National Schools Specific Purpose Payment</w:t>
      </w:r>
      <w:r w:rsidRPr="002D5948">
        <w:rPr>
          <w:i/>
        </w:rPr>
        <w:t xml:space="preserve"> </w:t>
      </w:r>
      <w:r w:rsidRPr="002D5948">
        <w:t xml:space="preserve">(National SPP) for Independent and Catholic providers and funding through nine National Partnership Payments (NPPs).  Spending on </w:t>
      </w:r>
      <w:r w:rsidRPr="002D5948">
        <w:rPr>
          <w:b/>
        </w:rPr>
        <w:t>government schools</w:t>
      </w:r>
      <w:r w:rsidR="001933B2" w:rsidRPr="002D5948">
        <w:t xml:space="preserve"> was $4.3 billion (15</w:t>
      </w:r>
      <w:r w:rsidRPr="002D5948">
        <w:t> per </w:t>
      </w:r>
      <w:r w:rsidR="0088715E" w:rsidRPr="002D5948">
        <w:t>cent), and included</w:t>
      </w:r>
      <w:r w:rsidRPr="002D5948">
        <w:t xml:space="preserve"> the government</w:t>
      </w:r>
      <w:r>
        <w:t xml:space="preserve"> school component of the National SPP and 25</w:t>
      </w:r>
      <w:r w:rsidR="004634FF">
        <w:t> NPPs.</w:t>
      </w:r>
    </w:p>
    <w:p w:rsidR="00857D55" w:rsidRDefault="00857D55" w:rsidP="00855940">
      <w:r>
        <w:t xml:space="preserve">Spending on </w:t>
      </w:r>
      <w:r>
        <w:rPr>
          <w:b/>
        </w:rPr>
        <w:t>student assistance</w:t>
      </w:r>
      <w:r w:rsidR="00442FDF">
        <w:t xml:space="preserve"> was $3.6</w:t>
      </w:r>
      <w:r w:rsidR="004634FF">
        <w:t> </w:t>
      </w:r>
      <w:r w:rsidR="00442FDF">
        <w:t>billion (13</w:t>
      </w:r>
      <w:r w:rsidR="004634FF">
        <w:t> </w:t>
      </w:r>
      <w:r>
        <w:t>per</w:t>
      </w:r>
      <w:r w:rsidR="004634FF">
        <w:t> </w:t>
      </w:r>
      <w:r>
        <w:t>ce</w:t>
      </w:r>
      <w:r w:rsidR="0088715E">
        <w:t>nt) and included</w:t>
      </w:r>
      <w:r>
        <w:t xml:space="preserve"> Youth Allowance for students, </w:t>
      </w:r>
      <w:proofErr w:type="spellStart"/>
      <w:r>
        <w:t>Austudy</w:t>
      </w:r>
      <w:proofErr w:type="spellEnd"/>
      <w:r>
        <w:t xml:space="preserve">, ABSTUDY, the Veterans' Children Education Supplement Scheme and expenses associated with the provision of concessional loans through the </w:t>
      </w:r>
      <w:r w:rsidR="004634FF">
        <w:t>Higher Education Loan Program.</w:t>
      </w:r>
    </w:p>
    <w:p w:rsidR="00857D55" w:rsidRDefault="00857D55" w:rsidP="00855940">
      <w:r>
        <w:t xml:space="preserve">Spending on </w:t>
      </w:r>
      <w:r>
        <w:rPr>
          <w:b/>
        </w:rPr>
        <w:t>vocational education and training</w:t>
      </w:r>
      <w:r>
        <w:t xml:space="preserve"> was $1.9</w:t>
      </w:r>
      <w:r w:rsidR="004634FF">
        <w:t> </w:t>
      </w:r>
      <w:r>
        <w:t xml:space="preserve">billion </w:t>
      </w:r>
      <w:r w:rsidR="00442FDF">
        <w:t>(7</w:t>
      </w:r>
      <w:r w:rsidR="004634FF">
        <w:t> </w:t>
      </w:r>
      <w:r w:rsidR="0088715E">
        <w:t>per</w:t>
      </w:r>
      <w:r w:rsidR="004634FF">
        <w:t> </w:t>
      </w:r>
      <w:r w:rsidR="0088715E">
        <w:t>cent) and included</w:t>
      </w:r>
      <w:r>
        <w:t xml:space="preserve"> the </w:t>
      </w:r>
      <w:r w:rsidRPr="00C016E2">
        <w:t>National Skills and Workforce Deve</w:t>
      </w:r>
      <w:r w:rsidR="00E95002">
        <w:t xml:space="preserve">lopment SPP (Skills SPP), </w:t>
      </w:r>
      <w:r>
        <w:t xml:space="preserve">and the </w:t>
      </w:r>
      <w:r w:rsidRPr="00C016E2">
        <w:t>Adult Migrant English Program</w:t>
      </w:r>
      <w:r w:rsidR="004634FF">
        <w:t>.</w:t>
      </w:r>
    </w:p>
    <w:p w:rsidR="00ED4FCA" w:rsidRDefault="00DC5600" w:rsidP="00855940">
      <w:r>
        <w:rPr>
          <w:b/>
        </w:rPr>
        <w:lastRenderedPageBreak/>
        <w:t>School specific and</w:t>
      </w:r>
      <w:r w:rsidR="00857D55" w:rsidRPr="00C016E2">
        <w:rPr>
          <w:b/>
        </w:rPr>
        <w:t xml:space="preserve"> administration</w:t>
      </w:r>
      <w:r w:rsidR="00B23E79">
        <w:rPr>
          <w:b/>
        </w:rPr>
        <w:t xml:space="preserve"> </w:t>
      </w:r>
      <w:r w:rsidR="00B23E79" w:rsidRPr="00B23E79">
        <w:t>spending</w:t>
      </w:r>
      <w:r w:rsidR="00442FDF">
        <w:t xml:space="preserve"> was $1.8</w:t>
      </w:r>
      <w:r w:rsidR="004634FF">
        <w:t> </w:t>
      </w:r>
      <w:r w:rsidR="00442FDF">
        <w:t>billion (6</w:t>
      </w:r>
      <w:r w:rsidR="004634FF">
        <w:t> </w:t>
      </w:r>
      <w:r w:rsidR="0088715E">
        <w:t>per</w:t>
      </w:r>
      <w:r w:rsidR="004634FF">
        <w:t> </w:t>
      </w:r>
      <w:r w:rsidR="0088715E">
        <w:t>cent), and included</w:t>
      </w:r>
      <w:r w:rsidR="00857D55" w:rsidRPr="00C016E2">
        <w:t xml:space="preserve"> </w:t>
      </w:r>
      <w:r w:rsidR="00857D55">
        <w:t xml:space="preserve">expenses relating to the </w:t>
      </w:r>
      <w:r w:rsidR="00857D55" w:rsidRPr="00F16869">
        <w:t>National Plan for Literacy and Numeracy, Digital Education Revolution, Rewards for Great Teacher</w:t>
      </w:r>
      <w:r w:rsidR="00467EE1" w:rsidRPr="00F16869">
        <w:t>s</w:t>
      </w:r>
      <w:r w:rsidR="00467EE1">
        <w:t xml:space="preserve"> and other targeted programs.</w:t>
      </w:r>
    </w:p>
    <w:p w:rsidR="00857D55" w:rsidRPr="00D3378C" w:rsidRDefault="00857D55" w:rsidP="00855940">
      <w:pPr>
        <w:pStyle w:val="Heading20"/>
      </w:pPr>
      <w:bookmarkStart w:id="138" w:name="_Toc372693139"/>
      <w:bookmarkStart w:id="139" w:name="_Toc372697974"/>
      <w:r w:rsidRPr="00D3378C">
        <w:t xml:space="preserve">Trends in </w:t>
      </w:r>
      <w:r>
        <w:t>e</w:t>
      </w:r>
      <w:r w:rsidRPr="00D3378C">
        <w:t>ducation</w:t>
      </w:r>
      <w:r>
        <w:t xml:space="preserve"> </w:t>
      </w:r>
      <w:r w:rsidRPr="004B04A2">
        <w:t>expenses</w:t>
      </w:r>
      <w:bookmarkEnd w:id="138"/>
      <w:bookmarkEnd w:id="139"/>
      <w:r>
        <w:t xml:space="preserve"> </w:t>
      </w:r>
    </w:p>
    <w:p w:rsidR="00F61750" w:rsidRDefault="00B23E79" w:rsidP="00F61750">
      <w:r>
        <w:t xml:space="preserve">Education </w:t>
      </w:r>
      <w:r w:rsidRPr="00F61750">
        <w:t>spending</w:t>
      </w:r>
      <w:r w:rsidR="00E95002" w:rsidRPr="00F61750">
        <w:t xml:space="preserve"> grew</w:t>
      </w:r>
      <w:r w:rsidR="00E95002">
        <w:t xml:space="preserve"> by 57.3</w:t>
      </w:r>
      <w:r w:rsidR="004634FF">
        <w:t> </w:t>
      </w:r>
      <w:r w:rsidR="00E95002" w:rsidRPr="00D3378C">
        <w:t>per</w:t>
      </w:r>
      <w:r w:rsidR="004634FF">
        <w:t> </w:t>
      </w:r>
      <w:r w:rsidR="00E95002" w:rsidRPr="00D3378C">
        <w:t>cent from 2</w:t>
      </w:r>
      <w:r w:rsidR="004634FF">
        <w:t>002-03 to 2012-</w:t>
      </w:r>
      <w:r w:rsidR="00E95002">
        <w:t>13,</w:t>
      </w:r>
      <w:r w:rsidR="00D01DB7">
        <w:t xml:space="preserve"> or 4.6 per cent annually compared with the growth in</w:t>
      </w:r>
      <w:r w:rsidR="00E95002" w:rsidRPr="00D3378C">
        <w:t xml:space="preserve"> </w:t>
      </w:r>
      <w:r w:rsidR="00E95002">
        <w:t xml:space="preserve">GDP over the same period </w:t>
      </w:r>
      <w:r w:rsidR="00D01DB7">
        <w:t xml:space="preserve">of </w:t>
      </w:r>
      <w:r w:rsidR="00E95002">
        <w:t>34.3</w:t>
      </w:r>
      <w:r w:rsidR="00E95002" w:rsidRPr="00D3378C">
        <w:t xml:space="preserve"> per cent</w:t>
      </w:r>
      <w:r w:rsidR="00D01DB7">
        <w:t>, or 3.0 per cent annually</w:t>
      </w:r>
      <w:r w:rsidR="00E95002" w:rsidRPr="00D3378C">
        <w:t>.</w:t>
      </w:r>
      <w:r w:rsidR="00F61750">
        <w:t xml:space="preserve">  Spending on education grew most significantly between 2008</w:t>
      </w:r>
      <w:r w:rsidR="00470A7E" w:rsidRPr="006B456E">
        <w:noBreakHyphen/>
      </w:r>
      <w:r w:rsidR="00F61750">
        <w:t>09 and 2011</w:t>
      </w:r>
      <w:r w:rsidR="00470A7E" w:rsidRPr="006B456E">
        <w:noBreakHyphen/>
      </w:r>
      <w:r w:rsidR="00F61750">
        <w:t xml:space="preserve">12 coinciding with spending through the </w:t>
      </w:r>
      <w:r w:rsidR="00F61750" w:rsidRPr="00F16869">
        <w:t>Building the Education Revolution</w:t>
      </w:r>
      <w:r w:rsidR="00F61750">
        <w:t xml:space="preserve"> (BER) program.</w:t>
      </w:r>
    </w:p>
    <w:p w:rsidR="00857D55" w:rsidRPr="00D3378C" w:rsidRDefault="00857D55" w:rsidP="00855940">
      <w:r w:rsidRPr="00D3378C">
        <w:t>The cumulative growth in spending on</w:t>
      </w:r>
      <w:r w:rsidR="001933B2">
        <w:t xml:space="preserve"> this function is shown in </w:t>
      </w:r>
      <w:r w:rsidR="005E3ECA">
        <w:t>F</w:t>
      </w:r>
      <w:r w:rsidRPr="00D3378C">
        <w:t>igure</w:t>
      </w:r>
      <w:r w:rsidR="004634FF">
        <w:t> </w:t>
      </w:r>
      <w:r w:rsidR="005E3ECA">
        <w:t>5.2</w:t>
      </w:r>
      <w:r w:rsidRPr="00D3378C">
        <w:t xml:space="preserve"> below.</w:t>
      </w:r>
    </w:p>
    <w:p w:rsidR="005553D0" w:rsidRDefault="005553D0" w:rsidP="007A4A40">
      <w:pPr>
        <w:pStyle w:val="Caption"/>
      </w:pPr>
      <w:bookmarkStart w:id="140" w:name="_Toc373422181"/>
      <w:bookmarkStart w:id="141" w:name="_Toc373873656"/>
      <w:bookmarkStart w:id="142" w:name="_Toc373955559"/>
      <w:bookmarkStart w:id="143" w:name="_Toc374088501"/>
      <w:bookmarkStart w:id="144" w:name="_Toc374102211"/>
      <w:bookmarkStart w:id="145" w:name="_Toc374349997"/>
      <w:proofErr w:type="gramStart"/>
      <w:r w:rsidRPr="004236EB">
        <w:t xml:space="preserve">Figure </w:t>
      </w:r>
      <w:fldSimple w:instr=" STYLEREF 1 \s ">
        <w:r w:rsidR="00E862AC">
          <w:rPr>
            <w:noProof/>
          </w:rPr>
          <w:t>5</w:t>
        </w:r>
      </w:fldSimple>
      <w:r w:rsidR="00F90856" w:rsidRPr="004236EB">
        <w:t>.</w:t>
      </w:r>
      <w:proofErr w:type="gramEnd"/>
      <w:r w:rsidR="00143AAD">
        <w:fldChar w:fldCharType="begin"/>
      </w:r>
      <w:r w:rsidR="00143AAD">
        <w:instrText xml:space="preserve"> SEQ Figure \* ARABIC \s 1 </w:instrText>
      </w:r>
      <w:r w:rsidR="00143AAD">
        <w:fldChar w:fldCharType="separate"/>
      </w:r>
      <w:r w:rsidR="00E862AC">
        <w:rPr>
          <w:noProof/>
        </w:rPr>
        <w:t>2</w:t>
      </w:r>
      <w:r w:rsidR="00143AAD">
        <w:rPr>
          <w:noProof/>
        </w:rPr>
        <w:fldChar w:fldCharType="end"/>
      </w:r>
      <w:r w:rsidRPr="004236EB">
        <w:t>:</w:t>
      </w:r>
      <w:r w:rsidR="00773778">
        <w:tab/>
      </w:r>
      <w:r w:rsidRPr="004236EB">
        <w:t xml:space="preserve">Contributions to growth in education </w:t>
      </w:r>
      <w:r w:rsidR="008A1BDB" w:rsidRPr="004236EB">
        <w:t>expenses</w:t>
      </w:r>
      <w:bookmarkEnd w:id="140"/>
      <w:bookmarkEnd w:id="141"/>
      <w:bookmarkEnd w:id="142"/>
      <w:bookmarkEnd w:id="143"/>
      <w:bookmarkEnd w:id="144"/>
      <w:bookmarkEnd w:id="145"/>
    </w:p>
    <w:p w:rsidR="00857D55" w:rsidRDefault="00823575" w:rsidP="00442B33">
      <w:pPr>
        <w:pStyle w:val="PBOtext"/>
        <w:spacing w:before="0" w:after="0"/>
        <w:jc w:val="center"/>
      </w:pPr>
      <w:r>
        <w:rPr>
          <w:noProof/>
        </w:rPr>
        <w:drawing>
          <wp:inline distT="0" distB="0" distL="0" distR="0" wp14:anchorId="7A660E05" wp14:editId="3834CBE7">
            <wp:extent cx="5397502" cy="3568700"/>
            <wp:effectExtent l="0" t="0" r="0" b="0"/>
            <wp:docPr id="60" name="Picture 60" descr="This chart shows that real education expenses grew faster than real GDP over the period 2002–03 to 2012–13.  It highlights that the largest contribution to this growth came from higher education followed by non-government schools.  It also highlights the large contribution to growth from the government’s fiscal stimulus in 2009–10 and 2010–11 and had finished by 2012–13." title="Fig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a:extLst>
                        <a:ext uri="{28A0092B-C50C-407E-A947-70E740481C1C}">
                          <a14:useLocalDpi xmlns:a14="http://schemas.microsoft.com/office/drawing/2010/main" val="0"/>
                        </a:ext>
                      </a:extLst>
                    </a:blip>
                    <a:srcRect t="882"/>
                    <a:stretch/>
                  </pic:blipFill>
                  <pic:spPr bwMode="auto">
                    <a:xfrm>
                      <a:off x="0" y="0"/>
                      <a:ext cx="5401310" cy="3571218"/>
                    </a:xfrm>
                    <a:prstGeom prst="rect">
                      <a:avLst/>
                    </a:prstGeom>
                    <a:noFill/>
                    <a:ln>
                      <a:noFill/>
                    </a:ln>
                    <a:extLst>
                      <a:ext uri="{53640926-AAD7-44D8-BBD7-CCE9431645EC}">
                        <a14:shadowObscured xmlns:a14="http://schemas.microsoft.com/office/drawing/2010/main"/>
                      </a:ext>
                    </a:extLst>
                  </pic:spPr>
                </pic:pic>
              </a:graphicData>
            </a:graphic>
          </wp:inline>
        </w:drawing>
      </w:r>
    </w:p>
    <w:p w:rsidR="00325E68" w:rsidRDefault="00325E68" w:rsidP="00442B33">
      <w:pPr>
        <w:pStyle w:val="FigureCaption"/>
      </w:pPr>
      <w:r>
        <w:t>Source</w:t>
      </w:r>
      <w:r w:rsidR="00B132DA">
        <w:t>s</w:t>
      </w:r>
      <w:r>
        <w:t xml:space="preserve">: </w:t>
      </w:r>
      <w:r>
        <w:rPr>
          <w:rFonts w:eastAsia="MS PGothic"/>
        </w:rPr>
        <w:t xml:space="preserve">Australian </w:t>
      </w:r>
      <w:r w:rsidRPr="0041748B">
        <w:rPr>
          <w:rFonts w:eastAsia="MS PGothic"/>
        </w:rPr>
        <w:t xml:space="preserve">Government </w:t>
      </w:r>
      <w:r>
        <w:rPr>
          <w:rFonts w:eastAsia="MS PGothic"/>
        </w:rPr>
        <w:t xml:space="preserve">Final Budget Outcomes and </w:t>
      </w:r>
      <w:r>
        <w:t>ABS</w:t>
      </w:r>
    </w:p>
    <w:p w:rsidR="00EE4119" w:rsidRPr="002D5948" w:rsidRDefault="00EE4119" w:rsidP="00EE4119">
      <w:pPr>
        <w:pStyle w:val="PBOtext"/>
      </w:pPr>
      <w:r w:rsidRPr="002D5948">
        <w:t xml:space="preserve">As part of </w:t>
      </w:r>
      <w:r w:rsidR="001933B2" w:rsidRPr="002D5948">
        <w:t xml:space="preserve">the </w:t>
      </w:r>
      <w:r w:rsidRPr="002D5948">
        <w:t>fiscal stimulus measures announced in the 2009 Updated Economi</w:t>
      </w:r>
      <w:r w:rsidR="00A842DD" w:rsidRPr="002D5948">
        <w:t>c and Fiscal Outlook (UEFO), $16.2</w:t>
      </w:r>
      <w:r w:rsidRPr="002D5948">
        <w:t> billion was spent on building and facility maintenance, primary school upgrades and the construction of science and lan</w:t>
      </w:r>
      <w:r w:rsidR="004634FF">
        <w:t>guage centres through the BER.</w:t>
      </w:r>
      <w:r w:rsidR="000643CE">
        <w:t xml:space="preserve">  </w:t>
      </w:r>
      <w:r w:rsidRPr="002D5948">
        <w:t>At its peak in 2009</w:t>
      </w:r>
      <w:r w:rsidR="00470A7E" w:rsidRPr="006B456E">
        <w:noBreakHyphen/>
      </w:r>
      <w:r w:rsidR="007B1825" w:rsidRPr="002D5948">
        <w:t>10, the BER program comprised 26.9</w:t>
      </w:r>
      <w:r w:rsidRPr="002D5948">
        <w:t> per</w:t>
      </w:r>
      <w:r w:rsidR="00470A7E">
        <w:t> </w:t>
      </w:r>
      <w:r w:rsidRPr="002D5948">
        <w:t>cent of all spending on education</w:t>
      </w:r>
      <w:r w:rsidR="00B23E79" w:rsidRPr="002D5948">
        <w:t xml:space="preserve"> </w:t>
      </w:r>
      <w:r w:rsidR="00A842DD" w:rsidRPr="002D5948">
        <w:t>amounting to $9.4</w:t>
      </w:r>
      <w:r w:rsidR="004634FF">
        <w:t> </w:t>
      </w:r>
      <w:r w:rsidRPr="002D5948">
        <w:t>billion</w:t>
      </w:r>
      <w:r w:rsidR="000643CE">
        <w:t>.</w:t>
      </w:r>
    </w:p>
    <w:p w:rsidR="00EE4119" w:rsidRPr="002D5948" w:rsidRDefault="00EE4119" w:rsidP="00EE4119">
      <w:pPr>
        <w:pStyle w:val="PBOtext"/>
      </w:pPr>
      <w:r w:rsidRPr="002D5948">
        <w:t>In 2010</w:t>
      </w:r>
      <w:r w:rsidR="00470A7E" w:rsidRPr="006B456E">
        <w:noBreakHyphen/>
      </w:r>
      <w:r w:rsidRPr="002D5948">
        <w:t>11, spending t</w:t>
      </w:r>
      <w:r w:rsidR="00A842DD" w:rsidRPr="002D5948">
        <w:t>hrough the BER decreased to $5.4</w:t>
      </w:r>
      <w:r w:rsidRPr="002D5948">
        <w:t> billion</w:t>
      </w:r>
      <w:r w:rsidR="007B1825" w:rsidRPr="002D5948">
        <w:t xml:space="preserve"> and totalled 16.7</w:t>
      </w:r>
      <w:r w:rsidR="004634FF">
        <w:t> </w:t>
      </w:r>
      <w:r w:rsidRPr="002D5948">
        <w:t>per</w:t>
      </w:r>
      <w:r w:rsidR="004634FF">
        <w:t> </w:t>
      </w:r>
      <w:r w:rsidRPr="002D5948">
        <w:t xml:space="preserve">cent of </w:t>
      </w:r>
      <w:r w:rsidR="00470A7E">
        <w:t>spending on education.  By 2011</w:t>
      </w:r>
      <w:r w:rsidR="00470A7E" w:rsidRPr="006B456E">
        <w:noBreakHyphen/>
      </w:r>
      <w:r w:rsidRPr="002D5948">
        <w:t>12, spending through the BER reduced to $406 million.  This was in line with historical annual spending on capital projects in schools</w:t>
      </w:r>
      <w:r w:rsidR="000643CE">
        <w:t>.</w:t>
      </w:r>
    </w:p>
    <w:p w:rsidR="00EE4119" w:rsidRPr="00EE4119" w:rsidRDefault="00EE4119" w:rsidP="00EE4119">
      <w:pPr>
        <w:pStyle w:val="PBOtext"/>
      </w:pPr>
      <w:r w:rsidRPr="002D5948">
        <w:t>Over the fiscal st</w:t>
      </w:r>
      <w:r w:rsidR="001933B2" w:rsidRPr="002D5948">
        <w:t>imulus period an additional $776</w:t>
      </w:r>
      <w:r w:rsidR="004634FF">
        <w:t> </w:t>
      </w:r>
      <w:r w:rsidRPr="002D5948">
        <w:t>million was also spent on higher education projects announced in the 2009 UEFO package.  A further $</w:t>
      </w:r>
      <w:r w:rsidR="001933B2" w:rsidRPr="002D5948">
        <w:t>1.1</w:t>
      </w:r>
      <w:r w:rsidR="004634FF">
        <w:t> </w:t>
      </w:r>
      <w:r w:rsidR="00A842DD" w:rsidRPr="002D5948">
        <w:t>b</w:t>
      </w:r>
      <w:r w:rsidRPr="002D5948">
        <w:t>illion was spent on capital projects and for additional places in the vocational education sector.</w:t>
      </w:r>
    </w:p>
    <w:p w:rsidR="00EE4119" w:rsidRDefault="00EE4119" w:rsidP="00EE4119">
      <w:pPr>
        <w:pStyle w:val="PBOtext"/>
      </w:pPr>
      <w:r w:rsidRPr="00EE4119">
        <w:t xml:space="preserve">In addition to the significant additional temporary spending on capital projects in schools through the BER, there was substantial underlying growth over the period which is discussed </w:t>
      </w:r>
      <w:r>
        <w:t>below</w:t>
      </w:r>
      <w:r w:rsidRPr="00EE4119">
        <w:t>.</w:t>
      </w:r>
    </w:p>
    <w:p w:rsidR="004634FF" w:rsidRDefault="00EE4119" w:rsidP="00ED4FCA">
      <w:pPr>
        <w:spacing w:before="0" w:after="200" w:line="252" w:lineRule="auto"/>
      </w:pPr>
      <w:r>
        <w:lastRenderedPageBreak/>
        <w:t>A</w:t>
      </w:r>
      <w:r w:rsidR="00857D55">
        <w:t xml:space="preserve"> summary of trends in education </w:t>
      </w:r>
      <w:r w:rsidR="00981027">
        <w:t>spending</w:t>
      </w:r>
      <w:r w:rsidR="00857D55">
        <w:t xml:space="preserve"> </w:t>
      </w:r>
      <w:r w:rsidR="0049145D">
        <w:t>is contained in T</w:t>
      </w:r>
      <w:r>
        <w:t>able</w:t>
      </w:r>
      <w:r w:rsidR="004634FF">
        <w:t> </w:t>
      </w:r>
      <w:r>
        <w:t>5.1</w:t>
      </w:r>
      <w:r w:rsidR="00857D55">
        <w:t>.</w:t>
      </w:r>
    </w:p>
    <w:p w:rsidR="005553D0" w:rsidRDefault="005553D0" w:rsidP="006220A8">
      <w:pPr>
        <w:pStyle w:val="PBOfiguretableheading"/>
        <w:tabs>
          <w:tab w:val="left" w:pos="1134"/>
        </w:tabs>
      </w:pPr>
      <w:bookmarkStart w:id="146" w:name="_Toc373422197"/>
      <w:bookmarkStart w:id="147" w:name="_Toc373873657"/>
      <w:bookmarkStart w:id="148" w:name="_Toc374102212"/>
      <w:bookmarkStart w:id="149" w:name="_Toc374350038"/>
      <w:proofErr w:type="gramStart"/>
      <w:r>
        <w:t xml:space="preserve">Table </w:t>
      </w:r>
      <w:fldSimple w:instr=" STYLEREF 1 \s ">
        <w:r w:rsidR="00E862AC">
          <w:rPr>
            <w:noProof/>
          </w:rPr>
          <w:t>5</w:t>
        </w:r>
      </w:fldSimple>
      <w:r w:rsidR="00935C60">
        <w:t>.</w:t>
      </w:r>
      <w:proofErr w:type="gramEnd"/>
      <w:r w:rsidR="00143AAD">
        <w:fldChar w:fldCharType="begin"/>
      </w:r>
      <w:r w:rsidR="00143AAD">
        <w:instrText xml:space="preserve"> SEQ Table \* ARABIC \s 1 </w:instrText>
      </w:r>
      <w:r w:rsidR="00143AAD">
        <w:fldChar w:fldCharType="separate"/>
      </w:r>
      <w:r w:rsidR="00E862AC">
        <w:rPr>
          <w:noProof/>
        </w:rPr>
        <w:t>1</w:t>
      </w:r>
      <w:r w:rsidR="00143AAD">
        <w:rPr>
          <w:noProof/>
        </w:rPr>
        <w:fldChar w:fldCharType="end"/>
      </w:r>
      <w:r w:rsidR="00F90AF6">
        <w:t>:</w:t>
      </w:r>
      <w:r w:rsidR="00773778">
        <w:tab/>
      </w:r>
      <w:r w:rsidR="00F90AF6">
        <w:t>Summary of education expenses</w:t>
      </w:r>
      <w:r>
        <w:t xml:space="preserve"> trends</w:t>
      </w:r>
      <w:bookmarkEnd w:id="146"/>
      <w:bookmarkEnd w:id="147"/>
      <w:bookmarkEnd w:id="148"/>
      <w:bookmarkEnd w:id="149"/>
    </w:p>
    <w:tbl>
      <w:tblPr>
        <w:tblW w:w="8364" w:type="dxa"/>
        <w:tblInd w:w="108" w:type="dxa"/>
        <w:tblLayout w:type="fixed"/>
        <w:tblLook w:val="04A0" w:firstRow="1" w:lastRow="0" w:firstColumn="1" w:lastColumn="0" w:noHBand="0" w:noVBand="1"/>
      </w:tblPr>
      <w:tblGrid>
        <w:gridCol w:w="3260"/>
        <w:gridCol w:w="1701"/>
        <w:gridCol w:w="1559"/>
        <w:gridCol w:w="1844"/>
      </w:tblGrid>
      <w:tr w:rsidR="00661CD3" w:rsidRPr="00661CD3" w:rsidTr="00661CD3">
        <w:trPr>
          <w:trHeight w:val="340"/>
        </w:trPr>
        <w:tc>
          <w:tcPr>
            <w:tcW w:w="3260" w:type="dxa"/>
            <w:vMerge w:val="restart"/>
            <w:tcBorders>
              <w:top w:val="single" w:sz="8" w:space="0" w:color="2B3B5F"/>
              <w:left w:val="single" w:sz="8" w:space="0" w:color="2B3B5F"/>
              <w:bottom w:val="single" w:sz="8" w:space="0" w:color="2B3B5F"/>
              <w:right w:val="single" w:sz="8" w:space="0" w:color="2B3B5F"/>
            </w:tcBorders>
            <w:shd w:val="clear" w:color="auto" w:fill="95A4C6"/>
            <w:noWrap/>
            <w:vAlign w:val="center"/>
            <w:hideMark/>
          </w:tcPr>
          <w:p w:rsidR="00975B90" w:rsidRPr="00661CD3" w:rsidRDefault="00975B90" w:rsidP="001B6DCD">
            <w:pPr>
              <w:spacing w:before="0" w:after="0"/>
              <w:jc w:val="center"/>
              <w:rPr>
                <w:rFonts w:eastAsia="Times New Roman"/>
                <w:b/>
                <w:bCs/>
                <w:sz w:val="18"/>
                <w:szCs w:val="18"/>
              </w:rPr>
            </w:pPr>
            <w:r w:rsidRPr="00661CD3">
              <w:rPr>
                <w:rFonts w:eastAsia="Times New Roman"/>
                <w:b/>
                <w:bCs/>
                <w:sz w:val="18"/>
                <w:szCs w:val="18"/>
              </w:rPr>
              <w:t>Category</w:t>
            </w:r>
          </w:p>
        </w:tc>
        <w:tc>
          <w:tcPr>
            <w:tcW w:w="1701" w:type="dxa"/>
            <w:vMerge w:val="restart"/>
            <w:tcBorders>
              <w:top w:val="single" w:sz="8" w:space="0" w:color="2B3B5F"/>
              <w:left w:val="single" w:sz="8" w:space="0" w:color="2B3B5F"/>
              <w:bottom w:val="single" w:sz="8" w:space="0" w:color="2B3B5F"/>
              <w:right w:val="single" w:sz="8" w:space="0" w:color="2B3B5F"/>
            </w:tcBorders>
            <w:shd w:val="clear" w:color="auto" w:fill="95A4C6"/>
            <w:vAlign w:val="center"/>
            <w:hideMark/>
          </w:tcPr>
          <w:p w:rsidR="00975B90" w:rsidRPr="00661CD3" w:rsidRDefault="00975B90" w:rsidP="001B6DCD">
            <w:pPr>
              <w:spacing w:before="0" w:after="0"/>
              <w:jc w:val="center"/>
              <w:rPr>
                <w:rFonts w:eastAsia="Times New Roman"/>
                <w:b/>
                <w:bCs/>
                <w:sz w:val="18"/>
                <w:szCs w:val="18"/>
              </w:rPr>
            </w:pPr>
            <w:r w:rsidRPr="00661CD3">
              <w:rPr>
                <w:rFonts w:eastAsia="Times New Roman"/>
                <w:b/>
                <w:bCs/>
                <w:sz w:val="18"/>
                <w:szCs w:val="18"/>
              </w:rPr>
              <w:t>Share of</w:t>
            </w:r>
            <w:r w:rsidR="00A86CBC" w:rsidRPr="00661CD3">
              <w:rPr>
                <w:rFonts w:eastAsia="Times New Roman"/>
                <w:b/>
                <w:bCs/>
                <w:sz w:val="18"/>
                <w:szCs w:val="18"/>
              </w:rPr>
              <w:br/>
            </w:r>
            <w:r w:rsidR="00C56D92" w:rsidRPr="00661CD3">
              <w:rPr>
                <w:rFonts w:eastAsia="Times New Roman"/>
                <w:b/>
                <w:bCs/>
                <w:sz w:val="18"/>
                <w:szCs w:val="18"/>
              </w:rPr>
              <w:t>2012-13</w:t>
            </w:r>
            <w:r w:rsidRPr="00661CD3">
              <w:rPr>
                <w:rFonts w:eastAsia="Times New Roman"/>
                <w:b/>
                <w:bCs/>
                <w:sz w:val="18"/>
                <w:szCs w:val="18"/>
              </w:rPr>
              <w:t xml:space="preserve"> total</w:t>
            </w:r>
          </w:p>
        </w:tc>
        <w:tc>
          <w:tcPr>
            <w:tcW w:w="3403" w:type="dxa"/>
            <w:gridSpan w:val="2"/>
            <w:tcBorders>
              <w:top w:val="single" w:sz="8" w:space="0" w:color="2B3B5F"/>
              <w:left w:val="single" w:sz="8" w:space="0" w:color="2B3B5F"/>
              <w:bottom w:val="single" w:sz="8" w:space="0" w:color="2B3B5F"/>
              <w:right w:val="single" w:sz="8" w:space="0" w:color="2B3B5F"/>
            </w:tcBorders>
            <w:shd w:val="clear" w:color="auto" w:fill="95A4C6"/>
            <w:vAlign w:val="center"/>
          </w:tcPr>
          <w:p w:rsidR="00975B90" w:rsidRPr="00661CD3" w:rsidRDefault="003E7DFB" w:rsidP="00E921BB">
            <w:pPr>
              <w:jc w:val="center"/>
              <w:rPr>
                <w:b/>
                <w:bCs/>
                <w:sz w:val="18"/>
                <w:szCs w:val="18"/>
              </w:rPr>
            </w:pPr>
            <w:r w:rsidRPr="00661CD3">
              <w:rPr>
                <w:b/>
                <w:bCs/>
                <w:sz w:val="18"/>
                <w:szCs w:val="18"/>
              </w:rPr>
              <w:t xml:space="preserve">Real </w:t>
            </w:r>
            <w:r w:rsidR="00306D60">
              <w:rPr>
                <w:b/>
                <w:bCs/>
                <w:sz w:val="18"/>
                <w:szCs w:val="18"/>
              </w:rPr>
              <w:t xml:space="preserve">spending </w:t>
            </w:r>
            <w:r w:rsidRPr="00661CD3">
              <w:rPr>
                <w:b/>
                <w:bCs/>
                <w:sz w:val="18"/>
                <w:szCs w:val="18"/>
              </w:rPr>
              <w:t>growth 2002-03 to 201</w:t>
            </w:r>
            <w:r w:rsidR="00E921BB">
              <w:rPr>
                <w:b/>
                <w:bCs/>
                <w:sz w:val="18"/>
                <w:szCs w:val="18"/>
              </w:rPr>
              <w:t>2</w:t>
            </w:r>
            <w:r w:rsidRPr="00661CD3">
              <w:rPr>
                <w:b/>
                <w:bCs/>
                <w:sz w:val="18"/>
                <w:szCs w:val="18"/>
              </w:rPr>
              <w:t>-1</w:t>
            </w:r>
            <w:r w:rsidR="00E921BB">
              <w:rPr>
                <w:b/>
                <w:bCs/>
                <w:sz w:val="18"/>
                <w:szCs w:val="18"/>
              </w:rPr>
              <w:t>3</w:t>
            </w:r>
          </w:p>
        </w:tc>
      </w:tr>
      <w:tr w:rsidR="00661CD3" w:rsidRPr="00661CD3" w:rsidTr="00661CD3">
        <w:trPr>
          <w:trHeight w:val="340"/>
        </w:trPr>
        <w:tc>
          <w:tcPr>
            <w:tcW w:w="3260" w:type="dxa"/>
            <w:vMerge/>
            <w:tcBorders>
              <w:top w:val="single" w:sz="8" w:space="0" w:color="2B3B5F"/>
              <w:left w:val="single" w:sz="8" w:space="0" w:color="2B3B5F"/>
              <w:bottom w:val="single" w:sz="8" w:space="0" w:color="2B3B5F"/>
              <w:right w:val="single" w:sz="8" w:space="0" w:color="2B3B5F"/>
            </w:tcBorders>
            <w:shd w:val="clear" w:color="auto" w:fill="95A4C6"/>
            <w:vAlign w:val="center"/>
            <w:hideMark/>
          </w:tcPr>
          <w:p w:rsidR="00975B90" w:rsidRPr="00661CD3" w:rsidRDefault="00975B90" w:rsidP="001B6DCD">
            <w:pPr>
              <w:spacing w:before="0" w:after="0"/>
              <w:rPr>
                <w:rFonts w:eastAsia="Times New Roman"/>
                <w:b/>
                <w:bCs/>
                <w:sz w:val="18"/>
                <w:szCs w:val="18"/>
              </w:rPr>
            </w:pPr>
          </w:p>
        </w:tc>
        <w:tc>
          <w:tcPr>
            <w:tcW w:w="1701" w:type="dxa"/>
            <w:vMerge/>
            <w:tcBorders>
              <w:top w:val="single" w:sz="8" w:space="0" w:color="2B3B5F"/>
              <w:left w:val="single" w:sz="8" w:space="0" w:color="2B3B5F"/>
              <w:bottom w:val="single" w:sz="8" w:space="0" w:color="2B3B5F"/>
              <w:right w:val="single" w:sz="8" w:space="0" w:color="2B3B5F"/>
            </w:tcBorders>
            <w:shd w:val="clear" w:color="auto" w:fill="95A4C6"/>
            <w:vAlign w:val="center"/>
            <w:hideMark/>
          </w:tcPr>
          <w:p w:rsidR="00975B90" w:rsidRPr="00661CD3" w:rsidRDefault="00975B90" w:rsidP="001B6DCD">
            <w:pPr>
              <w:spacing w:before="0" w:after="0"/>
              <w:rPr>
                <w:rFonts w:eastAsia="Times New Roman"/>
                <w:b/>
                <w:bCs/>
                <w:sz w:val="18"/>
                <w:szCs w:val="18"/>
              </w:rPr>
            </w:pPr>
          </w:p>
        </w:tc>
        <w:tc>
          <w:tcPr>
            <w:tcW w:w="1559" w:type="dxa"/>
            <w:tcBorders>
              <w:top w:val="single" w:sz="8" w:space="0" w:color="2B3B5F"/>
              <w:left w:val="single" w:sz="8" w:space="0" w:color="2B3B5F"/>
              <w:bottom w:val="single" w:sz="8" w:space="0" w:color="2B3B5F"/>
              <w:right w:val="single" w:sz="8" w:space="0" w:color="2B3B5F"/>
            </w:tcBorders>
            <w:shd w:val="clear" w:color="auto" w:fill="95A4C6"/>
            <w:vAlign w:val="center"/>
            <w:hideMark/>
          </w:tcPr>
          <w:p w:rsidR="00975B90" w:rsidRPr="00661CD3" w:rsidRDefault="00975B90" w:rsidP="001B6DCD">
            <w:pPr>
              <w:spacing w:before="0" w:after="0"/>
              <w:jc w:val="center"/>
              <w:rPr>
                <w:rFonts w:eastAsia="Times New Roman"/>
                <w:b/>
                <w:bCs/>
                <w:sz w:val="18"/>
                <w:szCs w:val="18"/>
              </w:rPr>
            </w:pPr>
            <w:r w:rsidRPr="00661CD3">
              <w:rPr>
                <w:rFonts w:eastAsia="Times New Roman"/>
                <w:b/>
                <w:bCs/>
                <w:sz w:val="18"/>
                <w:szCs w:val="18"/>
              </w:rPr>
              <w:t>Annual growth</w:t>
            </w:r>
          </w:p>
        </w:tc>
        <w:tc>
          <w:tcPr>
            <w:tcW w:w="1844" w:type="dxa"/>
            <w:tcBorders>
              <w:top w:val="single" w:sz="8" w:space="0" w:color="2B3B5F"/>
              <w:left w:val="single" w:sz="8" w:space="0" w:color="2B3B5F"/>
              <w:bottom w:val="single" w:sz="8" w:space="0" w:color="2B3B5F"/>
              <w:right w:val="single" w:sz="8" w:space="0" w:color="2B3B5F"/>
            </w:tcBorders>
            <w:shd w:val="clear" w:color="auto" w:fill="95A4C6"/>
            <w:vAlign w:val="center"/>
            <w:hideMark/>
          </w:tcPr>
          <w:p w:rsidR="00975B90" w:rsidRPr="00661CD3" w:rsidRDefault="00A86CBC" w:rsidP="001B6DCD">
            <w:pPr>
              <w:spacing w:before="0" w:after="0"/>
              <w:jc w:val="center"/>
              <w:rPr>
                <w:rFonts w:eastAsia="Times New Roman"/>
                <w:b/>
                <w:bCs/>
                <w:sz w:val="18"/>
                <w:szCs w:val="18"/>
              </w:rPr>
            </w:pPr>
            <w:r w:rsidRPr="00661CD3">
              <w:rPr>
                <w:rFonts w:eastAsia="Times New Roman"/>
                <w:b/>
                <w:bCs/>
                <w:sz w:val="18"/>
                <w:szCs w:val="18"/>
              </w:rPr>
              <w:t>Contribution to</w:t>
            </w:r>
            <w:r w:rsidRPr="00661CD3">
              <w:rPr>
                <w:rFonts w:eastAsia="Times New Roman"/>
                <w:b/>
                <w:bCs/>
                <w:sz w:val="18"/>
                <w:szCs w:val="18"/>
              </w:rPr>
              <w:br/>
            </w:r>
            <w:r w:rsidR="00975B90" w:rsidRPr="00661CD3">
              <w:rPr>
                <w:rFonts w:eastAsia="Times New Roman"/>
                <w:b/>
                <w:bCs/>
                <w:sz w:val="18"/>
                <w:szCs w:val="18"/>
              </w:rPr>
              <w:t>total growth</w:t>
            </w:r>
          </w:p>
        </w:tc>
      </w:tr>
      <w:tr w:rsidR="00975B90" w:rsidRPr="00A86CBC" w:rsidTr="00661CD3">
        <w:trPr>
          <w:trHeight w:val="340"/>
        </w:trPr>
        <w:tc>
          <w:tcPr>
            <w:tcW w:w="3260" w:type="dxa"/>
            <w:tcBorders>
              <w:top w:val="single" w:sz="8" w:space="0" w:color="2B3B5F"/>
              <w:left w:val="single" w:sz="8" w:space="0" w:color="2B3B5F"/>
              <w:bottom w:val="single" w:sz="8" w:space="0" w:color="2B3B5F"/>
              <w:right w:val="single" w:sz="8" w:space="0" w:color="2B3B5F"/>
            </w:tcBorders>
            <w:shd w:val="clear" w:color="auto" w:fill="D7DDE9"/>
            <w:vAlign w:val="center"/>
            <w:hideMark/>
          </w:tcPr>
          <w:p w:rsidR="00975B90" w:rsidRPr="00EE61CC" w:rsidRDefault="00975B90" w:rsidP="00661CD3">
            <w:pPr>
              <w:spacing w:before="0" w:after="0"/>
              <w:ind w:left="57"/>
              <w:rPr>
                <w:rFonts w:eastAsia="Times New Roman"/>
                <w:b/>
                <w:bCs/>
                <w:color w:val="000000"/>
                <w:sz w:val="18"/>
                <w:szCs w:val="18"/>
              </w:rPr>
            </w:pPr>
            <w:r w:rsidRPr="00EE61CC">
              <w:rPr>
                <w:rFonts w:eastAsia="Times New Roman"/>
                <w:b/>
                <w:bCs/>
                <w:color w:val="000000"/>
                <w:sz w:val="18"/>
                <w:szCs w:val="18"/>
              </w:rPr>
              <w:t>Unit</w:t>
            </w:r>
          </w:p>
        </w:tc>
        <w:tc>
          <w:tcPr>
            <w:tcW w:w="1701" w:type="dxa"/>
            <w:tcBorders>
              <w:top w:val="single" w:sz="8" w:space="0" w:color="2B3B5F"/>
              <w:left w:val="single" w:sz="8" w:space="0" w:color="2B3B5F"/>
              <w:bottom w:val="single" w:sz="8" w:space="0" w:color="2B3B5F"/>
              <w:right w:val="single" w:sz="8" w:space="0" w:color="2B3B5F"/>
            </w:tcBorders>
            <w:shd w:val="clear" w:color="auto" w:fill="D7DDE9"/>
            <w:vAlign w:val="center"/>
            <w:hideMark/>
          </w:tcPr>
          <w:p w:rsidR="00975B90" w:rsidRPr="00EE61CC" w:rsidRDefault="00975B90" w:rsidP="00661CD3">
            <w:pPr>
              <w:spacing w:before="0" w:after="0"/>
              <w:ind w:right="227"/>
              <w:jc w:val="right"/>
              <w:rPr>
                <w:rFonts w:eastAsia="Times New Roman"/>
                <w:b/>
                <w:color w:val="000000"/>
                <w:sz w:val="18"/>
                <w:szCs w:val="18"/>
              </w:rPr>
            </w:pPr>
            <w:r w:rsidRPr="00EE61CC">
              <w:rPr>
                <w:rFonts w:eastAsia="Times New Roman"/>
                <w:b/>
                <w:color w:val="000000"/>
                <w:sz w:val="18"/>
                <w:szCs w:val="18"/>
              </w:rPr>
              <w:t>%</w:t>
            </w:r>
          </w:p>
        </w:tc>
        <w:tc>
          <w:tcPr>
            <w:tcW w:w="1559" w:type="dxa"/>
            <w:tcBorders>
              <w:top w:val="single" w:sz="8" w:space="0" w:color="2B3B5F"/>
              <w:left w:val="single" w:sz="8" w:space="0" w:color="2B3B5F"/>
              <w:bottom w:val="single" w:sz="8" w:space="0" w:color="2B3B5F"/>
              <w:right w:val="single" w:sz="8" w:space="0" w:color="2B3B5F"/>
            </w:tcBorders>
            <w:shd w:val="clear" w:color="auto" w:fill="D7DDE9"/>
            <w:vAlign w:val="center"/>
            <w:hideMark/>
          </w:tcPr>
          <w:p w:rsidR="00975B90" w:rsidRPr="00EE61CC" w:rsidRDefault="00975B90" w:rsidP="00661CD3">
            <w:pPr>
              <w:spacing w:before="0" w:after="0"/>
              <w:ind w:right="227"/>
              <w:jc w:val="right"/>
              <w:rPr>
                <w:rFonts w:eastAsia="Times New Roman"/>
                <w:b/>
                <w:color w:val="000000"/>
                <w:sz w:val="18"/>
                <w:szCs w:val="18"/>
              </w:rPr>
            </w:pPr>
            <w:r w:rsidRPr="00EE61CC">
              <w:rPr>
                <w:rFonts w:eastAsia="Times New Roman"/>
                <w:b/>
                <w:color w:val="000000"/>
                <w:sz w:val="18"/>
                <w:szCs w:val="18"/>
              </w:rPr>
              <w:t>%</w:t>
            </w:r>
          </w:p>
        </w:tc>
        <w:tc>
          <w:tcPr>
            <w:tcW w:w="1844" w:type="dxa"/>
            <w:tcBorders>
              <w:top w:val="single" w:sz="8" w:space="0" w:color="2B3B5F"/>
              <w:left w:val="single" w:sz="8" w:space="0" w:color="2B3B5F"/>
              <w:bottom w:val="single" w:sz="8" w:space="0" w:color="2B3B5F"/>
              <w:right w:val="single" w:sz="8" w:space="0" w:color="2B3B5F"/>
            </w:tcBorders>
            <w:shd w:val="clear" w:color="auto" w:fill="D7DDE9"/>
            <w:vAlign w:val="center"/>
            <w:hideMark/>
          </w:tcPr>
          <w:p w:rsidR="00975B90" w:rsidRPr="00EE61CC" w:rsidRDefault="00975B90" w:rsidP="00661CD3">
            <w:pPr>
              <w:spacing w:before="0" w:after="0"/>
              <w:ind w:right="227"/>
              <w:jc w:val="right"/>
              <w:rPr>
                <w:rFonts w:eastAsia="Times New Roman"/>
                <w:b/>
                <w:color w:val="000000"/>
                <w:sz w:val="18"/>
                <w:szCs w:val="18"/>
              </w:rPr>
            </w:pPr>
            <w:r w:rsidRPr="00EE61CC">
              <w:rPr>
                <w:rFonts w:eastAsia="Times New Roman"/>
                <w:b/>
                <w:color w:val="000000"/>
                <w:sz w:val="18"/>
                <w:szCs w:val="18"/>
              </w:rPr>
              <w:t>Percentage Point</w:t>
            </w:r>
          </w:p>
        </w:tc>
      </w:tr>
      <w:tr w:rsidR="00661CD3" w:rsidRPr="00A86CBC" w:rsidTr="00661CD3">
        <w:trPr>
          <w:trHeight w:val="340"/>
        </w:trPr>
        <w:tc>
          <w:tcPr>
            <w:tcW w:w="3260" w:type="dxa"/>
            <w:tcBorders>
              <w:top w:val="single" w:sz="8" w:space="0" w:color="2B3B5F"/>
              <w:left w:val="single" w:sz="8" w:space="0" w:color="2B3B5F"/>
              <w:right w:val="single" w:sz="8" w:space="0" w:color="2B3B5F"/>
            </w:tcBorders>
            <w:shd w:val="clear" w:color="auto" w:fill="auto"/>
            <w:vAlign w:val="center"/>
            <w:hideMark/>
          </w:tcPr>
          <w:p w:rsidR="00661CD3" w:rsidRPr="00661CD3" w:rsidRDefault="00661CD3" w:rsidP="00661CD3">
            <w:pPr>
              <w:spacing w:before="0" w:after="0"/>
              <w:ind w:left="57"/>
              <w:rPr>
                <w:color w:val="000000"/>
                <w:sz w:val="18"/>
                <w:szCs w:val="18"/>
              </w:rPr>
            </w:pPr>
            <w:r w:rsidRPr="00661CD3">
              <w:rPr>
                <w:color w:val="000000"/>
                <w:sz w:val="18"/>
                <w:szCs w:val="18"/>
              </w:rPr>
              <w:t>Schools</w:t>
            </w:r>
          </w:p>
        </w:tc>
        <w:tc>
          <w:tcPr>
            <w:tcW w:w="1701" w:type="dxa"/>
            <w:tcBorders>
              <w:top w:val="single" w:sz="8" w:space="0" w:color="2B3B5F"/>
              <w:left w:val="single" w:sz="8" w:space="0" w:color="2B3B5F"/>
              <w:right w:val="single" w:sz="8" w:space="0" w:color="2B3B5F"/>
            </w:tcBorders>
            <w:shd w:val="clear" w:color="auto" w:fill="auto"/>
            <w:noWrap/>
            <w:vAlign w:val="center"/>
            <w:hideMark/>
          </w:tcPr>
          <w:p w:rsidR="00661CD3" w:rsidRPr="00661CD3" w:rsidRDefault="00661CD3" w:rsidP="00661CD3">
            <w:pPr>
              <w:spacing w:before="0" w:after="0"/>
              <w:ind w:right="227" w:firstLineChars="100" w:firstLine="180"/>
              <w:jc w:val="right"/>
              <w:rPr>
                <w:color w:val="000000"/>
                <w:sz w:val="18"/>
                <w:szCs w:val="18"/>
              </w:rPr>
            </w:pPr>
            <w:r w:rsidRPr="00661CD3">
              <w:rPr>
                <w:color w:val="000000"/>
                <w:sz w:val="18"/>
                <w:szCs w:val="18"/>
              </w:rPr>
              <w:t>43.7</w:t>
            </w:r>
          </w:p>
        </w:tc>
        <w:tc>
          <w:tcPr>
            <w:tcW w:w="1559" w:type="dxa"/>
            <w:tcBorders>
              <w:top w:val="single" w:sz="8" w:space="0" w:color="2B3B5F"/>
              <w:left w:val="single" w:sz="8" w:space="0" w:color="2B3B5F"/>
              <w:right w:val="single" w:sz="8" w:space="0" w:color="2B3B5F"/>
            </w:tcBorders>
            <w:shd w:val="clear" w:color="auto" w:fill="auto"/>
            <w:noWrap/>
            <w:vAlign w:val="center"/>
            <w:hideMark/>
          </w:tcPr>
          <w:p w:rsidR="00661CD3" w:rsidRPr="00661CD3" w:rsidRDefault="00661CD3" w:rsidP="00661CD3">
            <w:pPr>
              <w:spacing w:before="0" w:after="0"/>
              <w:ind w:right="227" w:firstLineChars="100" w:firstLine="180"/>
              <w:jc w:val="right"/>
              <w:rPr>
                <w:color w:val="000000"/>
                <w:sz w:val="18"/>
                <w:szCs w:val="18"/>
              </w:rPr>
            </w:pPr>
            <w:r w:rsidRPr="00661CD3">
              <w:rPr>
                <w:color w:val="000000"/>
                <w:sz w:val="18"/>
                <w:szCs w:val="18"/>
              </w:rPr>
              <w:t>5.0</w:t>
            </w:r>
          </w:p>
        </w:tc>
        <w:tc>
          <w:tcPr>
            <w:tcW w:w="1844" w:type="dxa"/>
            <w:tcBorders>
              <w:top w:val="single" w:sz="8" w:space="0" w:color="2B3B5F"/>
              <w:left w:val="single" w:sz="8" w:space="0" w:color="2B3B5F"/>
              <w:right w:val="single" w:sz="8" w:space="0" w:color="2B3B5F"/>
            </w:tcBorders>
            <w:shd w:val="clear" w:color="auto" w:fill="auto"/>
            <w:noWrap/>
            <w:vAlign w:val="center"/>
            <w:hideMark/>
          </w:tcPr>
          <w:p w:rsidR="00661CD3" w:rsidRPr="00661CD3" w:rsidRDefault="00661CD3" w:rsidP="00661CD3">
            <w:pPr>
              <w:spacing w:before="0" w:after="0"/>
              <w:ind w:right="227" w:firstLineChars="100" w:firstLine="180"/>
              <w:jc w:val="right"/>
              <w:rPr>
                <w:color w:val="000000"/>
                <w:sz w:val="18"/>
                <w:szCs w:val="18"/>
              </w:rPr>
            </w:pPr>
            <w:r w:rsidRPr="00661CD3">
              <w:rPr>
                <w:color w:val="000000"/>
                <w:sz w:val="18"/>
                <w:szCs w:val="18"/>
              </w:rPr>
              <w:t>26.6</w:t>
            </w:r>
          </w:p>
        </w:tc>
      </w:tr>
      <w:tr w:rsidR="00407F92" w:rsidRPr="00A86CBC" w:rsidTr="00407F92">
        <w:trPr>
          <w:trHeight w:val="340"/>
        </w:trPr>
        <w:tc>
          <w:tcPr>
            <w:tcW w:w="3260" w:type="dxa"/>
            <w:tcBorders>
              <w:left w:val="single" w:sz="8" w:space="0" w:color="2B3B5F"/>
              <w:right w:val="single" w:sz="8" w:space="0" w:color="2B3B5F"/>
            </w:tcBorders>
            <w:shd w:val="clear" w:color="auto" w:fill="D7DDE9"/>
            <w:vAlign w:val="center"/>
          </w:tcPr>
          <w:p w:rsidR="00407F92" w:rsidRPr="00661CD3" w:rsidRDefault="009722D3" w:rsidP="009722D3">
            <w:pPr>
              <w:spacing w:before="0" w:after="0"/>
              <w:ind w:left="227"/>
              <w:rPr>
                <w:i/>
                <w:iCs/>
                <w:sz w:val="18"/>
                <w:szCs w:val="18"/>
              </w:rPr>
            </w:pPr>
            <w:r>
              <w:rPr>
                <w:i/>
                <w:iCs/>
                <w:sz w:val="18"/>
                <w:szCs w:val="18"/>
              </w:rPr>
              <w:t>Non-g</w:t>
            </w:r>
            <w:r w:rsidR="00407F92">
              <w:rPr>
                <w:i/>
                <w:iCs/>
                <w:sz w:val="18"/>
                <w:szCs w:val="18"/>
              </w:rPr>
              <w:t>overnment s</w:t>
            </w:r>
            <w:r w:rsidR="00407F92" w:rsidRPr="00661CD3">
              <w:rPr>
                <w:i/>
                <w:iCs/>
                <w:sz w:val="18"/>
                <w:szCs w:val="18"/>
              </w:rPr>
              <w:t>chools</w:t>
            </w:r>
          </w:p>
        </w:tc>
        <w:tc>
          <w:tcPr>
            <w:tcW w:w="1701" w:type="dxa"/>
            <w:tcBorders>
              <w:left w:val="single" w:sz="8" w:space="0" w:color="2B3B5F"/>
              <w:right w:val="single" w:sz="8" w:space="0" w:color="2B3B5F"/>
            </w:tcBorders>
            <w:shd w:val="clear" w:color="auto" w:fill="D7DDE9"/>
            <w:vAlign w:val="center"/>
          </w:tcPr>
          <w:p w:rsidR="00407F92" w:rsidRPr="00661CD3" w:rsidRDefault="00407F92" w:rsidP="007F3BCF">
            <w:pPr>
              <w:spacing w:before="0" w:after="0"/>
              <w:ind w:right="227" w:firstLineChars="100" w:firstLine="180"/>
              <w:jc w:val="right"/>
              <w:rPr>
                <w:i/>
                <w:iCs/>
                <w:color w:val="000000"/>
                <w:sz w:val="18"/>
                <w:szCs w:val="18"/>
              </w:rPr>
            </w:pPr>
            <w:r w:rsidRPr="00661CD3">
              <w:rPr>
                <w:i/>
                <w:iCs/>
                <w:color w:val="000000"/>
                <w:sz w:val="18"/>
                <w:szCs w:val="18"/>
              </w:rPr>
              <w:t>28.5</w:t>
            </w:r>
          </w:p>
        </w:tc>
        <w:tc>
          <w:tcPr>
            <w:tcW w:w="1559" w:type="dxa"/>
            <w:tcBorders>
              <w:left w:val="single" w:sz="8" w:space="0" w:color="2B3B5F"/>
              <w:right w:val="single" w:sz="8" w:space="0" w:color="2B3B5F"/>
            </w:tcBorders>
            <w:shd w:val="clear" w:color="auto" w:fill="D7DDE9"/>
            <w:vAlign w:val="center"/>
          </w:tcPr>
          <w:p w:rsidR="00407F92" w:rsidRPr="00661CD3" w:rsidRDefault="00407F92" w:rsidP="007F3BCF">
            <w:pPr>
              <w:spacing w:before="0" w:after="0"/>
              <w:ind w:right="227" w:firstLineChars="100" w:firstLine="180"/>
              <w:jc w:val="right"/>
              <w:rPr>
                <w:i/>
                <w:iCs/>
                <w:color w:val="000000"/>
                <w:sz w:val="18"/>
                <w:szCs w:val="18"/>
              </w:rPr>
            </w:pPr>
            <w:r w:rsidRPr="00661CD3">
              <w:rPr>
                <w:i/>
                <w:iCs/>
                <w:color w:val="000000"/>
                <w:sz w:val="18"/>
                <w:szCs w:val="18"/>
              </w:rPr>
              <w:t>5.1</w:t>
            </w:r>
          </w:p>
        </w:tc>
        <w:tc>
          <w:tcPr>
            <w:tcW w:w="1844" w:type="dxa"/>
            <w:tcBorders>
              <w:left w:val="single" w:sz="8" w:space="0" w:color="2B3B5F"/>
              <w:right w:val="single" w:sz="8" w:space="0" w:color="2B3B5F"/>
            </w:tcBorders>
            <w:shd w:val="clear" w:color="auto" w:fill="D7DDE9"/>
            <w:vAlign w:val="center"/>
          </w:tcPr>
          <w:p w:rsidR="00407F92" w:rsidRPr="00661CD3" w:rsidRDefault="009722D3" w:rsidP="007F3BCF">
            <w:pPr>
              <w:spacing w:before="0" w:after="0"/>
              <w:ind w:right="227" w:firstLineChars="100" w:firstLine="180"/>
              <w:jc w:val="right"/>
              <w:rPr>
                <w:i/>
                <w:iCs/>
                <w:color w:val="000000"/>
                <w:sz w:val="18"/>
                <w:szCs w:val="18"/>
              </w:rPr>
            </w:pPr>
            <w:r>
              <w:rPr>
                <w:i/>
                <w:iCs/>
                <w:color w:val="000000"/>
                <w:sz w:val="18"/>
                <w:szCs w:val="18"/>
              </w:rPr>
              <w:t>17.5</w:t>
            </w:r>
          </w:p>
        </w:tc>
      </w:tr>
      <w:tr w:rsidR="00407F92" w:rsidRPr="00A86CBC" w:rsidTr="00407F92">
        <w:trPr>
          <w:trHeight w:val="340"/>
        </w:trPr>
        <w:tc>
          <w:tcPr>
            <w:tcW w:w="3260" w:type="dxa"/>
            <w:tcBorders>
              <w:left w:val="single" w:sz="8" w:space="0" w:color="2B3B5F"/>
              <w:right w:val="single" w:sz="8" w:space="0" w:color="2B3B5F"/>
            </w:tcBorders>
            <w:shd w:val="clear" w:color="auto" w:fill="auto"/>
            <w:vAlign w:val="center"/>
          </w:tcPr>
          <w:p w:rsidR="00407F92" w:rsidRPr="00661CD3" w:rsidRDefault="009722D3" w:rsidP="007F3BCF">
            <w:pPr>
              <w:spacing w:before="0" w:after="0"/>
              <w:ind w:left="227"/>
              <w:rPr>
                <w:i/>
                <w:iCs/>
                <w:color w:val="000000"/>
                <w:sz w:val="18"/>
                <w:szCs w:val="18"/>
              </w:rPr>
            </w:pPr>
            <w:r>
              <w:rPr>
                <w:i/>
                <w:iCs/>
                <w:color w:val="000000"/>
                <w:sz w:val="18"/>
                <w:szCs w:val="18"/>
              </w:rPr>
              <w:t>G</w:t>
            </w:r>
            <w:r w:rsidR="00407F92" w:rsidRPr="00661CD3">
              <w:rPr>
                <w:i/>
                <w:iCs/>
                <w:color w:val="000000"/>
                <w:sz w:val="18"/>
                <w:szCs w:val="18"/>
              </w:rPr>
              <w:t>overnment schools</w:t>
            </w:r>
          </w:p>
        </w:tc>
        <w:tc>
          <w:tcPr>
            <w:tcW w:w="1701" w:type="dxa"/>
            <w:tcBorders>
              <w:left w:val="single" w:sz="8" w:space="0" w:color="2B3B5F"/>
              <w:right w:val="single" w:sz="8" w:space="0" w:color="2B3B5F"/>
            </w:tcBorders>
            <w:shd w:val="clear" w:color="auto" w:fill="auto"/>
            <w:vAlign w:val="center"/>
          </w:tcPr>
          <w:p w:rsidR="00407F92" w:rsidRPr="00661CD3" w:rsidRDefault="00407F92" w:rsidP="007F3BCF">
            <w:pPr>
              <w:spacing w:before="0" w:after="0"/>
              <w:ind w:right="227" w:firstLineChars="100" w:firstLine="180"/>
              <w:jc w:val="right"/>
              <w:rPr>
                <w:i/>
                <w:iCs/>
                <w:color w:val="000000"/>
                <w:sz w:val="18"/>
                <w:szCs w:val="18"/>
              </w:rPr>
            </w:pPr>
            <w:r w:rsidRPr="00661CD3">
              <w:rPr>
                <w:i/>
                <w:iCs/>
                <w:color w:val="000000"/>
                <w:sz w:val="18"/>
                <w:szCs w:val="18"/>
              </w:rPr>
              <w:t>15.2</w:t>
            </w:r>
          </w:p>
        </w:tc>
        <w:tc>
          <w:tcPr>
            <w:tcW w:w="1559" w:type="dxa"/>
            <w:tcBorders>
              <w:left w:val="single" w:sz="8" w:space="0" w:color="2B3B5F"/>
              <w:right w:val="single" w:sz="8" w:space="0" w:color="2B3B5F"/>
            </w:tcBorders>
            <w:shd w:val="clear" w:color="auto" w:fill="auto"/>
            <w:vAlign w:val="center"/>
          </w:tcPr>
          <w:p w:rsidR="00407F92" w:rsidRPr="00661CD3" w:rsidRDefault="00407F92" w:rsidP="007F3BCF">
            <w:pPr>
              <w:spacing w:before="0" w:after="0"/>
              <w:ind w:right="227" w:firstLineChars="100" w:firstLine="180"/>
              <w:jc w:val="right"/>
              <w:rPr>
                <w:i/>
                <w:iCs/>
                <w:color w:val="000000"/>
                <w:sz w:val="18"/>
                <w:szCs w:val="18"/>
              </w:rPr>
            </w:pPr>
            <w:r w:rsidRPr="00661CD3">
              <w:rPr>
                <w:i/>
                <w:iCs/>
                <w:color w:val="000000"/>
                <w:sz w:val="18"/>
                <w:szCs w:val="18"/>
              </w:rPr>
              <w:t>5.0</w:t>
            </w:r>
          </w:p>
        </w:tc>
        <w:tc>
          <w:tcPr>
            <w:tcW w:w="1844" w:type="dxa"/>
            <w:tcBorders>
              <w:left w:val="single" w:sz="8" w:space="0" w:color="2B3B5F"/>
              <w:right w:val="single" w:sz="8" w:space="0" w:color="2B3B5F"/>
            </w:tcBorders>
            <w:shd w:val="clear" w:color="auto" w:fill="auto"/>
            <w:vAlign w:val="center"/>
          </w:tcPr>
          <w:p w:rsidR="00407F92" w:rsidRPr="00661CD3" w:rsidRDefault="009722D3" w:rsidP="007F3BCF">
            <w:pPr>
              <w:spacing w:before="0" w:after="0"/>
              <w:ind w:right="227" w:firstLineChars="100" w:firstLine="180"/>
              <w:jc w:val="right"/>
              <w:rPr>
                <w:i/>
                <w:iCs/>
                <w:color w:val="000000"/>
                <w:sz w:val="18"/>
                <w:szCs w:val="18"/>
              </w:rPr>
            </w:pPr>
            <w:r>
              <w:rPr>
                <w:i/>
                <w:iCs/>
                <w:color w:val="000000"/>
                <w:sz w:val="18"/>
                <w:szCs w:val="18"/>
              </w:rPr>
              <w:t>9.2</w:t>
            </w:r>
          </w:p>
        </w:tc>
      </w:tr>
      <w:tr w:rsidR="00407F92" w:rsidRPr="00A86CBC" w:rsidTr="00661CD3">
        <w:trPr>
          <w:trHeight w:val="340"/>
        </w:trPr>
        <w:tc>
          <w:tcPr>
            <w:tcW w:w="3260" w:type="dxa"/>
            <w:tcBorders>
              <w:left w:val="single" w:sz="8" w:space="0" w:color="2B3B5F"/>
              <w:right w:val="single" w:sz="8" w:space="0" w:color="2B3B5F"/>
            </w:tcBorders>
            <w:shd w:val="clear" w:color="auto" w:fill="D7DDE9"/>
            <w:vAlign w:val="center"/>
            <w:hideMark/>
          </w:tcPr>
          <w:p w:rsidR="00407F92" w:rsidRPr="00661CD3" w:rsidRDefault="00407F92" w:rsidP="00407F92">
            <w:pPr>
              <w:spacing w:before="0" w:after="0"/>
              <w:ind w:left="57"/>
              <w:rPr>
                <w:color w:val="000000"/>
                <w:sz w:val="18"/>
                <w:szCs w:val="18"/>
              </w:rPr>
            </w:pPr>
            <w:r w:rsidRPr="00661CD3">
              <w:rPr>
                <w:color w:val="000000"/>
                <w:sz w:val="18"/>
                <w:szCs w:val="18"/>
              </w:rPr>
              <w:t xml:space="preserve">Higher </w:t>
            </w:r>
            <w:r>
              <w:rPr>
                <w:color w:val="000000"/>
                <w:sz w:val="18"/>
                <w:szCs w:val="18"/>
              </w:rPr>
              <w:t>e</w:t>
            </w:r>
            <w:r w:rsidRPr="00661CD3">
              <w:rPr>
                <w:color w:val="000000"/>
                <w:sz w:val="18"/>
                <w:szCs w:val="18"/>
              </w:rPr>
              <w:t>ducation</w:t>
            </w:r>
          </w:p>
        </w:tc>
        <w:tc>
          <w:tcPr>
            <w:tcW w:w="1701" w:type="dxa"/>
            <w:tcBorders>
              <w:left w:val="single" w:sz="8" w:space="0" w:color="2B3B5F"/>
              <w:right w:val="single" w:sz="8" w:space="0" w:color="2B3B5F"/>
            </w:tcBorders>
            <w:shd w:val="clear" w:color="auto" w:fill="D7DDE9"/>
            <w:vAlign w:val="center"/>
            <w:hideMark/>
          </w:tcPr>
          <w:p w:rsidR="00407F92" w:rsidRPr="00661CD3" w:rsidRDefault="00407F92" w:rsidP="00661CD3">
            <w:pPr>
              <w:spacing w:before="0" w:after="0"/>
              <w:ind w:right="227" w:firstLineChars="100" w:firstLine="180"/>
              <w:jc w:val="right"/>
              <w:rPr>
                <w:color w:val="000000"/>
                <w:sz w:val="18"/>
                <w:szCs w:val="18"/>
              </w:rPr>
            </w:pPr>
            <w:r w:rsidRPr="00661CD3">
              <w:rPr>
                <w:color w:val="000000"/>
                <w:sz w:val="18"/>
                <w:szCs w:val="18"/>
              </w:rPr>
              <w:t>30.6</w:t>
            </w:r>
          </w:p>
        </w:tc>
        <w:tc>
          <w:tcPr>
            <w:tcW w:w="1559" w:type="dxa"/>
            <w:tcBorders>
              <w:left w:val="single" w:sz="8" w:space="0" w:color="2B3B5F"/>
              <w:right w:val="single" w:sz="8" w:space="0" w:color="2B3B5F"/>
            </w:tcBorders>
            <w:shd w:val="clear" w:color="auto" w:fill="D7DDE9"/>
            <w:vAlign w:val="center"/>
            <w:hideMark/>
          </w:tcPr>
          <w:p w:rsidR="00407F92" w:rsidRPr="00661CD3" w:rsidRDefault="00407F92" w:rsidP="00661CD3">
            <w:pPr>
              <w:spacing w:before="0" w:after="0"/>
              <w:ind w:right="227" w:firstLineChars="100" w:firstLine="180"/>
              <w:jc w:val="right"/>
              <w:rPr>
                <w:color w:val="000000"/>
                <w:sz w:val="18"/>
                <w:szCs w:val="18"/>
              </w:rPr>
            </w:pPr>
            <w:r w:rsidRPr="00661CD3">
              <w:rPr>
                <w:color w:val="000000"/>
                <w:sz w:val="18"/>
                <w:szCs w:val="18"/>
              </w:rPr>
              <w:t>5.2</w:t>
            </w:r>
          </w:p>
        </w:tc>
        <w:tc>
          <w:tcPr>
            <w:tcW w:w="1844" w:type="dxa"/>
            <w:tcBorders>
              <w:left w:val="single" w:sz="8" w:space="0" w:color="2B3B5F"/>
              <w:right w:val="single" w:sz="8" w:space="0" w:color="2B3B5F"/>
            </w:tcBorders>
            <w:shd w:val="clear" w:color="auto" w:fill="D7DDE9"/>
            <w:vAlign w:val="center"/>
            <w:hideMark/>
          </w:tcPr>
          <w:p w:rsidR="00407F92" w:rsidRPr="00661CD3" w:rsidRDefault="00407F92" w:rsidP="00661CD3">
            <w:pPr>
              <w:spacing w:before="0" w:after="0"/>
              <w:ind w:right="227" w:firstLineChars="100" w:firstLine="180"/>
              <w:jc w:val="right"/>
              <w:rPr>
                <w:color w:val="000000"/>
                <w:sz w:val="18"/>
                <w:szCs w:val="18"/>
              </w:rPr>
            </w:pPr>
            <w:r w:rsidRPr="00661CD3">
              <w:rPr>
                <w:color w:val="000000"/>
                <w:sz w:val="18"/>
                <w:szCs w:val="18"/>
              </w:rPr>
              <w:t>19.3</w:t>
            </w:r>
          </w:p>
        </w:tc>
      </w:tr>
      <w:tr w:rsidR="00407F92" w:rsidRPr="00A86CBC" w:rsidTr="00661CD3">
        <w:trPr>
          <w:trHeight w:val="340"/>
        </w:trPr>
        <w:tc>
          <w:tcPr>
            <w:tcW w:w="3260" w:type="dxa"/>
            <w:tcBorders>
              <w:left w:val="single" w:sz="8" w:space="0" w:color="2B3B5F"/>
              <w:right w:val="single" w:sz="8" w:space="0" w:color="2B3B5F"/>
            </w:tcBorders>
            <w:shd w:val="clear" w:color="auto" w:fill="auto"/>
            <w:vAlign w:val="center"/>
            <w:hideMark/>
          </w:tcPr>
          <w:p w:rsidR="00407F92" w:rsidRPr="00661CD3" w:rsidRDefault="00407F92" w:rsidP="00661CD3">
            <w:pPr>
              <w:spacing w:before="0" w:after="0"/>
              <w:ind w:left="57"/>
              <w:rPr>
                <w:color w:val="000000"/>
                <w:sz w:val="18"/>
                <w:szCs w:val="18"/>
              </w:rPr>
            </w:pPr>
            <w:r>
              <w:rPr>
                <w:color w:val="000000"/>
                <w:sz w:val="18"/>
                <w:szCs w:val="18"/>
              </w:rPr>
              <w:t>Student a</w:t>
            </w:r>
            <w:r w:rsidRPr="00661CD3">
              <w:rPr>
                <w:color w:val="000000"/>
                <w:sz w:val="18"/>
                <w:szCs w:val="18"/>
              </w:rPr>
              <w:t>ssistance</w:t>
            </w:r>
          </w:p>
        </w:tc>
        <w:tc>
          <w:tcPr>
            <w:tcW w:w="1701" w:type="dxa"/>
            <w:tcBorders>
              <w:left w:val="single" w:sz="8" w:space="0" w:color="2B3B5F"/>
              <w:right w:val="single" w:sz="8" w:space="0" w:color="2B3B5F"/>
            </w:tcBorders>
            <w:shd w:val="clear" w:color="auto" w:fill="auto"/>
            <w:vAlign w:val="center"/>
            <w:hideMark/>
          </w:tcPr>
          <w:p w:rsidR="00407F92" w:rsidRPr="00661CD3" w:rsidRDefault="00407F92" w:rsidP="00661CD3">
            <w:pPr>
              <w:spacing w:before="0" w:after="0"/>
              <w:ind w:right="227" w:firstLineChars="100" w:firstLine="180"/>
              <w:jc w:val="right"/>
              <w:rPr>
                <w:color w:val="000000"/>
                <w:sz w:val="18"/>
                <w:szCs w:val="18"/>
              </w:rPr>
            </w:pPr>
            <w:r w:rsidRPr="00661CD3">
              <w:rPr>
                <w:color w:val="000000"/>
                <w:sz w:val="18"/>
                <w:szCs w:val="18"/>
              </w:rPr>
              <w:t>12.6</w:t>
            </w:r>
          </w:p>
        </w:tc>
        <w:tc>
          <w:tcPr>
            <w:tcW w:w="1559" w:type="dxa"/>
            <w:tcBorders>
              <w:left w:val="single" w:sz="8" w:space="0" w:color="2B3B5F"/>
              <w:right w:val="single" w:sz="8" w:space="0" w:color="2B3B5F"/>
            </w:tcBorders>
            <w:shd w:val="clear" w:color="auto" w:fill="auto"/>
            <w:vAlign w:val="center"/>
            <w:hideMark/>
          </w:tcPr>
          <w:p w:rsidR="00407F92" w:rsidRPr="00661CD3" w:rsidRDefault="00407F92" w:rsidP="00661CD3">
            <w:pPr>
              <w:spacing w:before="0" w:after="0"/>
              <w:ind w:right="227" w:firstLineChars="100" w:firstLine="180"/>
              <w:jc w:val="right"/>
              <w:rPr>
                <w:color w:val="000000"/>
                <w:sz w:val="18"/>
                <w:szCs w:val="18"/>
              </w:rPr>
            </w:pPr>
            <w:r w:rsidRPr="00661CD3">
              <w:rPr>
                <w:color w:val="000000"/>
                <w:sz w:val="18"/>
                <w:szCs w:val="18"/>
              </w:rPr>
              <w:t>1.4</w:t>
            </w:r>
          </w:p>
        </w:tc>
        <w:tc>
          <w:tcPr>
            <w:tcW w:w="1844" w:type="dxa"/>
            <w:tcBorders>
              <w:left w:val="single" w:sz="8" w:space="0" w:color="2B3B5F"/>
              <w:right w:val="single" w:sz="8" w:space="0" w:color="2B3B5F"/>
            </w:tcBorders>
            <w:shd w:val="clear" w:color="auto" w:fill="auto"/>
            <w:vAlign w:val="center"/>
            <w:hideMark/>
          </w:tcPr>
          <w:p w:rsidR="00407F92" w:rsidRPr="00661CD3" w:rsidRDefault="00407F92" w:rsidP="00661CD3">
            <w:pPr>
              <w:spacing w:before="0" w:after="0"/>
              <w:ind w:right="227" w:firstLineChars="100" w:firstLine="180"/>
              <w:jc w:val="right"/>
              <w:rPr>
                <w:color w:val="000000"/>
                <w:sz w:val="18"/>
                <w:szCs w:val="18"/>
              </w:rPr>
            </w:pPr>
            <w:r w:rsidRPr="00661CD3">
              <w:rPr>
                <w:color w:val="000000"/>
                <w:sz w:val="18"/>
                <w:szCs w:val="18"/>
              </w:rPr>
              <w:t>2.6</w:t>
            </w:r>
          </w:p>
        </w:tc>
      </w:tr>
      <w:tr w:rsidR="00407F92" w:rsidRPr="00A86CBC" w:rsidTr="00661CD3">
        <w:trPr>
          <w:trHeight w:val="340"/>
        </w:trPr>
        <w:tc>
          <w:tcPr>
            <w:tcW w:w="3260" w:type="dxa"/>
            <w:tcBorders>
              <w:left w:val="single" w:sz="8" w:space="0" w:color="2B3B5F"/>
              <w:right w:val="single" w:sz="8" w:space="0" w:color="2B3B5F"/>
            </w:tcBorders>
            <w:shd w:val="clear" w:color="auto" w:fill="D7DDE9"/>
            <w:vAlign w:val="center"/>
            <w:hideMark/>
          </w:tcPr>
          <w:p w:rsidR="00407F92" w:rsidRPr="00661CD3" w:rsidRDefault="00407F92" w:rsidP="00661CD3">
            <w:pPr>
              <w:spacing w:before="0" w:after="0"/>
              <w:ind w:left="57"/>
              <w:rPr>
                <w:color w:val="000000"/>
                <w:sz w:val="18"/>
                <w:szCs w:val="18"/>
              </w:rPr>
            </w:pPr>
            <w:r w:rsidRPr="00661CD3">
              <w:rPr>
                <w:color w:val="000000"/>
                <w:sz w:val="18"/>
                <w:szCs w:val="18"/>
              </w:rPr>
              <w:t>Vocational education</w:t>
            </w:r>
          </w:p>
        </w:tc>
        <w:tc>
          <w:tcPr>
            <w:tcW w:w="1701" w:type="dxa"/>
            <w:tcBorders>
              <w:left w:val="single" w:sz="8" w:space="0" w:color="2B3B5F"/>
              <w:right w:val="single" w:sz="8" w:space="0" w:color="2B3B5F"/>
            </w:tcBorders>
            <w:shd w:val="clear" w:color="auto" w:fill="D7DDE9"/>
            <w:vAlign w:val="center"/>
            <w:hideMark/>
          </w:tcPr>
          <w:p w:rsidR="00407F92" w:rsidRPr="00661CD3" w:rsidRDefault="00407F92" w:rsidP="00661CD3">
            <w:pPr>
              <w:spacing w:before="0" w:after="0"/>
              <w:ind w:right="227" w:firstLineChars="100" w:firstLine="180"/>
              <w:jc w:val="right"/>
              <w:rPr>
                <w:color w:val="000000"/>
                <w:sz w:val="18"/>
                <w:szCs w:val="18"/>
              </w:rPr>
            </w:pPr>
            <w:r w:rsidRPr="00661CD3">
              <w:rPr>
                <w:color w:val="000000"/>
                <w:sz w:val="18"/>
                <w:szCs w:val="18"/>
              </w:rPr>
              <w:t>6.6</w:t>
            </w:r>
          </w:p>
        </w:tc>
        <w:tc>
          <w:tcPr>
            <w:tcW w:w="1559" w:type="dxa"/>
            <w:tcBorders>
              <w:left w:val="single" w:sz="8" w:space="0" w:color="2B3B5F"/>
              <w:right w:val="single" w:sz="8" w:space="0" w:color="2B3B5F"/>
            </w:tcBorders>
            <w:shd w:val="clear" w:color="auto" w:fill="D7DDE9"/>
            <w:vAlign w:val="center"/>
            <w:hideMark/>
          </w:tcPr>
          <w:p w:rsidR="00407F92" w:rsidRPr="00661CD3" w:rsidRDefault="00407F92" w:rsidP="00661CD3">
            <w:pPr>
              <w:spacing w:before="0" w:after="0"/>
              <w:ind w:right="227" w:firstLineChars="100" w:firstLine="180"/>
              <w:jc w:val="right"/>
              <w:rPr>
                <w:color w:val="000000"/>
                <w:sz w:val="18"/>
                <w:szCs w:val="18"/>
              </w:rPr>
            </w:pPr>
            <w:r w:rsidRPr="00661CD3">
              <w:rPr>
                <w:color w:val="000000"/>
                <w:sz w:val="18"/>
                <w:szCs w:val="18"/>
              </w:rPr>
              <w:t>0.8</w:t>
            </w:r>
          </w:p>
        </w:tc>
        <w:tc>
          <w:tcPr>
            <w:tcW w:w="1844" w:type="dxa"/>
            <w:tcBorders>
              <w:left w:val="single" w:sz="8" w:space="0" w:color="2B3B5F"/>
              <w:right w:val="single" w:sz="8" w:space="0" w:color="2B3B5F"/>
            </w:tcBorders>
            <w:shd w:val="clear" w:color="auto" w:fill="D7DDE9"/>
            <w:vAlign w:val="center"/>
            <w:hideMark/>
          </w:tcPr>
          <w:p w:rsidR="00407F92" w:rsidRPr="00661CD3" w:rsidRDefault="00407F92" w:rsidP="00661CD3">
            <w:pPr>
              <w:spacing w:before="0" w:after="0"/>
              <w:ind w:right="227" w:firstLineChars="100" w:firstLine="180"/>
              <w:jc w:val="right"/>
              <w:rPr>
                <w:color w:val="000000"/>
                <w:sz w:val="18"/>
                <w:szCs w:val="18"/>
              </w:rPr>
            </w:pPr>
            <w:r w:rsidRPr="00661CD3">
              <w:rPr>
                <w:color w:val="000000"/>
                <w:sz w:val="18"/>
                <w:szCs w:val="18"/>
              </w:rPr>
              <w:t>0.8</w:t>
            </w:r>
          </w:p>
        </w:tc>
      </w:tr>
      <w:tr w:rsidR="00407F92" w:rsidRPr="00A86CBC" w:rsidTr="00661CD3">
        <w:trPr>
          <w:trHeight w:val="340"/>
        </w:trPr>
        <w:tc>
          <w:tcPr>
            <w:tcW w:w="3260" w:type="dxa"/>
            <w:tcBorders>
              <w:left w:val="single" w:sz="8" w:space="0" w:color="2B3B5F"/>
              <w:right w:val="single" w:sz="8" w:space="0" w:color="2B3B5F"/>
            </w:tcBorders>
            <w:shd w:val="clear" w:color="auto" w:fill="auto"/>
            <w:vAlign w:val="center"/>
            <w:hideMark/>
          </w:tcPr>
          <w:p w:rsidR="00407F92" w:rsidRPr="00661CD3" w:rsidRDefault="00407F92" w:rsidP="00661CD3">
            <w:pPr>
              <w:spacing w:before="0" w:after="0"/>
              <w:ind w:left="57"/>
              <w:rPr>
                <w:color w:val="000000"/>
                <w:sz w:val="18"/>
                <w:szCs w:val="18"/>
              </w:rPr>
            </w:pPr>
            <w:r w:rsidRPr="00661CD3">
              <w:rPr>
                <w:color w:val="000000"/>
                <w:sz w:val="18"/>
                <w:szCs w:val="18"/>
              </w:rPr>
              <w:t>School specific and administration</w:t>
            </w:r>
          </w:p>
        </w:tc>
        <w:tc>
          <w:tcPr>
            <w:tcW w:w="1701" w:type="dxa"/>
            <w:tcBorders>
              <w:left w:val="single" w:sz="8" w:space="0" w:color="2B3B5F"/>
              <w:right w:val="single" w:sz="8" w:space="0" w:color="2B3B5F"/>
            </w:tcBorders>
            <w:shd w:val="clear" w:color="auto" w:fill="auto"/>
            <w:noWrap/>
            <w:vAlign w:val="center"/>
            <w:hideMark/>
          </w:tcPr>
          <w:p w:rsidR="00407F92" w:rsidRPr="00661CD3" w:rsidRDefault="00407F92" w:rsidP="00661CD3">
            <w:pPr>
              <w:spacing w:before="0" w:after="0"/>
              <w:ind w:right="227" w:firstLineChars="100" w:firstLine="180"/>
              <w:jc w:val="right"/>
              <w:rPr>
                <w:color w:val="000000"/>
                <w:sz w:val="18"/>
                <w:szCs w:val="18"/>
              </w:rPr>
            </w:pPr>
            <w:r w:rsidRPr="00661CD3">
              <w:rPr>
                <w:color w:val="000000"/>
                <w:sz w:val="18"/>
                <w:szCs w:val="18"/>
              </w:rPr>
              <w:t>6.4</w:t>
            </w:r>
          </w:p>
        </w:tc>
        <w:tc>
          <w:tcPr>
            <w:tcW w:w="1559" w:type="dxa"/>
            <w:tcBorders>
              <w:left w:val="single" w:sz="8" w:space="0" w:color="2B3B5F"/>
              <w:right w:val="single" w:sz="8" w:space="0" w:color="2B3B5F"/>
            </w:tcBorders>
            <w:shd w:val="clear" w:color="auto" w:fill="auto"/>
            <w:noWrap/>
            <w:vAlign w:val="center"/>
            <w:hideMark/>
          </w:tcPr>
          <w:p w:rsidR="00407F92" w:rsidRPr="00661CD3" w:rsidRDefault="00407F92" w:rsidP="00661CD3">
            <w:pPr>
              <w:spacing w:before="0" w:after="0"/>
              <w:ind w:right="227" w:firstLineChars="100" w:firstLine="180"/>
              <w:jc w:val="right"/>
              <w:rPr>
                <w:color w:val="000000"/>
                <w:sz w:val="18"/>
                <w:szCs w:val="18"/>
              </w:rPr>
            </w:pPr>
            <w:r w:rsidRPr="00661CD3">
              <w:rPr>
                <w:color w:val="000000"/>
                <w:sz w:val="18"/>
                <w:szCs w:val="18"/>
              </w:rPr>
              <w:t>16.7</w:t>
            </w:r>
          </w:p>
        </w:tc>
        <w:tc>
          <w:tcPr>
            <w:tcW w:w="1844" w:type="dxa"/>
            <w:tcBorders>
              <w:left w:val="single" w:sz="8" w:space="0" w:color="2B3B5F"/>
              <w:right w:val="single" w:sz="8" w:space="0" w:color="2B3B5F"/>
            </w:tcBorders>
            <w:shd w:val="clear" w:color="auto" w:fill="auto"/>
            <w:noWrap/>
            <w:vAlign w:val="center"/>
            <w:hideMark/>
          </w:tcPr>
          <w:p w:rsidR="00407F92" w:rsidRPr="00661CD3" w:rsidRDefault="00407F92" w:rsidP="00661CD3">
            <w:pPr>
              <w:spacing w:before="0" w:after="0"/>
              <w:ind w:right="227" w:firstLineChars="100" w:firstLine="180"/>
              <w:jc w:val="right"/>
              <w:rPr>
                <w:color w:val="000000"/>
                <w:sz w:val="18"/>
                <w:szCs w:val="18"/>
              </w:rPr>
            </w:pPr>
            <w:r w:rsidRPr="00661CD3">
              <w:rPr>
                <w:color w:val="000000"/>
                <w:sz w:val="18"/>
                <w:szCs w:val="18"/>
              </w:rPr>
              <w:t>8.0</w:t>
            </w:r>
          </w:p>
        </w:tc>
      </w:tr>
      <w:tr w:rsidR="00407F92" w:rsidRPr="00A86CBC" w:rsidTr="00661CD3">
        <w:trPr>
          <w:trHeight w:val="340"/>
        </w:trPr>
        <w:tc>
          <w:tcPr>
            <w:tcW w:w="3260" w:type="dxa"/>
            <w:tcBorders>
              <w:left w:val="single" w:sz="8" w:space="0" w:color="2B3B5F"/>
              <w:bottom w:val="single" w:sz="8" w:space="0" w:color="2B3B5F"/>
              <w:right w:val="single" w:sz="8" w:space="0" w:color="2B3B5F"/>
            </w:tcBorders>
            <w:shd w:val="clear" w:color="auto" w:fill="D7DDE9"/>
            <w:vAlign w:val="center"/>
            <w:hideMark/>
          </w:tcPr>
          <w:p w:rsidR="00407F92" w:rsidRPr="00661CD3" w:rsidRDefault="00407F92" w:rsidP="00661CD3">
            <w:pPr>
              <w:spacing w:before="0" w:after="0"/>
              <w:ind w:left="57"/>
              <w:rPr>
                <w:b/>
                <w:bCs/>
                <w:color w:val="000000"/>
                <w:sz w:val="18"/>
                <w:szCs w:val="18"/>
              </w:rPr>
            </w:pPr>
            <w:r w:rsidRPr="00661CD3">
              <w:rPr>
                <w:b/>
                <w:bCs/>
                <w:color w:val="000000"/>
                <w:sz w:val="18"/>
                <w:szCs w:val="18"/>
              </w:rPr>
              <w:t>Total education</w:t>
            </w:r>
          </w:p>
        </w:tc>
        <w:tc>
          <w:tcPr>
            <w:tcW w:w="1701" w:type="dxa"/>
            <w:tcBorders>
              <w:left w:val="single" w:sz="8" w:space="0" w:color="2B3B5F"/>
              <w:bottom w:val="single" w:sz="8" w:space="0" w:color="2B3B5F"/>
              <w:right w:val="single" w:sz="8" w:space="0" w:color="2B3B5F"/>
            </w:tcBorders>
            <w:shd w:val="clear" w:color="auto" w:fill="D7DDE9"/>
            <w:vAlign w:val="center"/>
            <w:hideMark/>
          </w:tcPr>
          <w:p w:rsidR="00407F92" w:rsidRPr="00661CD3" w:rsidRDefault="00407F92" w:rsidP="00661CD3">
            <w:pPr>
              <w:spacing w:before="0" w:after="0"/>
              <w:ind w:right="227" w:firstLineChars="100" w:firstLine="181"/>
              <w:jc w:val="right"/>
              <w:rPr>
                <w:b/>
                <w:bCs/>
                <w:color w:val="000000"/>
                <w:sz w:val="18"/>
                <w:szCs w:val="18"/>
              </w:rPr>
            </w:pPr>
            <w:r w:rsidRPr="00661CD3">
              <w:rPr>
                <w:b/>
                <w:bCs/>
                <w:color w:val="000000"/>
                <w:sz w:val="18"/>
                <w:szCs w:val="18"/>
              </w:rPr>
              <w:t>100.0</w:t>
            </w:r>
          </w:p>
        </w:tc>
        <w:tc>
          <w:tcPr>
            <w:tcW w:w="1559" w:type="dxa"/>
            <w:tcBorders>
              <w:left w:val="single" w:sz="8" w:space="0" w:color="2B3B5F"/>
              <w:bottom w:val="single" w:sz="8" w:space="0" w:color="2B3B5F"/>
              <w:right w:val="single" w:sz="8" w:space="0" w:color="2B3B5F"/>
            </w:tcBorders>
            <w:shd w:val="clear" w:color="auto" w:fill="D7DDE9"/>
            <w:vAlign w:val="center"/>
            <w:hideMark/>
          </w:tcPr>
          <w:p w:rsidR="00407F92" w:rsidRPr="00661CD3" w:rsidRDefault="00407F92" w:rsidP="00661CD3">
            <w:pPr>
              <w:spacing w:before="0" w:after="0"/>
              <w:ind w:right="227" w:firstLineChars="100" w:firstLine="181"/>
              <w:jc w:val="right"/>
              <w:rPr>
                <w:b/>
                <w:bCs/>
                <w:color w:val="000000"/>
                <w:sz w:val="18"/>
                <w:szCs w:val="18"/>
              </w:rPr>
            </w:pPr>
            <w:r w:rsidRPr="00661CD3">
              <w:rPr>
                <w:b/>
                <w:bCs/>
                <w:color w:val="000000"/>
                <w:sz w:val="18"/>
                <w:szCs w:val="18"/>
              </w:rPr>
              <w:t>4.6</w:t>
            </w:r>
          </w:p>
        </w:tc>
        <w:tc>
          <w:tcPr>
            <w:tcW w:w="1844" w:type="dxa"/>
            <w:tcBorders>
              <w:left w:val="single" w:sz="8" w:space="0" w:color="2B3B5F"/>
              <w:bottom w:val="single" w:sz="8" w:space="0" w:color="2B3B5F"/>
              <w:right w:val="single" w:sz="8" w:space="0" w:color="2B3B5F"/>
            </w:tcBorders>
            <w:shd w:val="clear" w:color="auto" w:fill="D7DDE9"/>
            <w:vAlign w:val="center"/>
            <w:hideMark/>
          </w:tcPr>
          <w:p w:rsidR="00407F92" w:rsidRPr="00661CD3" w:rsidRDefault="00407F92" w:rsidP="00661CD3">
            <w:pPr>
              <w:spacing w:before="0" w:after="0"/>
              <w:ind w:right="227" w:firstLineChars="100" w:firstLine="181"/>
              <w:jc w:val="right"/>
              <w:rPr>
                <w:b/>
                <w:bCs/>
                <w:color w:val="000000"/>
                <w:sz w:val="18"/>
                <w:szCs w:val="18"/>
              </w:rPr>
            </w:pPr>
            <w:r w:rsidRPr="00661CD3">
              <w:rPr>
                <w:b/>
                <w:bCs/>
                <w:color w:val="000000"/>
                <w:sz w:val="18"/>
                <w:szCs w:val="18"/>
              </w:rPr>
              <w:t>57.3</w:t>
            </w:r>
          </w:p>
        </w:tc>
      </w:tr>
    </w:tbl>
    <w:p w:rsidR="00B4164D" w:rsidRDefault="00B4164D" w:rsidP="003E57D0">
      <w:pPr>
        <w:pStyle w:val="Heading30"/>
      </w:pPr>
      <w:r>
        <w:t>Contribution from schools</w:t>
      </w:r>
    </w:p>
    <w:p w:rsidR="00D54056" w:rsidRPr="00D54056" w:rsidRDefault="00D54056" w:rsidP="008D3366">
      <w:r w:rsidRPr="00D54056">
        <w:t>The largest contributor to overall growth in education spending was schools, which contributed 26.6 percentage points, or 46 per cent of total growth in education.  Annual growth in school spending was 5.0 per cent.</w:t>
      </w:r>
    </w:p>
    <w:p w:rsidR="003C3BCC" w:rsidRPr="00D54056" w:rsidRDefault="003C3BCC" w:rsidP="00D54056">
      <w:pPr>
        <w:pStyle w:val="Heading40"/>
        <w:rPr>
          <w:sz w:val="22"/>
          <w:szCs w:val="22"/>
        </w:rPr>
      </w:pPr>
      <w:r w:rsidRPr="00D54056">
        <w:rPr>
          <w:sz w:val="22"/>
          <w:szCs w:val="22"/>
        </w:rPr>
        <w:t>Contribution from non-government schools</w:t>
      </w:r>
    </w:p>
    <w:p w:rsidR="003C3BCC" w:rsidRPr="002D5948" w:rsidRDefault="003C3BCC" w:rsidP="003E7DFB">
      <w:r w:rsidRPr="002D5948">
        <w:t>The Commonwealth is the primary funder of non</w:t>
      </w:r>
      <w:r w:rsidRPr="002D5948">
        <w:noBreakHyphen/>
        <w:t>government schools which comprise a mix of Independent and Catholic provider</w:t>
      </w:r>
      <w:r w:rsidR="00DC5600">
        <w:t>s.  Over the period from 2002</w:t>
      </w:r>
      <w:r w:rsidRPr="002D5948">
        <w:t xml:space="preserve"> to 2012, enrolments in non</w:t>
      </w:r>
      <w:r w:rsidRPr="002D5948">
        <w:noBreakHyphen/>
        <w:t>g</w:t>
      </w:r>
      <w:r w:rsidR="001933B2" w:rsidRPr="002D5948">
        <w:t>o</w:t>
      </w:r>
      <w:r w:rsidR="004634FF">
        <w:t>vernment schools grew from 31.6 </w:t>
      </w:r>
      <w:r w:rsidR="001933B2" w:rsidRPr="002D5948">
        <w:t>per</w:t>
      </w:r>
      <w:r w:rsidR="004634FF">
        <w:t> </w:t>
      </w:r>
      <w:r w:rsidR="001933B2" w:rsidRPr="002D5948">
        <w:t>cent to 34</w:t>
      </w:r>
      <w:r w:rsidR="00DC5600">
        <w:t>.</w:t>
      </w:r>
      <w:r w:rsidR="001933B2" w:rsidRPr="002D5948">
        <w:t>9</w:t>
      </w:r>
      <w:r w:rsidR="004634FF">
        <w:t> </w:t>
      </w:r>
      <w:r w:rsidRPr="002D5948">
        <w:t>per</w:t>
      </w:r>
      <w:r w:rsidR="004634FF">
        <w:t> cent of all students.</w:t>
      </w:r>
    </w:p>
    <w:p w:rsidR="003C3BCC" w:rsidRPr="002D5948" w:rsidRDefault="003C3BCC" w:rsidP="003E57D0">
      <w:r w:rsidRPr="002D5948">
        <w:t>Over the perio</w:t>
      </w:r>
      <w:r w:rsidR="00470A7E">
        <w:t xml:space="preserve">d </w:t>
      </w:r>
      <w:r w:rsidR="00470A7E" w:rsidRPr="00470A7E">
        <w:t>2002</w:t>
      </w:r>
      <w:r w:rsidR="00470A7E" w:rsidRPr="006B456E">
        <w:noBreakHyphen/>
      </w:r>
      <w:r w:rsidRPr="00470A7E">
        <w:t>03</w:t>
      </w:r>
      <w:r w:rsidRPr="002D5948">
        <w:t xml:space="preserve"> to 2012</w:t>
      </w:r>
      <w:r w:rsidR="00470A7E" w:rsidRPr="006B456E">
        <w:noBreakHyphen/>
      </w:r>
      <w:r w:rsidRPr="002D5948">
        <w:t>13, non-government schools contributed almost a third of total growth in spending on education.  Non-gover</w:t>
      </w:r>
      <w:r w:rsidR="007B1825" w:rsidRPr="002D5948">
        <w:t>nment schools accounted for 17.5</w:t>
      </w:r>
      <w:r w:rsidRPr="002D5948">
        <w:t> percentage points of the overall growth in education spending of 57.3 per</w:t>
      </w:r>
      <w:r w:rsidR="004634FF">
        <w:t> </w:t>
      </w:r>
      <w:r w:rsidRPr="002D5948">
        <w:t>cent.</w:t>
      </w:r>
    </w:p>
    <w:p w:rsidR="003C3BCC" w:rsidRPr="002D5948" w:rsidRDefault="003C3BCC" w:rsidP="003E57D0">
      <w:r w:rsidRPr="002D5948">
        <w:t>This growth has been underpinned by changes in the application of the Australian Government School Recurrent Cost (AGSRC) index, its rates, and c</w:t>
      </w:r>
      <w:r w:rsidR="004634FF">
        <w:t>apital grants over the period.</w:t>
      </w:r>
    </w:p>
    <w:p w:rsidR="003C3BCC" w:rsidRPr="009303B4" w:rsidRDefault="003C3BCC" w:rsidP="003E57D0">
      <w:r w:rsidRPr="002D5948">
        <w:t>The AGSRC index has been used to determine the level of Commonwealth funding provided for Independent schools since 2001 and Catholic schools since 2005.  The final amount allocated has been weighted based on the SES score for a school with adjustments also made to maintain levels of funding to schools with above average SES scores.</w:t>
      </w:r>
    </w:p>
    <w:p w:rsidR="003C3BCC" w:rsidRPr="009303B4" w:rsidRDefault="003C3BCC" w:rsidP="003E57D0">
      <w:r w:rsidRPr="009303B4">
        <w:t>The AGSRC index grew by 61.3 per cent between 2003 and 2012, more than double that of the Co</w:t>
      </w:r>
      <w:r w:rsidR="007B1825" w:rsidRPr="009303B4">
        <w:t>nsumer Price Index (CPI) at 28.0</w:t>
      </w:r>
      <w:r w:rsidRPr="009303B4">
        <w:t xml:space="preserve"> per cent over the same period.  Significant drivers of growth in the AGSRC are employee expenses </w:t>
      </w:r>
      <w:r w:rsidR="00DF60E6" w:rsidRPr="009303B4">
        <w:t>mainly due to wage growth and changes in student-to-staff ratios</w:t>
      </w:r>
      <w:r w:rsidRPr="009303B4">
        <w:t xml:space="preserve">.  </w:t>
      </w:r>
      <w:r w:rsidR="00DF60E6" w:rsidRPr="009303B4">
        <w:t>Based on data reported in the 2</w:t>
      </w:r>
      <w:r w:rsidRPr="009303B4">
        <w:t>011 Review of Funding for Schooling</w:t>
      </w:r>
      <w:r w:rsidR="00DF60E6" w:rsidRPr="009303B4">
        <w:t>,</w:t>
      </w:r>
      <w:r w:rsidRPr="009303B4">
        <w:t xml:space="preserve"> these employee </w:t>
      </w:r>
      <w:r w:rsidR="00DF60E6" w:rsidRPr="009303B4">
        <w:t>expenses</w:t>
      </w:r>
      <w:r w:rsidRPr="009303B4">
        <w:t xml:space="preserve"> contributed around </w:t>
      </w:r>
      <w:r w:rsidR="00DF60E6" w:rsidRPr="009303B4">
        <w:t>two thirds</w:t>
      </w:r>
      <w:r w:rsidRPr="009303B4">
        <w:t xml:space="preserve"> of the AGSRC increase.</w:t>
      </w:r>
    </w:p>
    <w:p w:rsidR="003C3BCC" w:rsidRPr="00D54056" w:rsidRDefault="003C3BCC" w:rsidP="00F16869">
      <w:pPr>
        <w:pStyle w:val="Heading40"/>
        <w:rPr>
          <w:sz w:val="22"/>
          <w:szCs w:val="22"/>
        </w:rPr>
      </w:pPr>
      <w:r w:rsidRPr="00D54056">
        <w:rPr>
          <w:sz w:val="22"/>
          <w:szCs w:val="22"/>
        </w:rPr>
        <w:t>Contribution from government schools</w:t>
      </w:r>
    </w:p>
    <w:p w:rsidR="003C3BCC" w:rsidRPr="004236EB" w:rsidRDefault="003C3BCC" w:rsidP="003C3BCC">
      <w:r w:rsidRPr="009303B4">
        <w:t>From 2002</w:t>
      </w:r>
      <w:r w:rsidR="00470A7E" w:rsidRPr="006B456E">
        <w:noBreakHyphen/>
      </w:r>
      <w:r w:rsidRPr="009303B4">
        <w:t>03 to 2012</w:t>
      </w:r>
      <w:r w:rsidR="00470A7E" w:rsidRPr="006B456E">
        <w:noBreakHyphen/>
      </w:r>
      <w:r w:rsidRPr="009303B4">
        <w:t>13, gove</w:t>
      </w:r>
      <w:r w:rsidR="007B1825" w:rsidRPr="009303B4">
        <w:t>rnment schools accounted for 9.2</w:t>
      </w:r>
      <w:r w:rsidRPr="009303B4">
        <w:t> percentage points</w:t>
      </w:r>
      <w:r w:rsidR="004634FF">
        <w:t>, or 16 </w:t>
      </w:r>
      <w:r w:rsidRPr="004236EB">
        <w:t>per</w:t>
      </w:r>
      <w:r w:rsidR="004634FF">
        <w:t> </w:t>
      </w:r>
      <w:r w:rsidRPr="004236EB">
        <w:t>cent of the total</w:t>
      </w:r>
      <w:r w:rsidR="004634FF">
        <w:t xml:space="preserve"> growth in education spending.</w:t>
      </w:r>
    </w:p>
    <w:p w:rsidR="003C3BCC" w:rsidRPr="00DE62D3" w:rsidRDefault="003C3BCC" w:rsidP="003C3BCC">
      <w:r w:rsidRPr="004236EB">
        <w:lastRenderedPageBreak/>
        <w:t>This growth was driven by increase</w:t>
      </w:r>
      <w:r w:rsidR="00DF60E6" w:rsidRPr="004236EB">
        <w:t>s in</w:t>
      </w:r>
      <w:r w:rsidRPr="004236EB">
        <w:t xml:space="preserve"> the base rate per student provided by the Commonwealth to the States </w:t>
      </w:r>
      <w:r w:rsidR="00DF60E6" w:rsidRPr="004236EB">
        <w:t xml:space="preserve">according to increases in </w:t>
      </w:r>
      <w:r w:rsidR="00B4164D">
        <w:t xml:space="preserve">the </w:t>
      </w:r>
      <w:r w:rsidR="00DF60E6" w:rsidRPr="004236EB">
        <w:t>AGSRC.</w:t>
      </w:r>
    </w:p>
    <w:p w:rsidR="003C3BCC" w:rsidRPr="003A2A6C" w:rsidRDefault="003C3BCC" w:rsidP="003C3BCC">
      <w:r w:rsidRPr="00AB23A7">
        <w:t xml:space="preserve">In 2009-10, payments to </w:t>
      </w:r>
      <w:r w:rsidR="00B4164D">
        <w:t xml:space="preserve">the </w:t>
      </w:r>
      <w:r w:rsidRPr="00AB23A7">
        <w:t>States for government schools including recurrent, capital, target</w:t>
      </w:r>
      <w:r>
        <w:t>ed and I</w:t>
      </w:r>
      <w:r w:rsidRPr="003A2A6C">
        <w:t xml:space="preserve">ndigenous strategic initiative grants were consolidated into a single SPP. </w:t>
      </w:r>
      <w:r>
        <w:t xml:space="preserve"> </w:t>
      </w:r>
      <w:r w:rsidRPr="003A2A6C">
        <w:t>Under this arrangeme</w:t>
      </w:r>
      <w:r>
        <w:t>nt, government school spending was still linked to</w:t>
      </w:r>
      <w:r w:rsidRPr="003A2A6C">
        <w:t xml:space="preserve"> the AGSRC and full-time equivalent enrolments</w:t>
      </w:r>
      <w:r>
        <w:t>, and is</w:t>
      </w:r>
      <w:r w:rsidRPr="003A2A6C">
        <w:t xml:space="preserve"> tied to outcomes and performance benchmarks set out in th</w:t>
      </w:r>
      <w:r w:rsidR="004634FF">
        <w:t>e National Education Agreement.</w:t>
      </w:r>
    </w:p>
    <w:p w:rsidR="00857D55" w:rsidRPr="00137706" w:rsidRDefault="00857D55" w:rsidP="00403A0B">
      <w:pPr>
        <w:pStyle w:val="Heading30"/>
      </w:pPr>
      <w:r w:rsidRPr="00137706">
        <w:t>Contribution from higher education</w:t>
      </w:r>
    </w:p>
    <w:p w:rsidR="00857D55" w:rsidRPr="009303B4" w:rsidRDefault="00EE4119" w:rsidP="00403A0B">
      <w:r>
        <w:t xml:space="preserve">Higher education </w:t>
      </w:r>
      <w:r w:rsidR="00B23E79">
        <w:t xml:space="preserve">spending </w:t>
      </w:r>
      <w:r>
        <w:t>accounted</w:t>
      </w:r>
      <w:r w:rsidR="00857D55" w:rsidRPr="00137706">
        <w:t xml:space="preserve"> for around a third of overall growth in </w:t>
      </w:r>
      <w:r w:rsidR="004634FF">
        <w:t>spending on education from 2002</w:t>
      </w:r>
      <w:r w:rsidR="00470A7E" w:rsidRPr="006B456E">
        <w:noBreakHyphen/>
      </w:r>
      <w:r w:rsidR="00857D55">
        <w:t>03 to 2012</w:t>
      </w:r>
      <w:r w:rsidR="00857D55">
        <w:noBreakHyphen/>
        <w:t xml:space="preserve">13, </w:t>
      </w:r>
      <w:r w:rsidR="00857D55" w:rsidRPr="009303B4">
        <w:t>cont</w:t>
      </w:r>
      <w:r w:rsidR="007B1825" w:rsidRPr="009303B4">
        <w:t>ributing 19.3</w:t>
      </w:r>
      <w:r w:rsidR="004634FF">
        <w:t> </w:t>
      </w:r>
      <w:r w:rsidR="00857D55" w:rsidRPr="009303B4">
        <w:t>percentage points to the 57.3</w:t>
      </w:r>
      <w:r w:rsidR="004634FF">
        <w:t> </w:t>
      </w:r>
      <w:r w:rsidR="00857D55" w:rsidRPr="009303B4">
        <w:t>per</w:t>
      </w:r>
      <w:r w:rsidR="004634FF">
        <w:t> cent of total growth.</w:t>
      </w:r>
    </w:p>
    <w:p w:rsidR="00857D55" w:rsidRPr="009303B4" w:rsidRDefault="00857D55" w:rsidP="00403A0B">
      <w:r w:rsidRPr="009303B4">
        <w:t xml:space="preserve">Strong growth in spending </w:t>
      </w:r>
      <w:r w:rsidR="00B23E79" w:rsidRPr="009303B4">
        <w:t>between 2002</w:t>
      </w:r>
      <w:r w:rsidR="00470A7E" w:rsidRPr="006B456E">
        <w:noBreakHyphen/>
      </w:r>
      <w:r w:rsidR="00B23E79" w:rsidRPr="009303B4">
        <w:t>03 and 2007</w:t>
      </w:r>
      <w:r w:rsidR="00470A7E" w:rsidRPr="006B456E">
        <w:noBreakHyphen/>
      </w:r>
      <w:r w:rsidR="00B23E79" w:rsidRPr="009303B4">
        <w:t>08 wa</w:t>
      </w:r>
      <w:r w:rsidRPr="009303B4">
        <w:t xml:space="preserve">s attributable to increases in </w:t>
      </w:r>
      <w:r w:rsidR="00981027" w:rsidRPr="009303B4">
        <w:t>spending</w:t>
      </w:r>
      <w:r w:rsidRPr="009303B4">
        <w:t xml:space="preserve"> per student and enrolment numbers driven by g</w:t>
      </w:r>
      <w:r w:rsidR="00470A7E">
        <w:t>overnment decisions in the 2003</w:t>
      </w:r>
      <w:r w:rsidR="00470A7E" w:rsidRPr="006B456E">
        <w:noBreakHyphen/>
      </w:r>
      <w:r w:rsidR="003D2864">
        <w:t>04 and 2004</w:t>
      </w:r>
      <w:r w:rsidR="003D2864">
        <w:noBreakHyphen/>
        <w:t>05 Budgets.</w:t>
      </w:r>
    </w:p>
    <w:p w:rsidR="00C07EEE" w:rsidRPr="004236EB" w:rsidRDefault="00C07EEE" w:rsidP="00403A0B">
      <w:r w:rsidRPr="009303B4">
        <w:t xml:space="preserve">The </w:t>
      </w:r>
      <w:r w:rsidRPr="009303B4">
        <w:rPr>
          <w:i/>
          <w:iCs/>
        </w:rPr>
        <w:t xml:space="preserve">Our Universities – Backing Australia’s Future </w:t>
      </w:r>
      <w:r w:rsidRPr="009303B4">
        <w:t>package in the 2003</w:t>
      </w:r>
      <w:r w:rsidR="00470A7E" w:rsidRPr="006B456E">
        <w:noBreakHyphen/>
      </w:r>
      <w:r w:rsidRPr="009303B4">
        <w:t>04</w:t>
      </w:r>
      <w:r w:rsidR="004634FF">
        <w:t> </w:t>
      </w:r>
      <w:r w:rsidRPr="009303B4">
        <w:t>Budget increased Commonwealth funding per student by an additional 2.5</w:t>
      </w:r>
      <w:r w:rsidR="004634FF">
        <w:t> </w:t>
      </w:r>
      <w:r w:rsidRPr="009303B4">
        <w:t>per</w:t>
      </w:r>
      <w:r w:rsidR="004634FF">
        <w:t> </w:t>
      </w:r>
      <w:r w:rsidRPr="009303B4">
        <w:t>cent in 2005, 5</w:t>
      </w:r>
      <w:r w:rsidR="004634FF">
        <w:t> </w:t>
      </w:r>
      <w:r w:rsidRPr="009303B4">
        <w:t>per</w:t>
      </w:r>
      <w:r w:rsidR="004634FF">
        <w:t> </w:t>
      </w:r>
      <w:r w:rsidRPr="009303B4">
        <w:t>cent in 2006 and 7.5 per</w:t>
      </w:r>
      <w:r w:rsidR="004634FF">
        <w:t> </w:t>
      </w:r>
      <w:r w:rsidRPr="009303B4">
        <w:t>cent in 2007, and expanded the number of Commonwealth supported university places by linking increases from 2007 to population growth.</w:t>
      </w:r>
      <w:r w:rsidR="004634FF">
        <w:t xml:space="preserve">  </w:t>
      </w:r>
      <w:r w:rsidRPr="009303B4">
        <w:t xml:space="preserve">The </w:t>
      </w:r>
      <w:r w:rsidRPr="009303B4">
        <w:rPr>
          <w:i/>
          <w:iCs/>
        </w:rPr>
        <w:t>Backing Australia’s</w:t>
      </w:r>
      <w:r w:rsidRPr="004236EB">
        <w:rPr>
          <w:i/>
          <w:iCs/>
        </w:rPr>
        <w:t xml:space="preserve"> Ability</w:t>
      </w:r>
      <w:r w:rsidRPr="004236EB">
        <w:t xml:space="preserve"> package announced in the 2004-05</w:t>
      </w:r>
      <w:r w:rsidR="004634FF">
        <w:t> </w:t>
      </w:r>
      <w:r w:rsidRPr="004236EB">
        <w:t>Budget also increased spending on higher education through additional funding for research infrastructure.</w:t>
      </w:r>
    </w:p>
    <w:p w:rsidR="00857D55" w:rsidRPr="002D5948" w:rsidRDefault="00857D55" w:rsidP="00403A0B">
      <w:r w:rsidRPr="002D5948">
        <w:t>From 2007</w:t>
      </w:r>
      <w:r w:rsidR="00470A7E" w:rsidRPr="006B456E">
        <w:noBreakHyphen/>
      </w:r>
      <w:r w:rsidR="00470A7E">
        <w:t>08 to 2012</w:t>
      </w:r>
      <w:r w:rsidR="00470A7E" w:rsidRPr="006B456E">
        <w:noBreakHyphen/>
      </w:r>
      <w:r w:rsidRPr="002D5948">
        <w:t xml:space="preserve">13, increases in student numbers from the progressive uncapping and eventual move to the current demand driven enrolment model have underpinned significant growth in spending.  Along with this, increasing base funding and providing </w:t>
      </w:r>
      <w:r w:rsidR="001D5D9E" w:rsidRPr="002D5948">
        <w:t>a</w:t>
      </w:r>
      <w:r w:rsidRPr="002D5948">
        <w:t xml:space="preserve"> </w:t>
      </w:r>
      <w:r w:rsidR="00B23E79" w:rsidRPr="002D5948">
        <w:t>socioeconomic status (</w:t>
      </w:r>
      <w:r w:rsidRPr="002D5948">
        <w:t>SES</w:t>
      </w:r>
      <w:r w:rsidR="00B23E79" w:rsidRPr="002D5948">
        <w:t>)</w:t>
      </w:r>
      <w:r w:rsidRPr="002D5948">
        <w:t xml:space="preserve"> l</w:t>
      </w:r>
      <w:r w:rsidR="00EE4119" w:rsidRPr="002D5948">
        <w:t xml:space="preserve">oading on university places </w:t>
      </w:r>
      <w:r w:rsidR="001933B2" w:rsidRPr="002D5948">
        <w:t>contributed a further $1.7</w:t>
      </w:r>
      <w:r w:rsidRPr="002D5948">
        <w:t> billion in spending from 2007</w:t>
      </w:r>
      <w:r w:rsidR="00470A7E" w:rsidRPr="006B456E">
        <w:noBreakHyphen/>
      </w:r>
      <w:r w:rsidRPr="002D5948">
        <w:t>08 onwards.</w:t>
      </w:r>
    </w:p>
    <w:p w:rsidR="003C3BCC" w:rsidRPr="002D5948" w:rsidRDefault="003C3BCC" w:rsidP="003C3BCC">
      <w:pPr>
        <w:pStyle w:val="Heading30"/>
      </w:pPr>
      <w:r w:rsidRPr="002D5948">
        <w:t>School specific and administration</w:t>
      </w:r>
    </w:p>
    <w:p w:rsidR="003C3BCC" w:rsidRPr="002D5948" w:rsidRDefault="003C3BCC" w:rsidP="003C3BCC">
      <w:r w:rsidRPr="002D5948">
        <w:t>Administration and school s</w:t>
      </w:r>
      <w:r w:rsidR="007B1825" w:rsidRPr="002D5948">
        <w:t>pecific programs contributed 8.0</w:t>
      </w:r>
      <w:r w:rsidR="004634FF">
        <w:t> </w:t>
      </w:r>
      <w:r w:rsidRPr="002D5948">
        <w:t>percent</w:t>
      </w:r>
      <w:r w:rsidR="007B1825" w:rsidRPr="002D5948">
        <w:t>age points</w:t>
      </w:r>
      <w:r w:rsidR="00E71BEB">
        <w:t>, or 14 per cent of</w:t>
      </w:r>
      <w:r w:rsidRPr="002D5948">
        <w:t xml:space="preserve"> overall growth in spending on education from 2002</w:t>
      </w:r>
      <w:r w:rsidR="00470A7E" w:rsidRPr="006B456E">
        <w:noBreakHyphen/>
      </w:r>
      <w:r w:rsidR="00470A7E">
        <w:t>03 to 2012</w:t>
      </w:r>
      <w:r w:rsidR="00470A7E" w:rsidRPr="006B456E">
        <w:noBreakHyphen/>
      </w:r>
      <w:r w:rsidRPr="002D5948">
        <w:t xml:space="preserve">13.  </w:t>
      </w:r>
      <w:r w:rsidR="0035624A" w:rsidRPr="002D5948">
        <w:t>T</w:t>
      </w:r>
      <w:r w:rsidRPr="002D5948">
        <w:t>his was driven by a growing number of NPPs over the period including on Digital Education commencing in 2007</w:t>
      </w:r>
      <w:r w:rsidR="00470A7E" w:rsidRPr="006B456E">
        <w:noBreakHyphen/>
      </w:r>
      <w:r w:rsidRPr="002D5948">
        <w:t>08, and the National Plan for Numeracy and Literacy and teacher quality reward p</w:t>
      </w:r>
      <w:r w:rsidR="004634FF">
        <w:t>ayments comme</w:t>
      </w:r>
      <w:r w:rsidR="00470A7E">
        <w:t xml:space="preserve">ncing in </w:t>
      </w:r>
      <w:r w:rsidR="00470A7E" w:rsidRPr="00470A7E">
        <w:t>2008</w:t>
      </w:r>
      <w:r w:rsidR="00470A7E" w:rsidRPr="006B456E">
        <w:noBreakHyphen/>
      </w:r>
      <w:r w:rsidR="004634FF" w:rsidRPr="00470A7E">
        <w:t>09</w:t>
      </w:r>
      <w:r w:rsidR="004634FF">
        <w:t>.</w:t>
      </w:r>
    </w:p>
    <w:p w:rsidR="003C3BCC" w:rsidRPr="002D5948" w:rsidRDefault="003C3BCC" w:rsidP="003C3BCC">
      <w:pPr>
        <w:pStyle w:val="Heading30"/>
      </w:pPr>
      <w:r w:rsidRPr="002D5948">
        <w:t>Contribution from student assistance</w:t>
      </w:r>
    </w:p>
    <w:p w:rsidR="00DF60E6" w:rsidRPr="002D5948" w:rsidRDefault="00DF60E6" w:rsidP="00DF60E6">
      <w:pPr>
        <w:pStyle w:val="PBOtext"/>
      </w:pPr>
      <w:r w:rsidRPr="002D5948">
        <w:t>Student assistance contributed 2.6</w:t>
      </w:r>
      <w:r w:rsidR="004634FF">
        <w:t> </w:t>
      </w:r>
      <w:r w:rsidRPr="002D5948">
        <w:t>percentage points</w:t>
      </w:r>
      <w:r w:rsidR="00E71BEB">
        <w:t>, or 5 per cent of</w:t>
      </w:r>
      <w:r w:rsidRPr="002D5948">
        <w:t xml:space="preserve"> overall growth in spending on education from 2002-03 to 2012</w:t>
      </w:r>
      <w:r w:rsidR="004634FF">
        <w:t>-</w:t>
      </w:r>
      <w:r w:rsidRPr="002D5948">
        <w:t>13.</w:t>
      </w:r>
      <w:r w:rsidR="004634FF">
        <w:t xml:space="preserve">  </w:t>
      </w:r>
      <w:r w:rsidRPr="002D5948">
        <w:t xml:space="preserve">This includes spending on Youth Allowance (student), </w:t>
      </w:r>
      <w:proofErr w:type="spellStart"/>
      <w:r w:rsidRPr="002D5948">
        <w:t>Austudy</w:t>
      </w:r>
      <w:proofErr w:type="spellEnd"/>
      <w:r w:rsidRPr="002D5948">
        <w:t>, ABSTUDY, the former Student Financial Supplement Scheme, Veterans’ Education Tax Supplement and expenses relating to the Higher Education Loan Program (HELP).</w:t>
      </w:r>
    </w:p>
    <w:p w:rsidR="00DF60E6" w:rsidRPr="002D5948" w:rsidRDefault="00DF60E6" w:rsidP="00DF60E6">
      <w:pPr>
        <w:pStyle w:val="PBOtext"/>
      </w:pPr>
      <w:r w:rsidRPr="002D5948">
        <w:t xml:space="preserve">This growth was driven by increases in spending on Youth Allowance (student), </w:t>
      </w:r>
      <w:proofErr w:type="spellStart"/>
      <w:r w:rsidRPr="002D5948">
        <w:t>Austudy</w:t>
      </w:r>
      <w:proofErr w:type="spellEnd"/>
      <w:r w:rsidRPr="002D5948">
        <w:t>,</w:t>
      </w:r>
      <w:r w:rsidR="00D062FB" w:rsidRPr="002D5948">
        <w:t xml:space="preserve"> and</w:t>
      </w:r>
      <w:r w:rsidRPr="002D5948">
        <w:t xml:space="preserve"> </w:t>
      </w:r>
      <w:r w:rsidRPr="00550FC1">
        <w:t>ABSTUDY</w:t>
      </w:r>
      <w:r w:rsidR="004634FF" w:rsidRPr="00550FC1">
        <w:t>,</w:t>
      </w:r>
      <w:r w:rsidRPr="00550FC1">
        <w:t xml:space="preserve"> which</w:t>
      </w:r>
      <w:r w:rsidRPr="002D5948">
        <w:t xml:space="preserve"> together accounted for </w:t>
      </w:r>
      <w:r w:rsidR="0035624A" w:rsidRPr="002D5948">
        <w:t>over 90</w:t>
      </w:r>
      <w:r w:rsidRPr="002D5948">
        <w:t xml:space="preserve"> per cent of </w:t>
      </w:r>
      <w:r w:rsidR="0035624A" w:rsidRPr="004F6A0B">
        <w:t xml:space="preserve">spending </w:t>
      </w:r>
      <w:r w:rsidR="009722D3" w:rsidRPr="004F6A0B">
        <w:t>o</w:t>
      </w:r>
      <w:r w:rsidRPr="004F6A0B">
        <w:t>n student</w:t>
      </w:r>
      <w:r w:rsidRPr="002D5948">
        <w:t xml:space="preserve"> assistance</w:t>
      </w:r>
      <w:r w:rsidR="004634FF">
        <w:t xml:space="preserve"> in </w:t>
      </w:r>
      <w:r w:rsidR="004634FF">
        <w:br/>
        <w:t>2012</w:t>
      </w:r>
      <w:r w:rsidR="00470A7E" w:rsidRPr="006B456E">
        <w:noBreakHyphen/>
      </w:r>
      <w:r w:rsidR="0035624A" w:rsidRPr="002D5948">
        <w:t>13</w:t>
      </w:r>
      <w:r w:rsidRPr="002D5948">
        <w:t>.</w:t>
      </w:r>
      <w:r w:rsidR="004634FF">
        <w:t xml:space="preserve"> </w:t>
      </w:r>
      <w:r w:rsidRPr="002D5948">
        <w:t xml:space="preserve"> Expenses on these three payments fell over the period 2002</w:t>
      </w:r>
      <w:r w:rsidR="00470A7E" w:rsidRPr="006B456E">
        <w:noBreakHyphen/>
      </w:r>
      <w:r w:rsidR="00470A7E">
        <w:t xml:space="preserve">03 to </w:t>
      </w:r>
      <w:r w:rsidR="00470A7E" w:rsidRPr="00470A7E">
        <w:t>2007</w:t>
      </w:r>
      <w:r w:rsidR="00470A7E" w:rsidRPr="006B456E">
        <w:noBreakHyphen/>
      </w:r>
      <w:r w:rsidRPr="00470A7E">
        <w:t>08</w:t>
      </w:r>
      <w:r w:rsidRPr="002D5948">
        <w:t xml:space="preserve">, reflecting a fall in recipient numbers, but </w:t>
      </w:r>
      <w:r w:rsidR="0035624A" w:rsidRPr="002D5948">
        <w:t>grew</w:t>
      </w:r>
      <w:r w:rsidR="00470A7E">
        <w:t xml:space="preserve"> through to 2012</w:t>
      </w:r>
      <w:r w:rsidR="00470A7E" w:rsidRPr="006B456E">
        <w:noBreakHyphen/>
      </w:r>
      <w:r w:rsidRPr="002D5948">
        <w:t>13 as recipient numbers rose, partly in response to th</w:t>
      </w:r>
      <w:r w:rsidR="004634FF">
        <w:t>e uncapping of student numbers.</w:t>
      </w:r>
    </w:p>
    <w:p w:rsidR="003C3BCC" w:rsidRPr="004236EB" w:rsidRDefault="00DF60E6" w:rsidP="00DF60E6">
      <w:pPr>
        <w:pStyle w:val="PBOtext"/>
      </w:pPr>
      <w:r w:rsidRPr="002D5948">
        <w:t>Much of the remainder of the growth in student assistance expenses result</w:t>
      </w:r>
      <w:r w:rsidR="00265B25">
        <w:t>ed</w:t>
      </w:r>
      <w:r w:rsidRPr="002D5948">
        <w:t xml:space="preserve"> from expenses related to HELP.</w:t>
      </w:r>
      <w:r w:rsidR="004634FF">
        <w:t xml:space="preserve"> </w:t>
      </w:r>
      <w:r w:rsidRPr="002D5948">
        <w:t xml:space="preserve"> Student assistance spending on HELP reflects the cost associated</w:t>
      </w:r>
      <w:r w:rsidRPr="004236EB">
        <w:t xml:space="preserve"> with providing loans at a concessional rather than market rate and discounts for up</w:t>
      </w:r>
      <w:r w:rsidRPr="004236EB">
        <w:noBreakHyphen/>
        <w:t xml:space="preserve">front and voluntary repayments. </w:t>
      </w:r>
      <w:r w:rsidR="004634FF">
        <w:t xml:space="preserve"> </w:t>
      </w:r>
      <w:r w:rsidRPr="004236EB">
        <w:lastRenderedPageBreak/>
        <w:t>Consistent data on this spending is not available because the costs associated with providing these loans have not been calculated in the same way over time and no attempt has been made to do this retrospectively.</w:t>
      </w:r>
      <w:r w:rsidR="00C332EF">
        <w:t xml:space="preserve">  In particular, expenses for HELP have not been recorded for the years prior to 2005</w:t>
      </w:r>
      <w:r w:rsidR="00470A7E" w:rsidRPr="006B456E">
        <w:noBreakHyphen/>
      </w:r>
      <w:r w:rsidR="00C332EF">
        <w:t>06 which prevents an analysis of the growth in these expe</w:t>
      </w:r>
      <w:r w:rsidR="00470A7E">
        <w:t xml:space="preserve">nses over the period 2002-03 to </w:t>
      </w:r>
      <w:r w:rsidR="00C332EF">
        <w:t>2012</w:t>
      </w:r>
      <w:r w:rsidR="00470A7E" w:rsidRPr="006B456E">
        <w:noBreakHyphen/>
      </w:r>
      <w:r w:rsidR="00C332EF">
        <w:t>13.</w:t>
      </w:r>
    </w:p>
    <w:p w:rsidR="003C3BCC" w:rsidRPr="004236EB" w:rsidRDefault="003C3BCC" w:rsidP="003C3BCC">
      <w:pPr>
        <w:pStyle w:val="PBOtext"/>
      </w:pPr>
      <w:r w:rsidRPr="004236EB">
        <w:t>The value of HELP loans was $21.6 billion</w:t>
      </w:r>
      <w:r w:rsidRPr="004236EB">
        <w:rPr>
          <w:vertAlign w:val="superscript"/>
        </w:rPr>
        <w:footnoteReference w:id="11"/>
      </w:r>
      <w:r w:rsidR="00470A7E">
        <w:t xml:space="preserve"> in 2012</w:t>
      </w:r>
      <w:r w:rsidR="00470A7E" w:rsidRPr="006B456E">
        <w:noBreakHyphen/>
      </w:r>
      <w:r w:rsidRPr="004236EB">
        <w:t>13, and is estimated to nearly double to $42.1 billion in 2016</w:t>
      </w:r>
      <w:r w:rsidR="00470A7E" w:rsidRPr="006B456E">
        <w:noBreakHyphen/>
      </w:r>
      <w:r w:rsidRPr="004236EB">
        <w:t>17</w:t>
      </w:r>
      <w:r w:rsidRPr="004236EB">
        <w:rPr>
          <w:rStyle w:val="FootnoteReference"/>
        </w:rPr>
        <w:footnoteReference w:id="12"/>
      </w:r>
      <w:r w:rsidRPr="004236EB">
        <w:t xml:space="preserve"> as a result of the move to the demand drive</w:t>
      </w:r>
      <w:r w:rsidR="00C332EF">
        <w:t>n model of student enrolments.</w:t>
      </w:r>
    </w:p>
    <w:p w:rsidR="00857D55" w:rsidRPr="002D5948" w:rsidRDefault="00857D55" w:rsidP="003C3BCC">
      <w:pPr>
        <w:pStyle w:val="Heading30"/>
      </w:pPr>
      <w:r w:rsidRPr="002D5948">
        <w:t>Contributions from vocational education and training</w:t>
      </w:r>
    </w:p>
    <w:p w:rsidR="00857D55" w:rsidRPr="003A2A6C" w:rsidRDefault="00857D55" w:rsidP="00403A0B">
      <w:r w:rsidRPr="002D5948">
        <w:t>Vocational education and training (VET) spending contribute</w:t>
      </w:r>
      <w:r w:rsidR="00992795" w:rsidRPr="002D5948">
        <w:t>d</w:t>
      </w:r>
      <w:r w:rsidR="0035624A" w:rsidRPr="002D5948">
        <w:t xml:space="preserve"> less than one per</w:t>
      </w:r>
      <w:r w:rsidRPr="002D5948">
        <w:t>cent</w:t>
      </w:r>
      <w:r w:rsidR="0035624A" w:rsidRPr="002D5948">
        <w:t>age point</w:t>
      </w:r>
      <w:r w:rsidRPr="002D5948">
        <w:t xml:space="preserve"> of overall growth in </w:t>
      </w:r>
      <w:r w:rsidR="00470A7E">
        <w:t>spending on education from 2002</w:t>
      </w:r>
      <w:r w:rsidR="00470A7E" w:rsidRPr="006B456E">
        <w:noBreakHyphen/>
      </w:r>
      <w:r w:rsidRPr="002D5948">
        <w:t>03 to 2012</w:t>
      </w:r>
      <w:r w:rsidR="00470A7E" w:rsidRPr="006B456E">
        <w:noBreakHyphen/>
      </w:r>
      <w:r w:rsidRPr="002D5948">
        <w:t>13.</w:t>
      </w:r>
    </w:p>
    <w:p w:rsidR="00857D55" w:rsidRPr="0095248F" w:rsidRDefault="00857D55" w:rsidP="00403A0B">
      <w:r>
        <w:t xml:space="preserve">This growth </w:t>
      </w:r>
      <w:r w:rsidR="00B23E79">
        <w:t xml:space="preserve">was due to </w:t>
      </w:r>
      <w:r w:rsidRPr="003A2A6C">
        <w:t>an increase in the amount of funding provided to States for the sector under the Natio</w:t>
      </w:r>
      <w:r>
        <w:t>nal Skills and Workforce SPP.</w:t>
      </w:r>
      <w:r w:rsidR="004634FF">
        <w:t xml:space="preserve"> </w:t>
      </w:r>
      <w:r>
        <w:t xml:space="preserve"> There has been limited growth in Commonwealth spending through States in this area reflecting a focus on providing support directly to students, apprentices </w:t>
      </w:r>
      <w:r w:rsidRPr="003D676E">
        <w:t>and th</w:t>
      </w:r>
      <w:r w:rsidR="00B23E79" w:rsidRPr="003D676E">
        <w:t>e sector which is discussed in C</w:t>
      </w:r>
      <w:r w:rsidR="00470A7E" w:rsidRPr="003D676E">
        <w:t>hapter </w:t>
      </w:r>
      <w:r w:rsidR="005E2CD6" w:rsidRPr="003D676E">
        <w:t>8</w:t>
      </w:r>
      <w:r w:rsidR="00B23E79" w:rsidRPr="003D676E">
        <w:t>.</w:t>
      </w:r>
    </w:p>
    <w:p w:rsidR="00857D55" w:rsidRPr="004E2C04" w:rsidRDefault="00857D55" w:rsidP="00403A0B">
      <w:r w:rsidRPr="004E2C04">
        <w:t xml:space="preserve"> </w:t>
      </w:r>
    </w:p>
    <w:p w:rsidR="00D20B7F" w:rsidRDefault="00D20B7F" w:rsidP="00344501">
      <w:pPr>
        <w:pStyle w:val="FigureCaption"/>
        <w:sectPr w:rsidR="00D20B7F" w:rsidSect="0099638E">
          <w:headerReference w:type="even" r:id="rId35"/>
          <w:headerReference w:type="default" r:id="rId36"/>
          <w:footerReference w:type="default" r:id="rId37"/>
          <w:headerReference w:type="first" r:id="rId38"/>
          <w:footerReference w:type="first" r:id="rId39"/>
          <w:pgSz w:w="11900" w:h="16840"/>
          <w:pgMar w:top="1440" w:right="1797" w:bottom="1440" w:left="1797" w:header="709" w:footer="709" w:gutter="0"/>
          <w:cols w:space="708"/>
          <w:titlePg/>
          <w:docGrid w:linePitch="326"/>
        </w:sectPr>
      </w:pPr>
    </w:p>
    <w:p w:rsidR="00D665E5" w:rsidRDefault="00D665E5" w:rsidP="003D676E">
      <w:pPr>
        <w:pStyle w:val="Heading1"/>
        <w:numPr>
          <w:ilvl w:val="0"/>
          <w:numId w:val="31"/>
        </w:numPr>
        <w:ind w:left="709" w:hanging="709"/>
      </w:pPr>
      <w:bookmarkStart w:id="150" w:name="_Toc374182868"/>
      <w:bookmarkStart w:id="151" w:name="_Toc374349464"/>
      <w:bookmarkStart w:id="152" w:name="_Toc372697975"/>
      <w:bookmarkStart w:id="153" w:name="_Toc373778494"/>
      <w:r>
        <w:lastRenderedPageBreak/>
        <w:t>General public services</w:t>
      </w:r>
      <w:r w:rsidRPr="00686315">
        <w:t xml:space="preserve"> expenses</w:t>
      </w:r>
      <w:bookmarkEnd w:id="150"/>
      <w:bookmarkEnd w:id="151"/>
    </w:p>
    <w:p w:rsidR="00D665E5" w:rsidRDefault="00D665E5" w:rsidP="00D665E5">
      <w:r>
        <w:t>G</w:t>
      </w:r>
      <w:r w:rsidRPr="00A427FB">
        <w:t xml:space="preserve">eneral public services </w:t>
      </w:r>
      <w:r>
        <w:t xml:space="preserve">spending </w:t>
      </w:r>
      <w:r w:rsidRPr="00A427FB">
        <w:t>was</w:t>
      </w:r>
      <w:r>
        <w:t xml:space="preserve"> $26</w:t>
      </w:r>
      <w:r w:rsidR="00520211">
        <w:t>.0</w:t>
      </w:r>
      <w:r w:rsidR="00594500">
        <w:t> </w:t>
      </w:r>
      <w:r w:rsidRPr="00A427FB">
        <w:t>billion</w:t>
      </w:r>
      <w:r>
        <w:t xml:space="preserve"> in </w:t>
      </w:r>
      <w:proofErr w:type="gramStart"/>
      <w:r>
        <w:t>2012</w:t>
      </w:r>
      <w:r w:rsidR="00470A7E" w:rsidRPr="006B456E">
        <w:noBreakHyphen/>
      </w:r>
      <w:r>
        <w:t>13</w:t>
      </w:r>
      <w:r w:rsidRPr="00A427FB">
        <w:t>,</w:t>
      </w:r>
      <w:proofErr w:type="gramEnd"/>
      <w:r w:rsidRPr="00A427FB">
        <w:t xml:space="preserve"> </w:t>
      </w:r>
      <w:r>
        <w:t>or 6.8</w:t>
      </w:r>
      <w:r w:rsidR="00594500">
        <w:t> </w:t>
      </w:r>
      <w:r w:rsidRPr="00A427FB">
        <w:t>per</w:t>
      </w:r>
      <w:r w:rsidR="00594500">
        <w:t> </w:t>
      </w:r>
      <w:r w:rsidRPr="00A427FB">
        <w:t xml:space="preserve">cent of </w:t>
      </w:r>
      <w:r>
        <w:t xml:space="preserve">total </w:t>
      </w:r>
      <w:r w:rsidRPr="00A427FB">
        <w:t>government</w:t>
      </w:r>
      <w:r>
        <w:t xml:space="preserve"> spending</w:t>
      </w:r>
      <w:r w:rsidRPr="00A427FB">
        <w:t>.</w:t>
      </w:r>
      <w:r>
        <w:t xml:space="preserve">  </w:t>
      </w:r>
      <w:r w:rsidRPr="00A427FB">
        <w:t xml:space="preserve">The </w:t>
      </w:r>
      <w:r>
        <w:t>composition</w:t>
      </w:r>
      <w:r w:rsidRPr="00A427FB">
        <w:t xml:space="preserve"> of this spending is shown in </w:t>
      </w:r>
      <w:r w:rsidR="00134D4A">
        <w:t>Figure</w:t>
      </w:r>
      <w:r w:rsidR="00470A7E">
        <w:t> </w:t>
      </w:r>
      <w:r w:rsidR="00134D4A">
        <w:t xml:space="preserve">6.1 </w:t>
      </w:r>
      <w:r w:rsidRPr="00A427FB">
        <w:t>below.</w:t>
      </w:r>
    </w:p>
    <w:p w:rsidR="00D665E5" w:rsidRDefault="00D665E5" w:rsidP="007A4A40">
      <w:pPr>
        <w:pStyle w:val="Caption"/>
      </w:pPr>
      <w:bookmarkStart w:id="154" w:name="_Toc374088502"/>
      <w:bookmarkStart w:id="155" w:name="_Toc374102213"/>
      <w:bookmarkStart w:id="156" w:name="_Toc374349998"/>
      <w:proofErr w:type="gramStart"/>
      <w:r w:rsidRPr="004236EB">
        <w:t xml:space="preserve">Figure </w:t>
      </w:r>
      <w:r w:rsidR="00134D4A">
        <w:t>6</w:t>
      </w:r>
      <w:r w:rsidRPr="004236EB">
        <w:t>.</w:t>
      </w:r>
      <w:proofErr w:type="gramEnd"/>
      <w:r w:rsidR="00143AAD">
        <w:fldChar w:fldCharType="begin"/>
      </w:r>
      <w:r w:rsidR="00143AAD">
        <w:instrText xml:space="preserve"> SEQ Figure \* ARABIC \s 1 </w:instrText>
      </w:r>
      <w:r w:rsidR="00143AAD">
        <w:fldChar w:fldCharType="separate"/>
      </w:r>
      <w:r w:rsidR="00E862AC">
        <w:rPr>
          <w:noProof/>
        </w:rPr>
        <w:t>1</w:t>
      </w:r>
      <w:r w:rsidR="00143AAD">
        <w:rPr>
          <w:noProof/>
        </w:rPr>
        <w:fldChar w:fldCharType="end"/>
      </w:r>
      <w:r w:rsidRPr="004236EB">
        <w:t>:</w:t>
      </w:r>
      <w:r>
        <w:tab/>
      </w:r>
      <w:r w:rsidRPr="004236EB">
        <w:t>Composition of general public services expenses in 2012-13</w:t>
      </w:r>
      <w:bookmarkEnd w:id="154"/>
      <w:bookmarkEnd w:id="155"/>
      <w:bookmarkEnd w:id="156"/>
    </w:p>
    <w:p w:rsidR="00D665E5" w:rsidRDefault="00306D60" w:rsidP="00D665E5">
      <w:pPr>
        <w:spacing w:before="0" w:after="0"/>
        <w:jc w:val="center"/>
      </w:pPr>
      <w:r>
        <w:rPr>
          <w:noProof/>
        </w:rPr>
        <w:drawing>
          <wp:inline distT="0" distB="0" distL="0" distR="0" wp14:anchorId="5C7F40F2" wp14:editId="18EB7090">
            <wp:extent cx="4673600" cy="3848100"/>
            <wp:effectExtent l="0" t="0" r="0" b="0"/>
            <wp:docPr id="4" name="Picture 4" descr="This chart shows the composition of general public services expenses in 2012–13.  Spending on government superannuation benefits was the largest area of spending at 31 per cent, followed by financial and fiscal affairs at 30 per cent and foreign affairs and economic aid at 22 per cent.&#10;" title="Fig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1915" b="1366"/>
                    <a:stretch/>
                  </pic:blipFill>
                  <pic:spPr bwMode="auto">
                    <a:xfrm>
                      <a:off x="0" y="0"/>
                      <a:ext cx="4676140" cy="3850191"/>
                    </a:xfrm>
                    <a:prstGeom prst="rect">
                      <a:avLst/>
                    </a:prstGeom>
                    <a:noFill/>
                    <a:ln>
                      <a:noFill/>
                    </a:ln>
                    <a:extLst>
                      <a:ext uri="{53640926-AAD7-44D8-BBD7-CCE9431645EC}">
                        <a14:shadowObscured xmlns:a14="http://schemas.microsoft.com/office/drawing/2010/main"/>
                      </a:ext>
                    </a:extLst>
                  </pic:spPr>
                </pic:pic>
              </a:graphicData>
            </a:graphic>
          </wp:inline>
        </w:drawing>
      </w:r>
    </w:p>
    <w:p w:rsidR="00D665E5" w:rsidRDefault="00D665E5" w:rsidP="00306D60">
      <w:pPr>
        <w:pStyle w:val="FigureCaption"/>
      </w:pPr>
      <w:r>
        <w:t xml:space="preserve">Source: Australian Government </w:t>
      </w:r>
      <w:r>
        <w:rPr>
          <w:rFonts w:cs="Arial"/>
        </w:rPr>
        <w:t>Final Budget Outcome</w:t>
      </w:r>
      <w:r w:rsidRPr="00414653">
        <w:rPr>
          <w:rFonts w:cs="Arial"/>
        </w:rPr>
        <w:t xml:space="preserve"> </w:t>
      </w:r>
      <w:r>
        <w:rPr>
          <w:rFonts w:cs="Arial"/>
        </w:rPr>
        <w:t>2012-13</w:t>
      </w:r>
    </w:p>
    <w:p w:rsidR="00520211" w:rsidRDefault="00550FC1" w:rsidP="00D665E5">
      <w:r w:rsidRPr="00CA4DEE">
        <w:rPr>
          <w:b/>
        </w:rPr>
        <w:t>G</w:t>
      </w:r>
      <w:r w:rsidR="00520211" w:rsidRPr="00CA4DEE">
        <w:rPr>
          <w:b/>
        </w:rPr>
        <w:t>overnment</w:t>
      </w:r>
      <w:r w:rsidR="00520211" w:rsidRPr="00BF2C99">
        <w:rPr>
          <w:b/>
        </w:rPr>
        <w:t xml:space="preserve"> superannuation</w:t>
      </w:r>
      <w:r w:rsidR="00520211" w:rsidRPr="00A427FB">
        <w:rPr>
          <w:b/>
        </w:rPr>
        <w:t xml:space="preserve"> benefits</w:t>
      </w:r>
      <w:r w:rsidR="00520211">
        <w:t xml:space="preserve"> totalled $7.9</w:t>
      </w:r>
      <w:r w:rsidR="00594500">
        <w:t> </w:t>
      </w:r>
      <w:r w:rsidR="00520211" w:rsidRPr="00A427FB">
        <w:t xml:space="preserve">billion or </w:t>
      </w:r>
      <w:r w:rsidR="00520211">
        <w:t>31 per</w:t>
      </w:r>
      <w:r w:rsidR="00594500">
        <w:t> </w:t>
      </w:r>
      <w:r w:rsidR="00520211">
        <w:t xml:space="preserve">cent of </w:t>
      </w:r>
      <w:r w:rsidR="00520211" w:rsidRPr="004236EB">
        <w:t xml:space="preserve">general public services spending.  This includes Australian </w:t>
      </w:r>
      <w:r w:rsidR="00520211" w:rsidRPr="00706358">
        <w:t>Government</w:t>
      </w:r>
      <w:r w:rsidR="00520211" w:rsidRPr="004236EB">
        <w:t xml:space="preserve"> superannuation schemes for civilian and military personnel, and Senators and Members of Parliament.  Government superannuation benefits represent the increase in Commonwealth superannuation liabilities for employees over a given financial year.  This is distinct from nominal superannuation interest which represents the imputed nominal interest expense accrued during the period on unfunded liabilities for government superannuation benefits, and is discussed in more detail in Chapter 3.</w:t>
      </w:r>
    </w:p>
    <w:p w:rsidR="00D665E5" w:rsidRPr="00A427FB" w:rsidRDefault="00D665E5" w:rsidP="00D665E5">
      <w:r w:rsidRPr="00A427FB">
        <w:rPr>
          <w:b/>
        </w:rPr>
        <w:t>Financial and fiscal affairs</w:t>
      </w:r>
      <w:r w:rsidRPr="00A427FB">
        <w:t xml:space="preserve"> </w:t>
      </w:r>
      <w:r>
        <w:t>spending amounted to</w:t>
      </w:r>
      <w:r w:rsidRPr="00A427FB">
        <w:t xml:space="preserve"> $</w:t>
      </w:r>
      <w:r>
        <w:t>7.8</w:t>
      </w:r>
      <w:r w:rsidRPr="00A427FB">
        <w:t> billion</w:t>
      </w:r>
      <w:r w:rsidR="00470A7E">
        <w:t xml:space="preserve"> in 2012</w:t>
      </w:r>
      <w:r w:rsidR="00470A7E" w:rsidRPr="006B456E">
        <w:noBreakHyphen/>
      </w:r>
      <w:r>
        <w:t>13</w:t>
      </w:r>
      <w:r w:rsidRPr="00A427FB">
        <w:t xml:space="preserve">, or </w:t>
      </w:r>
      <w:r>
        <w:t>30</w:t>
      </w:r>
      <w:r w:rsidRPr="00A427FB">
        <w:t> per cent of general public services</w:t>
      </w:r>
      <w:r>
        <w:t xml:space="preserve"> spending</w:t>
      </w:r>
      <w:r w:rsidRPr="00A427FB">
        <w:t>.</w:t>
      </w:r>
      <w:r>
        <w:t xml:space="preserve">  This includes funding for the Treasury, the </w:t>
      </w:r>
      <w:r w:rsidRPr="00706358">
        <w:t>Australian Taxation Office (ATO)</w:t>
      </w:r>
      <w:r>
        <w:t xml:space="preserve"> and the Australian Bureau of Statistics (ABS).</w:t>
      </w:r>
      <w:r w:rsidRPr="00A427FB">
        <w:t xml:space="preserve">  Spending on </w:t>
      </w:r>
      <w:r w:rsidRPr="00A427FB">
        <w:rPr>
          <w:b/>
        </w:rPr>
        <w:t>foreign affairs and economic aid</w:t>
      </w:r>
      <w:r w:rsidRPr="00A427FB">
        <w:t xml:space="preserve"> </w:t>
      </w:r>
      <w:r>
        <w:t>was $5.8</w:t>
      </w:r>
      <w:r w:rsidR="00A14AA5">
        <w:t> </w:t>
      </w:r>
      <w:r w:rsidRPr="00A427FB">
        <w:t xml:space="preserve">billion, </w:t>
      </w:r>
      <w:r>
        <w:t>about a</w:t>
      </w:r>
      <w:r w:rsidRPr="00A427FB">
        <w:t xml:space="preserve"> quarter of general public services</w:t>
      </w:r>
      <w:r>
        <w:t xml:space="preserve"> spending</w:t>
      </w:r>
      <w:r w:rsidRPr="00A427FB">
        <w:t>, and</w:t>
      </w:r>
      <w:r>
        <w:t xml:space="preserve"> </w:t>
      </w:r>
      <w:r w:rsidRPr="00A427FB">
        <w:t>includes</w:t>
      </w:r>
      <w:r>
        <w:t xml:space="preserve"> </w:t>
      </w:r>
      <w:r w:rsidRPr="00C842F9">
        <w:t>programs under the Department of Foreign Affairs and Trade (DFAT)</w:t>
      </w:r>
      <w:r>
        <w:t>,</w:t>
      </w:r>
      <w:r w:rsidRPr="00267DAD">
        <w:t xml:space="preserve"> and </w:t>
      </w:r>
      <w:r>
        <w:t>O</w:t>
      </w:r>
      <w:r w:rsidRPr="00A427FB">
        <w:t xml:space="preserve">fficial </w:t>
      </w:r>
      <w:r>
        <w:t>D</w:t>
      </w:r>
      <w:r w:rsidRPr="00A427FB">
        <w:t xml:space="preserve">evelopment </w:t>
      </w:r>
      <w:r>
        <w:t>A</w:t>
      </w:r>
      <w:r w:rsidRPr="00A427FB">
        <w:t>ssistance</w:t>
      </w:r>
      <w:r>
        <w:t xml:space="preserve"> (ODA).</w:t>
      </w:r>
    </w:p>
    <w:p w:rsidR="00D665E5" w:rsidRPr="004236EB" w:rsidRDefault="00D665E5" w:rsidP="00D665E5">
      <w:r w:rsidRPr="004236EB">
        <w:rPr>
          <w:b/>
        </w:rPr>
        <w:t xml:space="preserve">General research </w:t>
      </w:r>
      <w:r w:rsidRPr="004236EB">
        <w:t xml:space="preserve">spending includes funding provided to the Commonwealth Scientific and Industrial Research Organisation (CSIRO), the Australian Research Council (ARC) and for research and innovation </w:t>
      </w:r>
      <w:r w:rsidR="00520211">
        <w:t xml:space="preserve">programs, and accounted </w:t>
      </w:r>
      <w:r w:rsidR="00520211" w:rsidRPr="00550FC1">
        <w:t>for $2.7</w:t>
      </w:r>
      <w:r w:rsidR="00A14AA5" w:rsidRPr="00550FC1">
        <w:t> </w:t>
      </w:r>
      <w:r w:rsidRPr="00550FC1">
        <w:t>billion</w:t>
      </w:r>
      <w:r w:rsidRPr="004236EB">
        <w:t xml:space="preserve"> or</w:t>
      </w:r>
      <w:r w:rsidR="00A14AA5">
        <w:t xml:space="preserve"> 10 per </w:t>
      </w:r>
      <w:r w:rsidRPr="004236EB">
        <w:t>cent of total spending.</w:t>
      </w:r>
    </w:p>
    <w:p w:rsidR="00D665E5" w:rsidRDefault="00D665E5" w:rsidP="00D665E5">
      <w:r w:rsidRPr="004236EB">
        <w:lastRenderedPageBreak/>
        <w:t xml:space="preserve">Spending on </w:t>
      </w:r>
      <w:r w:rsidRPr="004236EB">
        <w:rPr>
          <w:b/>
        </w:rPr>
        <w:t>legislative and executive affairs</w:t>
      </w:r>
      <w:r w:rsidRPr="004236EB">
        <w:t xml:space="preserve"> amounted to $959</w:t>
      </w:r>
      <w:r w:rsidR="00A14AA5">
        <w:t> </w:t>
      </w:r>
      <w:r w:rsidRPr="004236EB">
        <w:t>million, making up around 4 per cent of general public services spending.  This includes parliamentary services, Ministerial entitlements, electoral services and support for the Prime Minister and Governor-General.</w:t>
      </w:r>
    </w:p>
    <w:p w:rsidR="00520211" w:rsidRPr="004236EB" w:rsidRDefault="00520211" w:rsidP="00520211">
      <w:r w:rsidRPr="004236EB">
        <w:rPr>
          <w:b/>
        </w:rPr>
        <w:t>General services</w:t>
      </w:r>
      <w:r w:rsidRPr="004236EB">
        <w:t xml:space="preserve"> spending was $759</w:t>
      </w:r>
      <w:r w:rsidR="00A14AA5">
        <w:t> </w:t>
      </w:r>
      <w:r w:rsidRPr="004236EB">
        <w:t>million (3</w:t>
      </w:r>
      <w:r w:rsidR="00A14AA5">
        <w:t> </w:t>
      </w:r>
      <w:r w:rsidRPr="004236EB">
        <w:t>per</w:t>
      </w:r>
      <w:r w:rsidR="00A14AA5">
        <w:t> </w:t>
      </w:r>
      <w:r w:rsidRPr="004236EB">
        <w:t xml:space="preserve">cent of the total), and included the Australian Public Service Commission, safety, rehabilitation and compensation spending administered by </w:t>
      </w:r>
      <w:proofErr w:type="spellStart"/>
      <w:r w:rsidRPr="004236EB">
        <w:t>Comcare</w:t>
      </w:r>
      <w:proofErr w:type="spellEnd"/>
      <w:r w:rsidRPr="004236EB">
        <w:t xml:space="preserve">, and the parts of the Department of Finance responsible for insurance and the management of Australian </w:t>
      </w:r>
      <w:r w:rsidRPr="00706358">
        <w:t>Government</w:t>
      </w:r>
      <w:r w:rsidRPr="004236EB">
        <w:t xml:space="preserve"> properties.</w:t>
      </w:r>
    </w:p>
    <w:p w:rsidR="00D665E5" w:rsidRPr="004236EB" w:rsidRDefault="00D665E5" w:rsidP="00D665E5">
      <w:pPr>
        <w:pStyle w:val="Heading20"/>
      </w:pPr>
      <w:r w:rsidRPr="004236EB">
        <w:t>Trends in general public services expenses</w:t>
      </w:r>
    </w:p>
    <w:p w:rsidR="00D665E5" w:rsidRPr="00550FC1" w:rsidRDefault="00D665E5" w:rsidP="00D665E5">
      <w:pPr>
        <w:pStyle w:val="PBOtext"/>
      </w:pPr>
      <w:r w:rsidRPr="00550FC1">
        <w:t xml:space="preserve">Government spending on general public </w:t>
      </w:r>
      <w:r w:rsidR="00520211" w:rsidRPr="00550FC1">
        <w:t>services increased by 80.4</w:t>
      </w:r>
      <w:r w:rsidR="00A14AA5" w:rsidRPr="00550FC1">
        <w:t> </w:t>
      </w:r>
      <w:r w:rsidRPr="00550FC1">
        <w:t>per</w:t>
      </w:r>
      <w:r w:rsidR="00A14AA5" w:rsidRPr="00550FC1">
        <w:t> </w:t>
      </w:r>
      <w:r w:rsidRPr="00550FC1">
        <w:t>cent, or 6</w:t>
      </w:r>
      <w:r w:rsidR="00520211" w:rsidRPr="00550FC1">
        <w:t>.1</w:t>
      </w:r>
      <w:r w:rsidR="00A14AA5" w:rsidRPr="00550FC1">
        <w:t> </w:t>
      </w:r>
      <w:r w:rsidRPr="00550FC1">
        <w:t>per</w:t>
      </w:r>
      <w:r w:rsidR="00A14AA5" w:rsidRPr="00550FC1">
        <w:t> </w:t>
      </w:r>
      <w:r w:rsidRPr="00550FC1">
        <w:t>cent</w:t>
      </w:r>
      <w:r w:rsidR="00470A7E" w:rsidRPr="00550FC1">
        <w:t xml:space="preserve"> annually, from 2002-03 to 2012</w:t>
      </w:r>
      <w:r w:rsidR="00470A7E" w:rsidRPr="00550FC1">
        <w:noBreakHyphen/>
      </w:r>
      <w:r w:rsidRPr="00550FC1">
        <w:t>13, more than double GDP growth of 34.3</w:t>
      </w:r>
      <w:r w:rsidR="00A14AA5" w:rsidRPr="00550FC1">
        <w:t> </w:t>
      </w:r>
      <w:r w:rsidRPr="00550FC1">
        <w:t>per</w:t>
      </w:r>
      <w:r w:rsidR="00A14AA5" w:rsidRPr="00550FC1">
        <w:t> </w:t>
      </w:r>
      <w:r w:rsidRPr="00550FC1">
        <w:t>cent, or 3.0</w:t>
      </w:r>
      <w:r w:rsidR="00A14AA5" w:rsidRPr="00550FC1">
        <w:t> </w:t>
      </w:r>
      <w:r w:rsidR="00520211" w:rsidRPr="00550FC1">
        <w:t>per</w:t>
      </w:r>
      <w:r w:rsidR="00A14AA5" w:rsidRPr="00550FC1">
        <w:t> </w:t>
      </w:r>
      <w:r w:rsidR="00520211" w:rsidRPr="00550FC1">
        <w:t xml:space="preserve">cent annually.  This </w:t>
      </w:r>
      <w:r w:rsidRPr="00550FC1">
        <w:t>was mainly driven by growth in government superannuation benefits, financial and fiscal affairs, and for</w:t>
      </w:r>
      <w:r w:rsidR="00A14AA5" w:rsidRPr="00550FC1">
        <w:t>eign affairs and economic aid.</w:t>
      </w:r>
    </w:p>
    <w:p w:rsidR="00D665E5" w:rsidRPr="004236EB" w:rsidRDefault="00D665E5" w:rsidP="00D665E5">
      <w:pPr>
        <w:pStyle w:val="PBOtext"/>
      </w:pPr>
      <w:r w:rsidRPr="00550FC1">
        <w:t>There have been noticeable year to year fluctuations over this period with</w:t>
      </w:r>
      <w:r w:rsidR="00520211" w:rsidRPr="00550FC1">
        <w:t xml:space="preserve"> increases in some areas</w:t>
      </w:r>
      <w:r w:rsidRPr="00550FC1">
        <w:t xml:space="preserve"> offset by reductions in others, as shown in </w:t>
      </w:r>
      <w:r w:rsidR="00A14AA5" w:rsidRPr="00550FC1">
        <w:t>Figure </w:t>
      </w:r>
      <w:r w:rsidR="00BF2C99">
        <w:t xml:space="preserve">6.2 </w:t>
      </w:r>
      <w:r w:rsidRPr="00550FC1">
        <w:t>below</w:t>
      </w:r>
      <w:r w:rsidRPr="004236EB">
        <w:t>.</w:t>
      </w:r>
    </w:p>
    <w:p w:rsidR="00D665E5" w:rsidRDefault="00D665E5" w:rsidP="007A4A40">
      <w:pPr>
        <w:pStyle w:val="Caption"/>
      </w:pPr>
      <w:bookmarkStart w:id="157" w:name="_Toc374088503"/>
      <w:bookmarkStart w:id="158" w:name="_Toc374102214"/>
      <w:bookmarkStart w:id="159" w:name="_Toc374349999"/>
      <w:proofErr w:type="gramStart"/>
      <w:r w:rsidRPr="004236EB">
        <w:t xml:space="preserve">Figure </w:t>
      </w:r>
      <w:r w:rsidR="00134D4A">
        <w:t>6</w:t>
      </w:r>
      <w:r w:rsidRPr="004236EB">
        <w:t>.</w:t>
      </w:r>
      <w:proofErr w:type="gramEnd"/>
      <w:r w:rsidR="00143AAD">
        <w:fldChar w:fldCharType="begin"/>
      </w:r>
      <w:r w:rsidR="00143AAD">
        <w:instrText xml:space="preserve"> SEQ Figure \* ARABIC \s 1 </w:instrText>
      </w:r>
      <w:r w:rsidR="00143AAD">
        <w:fldChar w:fldCharType="separate"/>
      </w:r>
      <w:r w:rsidR="00E862AC">
        <w:rPr>
          <w:noProof/>
        </w:rPr>
        <w:t>2</w:t>
      </w:r>
      <w:r w:rsidR="00143AAD">
        <w:rPr>
          <w:noProof/>
        </w:rPr>
        <w:fldChar w:fldCharType="end"/>
      </w:r>
      <w:r w:rsidRPr="004236EB">
        <w:t>:</w:t>
      </w:r>
      <w:r>
        <w:tab/>
      </w:r>
      <w:r w:rsidRPr="004236EB">
        <w:t>Contributions to growth in general public services expenses</w:t>
      </w:r>
      <w:bookmarkEnd w:id="157"/>
      <w:bookmarkEnd w:id="158"/>
      <w:bookmarkEnd w:id="159"/>
    </w:p>
    <w:p w:rsidR="00D665E5" w:rsidRDefault="006D4001" w:rsidP="00D665E5">
      <w:pPr>
        <w:pStyle w:val="PBOtext"/>
        <w:spacing w:before="0" w:after="0"/>
        <w:jc w:val="center"/>
      </w:pPr>
      <w:r>
        <w:rPr>
          <w:noProof/>
        </w:rPr>
        <w:drawing>
          <wp:inline distT="0" distB="0" distL="0" distR="0" wp14:anchorId="1B4A0654" wp14:editId="01E178F8">
            <wp:extent cx="5402239" cy="3549650"/>
            <wp:effectExtent l="0" t="0" r="8255" b="0"/>
            <wp:docPr id="62" name="Picture 62" descr="This chart shows that real general public services expenses grew faster than real GDP over the period 2002–03 to 2012–13.  It highlights that the largest contribution to this growth came from government superannuation benefits at 45 per cent of total growth followed by financial and fiscal affairs.&#10;" title="Fig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a:extLst>
                        <a:ext uri="{28A0092B-C50C-407E-A947-70E740481C1C}">
                          <a14:useLocalDpi xmlns:a14="http://schemas.microsoft.com/office/drawing/2010/main" val="0"/>
                        </a:ext>
                      </a:extLst>
                    </a:blip>
                    <a:srcRect t="2925" b="861"/>
                    <a:stretch/>
                  </pic:blipFill>
                  <pic:spPr bwMode="auto">
                    <a:xfrm>
                      <a:off x="0" y="0"/>
                      <a:ext cx="5401310" cy="3549039"/>
                    </a:xfrm>
                    <a:prstGeom prst="rect">
                      <a:avLst/>
                    </a:prstGeom>
                    <a:noFill/>
                    <a:ln>
                      <a:noFill/>
                    </a:ln>
                    <a:extLst>
                      <a:ext uri="{53640926-AAD7-44D8-BBD7-CCE9431645EC}">
                        <a14:shadowObscured xmlns:a14="http://schemas.microsoft.com/office/drawing/2010/main"/>
                      </a:ext>
                    </a:extLst>
                  </pic:spPr>
                </pic:pic>
              </a:graphicData>
            </a:graphic>
          </wp:inline>
        </w:drawing>
      </w:r>
    </w:p>
    <w:p w:rsidR="00D665E5" w:rsidRDefault="00D665E5" w:rsidP="00D665E5">
      <w:pPr>
        <w:pStyle w:val="FigureCaption"/>
      </w:pPr>
      <w:r>
        <w:t xml:space="preserve">Sources: </w:t>
      </w:r>
      <w:r>
        <w:rPr>
          <w:rFonts w:eastAsia="MS PGothic"/>
        </w:rPr>
        <w:t xml:space="preserve">Australian </w:t>
      </w:r>
      <w:r w:rsidRPr="0041748B">
        <w:rPr>
          <w:rFonts w:eastAsia="MS PGothic"/>
        </w:rPr>
        <w:t xml:space="preserve">Government </w:t>
      </w:r>
      <w:r>
        <w:rPr>
          <w:rFonts w:eastAsia="MS PGothic"/>
        </w:rPr>
        <w:t xml:space="preserve">Final Budget Outcomes and </w:t>
      </w:r>
      <w:r>
        <w:t>ABS</w:t>
      </w:r>
    </w:p>
    <w:p w:rsidR="00D665E5" w:rsidRDefault="00D665E5" w:rsidP="00D665E5">
      <w:pPr>
        <w:spacing w:before="0" w:after="200" w:line="252" w:lineRule="auto"/>
        <w:rPr>
          <w:b/>
          <w:color w:val="264A76"/>
          <w:sz w:val="22"/>
          <w:szCs w:val="24"/>
          <w:lang w:eastAsia="en-US"/>
        </w:rPr>
      </w:pPr>
      <w:r>
        <w:br w:type="page"/>
      </w:r>
    </w:p>
    <w:p w:rsidR="00D665E5" w:rsidRDefault="00D665E5" w:rsidP="006220A8">
      <w:pPr>
        <w:pStyle w:val="PBOfiguretableheading"/>
        <w:tabs>
          <w:tab w:val="left" w:pos="1134"/>
        </w:tabs>
      </w:pPr>
      <w:bookmarkStart w:id="160" w:name="_Toc374102215"/>
      <w:bookmarkStart w:id="161" w:name="_Toc374350039"/>
      <w:proofErr w:type="gramStart"/>
      <w:r>
        <w:lastRenderedPageBreak/>
        <w:t xml:space="preserve">Table </w:t>
      </w:r>
      <w:r w:rsidR="00134D4A">
        <w:t>6</w:t>
      </w:r>
      <w:r>
        <w:t>.</w:t>
      </w:r>
      <w:proofErr w:type="gramEnd"/>
      <w:r w:rsidR="00143AAD">
        <w:fldChar w:fldCharType="begin"/>
      </w:r>
      <w:r w:rsidR="00143AAD">
        <w:instrText xml:space="preserve"> SEQ Table \* ARABIC \s 1 </w:instrText>
      </w:r>
      <w:r w:rsidR="00143AAD">
        <w:fldChar w:fldCharType="separate"/>
      </w:r>
      <w:r w:rsidR="00E862AC">
        <w:rPr>
          <w:noProof/>
        </w:rPr>
        <w:t>1</w:t>
      </w:r>
      <w:r w:rsidR="00143AAD">
        <w:rPr>
          <w:noProof/>
        </w:rPr>
        <w:fldChar w:fldCharType="end"/>
      </w:r>
      <w:r>
        <w:t>:</w:t>
      </w:r>
      <w:r>
        <w:tab/>
        <w:t>Summary of general public services expenses trends</w:t>
      </w:r>
      <w:bookmarkEnd w:id="160"/>
      <w:bookmarkEnd w:id="161"/>
    </w:p>
    <w:tbl>
      <w:tblPr>
        <w:tblStyle w:val="PBOtables"/>
        <w:tblW w:w="8418" w:type="dxa"/>
        <w:jc w:val="center"/>
        <w:tblInd w:w="-146" w:type="dxa"/>
        <w:tblLook w:val="04A0" w:firstRow="1" w:lastRow="0" w:firstColumn="1" w:lastColumn="0" w:noHBand="0" w:noVBand="1"/>
      </w:tblPr>
      <w:tblGrid>
        <w:gridCol w:w="3261"/>
        <w:gridCol w:w="1701"/>
        <w:gridCol w:w="1559"/>
        <w:gridCol w:w="1897"/>
      </w:tblGrid>
      <w:tr w:rsidR="00306D60" w:rsidRPr="00306D60" w:rsidTr="00306D60">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3261" w:type="dxa"/>
            <w:vMerge w:val="restart"/>
            <w:tcBorders>
              <w:top w:val="single" w:sz="8" w:space="0" w:color="2B3B5F"/>
              <w:left w:val="single" w:sz="8" w:space="0" w:color="2B3B5F"/>
              <w:bottom w:val="single" w:sz="8" w:space="0" w:color="2B3B5F"/>
              <w:right w:val="single" w:sz="8" w:space="0" w:color="2B3B5F"/>
            </w:tcBorders>
            <w:shd w:val="clear" w:color="auto" w:fill="95A4C6"/>
            <w:noWrap/>
            <w:hideMark/>
          </w:tcPr>
          <w:p w:rsidR="00D665E5" w:rsidRPr="00306D60" w:rsidRDefault="00D665E5" w:rsidP="002E5F71">
            <w:pPr>
              <w:spacing w:before="0" w:after="0"/>
              <w:rPr>
                <w:rFonts w:asciiTheme="minorHAnsi" w:eastAsia="Times New Roman" w:hAnsiTheme="minorHAnsi"/>
                <w:b w:val="0"/>
                <w:color w:val="auto"/>
                <w:sz w:val="18"/>
                <w:szCs w:val="18"/>
              </w:rPr>
            </w:pPr>
            <w:r w:rsidRPr="00306D60">
              <w:rPr>
                <w:rFonts w:asciiTheme="minorHAnsi" w:eastAsia="Times New Roman" w:hAnsiTheme="minorHAnsi"/>
                <w:bCs/>
                <w:color w:val="auto"/>
                <w:sz w:val="18"/>
                <w:szCs w:val="18"/>
              </w:rPr>
              <w:t>Category</w:t>
            </w:r>
          </w:p>
        </w:tc>
        <w:tc>
          <w:tcPr>
            <w:tcW w:w="1701" w:type="dxa"/>
            <w:vMerge w:val="restart"/>
            <w:tcBorders>
              <w:top w:val="single" w:sz="8" w:space="0" w:color="2B3B5F"/>
              <w:left w:val="single" w:sz="8" w:space="0" w:color="2B3B5F"/>
              <w:bottom w:val="single" w:sz="8" w:space="0" w:color="2B3B5F"/>
              <w:right w:val="single" w:sz="8" w:space="0" w:color="2B3B5F"/>
            </w:tcBorders>
            <w:shd w:val="clear" w:color="auto" w:fill="95A4C6"/>
            <w:noWrap/>
            <w:hideMark/>
          </w:tcPr>
          <w:p w:rsidR="00D665E5" w:rsidRPr="00306D60" w:rsidRDefault="00D665E5" w:rsidP="006D4001">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color w:val="auto"/>
                <w:sz w:val="18"/>
                <w:szCs w:val="18"/>
              </w:rPr>
            </w:pPr>
            <w:r w:rsidRPr="00306D60">
              <w:rPr>
                <w:rFonts w:asciiTheme="minorHAnsi" w:eastAsia="Times New Roman" w:hAnsiTheme="minorHAnsi"/>
                <w:bCs/>
                <w:color w:val="auto"/>
                <w:sz w:val="18"/>
                <w:szCs w:val="18"/>
              </w:rPr>
              <w:t>Share of</w:t>
            </w:r>
            <w:r w:rsidR="00306D60" w:rsidRPr="00306D60">
              <w:rPr>
                <w:rFonts w:asciiTheme="minorHAnsi" w:eastAsia="Times New Roman" w:hAnsiTheme="minorHAnsi"/>
                <w:bCs/>
                <w:color w:val="auto"/>
                <w:sz w:val="18"/>
                <w:szCs w:val="18"/>
              </w:rPr>
              <w:br/>
              <w:t xml:space="preserve">2012-13 </w:t>
            </w:r>
            <w:r w:rsidRPr="00306D60">
              <w:rPr>
                <w:rFonts w:asciiTheme="minorHAnsi" w:eastAsia="Times New Roman" w:hAnsiTheme="minorHAnsi"/>
                <w:bCs/>
                <w:color w:val="auto"/>
                <w:sz w:val="18"/>
                <w:szCs w:val="18"/>
              </w:rPr>
              <w:t>total</w:t>
            </w:r>
          </w:p>
        </w:tc>
        <w:tc>
          <w:tcPr>
            <w:tcW w:w="3456" w:type="dxa"/>
            <w:gridSpan w:val="2"/>
            <w:tcBorders>
              <w:top w:val="single" w:sz="8" w:space="0" w:color="2B3B5F"/>
              <w:left w:val="single" w:sz="8" w:space="0" w:color="2B3B5F"/>
              <w:bottom w:val="single" w:sz="8" w:space="0" w:color="2B3B5F"/>
              <w:right w:val="single" w:sz="8" w:space="0" w:color="2B3B5F"/>
            </w:tcBorders>
            <w:shd w:val="clear" w:color="auto" w:fill="95A4C6"/>
            <w:noWrap/>
          </w:tcPr>
          <w:p w:rsidR="00D665E5" w:rsidRPr="00306D60" w:rsidRDefault="00D665E5" w:rsidP="002E5F71">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color w:val="auto"/>
                <w:sz w:val="18"/>
                <w:szCs w:val="18"/>
              </w:rPr>
            </w:pPr>
            <w:r w:rsidRPr="00306D60">
              <w:rPr>
                <w:rFonts w:asciiTheme="minorHAnsi" w:eastAsia="Times New Roman" w:hAnsiTheme="minorHAnsi"/>
                <w:color w:val="auto"/>
                <w:sz w:val="18"/>
                <w:szCs w:val="18"/>
              </w:rPr>
              <w:t>Real spending growth 2002-03 to 2012-13</w:t>
            </w:r>
          </w:p>
        </w:tc>
      </w:tr>
      <w:tr w:rsidR="00306D60" w:rsidRPr="00306D60" w:rsidTr="00306D60">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3261" w:type="dxa"/>
            <w:vMerge/>
            <w:tcBorders>
              <w:top w:val="single" w:sz="8" w:space="0" w:color="2B3B5F"/>
              <w:left w:val="single" w:sz="8" w:space="0" w:color="2B3B5F"/>
              <w:bottom w:val="single" w:sz="8" w:space="0" w:color="2B3B5F"/>
              <w:right w:val="single" w:sz="8" w:space="0" w:color="2B3B5F"/>
            </w:tcBorders>
            <w:shd w:val="clear" w:color="auto" w:fill="95A4C6"/>
            <w:noWrap/>
            <w:hideMark/>
          </w:tcPr>
          <w:p w:rsidR="00D665E5" w:rsidRPr="00306D60" w:rsidRDefault="00D665E5" w:rsidP="002E5F71">
            <w:pPr>
              <w:spacing w:before="0" w:after="0"/>
              <w:rPr>
                <w:rFonts w:asciiTheme="minorHAnsi" w:eastAsia="Times New Roman" w:hAnsiTheme="minorHAnsi"/>
                <w:b w:val="0"/>
                <w:bCs/>
                <w:color w:val="auto"/>
                <w:sz w:val="18"/>
                <w:szCs w:val="18"/>
              </w:rPr>
            </w:pPr>
          </w:p>
        </w:tc>
        <w:tc>
          <w:tcPr>
            <w:tcW w:w="1701" w:type="dxa"/>
            <w:vMerge/>
            <w:tcBorders>
              <w:top w:val="single" w:sz="8" w:space="0" w:color="2B3B5F"/>
              <w:left w:val="single" w:sz="8" w:space="0" w:color="2B3B5F"/>
              <w:bottom w:val="single" w:sz="8" w:space="0" w:color="2B3B5F"/>
              <w:right w:val="single" w:sz="8" w:space="0" w:color="2B3B5F"/>
            </w:tcBorders>
            <w:shd w:val="clear" w:color="auto" w:fill="95A4C6"/>
            <w:noWrap/>
          </w:tcPr>
          <w:p w:rsidR="00D665E5" w:rsidRPr="00306D60" w:rsidRDefault="00D665E5" w:rsidP="002E5F71">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auto"/>
                <w:sz w:val="18"/>
                <w:szCs w:val="18"/>
              </w:rPr>
            </w:pPr>
          </w:p>
        </w:tc>
        <w:tc>
          <w:tcPr>
            <w:tcW w:w="1559" w:type="dxa"/>
            <w:tcBorders>
              <w:top w:val="single" w:sz="8" w:space="0" w:color="2B3B5F"/>
              <w:left w:val="single" w:sz="8" w:space="0" w:color="2B3B5F"/>
              <w:bottom w:val="single" w:sz="8" w:space="0" w:color="2B3B5F"/>
              <w:right w:val="single" w:sz="8" w:space="0" w:color="2B3B5F"/>
            </w:tcBorders>
            <w:shd w:val="clear" w:color="auto" w:fill="95A4C6"/>
          </w:tcPr>
          <w:p w:rsidR="00D665E5" w:rsidRPr="00306D60" w:rsidRDefault="00D665E5" w:rsidP="002E5F71">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color w:val="auto"/>
                <w:sz w:val="18"/>
                <w:szCs w:val="18"/>
              </w:rPr>
            </w:pPr>
            <w:r w:rsidRPr="00306D60">
              <w:rPr>
                <w:rFonts w:asciiTheme="minorHAnsi" w:eastAsia="Times New Roman" w:hAnsiTheme="minorHAnsi"/>
                <w:bCs/>
                <w:color w:val="auto"/>
                <w:sz w:val="18"/>
                <w:szCs w:val="18"/>
              </w:rPr>
              <w:t>Annual growth</w:t>
            </w:r>
          </w:p>
        </w:tc>
        <w:tc>
          <w:tcPr>
            <w:tcW w:w="1897" w:type="dxa"/>
            <w:tcBorders>
              <w:top w:val="single" w:sz="8" w:space="0" w:color="2B3B5F"/>
              <w:left w:val="single" w:sz="8" w:space="0" w:color="2B3B5F"/>
              <w:bottom w:val="single" w:sz="8" w:space="0" w:color="2B3B5F"/>
              <w:right w:val="single" w:sz="8" w:space="0" w:color="2B3B5F"/>
            </w:tcBorders>
            <w:shd w:val="clear" w:color="auto" w:fill="95A4C6"/>
            <w:noWrap/>
          </w:tcPr>
          <w:p w:rsidR="00D665E5" w:rsidRPr="00306D60" w:rsidRDefault="00D665E5" w:rsidP="002E5F71">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auto"/>
                <w:sz w:val="18"/>
                <w:szCs w:val="18"/>
              </w:rPr>
            </w:pPr>
            <w:r w:rsidRPr="00306D60">
              <w:rPr>
                <w:rFonts w:asciiTheme="minorHAnsi" w:eastAsia="Times New Roman" w:hAnsiTheme="minorHAnsi"/>
                <w:bCs/>
                <w:color w:val="auto"/>
                <w:sz w:val="18"/>
                <w:szCs w:val="18"/>
              </w:rPr>
              <w:t>Contribution to</w:t>
            </w:r>
            <w:r w:rsidRPr="00306D60">
              <w:rPr>
                <w:rFonts w:asciiTheme="minorHAnsi" w:eastAsia="Times New Roman" w:hAnsiTheme="minorHAnsi"/>
                <w:bCs/>
                <w:color w:val="auto"/>
                <w:sz w:val="18"/>
                <w:szCs w:val="18"/>
              </w:rPr>
              <w:br/>
              <w:t>total growth</w:t>
            </w:r>
          </w:p>
        </w:tc>
      </w:tr>
      <w:tr w:rsidR="00D665E5" w:rsidRPr="005E11C0" w:rsidTr="00306D6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2B3B5F"/>
              <w:left w:val="single" w:sz="8" w:space="0" w:color="2B3B5F"/>
              <w:bottom w:val="single" w:sz="8" w:space="0" w:color="2B3B5F"/>
              <w:right w:val="single" w:sz="8" w:space="0" w:color="2B3B5F"/>
            </w:tcBorders>
            <w:shd w:val="clear" w:color="auto" w:fill="D7DDE9"/>
            <w:noWrap/>
          </w:tcPr>
          <w:p w:rsidR="00D665E5" w:rsidRPr="005E11C0" w:rsidRDefault="00A14AA5" w:rsidP="00306D60">
            <w:pPr>
              <w:spacing w:before="0" w:after="0"/>
              <w:ind w:left="57"/>
              <w:rPr>
                <w:rFonts w:asciiTheme="minorHAnsi" w:eastAsia="Times New Roman" w:hAnsiTheme="minorHAnsi"/>
                <w:color w:val="000000"/>
                <w:sz w:val="18"/>
                <w:szCs w:val="18"/>
              </w:rPr>
            </w:pPr>
            <w:r>
              <w:rPr>
                <w:rFonts w:asciiTheme="minorHAnsi" w:eastAsia="Times New Roman" w:hAnsiTheme="minorHAnsi"/>
                <w:color w:val="000000"/>
                <w:sz w:val="18"/>
                <w:szCs w:val="18"/>
              </w:rPr>
              <w:t>Unit</w:t>
            </w:r>
          </w:p>
        </w:tc>
        <w:tc>
          <w:tcPr>
            <w:tcW w:w="1701" w:type="dxa"/>
            <w:tcBorders>
              <w:top w:val="single" w:sz="8" w:space="0" w:color="2B3B5F"/>
              <w:left w:val="single" w:sz="8" w:space="0" w:color="2B3B5F"/>
              <w:bottom w:val="single" w:sz="8" w:space="0" w:color="2B3B5F"/>
              <w:right w:val="single" w:sz="8" w:space="0" w:color="2B3B5F"/>
            </w:tcBorders>
            <w:shd w:val="clear" w:color="auto" w:fill="D7DDE9"/>
            <w:noWrap/>
          </w:tcPr>
          <w:p w:rsidR="00D665E5" w:rsidRPr="005E11C0" w:rsidRDefault="00D665E5" w:rsidP="00306D60">
            <w:pPr>
              <w:spacing w:before="0" w:after="0"/>
              <w:ind w:right="22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sz w:val="18"/>
                <w:szCs w:val="18"/>
              </w:rPr>
            </w:pPr>
            <w:r w:rsidRPr="005E11C0">
              <w:rPr>
                <w:rFonts w:asciiTheme="minorHAnsi" w:eastAsia="Times New Roman" w:hAnsiTheme="minorHAnsi"/>
                <w:b/>
                <w:color w:val="000000"/>
                <w:sz w:val="18"/>
                <w:szCs w:val="18"/>
              </w:rPr>
              <w:t>%</w:t>
            </w:r>
          </w:p>
        </w:tc>
        <w:tc>
          <w:tcPr>
            <w:tcW w:w="1559" w:type="dxa"/>
            <w:tcBorders>
              <w:top w:val="single" w:sz="8" w:space="0" w:color="2B3B5F"/>
              <w:left w:val="single" w:sz="8" w:space="0" w:color="2B3B5F"/>
              <w:bottom w:val="single" w:sz="8" w:space="0" w:color="2B3B5F"/>
              <w:right w:val="single" w:sz="8" w:space="0" w:color="2B3B5F"/>
            </w:tcBorders>
            <w:shd w:val="clear" w:color="auto" w:fill="D7DDE9"/>
          </w:tcPr>
          <w:p w:rsidR="00D665E5" w:rsidRPr="005E11C0" w:rsidRDefault="00D665E5" w:rsidP="00306D60">
            <w:pPr>
              <w:spacing w:before="0" w:after="0"/>
              <w:ind w:right="22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sz w:val="18"/>
                <w:szCs w:val="18"/>
              </w:rPr>
            </w:pPr>
            <w:r w:rsidRPr="005E11C0">
              <w:rPr>
                <w:rFonts w:asciiTheme="minorHAnsi" w:eastAsia="Times New Roman" w:hAnsiTheme="minorHAnsi"/>
                <w:b/>
                <w:color w:val="000000"/>
                <w:sz w:val="18"/>
                <w:szCs w:val="18"/>
              </w:rPr>
              <w:t>%</w:t>
            </w:r>
          </w:p>
        </w:tc>
        <w:tc>
          <w:tcPr>
            <w:tcW w:w="1897" w:type="dxa"/>
            <w:tcBorders>
              <w:top w:val="single" w:sz="8" w:space="0" w:color="2B3B5F"/>
              <w:left w:val="single" w:sz="8" w:space="0" w:color="2B3B5F"/>
              <w:bottom w:val="single" w:sz="8" w:space="0" w:color="2B3B5F"/>
              <w:right w:val="single" w:sz="8" w:space="0" w:color="2B3B5F"/>
            </w:tcBorders>
            <w:shd w:val="clear" w:color="auto" w:fill="D7DDE9"/>
            <w:noWrap/>
          </w:tcPr>
          <w:p w:rsidR="00D665E5" w:rsidRPr="005E11C0" w:rsidRDefault="00D665E5" w:rsidP="00306D60">
            <w:pPr>
              <w:spacing w:before="0" w:after="0"/>
              <w:ind w:right="22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sz w:val="18"/>
                <w:szCs w:val="18"/>
              </w:rPr>
            </w:pPr>
            <w:r w:rsidRPr="005E11C0">
              <w:rPr>
                <w:rFonts w:asciiTheme="minorHAnsi" w:eastAsia="Times New Roman" w:hAnsiTheme="minorHAnsi"/>
                <w:b/>
                <w:color w:val="000000"/>
                <w:sz w:val="18"/>
                <w:szCs w:val="18"/>
              </w:rPr>
              <w:t>Percentage points</w:t>
            </w:r>
          </w:p>
        </w:tc>
      </w:tr>
      <w:tr w:rsidR="00306D60" w:rsidRPr="006C49C0" w:rsidTr="00306D60">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2B3B5F"/>
              <w:left w:val="single" w:sz="8" w:space="0" w:color="2B3B5F"/>
              <w:right w:val="single" w:sz="8" w:space="0" w:color="2B3B5F"/>
            </w:tcBorders>
            <w:shd w:val="clear" w:color="auto" w:fill="auto"/>
            <w:noWrap/>
            <w:hideMark/>
          </w:tcPr>
          <w:p w:rsidR="00306D60" w:rsidRPr="00306D60" w:rsidRDefault="00306D60" w:rsidP="00306D60">
            <w:pPr>
              <w:spacing w:before="0" w:after="0"/>
              <w:ind w:left="57"/>
              <w:rPr>
                <w:b w:val="0"/>
                <w:color w:val="000000"/>
                <w:sz w:val="18"/>
                <w:szCs w:val="18"/>
              </w:rPr>
            </w:pPr>
            <w:r w:rsidRPr="00306D60">
              <w:rPr>
                <w:b w:val="0"/>
                <w:color w:val="000000"/>
                <w:sz w:val="18"/>
                <w:szCs w:val="18"/>
              </w:rPr>
              <w:t>Government superannuation benefits</w:t>
            </w:r>
          </w:p>
        </w:tc>
        <w:tc>
          <w:tcPr>
            <w:tcW w:w="1701" w:type="dxa"/>
            <w:tcBorders>
              <w:top w:val="single" w:sz="8" w:space="0" w:color="2B3B5F"/>
              <w:left w:val="single" w:sz="8" w:space="0" w:color="2B3B5F"/>
              <w:right w:val="single" w:sz="8" w:space="0" w:color="2B3B5F"/>
            </w:tcBorders>
            <w:shd w:val="clear" w:color="auto" w:fill="auto"/>
            <w:noWrap/>
          </w:tcPr>
          <w:p w:rsidR="00306D60" w:rsidRPr="00306D60" w:rsidRDefault="00306D60" w:rsidP="00306D60">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306D60">
              <w:rPr>
                <w:color w:val="000000"/>
                <w:sz w:val="18"/>
                <w:szCs w:val="18"/>
              </w:rPr>
              <w:t>30.6</w:t>
            </w:r>
          </w:p>
        </w:tc>
        <w:tc>
          <w:tcPr>
            <w:tcW w:w="1559" w:type="dxa"/>
            <w:tcBorders>
              <w:top w:val="single" w:sz="8" w:space="0" w:color="2B3B5F"/>
              <w:left w:val="single" w:sz="8" w:space="0" w:color="2B3B5F"/>
              <w:right w:val="single" w:sz="8" w:space="0" w:color="2B3B5F"/>
            </w:tcBorders>
            <w:shd w:val="clear" w:color="auto" w:fill="auto"/>
          </w:tcPr>
          <w:p w:rsidR="00306D60" w:rsidRPr="00306D60" w:rsidRDefault="00306D60" w:rsidP="00306D60">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306D60">
              <w:rPr>
                <w:color w:val="000000"/>
                <w:sz w:val="18"/>
                <w:szCs w:val="18"/>
              </w:rPr>
              <w:t>11.2</w:t>
            </w:r>
          </w:p>
        </w:tc>
        <w:tc>
          <w:tcPr>
            <w:tcW w:w="1897" w:type="dxa"/>
            <w:tcBorders>
              <w:top w:val="single" w:sz="8" w:space="0" w:color="2B3B5F"/>
              <w:left w:val="single" w:sz="8" w:space="0" w:color="2B3B5F"/>
              <w:right w:val="single" w:sz="8" w:space="0" w:color="2B3B5F"/>
            </w:tcBorders>
            <w:shd w:val="clear" w:color="auto" w:fill="auto"/>
            <w:noWrap/>
          </w:tcPr>
          <w:p w:rsidR="00306D60" w:rsidRPr="00306D60" w:rsidRDefault="00306D60" w:rsidP="00306D60">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306D60">
              <w:rPr>
                <w:color w:val="000000"/>
                <w:sz w:val="18"/>
                <w:szCs w:val="18"/>
              </w:rPr>
              <w:t>36.2</w:t>
            </w:r>
          </w:p>
        </w:tc>
      </w:tr>
      <w:tr w:rsidR="00306D60" w:rsidRPr="006C49C0" w:rsidTr="00306D6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61" w:type="dxa"/>
            <w:tcBorders>
              <w:left w:val="single" w:sz="8" w:space="0" w:color="2B3B5F"/>
              <w:right w:val="single" w:sz="8" w:space="0" w:color="2B3B5F"/>
            </w:tcBorders>
            <w:shd w:val="clear" w:color="auto" w:fill="D7DDE9"/>
            <w:noWrap/>
            <w:hideMark/>
          </w:tcPr>
          <w:p w:rsidR="00306D60" w:rsidRPr="00306D60" w:rsidRDefault="00306D60" w:rsidP="00306D60">
            <w:pPr>
              <w:spacing w:before="0" w:after="0"/>
              <w:ind w:left="57"/>
              <w:rPr>
                <w:b w:val="0"/>
                <w:color w:val="000000"/>
                <w:sz w:val="18"/>
                <w:szCs w:val="18"/>
              </w:rPr>
            </w:pPr>
            <w:r w:rsidRPr="00306D60">
              <w:rPr>
                <w:b w:val="0"/>
                <w:color w:val="000000"/>
                <w:sz w:val="18"/>
                <w:szCs w:val="18"/>
              </w:rPr>
              <w:t>Financial and fiscal affairs</w:t>
            </w:r>
          </w:p>
        </w:tc>
        <w:tc>
          <w:tcPr>
            <w:tcW w:w="1701" w:type="dxa"/>
            <w:tcBorders>
              <w:left w:val="single" w:sz="8" w:space="0" w:color="2B3B5F"/>
              <w:right w:val="single" w:sz="8" w:space="0" w:color="2B3B5F"/>
            </w:tcBorders>
            <w:shd w:val="clear" w:color="auto" w:fill="D7DDE9"/>
            <w:noWrap/>
          </w:tcPr>
          <w:p w:rsidR="00306D60" w:rsidRPr="00306D60" w:rsidRDefault="00306D60" w:rsidP="00306D60">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06D60">
              <w:rPr>
                <w:color w:val="000000"/>
                <w:sz w:val="18"/>
                <w:szCs w:val="18"/>
              </w:rPr>
              <w:t>30.2</w:t>
            </w:r>
          </w:p>
        </w:tc>
        <w:tc>
          <w:tcPr>
            <w:tcW w:w="1559" w:type="dxa"/>
            <w:tcBorders>
              <w:left w:val="single" w:sz="8" w:space="0" w:color="2B3B5F"/>
              <w:right w:val="single" w:sz="8" w:space="0" w:color="2B3B5F"/>
            </w:tcBorders>
            <w:shd w:val="clear" w:color="auto" w:fill="D7DDE9"/>
          </w:tcPr>
          <w:p w:rsidR="00306D60" w:rsidRPr="00306D60" w:rsidRDefault="00306D60" w:rsidP="00306D60">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06D60">
              <w:rPr>
                <w:color w:val="000000"/>
                <w:sz w:val="18"/>
                <w:szCs w:val="18"/>
              </w:rPr>
              <w:t>5.6</w:t>
            </w:r>
          </w:p>
        </w:tc>
        <w:tc>
          <w:tcPr>
            <w:tcW w:w="1897" w:type="dxa"/>
            <w:tcBorders>
              <w:left w:val="single" w:sz="8" w:space="0" w:color="2B3B5F"/>
              <w:right w:val="single" w:sz="8" w:space="0" w:color="2B3B5F"/>
            </w:tcBorders>
            <w:shd w:val="clear" w:color="auto" w:fill="D7DDE9"/>
            <w:noWrap/>
          </w:tcPr>
          <w:p w:rsidR="00306D60" w:rsidRPr="00306D60" w:rsidRDefault="00306D60" w:rsidP="00306D60">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06D60">
              <w:rPr>
                <w:color w:val="000000"/>
                <w:sz w:val="18"/>
                <w:szCs w:val="18"/>
              </w:rPr>
              <w:t>23.0</w:t>
            </w:r>
          </w:p>
        </w:tc>
      </w:tr>
      <w:tr w:rsidR="00306D60" w:rsidRPr="006C49C0" w:rsidTr="00306D60">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61" w:type="dxa"/>
            <w:tcBorders>
              <w:left w:val="single" w:sz="8" w:space="0" w:color="2B3B5F"/>
              <w:right w:val="single" w:sz="8" w:space="0" w:color="2B3B5F"/>
            </w:tcBorders>
            <w:shd w:val="clear" w:color="auto" w:fill="auto"/>
            <w:noWrap/>
            <w:hideMark/>
          </w:tcPr>
          <w:p w:rsidR="00306D60" w:rsidRPr="00306D60" w:rsidRDefault="00306D60" w:rsidP="00306D60">
            <w:pPr>
              <w:spacing w:before="0" w:after="0"/>
              <w:ind w:left="57"/>
              <w:rPr>
                <w:b w:val="0"/>
                <w:color w:val="000000"/>
                <w:sz w:val="18"/>
                <w:szCs w:val="18"/>
              </w:rPr>
            </w:pPr>
            <w:r w:rsidRPr="00306D60">
              <w:rPr>
                <w:b w:val="0"/>
                <w:color w:val="000000"/>
                <w:sz w:val="18"/>
                <w:szCs w:val="18"/>
              </w:rPr>
              <w:t>Foreign affairs and economic aid</w:t>
            </w:r>
          </w:p>
        </w:tc>
        <w:tc>
          <w:tcPr>
            <w:tcW w:w="1701" w:type="dxa"/>
            <w:tcBorders>
              <w:left w:val="single" w:sz="8" w:space="0" w:color="2B3B5F"/>
              <w:right w:val="single" w:sz="8" w:space="0" w:color="2B3B5F"/>
            </w:tcBorders>
            <w:shd w:val="clear" w:color="auto" w:fill="auto"/>
            <w:noWrap/>
          </w:tcPr>
          <w:p w:rsidR="00306D60" w:rsidRPr="00306D60" w:rsidRDefault="00306D60" w:rsidP="00306D60">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306D60">
              <w:rPr>
                <w:color w:val="000000"/>
                <w:sz w:val="18"/>
                <w:szCs w:val="18"/>
              </w:rPr>
              <w:t>22.3</w:t>
            </w:r>
          </w:p>
        </w:tc>
        <w:tc>
          <w:tcPr>
            <w:tcW w:w="1559" w:type="dxa"/>
            <w:tcBorders>
              <w:left w:val="single" w:sz="8" w:space="0" w:color="2B3B5F"/>
              <w:right w:val="single" w:sz="8" w:space="0" w:color="2B3B5F"/>
            </w:tcBorders>
            <w:shd w:val="clear" w:color="auto" w:fill="auto"/>
          </w:tcPr>
          <w:p w:rsidR="00306D60" w:rsidRPr="00306D60" w:rsidRDefault="00306D60" w:rsidP="00306D60">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306D60">
              <w:rPr>
                <w:color w:val="000000"/>
                <w:sz w:val="18"/>
                <w:szCs w:val="18"/>
              </w:rPr>
              <w:t>5.9</w:t>
            </w:r>
          </w:p>
        </w:tc>
        <w:tc>
          <w:tcPr>
            <w:tcW w:w="1897" w:type="dxa"/>
            <w:tcBorders>
              <w:left w:val="single" w:sz="8" w:space="0" w:color="2B3B5F"/>
              <w:right w:val="single" w:sz="8" w:space="0" w:color="2B3B5F"/>
            </w:tcBorders>
            <w:shd w:val="clear" w:color="auto" w:fill="auto"/>
            <w:noWrap/>
          </w:tcPr>
          <w:p w:rsidR="00306D60" w:rsidRPr="00306D60" w:rsidRDefault="00306D60" w:rsidP="00306D60">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306D60">
              <w:rPr>
                <w:color w:val="000000"/>
                <w:sz w:val="18"/>
                <w:szCs w:val="18"/>
              </w:rPr>
              <w:t>17.7</w:t>
            </w:r>
          </w:p>
        </w:tc>
      </w:tr>
      <w:tr w:rsidR="00306D60" w:rsidRPr="006C49C0" w:rsidTr="00306D6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61" w:type="dxa"/>
            <w:tcBorders>
              <w:left w:val="single" w:sz="8" w:space="0" w:color="2B3B5F"/>
              <w:right w:val="single" w:sz="8" w:space="0" w:color="2B3B5F"/>
            </w:tcBorders>
            <w:shd w:val="clear" w:color="auto" w:fill="D7DDE9"/>
            <w:noWrap/>
            <w:hideMark/>
          </w:tcPr>
          <w:p w:rsidR="00306D60" w:rsidRPr="00306D60" w:rsidRDefault="00306D60" w:rsidP="00306D60">
            <w:pPr>
              <w:spacing w:before="0" w:after="0"/>
              <w:ind w:left="57"/>
              <w:rPr>
                <w:b w:val="0"/>
                <w:color w:val="000000"/>
                <w:sz w:val="18"/>
                <w:szCs w:val="18"/>
              </w:rPr>
            </w:pPr>
            <w:r w:rsidRPr="00306D60">
              <w:rPr>
                <w:b w:val="0"/>
                <w:color w:val="000000"/>
                <w:sz w:val="18"/>
                <w:szCs w:val="18"/>
              </w:rPr>
              <w:t>General research</w:t>
            </w:r>
          </w:p>
        </w:tc>
        <w:tc>
          <w:tcPr>
            <w:tcW w:w="1701" w:type="dxa"/>
            <w:tcBorders>
              <w:left w:val="single" w:sz="8" w:space="0" w:color="2B3B5F"/>
              <w:right w:val="single" w:sz="8" w:space="0" w:color="2B3B5F"/>
            </w:tcBorders>
            <w:shd w:val="clear" w:color="auto" w:fill="D7DDE9"/>
            <w:noWrap/>
          </w:tcPr>
          <w:p w:rsidR="00306D60" w:rsidRPr="00306D60" w:rsidRDefault="00306D60" w:rsidP="00306D60">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06D60">
              <w:rPr>
                <w:color w:val="000000"/>
                <w:sz w:val="18"/>
                <w:szCs w:val="18"/>
              </w:rPr>
              <w:t>10.2</w:t>
            </w:r>
          </w:p>
        </w:tc>
        <w:tc>
          <w:tcPr>
            <w:tcW w:w="1559" w:type="dxa"/>
            <w:tcBorders>
              <w:left w:val="single" w:sz="8" w:space="0" w:color="2B3B5F"/>
              <w:right w:val="single" w:sz="8" w:space="0" w:color="2B3B5F"/>
            </w:tcBorders>
            <w:shd w:val="clear" w:color="auto" w:fill="D7DDE9"/>
          </w:tcPr>
          <w:p w:rsidR="00306D60" w:rsidRPr="00306D60" w:rsidRDefault="00306D60" w:rsidP="00306D60">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06D60">
              <w:rPr>
                <w:color w:val="000000"/>
                <w:sz w:val="18"/>
                <w:szCs w:val="18"/>
              </w:rPr>
              <w:t>2.1</w:t>
            </w:r>
          </w:p>
        </w:tc>
        <w:tc>
          <w:tcPr>
            <w:tcW w:w="1897" w:type="dxa"/>
            <w:tcBorders>
              <w:left w:val="single" w:sz="8" w:space="0" w:color="2B3B5F"/>
              <w:right w:val="single" w:sz="8" w:space="0" w:color="2B3B5F"/>
            </w:tcBorders>
            <w:shd w:val="clear" w:color="auto" w:fill="D7DDE9"/>
            <w:noWrap/>
          </w:tcPr>
          <w:p w:rsidR="00306D60" w:rsidRPr="00306D60" w:rsidRDefault="00306D60" w:rsidP="00306D60">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06D60">
              <w:rPr>
                <w:color w:val="000000"/>
                <w:sz w:val="18"/>
                <w:szCs w:val="18"/>
              </w:rPr>
              <w:t>3.5</w:t>
            </w:r>
          </w:p>
        </w:tc>
      </w:tr>
      <w:tr w:rsidR="00306D60" w:rsidRPr="006C49C0" w:rsidTr="00306D60">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61" w:type="dxa"/>
            <w:tcBorders>
              <w:left w:val="single" w:sz="8" w:space="0" w:color="2B3B5F"/>
              <w:right w:val="single" w:sz="8" w:space="0" w:color="2B3B5F"/>
            </w:tcBorders>
            <w:shd w:val="clear" w:color="auto" w:fill="auto"/>
            <w:noWrap/>
            <w:hideMark/>
          </w:tcPr>
          <w:p w:rsidR="00306D60" w:rsidRPr="00306D60" w:rsidRDefault="00306D60" w:rsidP="00306D60">
            <w:pPr>
              <w:spacing w:before="0" w:after="0"/>
              <w:ind w:left="57"/>
              <w:rPr>
                <w:b w:val="0"/>
                <w:color w:val="000000"/>
                <w:sz w:val="18"/>
                <w:szCs w:val="18"/>
              </w:rPr>
            </w:pPr>
            <w:r w:rsidRPr="00306D60">
              <w:rPr>
                <w:b w:val="0"/>
                <w:color w:val="000000"/>
                <w:sz w:val="18"/>
                <w:szCs w:val="18"/>
              </w:rPr>
              <w:t>Legislative and executive affairs</w:t>
            </w:r>
          </w:p>
        </w:tc>
        <w:tc>
          <w:tcPr>
            <w:tcW w:w="1701" w:type="dxa"/>
            <w:tcBorders>
              <w:left w:val="single" w:sz="8" w:space="0" w:color="2B3B5F"/>
              <w:right w:val="single" w:sz="8" w:space="0" w:color="2B3B5F"/>
            </w:tcBorders>
            <w:shd w:val="clear" w:color="auto" w:fill="auto"/>
            <w:noWrap/>
          </w:tcPr>
          <w:p w:rsidR="00306D60" w:rsidRPr="00306D60" w:rsidRDefault="00306D60" w:rsidP="00306D60">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306D60">
              <w:rPr>
                <w:color w:val="000000"/>
                <w:sz w:val="18"/>
                <w:szCs w:val="18"/>
              </w:rPr>
              <w:t>3.7</w:t>
            </w:r>
          </w:p>
        </w:tc>
        <w:tc>
          <w:tcPr>
            <w:tcW w:w="1559" w:type="dxa"/>
            <w:tcBorders>
              <w:left w:val="single" w:sz="8" w:space="0" w:color="2B3B5F"/>
              <w:right w:val="single" w:sz="8" w:space="0" w:color="2B3B5F"/>
            </w:tcBorders>
            <w:shd w:val="clear" w:color="auto" w:fill="auto"/>
          </w:tcPr>
          <w:p w:rsidR="00306D60" w:rsidRPr="00306D60" w:rsidRDefault="00306D60" w:rsidP="00306D60">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306D60">
              <w:rPr>
                <w:color w:val="000000"/>
                <w:sz w:val="18"/>
                <w:szCs w:val="18"/>
              </w:rPr>
              <w:t>0.0</w:t>
            </w:r>
          </w:p>
        </w:tc>
        <w:tc>
          <w:tcPr>
            <w:tcW w:w="1897" w:type="dxa"/>
            <w:tcBorders>
              <w:left w:val="single" w:sz="8" w:space="0" w:color="2B3B5F"/>
              <w:right w:val="single" w:sz="8" w:space="0" w:color="2B3B5F"/>
            </w:tcBorders>
            <w:shd w:val="clear" w:color="auto" w:fill="auto"/>
            <w:noWrap/>
          </w:tcPr>
          <w:p w:rsidR="00306D60" w:rsidRPr="00306D60" w:rsidRDefault="00306D60" w:rsidP="00306D60">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306D60">
              <w:rPr>
                <w:color w:val="000000"/>
                <w:sz w:val="18"/>
                <w:szCs w:val="18"/>
              </w:rPr>
              <w:t>0.0</w:t>
            </w:r>
          </w:p>
        </w:tc>
      </w:tr>
      <w:tr w:rsidR="00306D60" w:rsidRPr="006C49C0" w:rsidTr="00306D6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61" w:type="dxa"/>
            <w:tcBorders>
              <w:left w:val="single" w:sz="8" w:space="0" w:color="2B3B5F"/>
              <w:right w:val="single" w:sz="8" w:space="0" w:color="2B3B5F"/>
            </w:tcBorders>
            <w:shd w:val="clear" w:color="auto" w:fill="D7DDE9"/>
            <w:noWrap/>
          </w:tcPr>
          <w:p w:rsidR="00306D60" w:rsidRPr="00306D60" w:rsidRDefault="00306D60" w:rsidP="00306D60">
            <w:pPr>
              <w:spacing w:before="0" w:after="0"/>
              <w:ind w:left="57"/>
              <w:rPr>
                <w:b w:val="0"/>
                <w:color w:val="000000"/>
                <w:sz w:val="18"/>
                <w:szCs w:val="18"/>
              </w:rPr>
            </w:pPr>
            <w:r w:rsidRPr="00306D60">
              <w:rPr>
                <w:b w:val="0"/>
                <w:color w:val="000000"/>
                <w:sz w:val="18"/>
                <w:szCs w:val="18"/>
              </w:rPr>
              <w:t>General services</w:t>
            </w:r>
          </w:p>
        </w:tc>
        <w:tc>
          <w:tcPr>
            <w:tcW w:w="1701" w:type="dxa"/>
            <w:tcBorders>
              <w:left w:val="single" w:sz="8" w:space="0" w:color="2B3B5F"/>
              <w:right w:val="single" w:sz="8" w:space="0" w:color="2B3B5F"/>
            </w:tcBorders>
            <w:shd w:val="clear" w:color="auto" w:fill="D7DDE9"/>
            <w:noWrap/>
          </w:tcPr>
          <w:p w:rsidR="00306D60" w:rsidRPr="00306D60" w:rsidRDefault="00306D60" w:rsidP="00306D60">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06D60">
              <w:rPr>
                <w:color w:val="000000"/>
                <w:sz w:val="18"/>
                <w:szCs w:val="18"/>
              </w:rPr>
              <w:t>2.9</w:t>
            </w:r>
          </w:p>
        </w:tc>
        <w:tc>
          <w:tcPr>
            <w:tcW w:w="1559" w:type="dxa"/>
            <w:tcBorders>
              <w:left w:val="single" w:sz="8" w:space="0" w:color="2B3B5F"/>
              <w:right w:val="single" w:sz="8" w:space="0" w:color="2B3B5F"/>
            </w:tcBorders>
            <w:shd w:val="clear" w:color="auto" w:fill="D7DDE9"/>
          </w:tcPr>
          <w:p w:rsidR="00306D60" w:rsidRPr="00306D60" w:rsidRDefault="00306D60" w:rsidP="00306D60">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06D60">
              <w:rPr>
                <w:color w:val="000000"/>
                <w:sz w:val="18"/>
                <w:szCs w:val="18"/>
              </w:rPr>
              <w:t>0.2</w:t>
            </w:r>
          </w:p>
        </w:tc>
        <w:tc>
          <w:tcPr>
            <w:tcW w:w="1897" w:type="dxa"/>
            <w:tcBorders>
              <w:left w:val="single" w:sz="8" w:space="0" w:color="2B3B5F"/>
              <w:right w:val="single" w:sz="8" w:space="0" w:color="2B3B5F"/>
            </w:tcBorders>
            <w:shd w:val="clear" w:color="auto" w:fill="D7DDE9"/>
            <w:noWrap/>
          </w:tcPr>
          <w:p w:rsidR="00306D60" w:rsidRPr="00306D60" w:rsidRDefault="00306D60" w:rsidP="00306D60">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306D60">
              <w:rPr>
                <w:color w:val="000000"/>
                <w:sz w:val="18"/>
                <w:szCs w:val="18"/>
              </w:rPr>
              <w:t>0.1</w:t>
            </w:r>
          </w:p>
        </w:tc>
      </w:tr>
      <w:tr w:rsidR="00306D60" w:rsidRPr="00306D60" w:rsidTr="00306D60">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61" w:type="dxa"/>
            <w:tcBorders>
              <w:left w:val="single" w:sz="8" w:space="0" w:color="2B3B5F"/>
              <w:bottom w:val="single" w:sz="8" w:space="0" w:color="2B3B5F"/>
              <w:right w:val="single" w:sz="8" w:space="0" w:color="2B3B5F"/>
            </w:tcBorders>
            <w:shd w:val="clear" w:color="auto" w:fill="auto"/>
            <w:noWrap/>
            <w:hideMark/>
          </w:tcPr>
          <w:p w:rsidR="00306D60" w:rsidRPr="00306D60" w:rsidRDefault="00306D60" w:rsidP="00306D60">
            <w:pPr>
              <w:spacing w:before="0" w:after="0"/>
              <w:ind w:left="57"/>
              <w:rPr>
                <w:color w:val="000000"/>
                <w:sz w:val="18"/>
                <w:szCs w:val="18"/>
              </w:rPr>
            </w:pPr>
            <w:r w:rsidRPr="00306D60">
              <w:rPr>
                <w:color w:val="000000"/>
                <w:sz w:val="18"/>
                <w:szCs w:val="18"/>
              </w:rPr>
              <w:t>Total</w:t>
            </w:r>
          </w:p>
        </w:tc>
        <w:tc>
          <w:tcPr>
            <w:tcW w:w="1701" w:type="dxa"/>
            <w:tcBorders>
              <w:left w:val="single" w:sz="8" w:space="0" w:color="2B3B5F"/>
              <w:bottom w:val="single" w:sz="8" w:space="0" w:color="2B3B5F"/>
              <w:right w:val="single" w:sz="8" w:space="0" w:color="2B3B5F"/>
            </w:tcBorders>
            <w:shd w:val="clear" w:color="auto" w:fill="auto"/>
            <w:noWrap/>
          </w:tcPr>
          <w:p w:rsidR="00306D60" w:rsidRPr="00306D60" w:rsidRDefault="00306D60" w:rsidP="00306D60">
            <w:pPr>
              <w:spacing w:before="0" w:after="0"/>
              <w:ind w:right="227"/>
              <w:jc w:val="right"/>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06D60">
              <w:rPr>
                <w:b/>
                <w:color w:val="000000"/>
                <w:sz w:val="18"/>
                <w:szCs w:val="18"/>
              </w:rPr>
              <w:t>100.0</w:t>
            </w:r>
          </w:p>
        </w:tc>
        <w:tc>
          <w:tcPr>
            <w:tcW w:w="1559" w:type="dxa"/>
            <w:tcBorders>
              <w:left w:val="single" w:sz="8" w:space="0" w:color="2B3B5F"/>
              <w:bottom w:val="single" w:sz="8" w:space="0" w:color="2B3B5F"/>
              <w:right w:val="single" w:sz="8" w:space="0" w:color="2B3B5F"/>
            </w:tcBorders>
            <w:shd w:val="clear" w:color="auto" w:fill="auto"/>
          </w:tcPr>
          <w:p w:rsidR="00306D60" w:rsidRPr="00306D60" w:rsidRDefault="00306D60" w:rsidP="00306D60">
            <w:pPr>
              <w:spacing w:before="0" w:after="0"/>
              <w:ind w:right="227"/>
              <w:jc w:val="right"/>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06D60">
              <w:rPr>
                <w:b/>
                <w:color w:val="000000"/>
                <w:sz w:val="18"/>
                <w:szCs w:val="18"/>
              </w:rPr>
              <w:t>6.1</w:t>
            </w:r>
          </w:p>
        </w:tc>
        <w:tc>
          <w:tcPr>
            <w:tcW w:w="1897" w:type="dxa"/>
            <w:tcBorders>
              <w:left w:val="single" w:sz="8" w:space="0" w:color="2B3B5F"/>
              <w:bottom w:val="single" w:sz="8" w:space="0" w:color="2B3B5F"/>
              <w:right w:val="single" w:sz="8" w:space="0" w:color="2B3B5F"/>
            </w:tcBorders>
            <w:shd w:val="clear" w:color="auto" w:fill="auto"/>
            <w:noWrap/>
          </w:tcPr>
          <w:p w:rsidR="00306D60" w:rsidRPr="00306D60" w:rsidRDefault="00306D60" w:rsidP="00306D60">
            <w:pPr>
              <w:spacing w:before="0" w:after="0"/>
              <w:ind w:right="227"/>
              <w:jc w:val="right"/>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06D60">
              <w:rPr>
                <w:b/>
                <w:color w:val="000000"/>
                <w:sz w:val="18"/>
                <w:szCs w:val="18"/>
              </w:rPr>
              <w:t>80.4</w:t>
            </w:r>
          </w:p>
        </w:tc>
      </w:tr>
    </w:tbl>
    <w:p w:rsidR="00D665E5" w:rsidRPr="00772F12" w:rsidRDefault="00D665E5" w:rsidP="00D665E5">
      <w:pPr>
        <w:pStyle w:val="Heading30"/>
      </w:pPr>
      <w:r>
        <w:t>Contributions from</w:t>
      </w:r>
      <w:r w:rsidRPr="00772F12">
        <w:t xml:space="preserve"> </w:t>
      </w:r>
      <w:r>
        <w:t>government superannuation benefits</w:t>
      </w:r>
    </w:p>
    <w:p w:rsidR="00D665E5" w:rsidRPr="00A041D6" w:rsidRDefault="00D665E5" w:rsidP="003E04E1">
      <w:pPr>
        <w:pStyle w:val="BoxText"/>
        <w:rPr>
          <w:sz w:val="20"/>
        </w:rPr>
      </w:pPr>
      <w:r w:rsidRPr="00A041D6">
        <w:rPr>
          <w:sz w:val="20"/>
        </w:rPr>
        <w:t xml:space="preserve">Expenses for government superannuation </w:t>
      </w:r>
      <w:r w:rsidRPr="00550FC1">
        <w:rPr>
          <w:sz w:val="20"/>
        </w:rPr>
        <w:t>benefits contributed 36</w:t>
      </w:r>
      <w:r w:rsidR="00520211" w:rsidRPr="00550FC1">
        <w:rPr>
          <w:sz w:val="20"/>
        </w:rPr>
        <w:t>.2</w:t>
      </w:r>
      <w:r w:rsidR="00A14AA5" w:rsidRPr="00550FC1">
        <w:rPr>
          <w:sz w:val="20"/>
        </w:rPr>
        <w:t> </w:t>
      </w:r>
      <w:r w:rsidRPr="00550FC1">
        <w:rPr>
          <w:sz w:val="20"/>
        </w:rPr>
        <w:t xml:space="preserve">percentage </w:t>
      </w:r>
      <w:proofErr w:type="gramStart"/>
      <w:r w:rsidRPr="00550FC1">
        <w:rPr>
          <w:sz w:val="20"/>
        </w:rPr>
        <w:t>points</w:t>
      </w:r>
      <w:r w:rsidR="00A95024">
        <w:rPr>
          <w:sz w:val="20"/>
        </w:rPr>
        <w:t>,</w:t>
      </w:r>
      <w:proofErr w:type="gramEnd"/>
      <w:r w:rsidR="00A95024">
        <w:rPr>
          <w:sz w:val="20"/>
        </w:rPr>
        <w:t xml:space="preserve"> or 45 per cent of </w:t>
      </w:r>
      <w:r w:rsidRPr="00550FC1">
        <w:rPr>
          <w:sz w:val="20"/>
        </w:rPr>
        <w:t>growth in general public services s</w:t>
      </w:r>
      <w:r w:rsidR="00520211" w:rsidRPr="00550FC1">
        <w:rPr>
          <w:sz w:val="20"/>
        </w:rPr>
        <w:t>pending from 2002</w:t>
      </w:r>
      <w:r w:rsidR="00470A7E" w:rsidRPr="00550FC1">
        <w:noBreakHyphen/>
      </w:r>
      <w:r w:rsidR="00470A7E" w:rsidRPr="00550FC1">
        <w:rPr>
          <w:sz w:val="20"/>
        </w:rPr>
        <w:t>03 to 2012</w:t>
      </w:r>
      <w:r w:rsidR="00470A7E" w:rsidRPr="00550FC1">
        <w:noBreakHyphen/>
      </w:r>
      <w:r w:rsidR="00520211" w:rsidRPr="00550FC1">
        <w:rPr>
          <w:sz w:val="20"/>
        </w:rPr>
        <w:t xml:space="preserve">13.  This was </w:t>
      </w:r>
      <w:r w:rsidRPr="00550FC1">
        <w:rPr>
          <w:sz w:val="20"/>
        </w:rPr>
        <w:t xml:space="preserve">the largest contribution of all </w:t>
      </w:r>
      <w:r w:rsidR="00520211" w:rsidRPr="00550FC1">
        <w:rPr>
          <w:sz w:val="20"/>
        </w:rPr>
        <w:t>areas</w:t>
      </w:r>
      <w:r w:rsidRPr="00550FC1">
        <w:rPr>
          <w:sz w:val="20"/>
        </w:rPr>
        <w:t>, increasing by 11.2</w:t>
      </w:r>
      <w:r w:rsidR="00A14AA5" w:rsidRPr="00550FC1">
        <w:rPr>
          <w:sz w:val="20"/>
        </w:rPr>
        <w:t> </w:t>
      </w:r>
      <w:r w:rsidRPr="00550FC1">
        <w:rPr>
          <w:sz w:val="20"/>
        </w:rPr>
        <w:t>per</w:t>
      </w:r>
      <w:r w:rsidR="00A14AA5" w:rsidRPr="00550FC1">
        <w:rPr>
          <w:sz w:val="20"/>
        </w:rPr>
        <w:t> </w:t>
      </w:r>
      <w:r w:rsidRPr="00550FC1">
        <w:rPr>
          <w:sz w:val="20"/>
        </w:rPr>
        <w:t>cent annually over this period</w:t>
      </w:r>
      <w:r w:rsidRPr="00A041D6">
        <w:rPr>
          <w:sz w:val="20"/>
        </w:rPr>
        <w:t>.</w:t>
      </w:r>
    </w:p>
    <w:p w:rsidR="00D665E5" w:rsidRDefault="00D665E5" w:rsidP="00D665E5">
      <w:pPr>
        <w:pStyle w:val="BoxText"/>
        <w:rPr>
          <w:sz w:val="20"/>
        </w:rPr>
      </w:pPr>
      <w:r>
        <w:rPr>
          <w:sz w:val="20"/>
        </w:rPr>
        <w:t>The growth</w:t>
      </w:r>
      <w:r w:rsidRPr="00A041D6">
        <w:rPr>
          <w:sz w:val="20"/>
        </w:rPr>
        <w:t xml:space="preserve"> in spending on government su</w:t>
      </w:r>
      <w:r>
        <w:rPr>
          <w:sz w:val="20"/>
        </w:rPr>
        <w:t>perannuation benefits over the period largely</w:t>
      </w:r>
      <w:r w:rsidRPr="00A041D6">
        <w:rPr>
          <w:sz w:val="20"/>
        </w:rPr>
        <w:t xml:space="preserve"> reflect</w:t>
      </w:r>
      <w:r>
        <w:rPr>
          <w:sz w:val="20"/>
        </w:rPr>
        <w:t>ed</w:t>
      </w:r>
      <w:r w:rsidRPr="00A041D6">
        <w:rPr>
          <w:sz w:val="20"/>
        </w:rPr>
        <w:t xml:space="preserve"> the methodology used to calculate </w:t>
      </w:r>
      <w:r>
        <w:rPr>
          <w:sz w:val="20"/>
        </w:rPr>
        <w:t xml:space="preserve">these </w:t>
      </w:r>
      <w:r w:rsidRPr="00A041D6">
        <w:rPr>
          <w:sz w:val="20"/>
        </w:rPr>
        <w:t>expenses</w:t>
      </w:r>
      <w:r>
        <w:rPr>
          <w:sz w:val="20"/>
        </w:rPr>
        <w:t>.</w:t>
      </w:r>
      <w:r w:rsidRPr="00A041D6">
        <w:rPr>
          <w:sz w:val="20"/>
        </w:rPr>
        <w:t xml:space="preserve">  </w:t>
      </w:r>
      <w:r>
        <w:rPr>
          <w:sz w:val="20"/>
        </w:rPr>
        <w:t>S</w:t>
      </w:r>
      <w:r w:rsidRPr="00A041D6">
        <w:rPr>
          <w:sz w:val="20"/>
        </w:rPr>
        <w:t xml:space="preserve">uperannuation benefits expenses </w:t>
      </w:r>
      <w:r>
        <w:rPr>
          <w:sz w:val="20"/>
        </w:rPr>
        <w:t xml:space="preserve">are calculated using </w:t>
      </w:r>
      <w:r w:rsidRPr="00A041D6">
        <w:rPr>
          <w:sz w:val="20"/>
        </w:rPr>
        <w:t xml:space="preserve">the long term government bond rate at the end of the financial year </w:t>
      </w:r>
      <w:r>
        <w:rPr>
          <w:sz w:val="20"/>
        </w:rPr>
        <w:t xml:space="preserve">as the discount rate. </w:t>
      </w:r>
      <w:r w:rsidR="00A14AA5">
        <w:rPr>
          <w:sz w:val="20"/>
        </w:rPr>
        <w:t xml:space="preserve"> </w:t>
      </w:r>
      <w:r>
        <w:rPr>
          <w:sz w:val="20"/>
        </w:rPr>
        <w:t>Changes in this discount rate have the largest impact on superannuation benefit expenses.</w:t>
      </w:r>
    </w:p>
    <w:p w:rsidR="00D665E5" w:rsidRPr="009F4697" w:rsidRDefault="00D665E5" w:rsidP="00D665E5">
      <w:pPr>
        <w:pStyle w:val="BoxText"/>
        <w:rPr>
          <w:sz w:val="20"/>
        </w:rPr>
      </w:pPr>
      <w:r>
        <w:rPr>
          <w:sz w:val="20"/>
        </w:rPr>
        <w:t xml:space="preserve">The increase in </w:t>
      </w:r>
      <w:r w:rsidRPr="00A041D6">
        <w:rPr>
          <w:sz w:val="20"/>
        </w:rPr>
        <w:t xml:space="preserve">superannuation benefits expenses </w:t>
      </w:r>
      <w:r w:rsidR="00520211">
        <w:rPr>
          <w:sz w:val="20"/>
        </w:rPr>
        <w:t>between 2002</w:t>
      </w:r>
      <w:r w:rsidR="00470A7E" w:rsidRPr="006B456E">
        <w:noBreakHyphen/>
      </w:r>
      <w:r w:rsidR="00520211">
        <w:rPr>
          <w:sz w:val="20"/>
        </w:rPr>
        <w:t xml:space="preserve">03 and </w:t>
      </w:r>
      <w:r w:rsidR="00520211" w:rsidRPr="00550FC1">
        <w:rPr>
          <w:sz w:val="20"/>
        </w:rPr>
        <w:t>2012</w:t>
      </w:r>
      <w:r w:rsidR="00470A7E" w:rsidRPr="00550FC1">
        <w:noBreakHyphen/>
      </w:r>
      <w:r w:rsidR="00520211" w:rsidRPr="00550FC1">
        <w:rPr>
          <w:sz w:val="20"/>
        </w:rPr>
        <w:t>1</w:t>
      </w:r>
      <w:r w:rsidRPr="00550FC1">
        <w:rPr>
          <w:sz w:val="20"/>
        </w:rPr>
        <w:t>3 reflects</w:t>
      </w:r>
      <w:r>
        <w:rPr>
          <w:sz w:val="20"/>
        </w:rPr>
        <w:t xml:space="preserve"> the decrease in t</w:t>
      </w:r>
      <w:r w:rsidRPr="00A041D6">
        <w:rPr>
          <w:sz w:val="20"/>
        </w:rPr>
        <w:t>he long term bond rate</w:t>
      </w:r>
      <w:r>
        <w:rPr>
          <w:sz w:val="20"/>
        </w:rPr>
        <w:t>.</w:t>
      </w:r>
      <w:r w:rsidRPr="00A041D6">
        <w:rPr>
          <w:sz w:val="20"/>
        </w:rPr>
        <w:t xml:space="preserve">  In particular, the use of the 3.1</w:t>
      </w:r>
      <w:r w:rsidR="00A14AA5">
        <w:rPr>
          <w:sz w:val="20"/>
        </w:rPr>
        <w:t> </w:t>
      </w:r>
      <w:r w:rsidRPr="00A041D6">
        <w:rPr>
          <w:sz w:val="20"/>
        </w:rPr>
        <w:t>per</w:t>
      </w:r>
      <w:r w:rsidR="00A14AA5">
        <w:rPr>
          <w:sz w:val="20"/>
        </w:rPr>
        <w:t> </w:t>
      </w:r>
      <w:r w:rsidRPr="00A041D6">
        <w:rPr>
          <w:sz w:val="20"/>
        </w:rPr>
        <w:t>cent</w:t>
      </w:r>
      <w:r w:rsidR="00A14AA5">
        <w:rPr>
          <w:sz w:val="20"/>
        </w:rPr>
        <w:t xml:space="preserve"> </w:t>
      </w:r>
      <w:r>
        <w:rPr>
          <w:sz w:val="20"/>
        </w:rPr>
        <w:t xml:space="preserve">long term government bond rate for </w:t>
      </w:r>
      <w:r w:rsidRPr="00A041D6">
        <w:rPr>
          <w:sz w:val="20"/>
        </w:rPr>
        <w:t>2012</w:t>
      </w:r>
      <w:r w:rsidR="00470A7E" w:rsidRPr="006B456E">
        <w:noBreakHyphen/>
      </w:r>
      <w:r w:rsidRPr="00A041D6">
        <w:rPr>
          <w:sz w:val="20"/>
        </w:rPr>
        <w:t xml:space="preserve">13 resulted in a substantial increase in </w:t>
      </w:r>
      <w:r w:rsidRPr="00BF2C99">
        <w:rPr>
          <w:sz w:val="20"/>
        </w:rPr>
        <w:t xml:space="preserve">expenses </w:t>
      </w:r>
      <w:r w:rsidR="00550FC1" w:rsidRPr="00BF2C99">
        <w:rPr>
          <w:sz w:val="20"/>
        </w:rPr>
        <w:t>in that year</w:t>
      </w:r>
      <w:r w:rsidRPr="00BF2C99">
        <w:rPr>
          <w:sz w:val="20"/>
        </w:rPr>
        <w:t>.</w:t>
      </w:r>
    </w:p>
    <w:p w:rsidR="00D665E5" w:rsidRPr="00772F12" w:rsidRDefault="00D665E5" w:rsidP="00D665E5">
      <w:pPr>
        <w:pStyle w:val="Heading30"/>
      </w:pPr>
      <w:r>
        <w:t>Contributions from</w:t>
      </w:r>
      <w:r w:rsidRPr="00772F12">
        <w:t xml:space="preserve"> </w:t>
      </w:r>
      <w:r>
        <w:t xml:space="preserve">financial and fiscal affairs </w:t>
      </w:r>
    </w:p>
    <w:p w:rsidR="00D665E5" w:rsidRPr="00A041D6" w:rsidRDefault="00D665E5" w:rsidP="00D665E5">
      <w:r w:rsidRPr="00A041D6">
        <w:t xml:space="preserve">The second largest contributor to </w:t>
      </w:r>
      <w:r w:rsidRPr="00550FC1">
        <w:t xml:space="preserve">growth in spending on general public services was financial and fiscal affairs at </w:t>
      </w:r>
      <w:r w:rsidR="00520211" w:rsidRPr="00550FC1">
        <w:t>23.0</w:t>
      </w:r>
      <w:r w:rsidR="00A14AA5" w:rsidRPr="00550FC1">
        <w:t> </w:t>
      </w:r>
      <w:r w:rsidR="00520211" w:rsidRPr="00550FC1">
        <w:t>percentage points</w:t>
      </w:r>
      <w:r w:rsidR="00A95024">
        <w:t>, or 29 per cent</w:t>
      </w:r>
      <w:r w:rsidR="00520211" w:rsidRPr="00550FC1">
        <w:t xml:space="preserve"> of the </w:t>
      </w:r>
      <w:r w:rsidRPr="00550FC1">
        <w:t>growth in the function from 2002</w:t>
      </w:r>
      <w:r w:rsidR="00470A7E" w:rsidRPr="00550FC1">
        <w:noBreakHyphen/>
      </w:r>
      <w:r w:rsidRPr="00550FC1">
        <w:t>03 to 2012</w:t>
      </w:r>
      <w:r w:rsidR="00470A7E" w:rsidRPr="00550FC1">
        <w:noBreakHyphen/>
      </w:r>
      <w:r w:rsidRPr="00550FC1">
        <w:t xml:space="preserve">13.  Spending on this </w:t>
      </w:r>
      <w:r w:rsidR="00520211" w:rsidRPr="00550FC1">
        <w:t>area increased by 5.6</w:t>
      </w:r>
      <w:r w:rsidR="00A14AA5" w:rsidRPr="00550FC1">
        <w:t> </w:t>
      </w:r>
      <w:r w:rsidRPr="00550FC1">
        <w:t>per</w:t>
      </w:r>
      <w:r w:rsidR="00A14AA5" w:rsidRPr="00550FC1">
        <w:t> </w:t>
      </w:r>
      <w:r w:rsidRPr="00550FC1">
        <w:t xml:space="preserve">cent annually over this period </w:t>
      </w:r>
      <w:r w:rsidR="0003625D">
        <w:t xml:space="preserve">largely </w:t>
      </w:r>
      <w:r w:rsidRPr="00550FC1">
        <w:t>due to</w:t>
      </w:r>
      <w:r w:rsidRPr="00A041D6">
        <w:t>:</w:t>
      </w:r>
    </w:p>
    <w:p w:rsidR="00D665E5" w:rsidRPr="00A041D6" w:rsidRDefault="00D665E5" w:rsidP="00D665E5">
      <w:pPr>
        <w:pStyle w:val="ListParagraph"/>
        <w:numPr>
          <w:ilvl w:val="0"/>
          <w:numId w:val="12"/>
        </w:numPr>
        <w:ind w:left="284" w:hanging="284"/>
        <w:contextualSpacing w:val="0"/>
      </w:pPr>
      <w:r w:rsidRPr="00A041D6">
        <w:t xml:space="preserve">additional funding for the </w:t>
      </w:r>
      <w:r w:rsidR="00510B9C" w:rsidRPr="00DB5AD8">
        <w:t>ATO</w:t>
      </w:r>
      <w:r w:rsidRPr="00A041D6">
        <w:t xml:space="preserve"> for the improvement of services and compliance;</w:t>
      </w:r>
    </w:p>
    <w:p w:rsidR="00D665E5" w:rsidRPr="00A041D6" w:rsidRDefault="00D665E5" w:rsidP="00D665E5">
      <w:pPr>
        <w:pStyle w:val="ListParagraph"/>
        <w:numPr>
          <w:ilvl w:val="0"/>
          <w:numId w:val="12"/>
        </w:numPr>
        <w:ind w:left="284" w:hanging="284"/>
        <w:contextualSpacing w:val="0"/>
      </w:pPr>
      <w:r w:rsidRPr="00A041D6">
        <w:t>an increase in the ATO’s penalty remission</w:t>
      </w:r>
      <w:r>
        <w:t xml:space="preserve"> expenses</w:t>
      </w:r>
      <w:r w:rsidRPr="00A041D6">
        <w:t>;</w:t>
      </w:r>
    </w:p>
    <w:p w:rsidR="00D665E5" w:rsidRPr="00A041D6" w:rsidRDefault="00D665E5" w:rsidP="00D665E5">
      <w:pPr>
        <w:pStyle w:val="ListParagraph"/>
        <w:numPr>
          <w:ilvl w:val="0"/>
          <w:numId w:val="12"/>
        </w:numPr>
        <w:ind w:left="284" w:hanging="284"/>
        <w:contextualSpacing w:val="0"/>
      </w:pPr>
      <w:r w:rsidRPr="00A041D6">
        <w:t>increased investment expenses as financial asset</w:t>
      </w:r>
      <w:r>
        <w:t>s</w:t>
      </w:r>
      <w:r w:rsidRPr="00A041D6">
        <w:t xml:space="preserve"> accumulated in the Future Fund, administered by the Fut</w:t>
      </w:r>
      <w:r w:rsidR="00A14AA5">
        <w:t>ure Fund Management Agency; and</w:t>
      </w:r>
    </w:p>
    <w:p w:rsidR="00D665E5" w:rsidRDefault="00D665E5" w:rsidP="00D665E5">
      <w:pPr>
        <w:pStyle w:val="ListParagraph"/>
        <w:numPr>
          <w:ilvl w:val="0"/>
          <w:numId w:val="12"/>
        </w:numPr>
        <w:ind w:left="284" w:hanging="284"/>
        <w:contextualSpacing w:val="0"/>
      </w:pPr>
      <w:proofErr w:type="gramStart"/>
      <w:r w:rsidRPr="00A041D6">
        <w:t>increases</w:t>
      </w:r>
      <w:proofErr w:type="gramEnd"/>
      <w:r w:rsidRPr="00A041D6">
        <w:t xml:space="preserve"> in funding for the Austr</w:t>
      </w:r>
      <w:r w:rsidR="00510B9C">
        <w:t>alian Bureau of Statistics</w:t>
      </w:r>
      <w:r w:rsidRPr="00A041D6">
        <w:t xml:space="preserve"> in 2005</w:t>
      </w:r>
      <w:r w:rsidR="00470A7E" w:rsidRPr="006B456E">
        <w:noBreakHyphen/>
      </w:r>
      <w:r w:rsidRPr="00A041D6">
        <w:t>06, 2006</w:t>
      </w:r>
      <w:r w:rsidR="00470A7E" w:rsidRPr="006B456E">
        <w:noBreakHyphen/>
      </w:r>
      <w:r w:rsidRPr="00A041D6">
        <w:t>07</w:t>
      </w:r>
      <w:r>
        <w:t>,</w:t>
      </w:r>
      <w:r w:rsidRPr="00A041D6">
        <w:t xml:space="preserve"> 2010</w:t>
      </w:r>
      <w:r w:rsidR="00470A7E" w:rsidRPr="006B456E">
        <w:noBreakHyphen/>
      </w:r>
      <w:r w:rsidRPr="00A041D6">
        <w:t>11 and 2011</w:t>
      </w:r>
      <w:r w:rsidR="00470A7E" w:rsidRPr="006B456E">
        <w:noBreakHyphen/>
      </w:r>
      <w:r w:rsidRPr="00A041D6">
        <w:t xml:space="preserve">12 </w:t>
      </w:r>
      <w:r>
        <w:t>for the Census</w:t>
      </w:r>
      <w:r w:rsidRPr="00A041D6">
        <w:t>.</w:t>
      </w:r>
    </w:p>
    <w:p w:rsidR="00AF012C" w:rsidRDefault="00AF012C">
      <w:pPr>
        <w:spacing w:before="0" w:after="200" w:line="252" w:lineRule="auto"/>
        <w:rPr>
          <w:b/>
          <w:sz w:val="22"/>
          <w:szCs w:val="24"/>
          <w:lang w:eastAsia="en-US"/>
        </w:rPr>
      </w:pPr>
      <w:r>
        <w:br w:type="page"/>
      </w:r>
    </w:p>
    <w:p w:rsidR="00D665E5" w:rsidRPr="00984BD5" w:rsidRDefault="00D665E5" w:rsidP="00D665E5">
      <w:pPr>
        <w:pStyle w:val="Heading30"/>
      </w:pPr>
      <w:r w:rsidRPr="00984BD5">
        <w:lastRenderedPageBreak/>
        <w:t>Contributions from foreign affairs and economic aid</w:t>
      </w:r>
    </w:p>
    <w:p w:rsidR="00D665E5" w:rsidRPr="004236EB" w:rsidRDefault="00D665E5" w:rsidP="00D665E5">
      <w:pPr>
        <w:pStyle w:val="PBOtext"/>
        <w:rPr>
          <w:rFonts w:asciiTheme="minorHAnsi" w:eastAsia="Times New Roman" w:hAnsiTheme="minorHAnsi"/>
        </w:rPr>
      </w:pPr>
      <w:r w:rsidRPr="004236EB">
        <w:t>F</w:t>
      </w:r>
      <w:r w:rsidRPr="004236EB">
        <w:rPr>
          <w:rFonts w:asciiTheme="minorHAnsi" w:eastAsia="Times New Roman" w:hAnsiTheme="minorHAnsi"/>
        </w:rPr>
        <w:t xml:space="preserve">oreign affairs and economic aid spending accounted </w:t>
      </w:r>
      <w:r w:rsidRPr="00BF2C99">
        <w:rPr>
          <w:rFonts w:asciiTheme="minorHAnsi" w:eastAsia="Times New Roman" w:hAnsiTheme="minorHAnsi"/>
        </w:rPr>
        <w:t xml:space="preserve">for </w:t>
      </w:r>
      <w:r w:rsidR="00510B9C">
        <w:rPr>
          <w:rFonts w:asciiTheme="minorHAnsi" w:eastAsia="Times New Roman" w:hAnsiTheme="minorHAnsi"/>
        </w:rPr>
        <w:t xml:space="preserve">17.7 percentage </w:t>
      </w:r>
      <w:proofErr w:type="gramStart"/>
      <w:r w:rsidR="000829E7">
        <w:rPr>
          <w:rFonts w:asciiTheme="minorHAnsi" w:eastAsia="Times New Roman" w:hAnsiTheme="minorHAnsi"/>
        </w:rPr>
        <w:t>points,</w:t>
      </w:r>
      <w:proofErr w:type="gramEnd"/>
      <w:r w:rsidR="000829E7">
        <w:rPr>
          <w:rFonts w:asciiTheme="minorHAnsi" w:eastAsia="Times New Roman" w:hAnsiTheme="minorHAnsi"/>
        </w:rPr>
        <w:t xml:space="preserve"> or </w:t>
      </w:r>
      <w:r w:rsidR="00520211" w:rsidRPr="00BF2C99">
        <w:rPr>
          <w:rFonts w:asciiTheme="minorHAnsi" w:eastAsia="Times New Roman" w:hAnsiTheme="minorHAnsi"/>
        </w:rPr>
        <w:t>2</w:t>
      </w:r>
      <w:r w:rsidR="00550FC1" w:rsidRPr="00BF2C99">
        <w:rPr>
          <w:rFonts w:asciiTheme="minorHAnsi" w:eastAsia="Times New Roman" w:hAnsiTheme="minorHAnsi"/>
        </w:rPr>
        <w:t>1.9</w:t>
      </w:r>
      <w:r w:rsidR="00A14AA5" w:rsidRPr="00BF2C99">
        <w:rPr>
          <w:rFonts w:asciiTheme="minorHAnsi" w:eastAsia="Times New Roman" w:hAnsiTheme="minorHAnsi"/>
        </w:rPr>
        <w:t> </w:t>
      </w:r>
      <w:r w:rsidR="00520211" w:rsidRPr="00BF2C99">
        <w:rPr>
          <w:rFonts w:asciiTheme="minorHAnsi" w:eastAsia="Times New Roman" w:hAnsiTheme="minorHAnsi"/>
        </w:rPr>
        <w:t>per</w:t>
      </w:r>
      <w:r w:rsidR="00A14AA5" w:rsidRPr="00BF2C99">
        <w:rPr>
          <w:rFonts w:asciiTheme="minorHAnsi" w:eastAsia="Times New Roman" w:hAnsiTheme="minorHAnsi"/>
        </w:rPr>
        <w:t> </w:t>
      </w:r>
      <w:r w:rsidR="00520211" w:rsidRPr="00BF2C99">
        <w:rPr>
          <w:rFonts w:asciiTheme="minorHAnsi" w:eastAsia="Times New Roman" w:hAnsiTheme="minorHAnsi"/>
        </w:rPr>
        <w:t>cent</w:t>
      </w:r>
      <w:r w:rsidR="00520211">
        <w:rPr>
          <w:rFonts w:asciiTheme="minorHAnsi" w:eastAsia="Times New Roman" w:hAnsiTheme="minorHAnsi"/>
        </w:rPr>
        <w:t xml:space="preserve"> of</w:t>
      </w:r>
      <w:r w:rsidRPr="004236EB">
        <w:rPr>
          <w:rFonts w:asciiTheme="minorHAnsi" w:eastAsia="Times New Roman" w:hAnsiTheme="minorHAnsi"/>
        </w:rPr>
        <w:t xml:space="preserve"> total growth in general public se</w:t>
      </w:r>
      <w:r w:rsidR="00520211">
        <w:rPr>
          <w:rFonts w:asciiTheme="minorHAnsi" w:eastAsia="Times New Roman" w:hAnsiTheme="minorHAnsi"/>
        </w:rPr>
        <w:t xml:space="preserve">rvice spending </w:t>
      </w:r>
      <w:r w:rsidRPr="004236EB">
        <w:rPr>
          <w:rFonts w:asciiTheme="minorHAnsi" w:eastAsia="Times New Roman" w:hAnsiTheme="minorHAnsi"/>
        </w:rPr>
        <w:t>from 2002</w:t>
      </w:r>
      <w:r w:rsidR="00470A7E" w:rsidRPr="006B456E">
        <w:noBreakHyphen/>
      </w:r>
      <w:r w:rsidR="00470A7E">
        <w:rPr>
          <w:rFonts w:asciiTheme="minorHAnsi" w:eastAsia="Times New Roman" w:hAnsiTheme="minorHAnsi"/>
        </w:rPr>
        <w:t>03 to 2012</w:t>
      </w:r>
      <w:r w:rsidR="00470A7E" w:rsidRPr="006B456E">
        <w:noBreakHyphen/>
      </w:r>
      <w:r w:rsidRPr="004236EB">
        <w:rPr>
          <w:rFonts w:asciiTheme="minorHAnsi" w:eastAsia="Times New Roman" w:hAnsiTheme="minorHAnsi"/>
        </w:rPr>
        <w:t>13.</w:t>
      </w:r>
    </w:p>
    <w:p w:rsidR="00D665E5" w:rsidRDefault="00D665E5" w:rsidP="007A4A40">
      <w:pPr>
        <w:pStyle w:val="Caption"/>
      </w:pPr>
      <w:bookmarkStart w:id="162" w:name="_Toc374088504"/>
      <w:bookmarkStart w:id="163" w:name="_Toc374102216"/>
      <w:bookmarkStart w:id="164" w:name="_Toc374350000"/>
      <w:proofErr w:type="gramStart"/>
      <w:r w:rsidRPr="004236EB">
        <w:t xml:space="preserve">Figure </w:t>
      </w:r>
      <w:r w:rsidR="00134D4A">
        <w:t>6</w:t>
      </w:r>
      <w:r w:rsidRPr="004236EB">
        <w:t>.</w:t>
      </w:r>
      <w:proofErr w:type="gramEnd"/>
      <w:r w:rsidR="00143AAD">
        <w:fldChar w:fldCharType="begin"/>
      </w:r>
      <w:r w:rsidR="00143AAD">
        <w:instrText xml:space="preserve"> SEQ Figure \* ARABIC \s 1 </w:instrText>
      </w:r>
      <w:r w:rsidR="00143AAD">
        <w:fldChar w:fldCharType="separate"/>
      </w:r>
      <w:r w:rsidR="00E862AC">
        <w:rPr>
          <w:noProof/>
        </w:rPr>
        <w:t>3</w:t>
      </w:r>
      <w:r w:rsidR="00143AAD">
        <w:rPr>
          <w:noProof/>
        </w:rPr>
        <w:fldChar w:fldCharType="end"/>
      </w:r>
      <w:r w:rsidRPr="004236EB">
        <w:t>:</w:t>
      </w:r>
      <w:r>
        <w:tab/>
      </w:r>
      <w:r w:rsidR="00865B5C">
        <w:t>Cumulative g</w:t>
      </w:r>
      <w:r w:rsidRPr="004236EB">
        <w:t>rowth in foreign affairs and economic aid expenses</w:t>
      </w:r>
      <w:bookmarkEnd w:id="162"/>
      <w:bookmarkEnd w:id="163"/>
      <w:bookmarkEnd w:id="164"/>
    </w:p>
    <w:p w:rsidR="00D665E5" w:rsidRPr="0072255C" w:rsidRDefault="00A432F2" w:rsidP="00D665E5">
      <w:pPr>
        <w:spacing w:before="0" w:after="0"/>
        <w:jc w:val="center"/>
      </w:pPr>
      <w:r>
        <w:rPr>
          <w:noProof/>
        </w:rPr>
        <w:drawing>
          <wp:inline distT="0" distB="0" distL="0" distR="0" wp14:anchorId="41EA7B44" wp14:editId="5B87A9E2">
            <wp:extent cx="5408591" cy="3556000"/>
            <wp:effectExtent l="0" t="0" r="1905" b="6350"/>
            <wp:docPr id="63" name="Picture 63" descr="This chart shows that real foreign affairs and economic aid expenses grew at a faster rate than real GDP over the period 2002–03 to 2012–13. &#10;" title="Fig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a:extLst>
                        <a:ext uri="{28A0092B-C50C-407E-A947-70E740481C1C}">
                          <a14:useLocalDpi xmlns:a14="http://schemas.microsoft.com/office/drawing/2010/main" val="0"/>
                        </a:ext>
                      </a:extLst>
                    </a:blip>
                    <a:srcRect t="1893" b="1721"/>
                    <a:stretch/>
                  </pic:blipFill>
                  <pic:spPr bwMode="auto">
                    <a:xfrm>
                      <a:off x="0" y="0"/>
                      <a:ext cx="5407660" cy="3555388"/>
                    </a:xfrm>
                    <a:prstGeom prst="rect">
                      <a:avLst/>
                    </a:prstGeom>
                    <a:noFill/>
                    <a:ln>
                      <a:noFill/>
                    </a:ln>
                    <a:extLst>
                      <a:ext uri="{53640926-AAD7-44D8-BBD7-CCE9431645EC}">
                        <a14:shadowObscured xmlns:a14="http://schemas.microsoft.com/office/drawing/2010/main"/>
                      </a:ext>
                    </a:extLst>
                  </pic:spPr>
                </pic:pic>
              </a:graphicData>
            </a:graphic>
          </wp:inline>
        </w:drawing>
      </w:r>
    </w:p>
    <w:p w:rsidR="00D665E5" w:rsidRDefault="00D665E5" w:rsidP="00D665E5">
      <w:pPr>
        <w:pStyle w:val="FigureCaption"/>
      </w:pPr>
      <w:r>
        <w:t xml:space="preserve">Sources: </w:t>
      </w:r>
      <w:r>
        <w:rPr>
          <w:rFonts w:eastAsia="MS PGothic"/>
        </w:rPr>
        <w:t xml:space="preserve">Australian </w:t>
      </w:r>
      <w:r w:rsidRPr="0041748B">
        <w:rPr>
          <w:rFonts w:eastAsia="MS PGothic"/>
        </w:rPr>
        <w:t xml:space="preserve">Government </w:t>
      </w:r>
      <w:r>
        <w:rPr>
          <w:rFonts w:eastAsia="MS PGothic"/>
        </w:rPr>
        <w:t xml:space="preserve">Final Budget Outcomes and </w:t>
      </w:r>
      <w:r>
        <w:t>ABS</w:t>
      </w:r>
    </w:p>
    <w:p w:rsidR="00D665E5" w:rsidRDefault="00D665E5" w:rsidP="00D665E5">
      <w:r w:rsidRPr="00520211">
        <w:t>Spending on foreign affairs an</w:t>
      </w:r>
      <w:r w:rsidR="00520211" w:rsidRPr="00520211">
        <w:t xml:space="preserve">d economic aid </w:t>
      </w:r>
      <w:r w:rsidR="00520211" w:rsidRPr="00550FC1">
        <w:t xml:space="preserve">increased by </w:t>
      </w:r>
      <w:r w:rsidRPr="00550FC1">
        <w:t>5</w:t>
      </w:r>
      <w:r w:rsidR="00520211" w:rsidRPr="00550FC1">
        <w:t>.9</w:t>
      </w:r>
      <w:r w:rsidR="00A14AA5" w:rsidRPr="00550FC1">
        <w:t> </w:t>
      </w:r>
      <w:r w:rsidRPr="00550FC1">
        <w:t>per</w:t>
      </w:r>
      <w:r w:rsidR="00A14AA5" w:rsidRPr="00550FC1">
        <w:t> </w:t>
      </w:r>
      <w:r w:rsidRPr="00550FC1">
        <w:t>cent annually from 2002</w:t>
      </w:r>
      <w:r w:rsidR="00470A7E" w:rsidRPr="00550FC1">
        <w:noBreakHyphen/>
      </w:r>
      <w:r w:rsidRPr="00550FC1">
        <w:t>03 to 2012</w:t>
      </w:r>
      <w:r w:rsidR="00470A7E" w:rsidRPr="00550FC1">
        <w:noBreakHyphen/>
      </w:r>
      <w:r w:rsidRPr="00550FC1">
        <w:t>13, outstripping GDP growth since 2004</w:t>
      </w:r>
      <w:r w:rsidR="00633B00" w:rsidRPr="00550FC1">
        <w:noBreakHyphen/>
      </w:r>
      <w:r w:rsidRPr="00550FC1">
        <w:t>05 due primarily to the incre</w:t>
      </w:r>
      <w:r w:rsidR="00134D4A" w:rsidRPr="00550FC1">
        <w:t>ase in ODA, as shown in Figure</w:t>
      </w:r>
      <w:r w:rsidR="00A14AA5" w:rsidRPr="00550FC1">
        <w:t> </w:t>
      </w:r>
      <w:r w:rsidR="00134D4A" w:rsidRPr="00550FC1">
        <w:t>6</w:t>
      </w:r>
      <w:r w:rsidRPr="00550FC1">
        <w:t xml:space="preserve">.3 above.  The increase in ODA reflected the 2006 announcement </w:t>
      </w:r>
      <w:r w:rsidR="002222A0" w:rsidRPr="00550FC1">
        <w:t xml:space="preserve">outlined in the </w:t>
      </w:r>
      <w:r w:rsidR="002222A0" w:rsidRPr="00706358">
        <w:t>Government’s</w:t>
      </w:r>
      <w:r w:rsidR="002222A0" w:rsidRPr="00550FC1">
        <w:t xml:space="preserve"> 2006 White Paper – </w:t>
      </w:r>
      <w:r w:rsidR="002222A0" w:rsidRPr="00550FC1">
        <w:rPr>
          <w:i/>
        </w:rPr>
        <w:t>Australian Aid: Promoting Growth and Stability</w:t>
      </w:r>
      <w:r w:rsidR="002222A0" w:rsidRPr="00550FC1">
        <w:t xml:space="preserve"> </w:t>
      </w:r>
      <w:r w:rsidRPr="00550FC1">
        <w:t>to increase overseas a</w:t>
      </w:r>
      <w:r w:rsidR="002222A0" w:rsidRPr="00550FC1">
        <w:t>id to</w:t>
      </w:r>
      <w:r w:rsidRPr="00550FC1">
        <w:t xml:space="preserve"> around $4</w:t>
      </w:r>
      <w:r w:rsidR="00A14AA5" w:rsidRPr="00550FC1">
        <w:t> </w:t>
      </w:r>
      <w:r w:rsidRPr="00550FC1">
        <w:t xml:space="preserve">billion </w:t>
      </w:r>
      <w:r w:rsidR="002222A0" w:rsidRPr="00550FC1">
        <w:t>annually by</w:t>
      </w:r>
      <w:r w:rsidRPr="00550FC1">
        <w:t xml:space="preserve"> 2010</w:t>
      </w:r>
      <w:r w:rsidR="002222A0" w:rsidRPr="00550FC1">
        <w:t>; a</w:t>
      </w:r>
      <w:r w:rsidRPr="00550FC1">
        <w:t>nd the</w:t>
      </w:r>
      <w:r w:rsidRPr="00520211">
        <w:t xml:space="preserve"> commitment in 2008 to increase ODA to 0.5</w:t>
      </w:r>
      <w:r w:rsidR="00A14AA5">
        <w:t> </w:t>
      </w:r>
      <w:r w:rsidRPr="00520211">
        <w:t>per</w:t>
      </w:r>
      <w:r w:rsidR="00A14AA5">
        <w:t> </w:t>
      </w:r>
      <w:r w:rsidRPr="00520211">
        <w:t>cen</w:t>
      </w:r>
      <w:r w:rsidR="00510B9C">
        <w:t>t of Gross National Income</w:t>
      </w:r>
      <w:r w:rsidRPr="00520211">
        <w:t>.</w:t>
      </w:r>
    </w:p>
    <w:p w:rsidR="00D665E5" w:rsidRPr="00772F12" w:rsidRDefault="00D665E5" w:rsidP="00D665E5">
      <w:pPr>
        <w:pStyle w:val="Heading30"/>
      </w:pPr>
      <w:r w:rsidRPr="00772F12">
        <w:t xml:space="preserve">Contributions </w:t>
      </w:r>
      <w:r>
        <w:t>from</w:t>
      </w:r>
      <w:r w:rsidRPr="00772F12">
        <w:t xml:space="preserve"> </w:t>
      </w:r>
      <w:r>
        <w:t>legislative and economic affairs, general research and general services</w:t>
      </w:r>
    </w:p>
    <w:p w:rsidR="00D665E5" w:rsidRDefault="00D665E5" w:rsidP="00D665E5">
      <w:r>
        <w:t>L</w:t>
      </w:r>
      <w:r w:rsidRPr="00772F12">
        <w:t xml:space="preserve">egislative and executive affairs, </w:t>
      </w:r>
      <w:r>
        <w:t xml:space="preserve">general </w:t>
      </w:r>
      <w:r w:rsidRPr="00772F12">
        <w:t xml:space="preserve">research and </w:t>
      </w:r>
      <w:r w:rsidR="00550FC1">
        <w:t>general services were</w:t>
      </w:r>
      <w:r w:rsidRPr="00772F12">
        <w:t xml:space="preserve"> small contributors to growth in spending reflecting the relative</w:t>
      </w:r>
      <w:r>
        <w:t>ly small amount</w:t>
      </w:r>
      <w:r w:rsidRPr="00772F12">
        <w:t xml:space="preserve"> of spending on these areas</w:t>
      </w:r>
      <w:r>
        <w:t>.</w:t>
      </w:r>
    </w:p>
    <w:p w:rsidR="00D665E5" w:rsidRDefault="006703CD" w:rsidP="00D665E5">
      <w:r>
        <w:t>As shown in Table</w:t>
      </w:r>
      <w:r w:rsidR="00A14AA5">
        <w:t> </w:t>
      </w:r>
      <w:r>
        <w:t>6</w:t>
      </w:r>
      <w:r w:rsidR="00D665E5">
        <w:t xml:space="preserve">.1 there has been no change in spending </w:t>
      </w:r>
      <w:r w:rsidR="000829E7">
        <w:t xml:space="preserve">in real terms </w:t>
      </w:r>
      <w:r w:rsidR="00D665E5">
        <w:t>for legislative and executive affairs over</w:t>
      </w:r>
      <w:r w:rsidR="002222A0">
        <w:t xml:space="preserve"> </w:t>
      </w:r>
      <w:r w:rsidR="002222A0" w:rsidRPr="00550FC1">
        <w:t>the period 2002</w:t>
      </w:r>
      <w:r w:rsidR="00633B00" w:rsidRPr="00550FC1">
        <w:noBreakHyphen/>
        <w:t>03 to 2012</w:t>
      </w:r>
      <w:r w:rsidR="00633B00" w:rsidRPr="00550FC1">
        <w:noBreakHyphen/>
      </w:r>
      <w:r w:rsidR="002222A0" w:rsidRPr="00550FC1">
        <w:t xml:space="preserve">13.  At the same time, </w:t>
      </w:r>
      <w:r w:rsidR="00D665E5" w:rsidRPr="00550FC1">
        <w:t xml:space="preserve">spending </w:t>
      </w:r>
      <w:r w:rsidR="002222A0" w:rsidRPr="00550FC1">
        <w:t>on</w:t>
      </w:r>
      <w:r w:rsidR="00D665E5" w:rsidRPr="00550FC1">
        <w:t xml:space="preserve"> general research </w:t>
      </w:r>
      <w:r w:rsidR="00550FC1" w:rsidRPr="00550FC1">
        <w:t xml:space="preserve">contributed </w:t>
      </w:r>
      <w:r w:rsidR="00550FC1" w:rsidRPr="00BF2C99">
        <w:t>3.5</w:t>
      </w:r>
      <w:r w:rsidR="00A14AA5" w:rsidRPr="00BF2C99">
        <w:t> </w:t>
      </w:r>
      <w:r w:rsidR="002222A0" w:rsidRPr="00BF2C99">
        <w:t>percentage points</w:t>
      </w:r>
      <w:r w:rsidR="002222A0" w:rsidRPr="00550FC1">
        <w:t xml:space="preserve"> to growth </w:t>
      </w:r>
      <w:r w:rsidR="00D665E5" w:rsidRPr="00550FC1">
        <w:t xml:space="preserve">and general services increased slightly </w:t>
      </w:r>
      <w:r w:rsidR="002222A0" w:rsidRPr="00550FC1">
        <w:t xml:space="preserve">contributing only </w:t>
      </w:r>
      <w:r w:rsidR="00D665E5" w:rsidRPr="00550FC1">
        <w:t xml:space="preserve">0.1 </w:t>
      </w:r>
      <w:r w:rsidR="002222A0" w:rsidRPr="00550FC1">
        <w:t xml:space="preserve">of a </w:t>
      </w:r>
      <w:r w:rsidR="00D665E5" w:rsidRPr="00550FC1">
        <w:t>percentage point.</w:t>
      </w:r>
    </w:p>
    <w:p w:rsidR="00D665E5" w:rsidRDefault="00D665E5" w:rsidP="00D665E5">
      <w:r>
        <w:t xml:space="preserve">Expenses for legislative and </w:t>
      </w:r>
      <w:r w:rsidRPr="00550FC1">
        <w:t>executive services fluctuate</w:t>
      </w:r>
      <w:r w:rsidR="002222A0" w:rsidRPr="00550FC1">
        <w:t>d</w:t>
      </w:r>
      <w:r w:rsidRPr="00550FC1">
        <w:t xml:space="preserve"> </w:t>
      </w:r>
      <w:r w:rsidR="002222A0" w:rsidRPr="00550FC1">
        <w:t xml:space="preserve">over </w:t>
      </w:r>
      <w:r w:rsidRPr="00550FC1">
        <w:t xml:space="preserve">the period reflecting increases in spending by the Australian Electoral Commission </w:t>
      </w:r>
      <w:r w:rsidR="002222A0" w:rsidRPr="00550FC1">
        <w:t xml:space="preserve">for </w:t>
      </w:r>
      <w:r w:rsidRPr="00550FC1">
        <w:t xml:space="preserve">federal elections in 2004, 2007, 2010 and 2013, </w:t>
      </w:r>
      <w:r w:rsidR="00BB155D" w:rsidRPr="00550FC1">
        <w:t>and</w:t>
      </w:r>
      <w:r w:rsidRPr="00550FC1">
        <w:t xml:space="preserve"> expenses related to Australia’s hosting</w:t>
      </w:r>
      <w:r>
        <w:t xml:space="preserve"> duties for events such as the Commonwealth Hea</w:t>
      </w:r>
      <w:r w:rsidR="00510B9C">
        <w:t>ds of Government Meeting</w:t>
      </w:r>
      <w:r>
        <w:t xml:space="preserve"> in 2002 and 2011 and the Asian Pac</w:t>
      </w:r>
      <w:r w:rsidR="00510B9C">
        <w:t>ific Economic Cooperation</w:t>
      </w:r>
      <w:r>
        <w:t xml:space="preserve"> forum in 2007.</w:t>
      </w:r>
    </w:p>
    <w:p w:rsidR="00AF012C" w:rsidRDefault="00AF012C">
      <w:pPr>
        <w:spacing w:before="0" w:after="200" w:line="252" w:lineRule="auto"/>
        <w:rPr>
          <w:color w:val="000000" w:themeColor="text1"/>
        </w:rPr>
      </w:pPr>
      <w:r>
        <w:rPr>
          <w:color w:val="000000" w:themeColor="text1"/>
        </w:rPr>
        <w:br w:type="page"/>
      </w:r>
    </w:p>
    <w:p w:rsidR="00D665E5" w:rsidRPr="00550FC1" w:rsidRDefault="00BB155D" w:rsidP="00D665E5">
      <w:pPr>
        <w:rPr>
          <w:color w:val="000000" w:themeColor="text1"/>
        </w:rPr>
      </w:pPr>
      <w:r w:rsidRPr="00550FC1">
        <w:rPr>
          <w:color w:val="000000" w:themeColor="text1"/>
        </w:rPr>
        <w:lastRenderedPageBreak/>
        <w:t>G</w:t>
      </w:r>
      <w:r w:rsidR="00D665E5" w:rsidRPr="00550FC1">
        <w:rPr>
          <w:color w:val="000000" w:themeColor="text1"/>
        </w:rPr>
        <w:t>eneral res</w:t>
      </w:r>
      <w:r w:rsidRPr="00550FC1">
        <w:rPr>
          <w:color w:val="000000" w:themeColor="text1"/>
        </w:rPr>
        <w:t>earch</w:t>
      </w:r>
      <w:r w:rsidR="00D665E5" w:rsidRPr="00550FC1">
        <w:rPr>
          <w:color w:val="000000" w:themeColor="text1"/>
        </w:rPr>
        <w:t xml:space="preserve"> spending increased by 2.1</w:t>
      </w:r>
      <w:r w:rsidR="00A14AA5" w:rsidRPr="00550FC1">
        <w:rPr>
          <w:color w:val="000000" w:themeColor="text1"/>
        </w:rPr>
        <w:t> </w:t>
      </w:r>
      <w:r w:rsidR="00D665E5" w:rsidRPr="00550FC1">
        <w:rPr>
          <w:color w:val="000000" w:themeColor="text1"/>
        </w:rPr>
        <w:t>per</w:t>
      </w:r>
      <w:r w:rsidR="00A14AA5" w:rsidRPr="00550FC1">
        <w:rPr>
          <w:color w:val="000000" w:themeColor="text1"/>
        </w:rPr>
        <w:t> </w:t>
      </w:r>
      <w:r w:rsidR="00D665E5" w:rsidRPr="00550FC1">
        <w:rPr>
          <w:color w:val="000000" w:themeColor="text1"/>
        </w:rPr>
        <w:t>cent annually from 2002-03 to 2012</w:t>
      </w:r>
      <w:r w:rsidR="00A14AA5" w:rsidRPr="00550FC1">
        <w:rPr>
          <w:color w:val="000000" w:themeColor="text1"/>
        </w:rPr>
        <w:t>-</w:t>
      </w:r>
      <w:r w:rsidR="00D665E5" w:rsidRPr="00550FC1">
        <w:rPr>
          <w:color w:val="000000" w:themeColor="text1"/>
        </w:rPr>
        <w:t>13.</w:t>
      </w:r>
      <w:r w:rsidR="00A14AA5" w:rsidRPr="00550FC1">
        <w:rPr>
          <w:color w:val="000000" w:themeColor="text1"/>
        </w:rPr>
        <w:t xml:space="preserve"> </w:t>
      </w:r>
      <w:r w:rsidR="00D665E5" w:rsidRPr="00550FC1">
        <w:rPr>
          <w:color w:val="000000" w:themeColor="text1"/>
        </w:rPr>
        <w:t xml:space="preserve"> Over the period growth was partly due to measures announced in the </w:t>
      </w:r>
      <w:r w:rsidR="00D665E5" w:rsidRPr="00550FC1">
        <w:rPr>
          <w:i/>
          <w:iCs/>
          <w:color w:val="000000" w:themeColor="text1"/>
        </w:rPr>
        <w:t>Backing Australia’s Ability</w:t>
      </w:r>
      <w:r w:rsidR="00424E5E">
        <w:rPr>
          <w:color w:val="000000" w:themeColor="text1"/>
        </w:rPr>
        <w:t xml:space="preserve"> statements</w:t>
      </w:r>
      <w:r w:rsidR="00D665E5" w:rsidRPr="00550FC1">
        <w:rPr>
          <w:color w:val="000000" w:themeColor="text1"/>
        </w:rPr>
        <w:t>.</w:t>
      </w:r>
      <w:r w:rsidR="00A14AA5" w:rsidRPr="00550FC1">
        <w:rPr>
          <w:color w:val="000000" w:themeColor="text1"/>
        </w:rPr>
        <w:t xml:space="preserve"> </w:t>
      </w:r>
      <w:r w:rsidR="00D665E5" w:rsidRPr="00550FC1">
        <w:rPr>
          <w:color w:val="000000" w:themeColor="text1"/>
        </w:rPr>
        <w:t xml:space="preserve"> These included </w:t>
      </w:r>
      <w:r w:rsidRPr="00550FC1">
        <w:rPr>
          <w:color w:val="000000" w:themeColor="text1"/>
        </w:rPr>
        <w:t xml:space="preserve">an additional </w:t>
      </w:r>
      <w:r w:rsidR="00D665E5" w:rsidRPr="00550FC1">
        <w:rPr>
          <w:color w:val="000000" w:themeColor="text1"/>
        </w:rPr>
        <w:t>$1</w:t>
      </w:r>
      <w:r w:rsidR="00A14AA5" w:rsidRPr="00550FC1">
        <w:rPr>
          <w:color w:val="000000" w:themeColor="text1"/>
        </w:rPr>
        <w:t> </w:t>
      </w:r>
      <w:r w:rsidR="00D665E5" w:rsidRPr="00550FC1">
        <w:rPr>
          <w:color w:val="000000" w:themeColor="text1"/>
        </w:rPr>
        <w:t xml:space="preserve">billion over four years </w:t>
      </w:r>
      <w:r w:rsidRPr="00550FC1">
        <w:rPr>
          <w:color w:val="000000" w:themeColor="text1"/>
        </w:rPr>
        <w:t xml:space="preserve">from 2001-02 </w:t>
      </w:r>
      <w:r w:rsidR="00D665E5" w:rsidRPr="00550FC1">
        <w:rPr>
          <w:color w:val="000000" w:themeColor="text1"/>
        </w:rPr>
        <w:t xml:space="preserve">for general research measures as part of </w:t>
      </w:r>
      <w:r w:rsidR="00D665E5" w:rsidRPr="00550FC1">
        <w:rPr>
          <w:i/>
          <w:iCs/>
          <w:color w:val="000000" w:themeColor="text1"/>
        </w:rPr>
        <w:t>An innovation Action Plan for the Future</w:t>
      </w:r>
      <w:r w:rsidR="00D665E5" w:rsidRPr="00550FC1">
        <w:rPr>
          <w:color w:val="000000" w:themeColor="text1"/>
        </w:rPr>
        <w:t xml:space="preserve"> and $2</w:t>
      </w:r>
      <w:r w:rsidR="00A14AA5" w:rsidRPr="00550FC1">
        <w:rPr>
          <w:color w:val="000000" w:themeColor="text1"/>
        </w:rPr>
        <w:t> </w:t>
      </w:r>
      <w:r w:rsidR="00D665E5" w:rsidRPr="00550FC1">
        <w:rPr>
          <w:color w:val="000000" w:themeColor="text1"/>
        </w:rPr>
        <w:t>billion over five years for general research measures</w:t>
      </w:r>
      <w:r w:rsidR="00D665E5" w:rsidRPr="00550FC1">
        <w:rPr>
          <w:i/>
          <w:iCs/>
          <w:color w:val="000000" w:themeColor="text1"/>
        </w:rPr>
        <w:t xml:space="preserve"> </w:t>
      </w:r>
      <w:r w:rsidR="00D665E5" w:rsidRPr="00550FC1">
        <w:rPr>
          <w:iCs/>
          <w:color w:val="000000" w:themeColor="text1"/>
        </w:rPr>
        <w:t>in</w:t>
      </w:r>
      <w:r w:rsidRPr="00550FC1">
        <w:rPr>
          <w:i/>
          <w:iCs/>
          <w:color w:val="000000" w:themeColor="text1"/>
        </w:rPr>
        <w:t xml:space="preserve"> Building Our Future t</w:t>
      </w:r>
      <w:r w:rsidR="00D665E5" w:rsidRPr="00550FC1">
        <w:rPr>
          <w:i/>
          <w:iCs/>
          <w:color w:val="000000" w:themeColor="text1"/>
        </w:rPr>
        <w:t>hrough Science and Innovation</w:t>
      </w:r>
      <w:r w:rsidR="00D665E5" w:rsidRPr="00550FC1">
        <w:rPr>
          <w:color w:val="000000" w:themeColor="text1"/>
        </w:rPr>
        <w:t xml:space="preserve"> </w:t>
      </w:r>
      <w:r w:rsidRPr="00550FC1">
        <w:rPr>
          <w:color w:val="000000" w:themeColor="text1"/>
        </w:rPr>
        <w:t>from 2004</w:t>
      </w:r>
      <w:r w:rsidR="00633B00" w:rsidRPr="00550FC1">
        <w:noBreakHyphen/>
      </w:r>
      <w:r w:rsidRPr="00550FC1">
        <w:rPr>
          <w:color w:val="000000" w:themeColor="text1"/>
        </w:rPr>
        <w:t>05</w:t>
      </w:r>
      <w:r w:rsidR="00A14AA5" w:rsidRPr="00550FC1">
        <w:rPr>
          <w:color w:val="000000" w:themeColor="text1"/>
        </w:rPr>
        <w:t>.</w:t>
      </w:r>
    </w:p>
    <w:p w:rsidR="00D665E5" w:rsidRDefault="00633B00" w:rsidP="00BB155D">
      <w:r w:rsidRPr="00550FC1">
        <w:t>From 2008</w:t>
      </w:r>
      <w:r w:rsidRPr="00550FC1">
        <w:noBreakHyphen/>
        <w:t>09 to 2011</w:t>
      </w:r>
      <w:r w:rsidRPr="00550FC1">
        <w:noBreakHyphen/>
      </w:r>
      <w:r w:rsidR="00D665E5" w:rsidRPr="00550FC1">
        <w:t>12</w:t>
      </w:r>
      <w:r w:rsidR="00BB155D" w:rsidRPr="00550FC1">
        <w:t>,</w:t>
      </w:r>
      <w:r w:rsidR="00D665E5" w:rsidRPr="00550FC1">
        <w:t xml:space="preserve"> increases in expenses were largely due to the </w:t>
      </w:r>
      <w:r w:rsidR="00D665E5" w:rsidRPr="00550FC1">
        <w:rPr>
          <w:i/>
        </w:rPr>
        <w:t>Super Science</w:t>
      </w:r>
      <w:r w:rsidR="00D665E5" w:rsidRPr="00550FC1">
        <w:t xml:space="preserve"> initiative </w:t>
      </w:r>
      <w:r w:rsidR="00BB155D" w:rsidRPr="00550FC1">
        <w:t xml:space="preserve">which provided around </w:t>
      </w:r>
      <w:r w:rsidR="00D665E5" w:rsidRPr="00550FC1">
        <w:t>$90</w:t>
      </w:r>
      <w:r w:rsidR="00BB155D" w:rsidRPr="00550FC1">
        <w:t>0</w:t>
      </w:r>
      <w:r w:rsidR="00A14AA5" w:rsidRPr="00550FC1">
        <w:t> </w:t>
      </w:r>
      <w:r w:rsidR="00D665E5" w:rsidRPr="00550FC1">
        <w:t>million over five years for research infrastructure including</w:t>
      </w:r>
      <w:r w:rsidR="00BF2C99">
        <w:t xml:space="preserve"> for</w:t>
      </w:r>
      <w:r w:rsidR="00D665E5" w:rsidRPr="00550FC1">
        <w:t xml:space="preserve"> the Australian Nuclear Science and Technology Organisation</w:t>
      </w:r>
      <w:r w:rsidR="00BB155D" w:rsidRPr="00550FC1">
        <w:t xml:space="preserve">, </w:t>
      </w:r>
      <w:r w:rsidR="00D665E5" w:rsidRPr="00550FC1">
        <w:t>the Australian Institute of Marine Science</w:t>
      </w:r>
      <w:r w:rsidR="00BB155D" w:rsidRPr="00550FC1">
        <w:t xml:space="preserve">, </w:t>
      </w:r>
      <w:r w:rsidR="00D665E5" w:rsidRPr="00550FC1">
        <w:t>and</w:t>
      </w:r>
      <w:r w:rsidR="00BB155D" w:rsidRPr="00550FC1">
        <w:t xml:space="preserve"> </w:t>
      </w:r>
      <w:r w:rsidR="00D665E5" w:rsidRPr="00550FC1">
        <w:t>Commonwealth Scientific and Industrial Research Organisation.</w:t>
      </w:r>
    </w:p>
    <w:p w:rsidR="003D676E" w:rsidRPr="00BB155D" w:rsidRDefault="003D676E" w:rsidP="00BB155D"/>
    <w:p w:rsidR="00514E68" w:rsidRDefault="00514E68" w:rsidP="00514E68">
      <w:pPr>
        <w:pStyle w:val="PBOtext"/>
        <w:rPr>
          <w:lang w:eastAsia="en-US"/>
        </w:rPr>
        <w:sectPr w:rsidR="00514E68" w:rsidSect="0099638E">
          <w:footerReference w:type="default" r:id="rId43"/>
          <w:pgSz w:w="11900" w:h="16840"/>
          <w:pgMar w:top="1440" w:right="1797" w:bottom="1440" w:left="1797" w:header="709" w:footer="709" w:gutter="0"/>
          <w:cols w:space="708"/>
          <w:titlePg/>
          <w:docGrid w:linePitch="326"/>
        </w:sectPr>
      </w:pPr>
    </w:p>
    <w:p w:rsidR="00D20B7F" w:rsidRDefault="00D20B7F" w:rsidP="003D676E">
      <w:pPr>
        <w:pStyle w:val="Heading1"/>
        <w:numPr>
          <w:ilvl w:val="0"/>
          <w:numId w:val="31"/>
        </w:numPr>
        <w:ind w:left="709" w:hanging="709"/>
      </w:pPr>
      <w:bookmarkStart w:id="165" w:name="_Toc374182869"/>
      <w:bookmarkStart w:id="166" w:name="_Toc374349465"/>
      <w:r>
        <w:lastRenderedPageBreak/>
        <w:t>Defence</w:t>
      </w:r>
      <w:r w:rsidR="00F419B4">
        <w:t xml:space="preserve"> and</w:t>
      </w:r>
      <w:r>
        <w:t xml:space="preserve"> public order and safety</w:t>
      </w:r>
      <w:bookmarkEnd w:id="152"/>
      <w:r w:rsidR="00F947A1" w:rsidRPr="00686315">
        <w:t xml:space="preserve"> expenses</w:t>
      </w:r>
      <w:bookmarkEnd w:id="153"/>
      <w:bookmarkEnd w:id="165"/>
      <w:bookmarkEnd w:id="166"/>
    </w:p>
    <w:p w:rsidR="00BF2351" w:rsidRDefault="00D20B7F" w:rsidP="005B6494">
      <w:r w:rsidRPr="004236EB">
        <w:t>In 2012</w:t>
      </w:r>
      <w:r w:rsidR="00633B00" w:rsidRPr="006B456E">
        <w:noBreakHyphen/>
      </w:r>
      <w:r w:rsidRPr="004236EB">
        <w:t>13</w:t>
      </w:r>
      <w:r w:rsidR="006D486F" w:rsidRPr="004236EB">
        <w:t>,</w:t>
      </w:r>
      <w:r w:rsidRPr="004236EB">
        <w:t xml:space="preserve"> defence and public order and safety </w:t>
      </w:r>
      <w:r w:rsidR="00B23E79" w:rsidRPr="004236EB">
        <w:t>expenses</w:t>
      </w:r>
      <w:r w:rsidR="006D486F" w:rsidRPr="004236EB">
        <w:t xml:space="preserve"> </w:t>
      </w:r>
      <w:r w:rsidRPr="004236EB">
        <w:t>totalled $2</w:t>
      </w:r>
      <w:r w:rsidR="00A14AA5">
        <w:t>5.1 </w:t>
      </w:r>
      <w:r w:rsidR="009F6295" w:rsidRPr="004236EB">
        <w:t>billion, accounting for</w:t>
      </w:r>
      <w:r w:rsidR="009F6295">
        <w:t xml:space="preserve"> 6.</w:t>
      </w:r>
      <w:r w:rsidR="009F6295" w:rsidRPr="0030784E">
        <w:t>5</w:t>
      </w:r>
      <w:r w:rsidR="0030784E">
        <w:t> </w:t>
      </w:r>
      <w:r w:rsidRPr="0030784E">
        <w:t>per</w:t>
      </w:r>
      <w:r w:rsidR="0030784E">
        <w:t> </w:t>
      </w:r>
      <w:r>
        <w:t xml:space="preserve">cent of total government spending.  </w:t>
      </w:r>
      <w:r w:rsidR="00BF2351" w:rsidRPr="00414653">
        <w:t xml:space="preserve">The </w:t>
      </w:r>
      <w:r w:rsidR="00BF2351">
        <w:t>composition</w:t>
      </w:r>
      <w:r w:rsidR="00BF2351" w:rsidRPr="00414653">
        <w:t xml:space="preserve"> of this </w:t>
      </w:r>
      <w:r w:rsidR="00134D4A">
        <w:t>spending is shown in Figure 7</w:t>
      </w:r>
      <w:r w:rsidR="00BF2351">
        <w:t xml:space="preserve">.1 </w:t>
      </w:r>
      <w:r w:rsidR="00BF2351" w:rsidRPr="00414653">
        <w:t>below</w:t>
      </w:r>
      <w:r w:rsidR="00BF2351" w:rsidRPr="00A47403">
        <w:t>.</w:t>
      </w:r>
    </w:p>
    <w:p w:rsidR="00013809" w:rsidRDefault="00013809" w:rsidP="007A4A40">
      <w:pPr>
        <w:pStyle w:val="Caption"/>
      </w:pPr>
      <w:bookmarkStart w:id="167" w:name="_Toc373422182"/>
      <w:bookmarkStart w:id="168" w:name="_Toc373873658"/>
      <w:bookmarkStart w:id="169" w:name="_Toc373955561"/>
      <w:bookmarkStart w:id="170" w:name="_Toc374088505"/>
      <w:bookmarkStart w:id="171" w:name="_Toc374102217"/>
      <w:bookmarkStart w:id="172" w:name="_Toc374350001"/>
      <w:proofErr w:type="gramStart"/>
      <w:r w:rsidRPr="004236EB">
        <w:t xml:space="preserve">Figure </w:t>
      </w:r>
      <w:r w:rsidR="00134D4A">
        <w:t>7</w:t>
      </w:r>
      <w:r w:rsidR="00F90856" w:rsidRPr="004236EB">
        <w:t>.</w:t>
      </w:r>
      <w:proofErr w:type="gramEnd"/>
      <w:r w:rsidR="00143AAD">
        <w:fldChar w:fldCharType="begin"/>
      </w:r>
      <w:r w:rsidR="00143AAD">
        <w:instrText xml:space="preserve"> SEQ Figure \* ARABIC \s 1 </w:instrText>
      </w:r>
      <w:r w:rsidR="00143AAD">
        <w:fldChar w:fldCharType="separate"/>
      </w:r>
      <w:r w:rsidR="00E862AC">
        <w:rPr>
          <w:noProof/>
        </w:rPr>
        <w:t>1</w:t>
      </w:r>
      <w:r w:rsidR="00143AAD">
        <w:rPr>
          <w:noProof/>
        </w:rPr>
        <w:fldChar w:fldCharType="end"/>
      </w:r>
      <w:r w:rsidRPr="004236EB">
        <w:t>:</w:t>
      </w:r>
      <w:r w:rsidR="00773778">
        <w:tab/>
      </w:r>
      <w:r w:rsidR="00F419B4">
        <w:t>Composition of defence and</w:t>
      </w:r>
      <w:r w:rsidRPr="004236EB">
        <w:t xml:space="preserve"> public order and safety </w:t>
      </w:r>
      <w:r w:rsidR="008A1BDB" w:rsidRPr="004236EB">
        <w:t>expenses</w:t>
      </w:r>
      <w:r w:rsidRPr="004236EB">
        <w:t xml:space="preserve"> in 2012-13</w:t>
      </w:r>
      <w:bookmarkEnd w:id="167"/>
      <w:bookmarkEnd w:id="168"/>
      <w:bookmarkEnd w:id="169"/>
      <w:bookmarkEnd w:id="170"/>
      <w:bookmarkEnd w:id="171"/>
      <w:bookmarkEnd w:id="172"/>
    </w:p>
    <w:p w:rsidR="004925E8" w:rsidRDefault="00E95195" w:rsidP="003E7DFB">
      <w:pPr>
        <w:pStyle w:val="ChartorTableNote"/>
        <w:spacing w:after="0"/>
        <w:jc w:val="center"/>
      </w:pPr>
      <w:r>
        <w:rPr>
          <w:noProof/>
        </w:rPr>
        <w:drawing>
          <wp:inline distT="0" distB="0" distL="0" distR="0" wp14:anchorId="7E8D2D32" wp14:editId="090BDF2A">
            <wp:extent cx="5388698" cy="3544712"/>
            <wp:effectExtent l="0" t="0" r="0" b="0"/>
            <wp:docPr id="5" name="Picture 5" descr="This chart shows the composition of defence and public order and safety expenses in 2012–13.  Spending on defence was the largest area of spending at 84 per cent.&#10;" title="Fig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t="1532" b="2147"/>
                    <a:stretch/>
                  </pic:blipFill>
                  <pic:spPr bwMode="auto">
                    <a:xfrm>
                      <a:off x="0" y="0"/>
                      <a:ext cx="5401310" cy="3553008"/>
                    </a:xfrm>
                    <a:prstGeom prst="rect">
                      <a:avLst/>
                    </a:prstGeom>
                    <a:noFill/>
                    <a:ln>
                      <a:noFill/>
                    </a:ln>
                    <a:extLst>
                      <a:ext uri="{53640926-AAD7-44D8-BBD7-CCE9431645EC}">
                        <a14:shadowObscured xmlns:a14="http://schemas.microsoft.com/office/drawing/2010/main"/>
                      </a:ext>
                    </a:extLst>
                  </pic:spPr>
                </pic:pic>
              </a:graphicData>
            </a:graphic>
          </wp:inline>
        </w:drawing>
      </w:r>
    </w:p>
    <w:p w:rsidR="00D20B7F" w:rsidRDefault="00D20B7F" w:rsidP="003E7DFB">
      <w:pPr>
        <w:pStyle w:val="ChartorTableNote"/>
        <w:spacing w:after="114"/>
        <w:rPr>
          <w:rFonts w:cs="Arial"/>
        </w:rPr>
      </w:pPr>
      <w:r>
        <w:t xml:space="preserve">Source: Australian Government </w:t>
      </w:r>
      <w:r>
        <w:rPr>
          <w:rFonts w:cs="Arial"/>
        </w:rPr>
        <w:t>Final Budget Outcome</w:t>
      </w:r>
      <w:r w:rsidRPr="00414653">
        <w:rPr>
          <w:rFonts w:cs="Arial"/>
        </w:rPr>
        <w:t xml:space="preserve"> </w:t>
      </w:r>
      <w:r>
        <w:rPr>
          <w:rFonts w:cs="Arial"/>
        </w:rPr>
        <w:t>2012-13</w:t>
      </w:r>
    </w:p>
    <w:p w:rsidR="00BF2351" w:rsidRDefault="00BF2351" w:rsidP="00BF2351">
      <w:bookmarkStart w:id="173" w:name="_Toc372697976"/>
      <w:r>
        <w:t>Mo</w:t>
      </w:r>
      <w:r w:rsidR="008207F7">
        <w:t>st of this spending</w:t>
      </w:r>
      <w:r w:rsidR="008207F7" w:rsidRPr="00FE2AE8">
        <w:t>, 84</w:t>
      </w:r>
      <w:r w:rsidR="00A14AA5">
        <w:t> </w:t>
      </w:r>
      <w:r w:rsidRPr="00FE2AE8">
        <w:t>per</w:t>
      </w:r>
      <w:r>
        <w:t xml:space="preserve"> cent, was for </w:t>
      </w:r>
      <w:r w:rsidRPr="009C7913">
        <w:rPr>
          <w:b/>
        </w:rPr>
        <w:t>defence</w:t>
      </w:r>
      <w:r>
        <w:t xml:space="preserve"> and included the Department of Defence; the Australian Defence Force (ADF), which includes the navy, army and air force; and the Defence Materiel Organisation (DMO</w:t>
      </w:r>
      <w:r w:rsidR="00A14AA5">
        <w:t>).</w:t>
      </w:r>
    </w:p>
    <w:p w:rsidR="00F34510" w:rsidRPr="004236EB" w:rsidRDefault="00F34510" w:rsidP="009D02D1">
      <w:r w:rsidRPr="004236EB">
        <w:t xml:space="preserve">Spending on </w:t>
      </w:r>
      <w:r w:rsidRPr="004236EB">
        <w:rPr>
          <w:b/>
        </w:rPr>
        <w:t>other public order and safety</w:t>
      </w:r>
      <w:r w:rsidR="0088715E">
        <w:t xml:space="preserve"> included</w:t>
      </w:r>
      <w:r w:rsidRPr="004236EB">
        <w:t xml:space="preserve"> the Australian Federal Police (AFP), the Australian Customs and Border Protection Service (Customs), and the Australian Security Intelligence Organi</w:t>
      </w:r>
      <w:r w:rsidR="00A14AA5">
        <w:t>sation (ASIO) and totalled $3.1 </w:t>
      </w:r>
      <w:r w:rsidRPr="004236EB">
        <w:t>billion in 2012</w:t>
      </w:r>
      <w:r w:rsidR="00633B00" w:rsidRPr="006B456E">
        <w:noBreakHyphen/>
      </w:r>
      <w:r w:rsidRPr="004236EB">
        <w:t>13 or 12</w:t>
      </w:r>
      <w:r w:rsidR="00A14AA5">
        <w:t> </w:t>
      </w:r>
      <w:r w:rsidRPr="004236EB">
        <w:t>per</w:t>
      </w:r>
      <w:r w:rsidR="00A14AA5">
        <w:t> </w:t>
      </w:r>
      <w:r w:rsidRPr="004236EB">
        <w:t>cent of spending.</w:t>
      </w:r>
    </w:p>
    <w:p w:rsidR="009D02D1" w:rsidRPr="004236EB" w:rsidRDefault="009D02D1" w:rsidP="009D02D1">
      <w:proofErr w:type="gramStart"/>
      <w:r w:rsidRPr="004236EB">
        <w:rPr>
          <w:b/>
        </w:rPr>
        <w:t xml:space="preserve">Courts and legal services </w:t>
      </w:r>
      <w:r w:rsidR="005E3ECA" w:rsidRPr="004236EB">
        <w:t xml:space="preserve">spending </w:t>
      </w:r>
      <w:r w:rsidRPr="004236EB">
        <w:t>amounted t</w:t>
      </w:r>
      <w:r w:rsidR="00F34510" w:rsidRPr="004236EB">
        <w:t>o $0.9</w:t>
      </w:r>
      <w:r w:rsidR="00A14AA5">
        <w:t> </w:t>
      </w:r>
      <w:r w:rsidR="00F34510" w:rsidRPr="004236EB">
        <w:t>billion in 2012</w:t>
      </w:r>
      <w:r w:rsidR="00633B00" w:rsidRPr="006B456E">
        <w:noBreakHyphen/>
      </w:r>
      <w:r w:rsidR="00F34510" w:rsidRPr="004236EB">
        <w:t>13 or 3</w:t>
      </w:r>
      <w:r w:rsidR="00A14AA5">
        <w:t> </w:t>
      </w:r>
      <w:r w:rsidR="00FE2AE8">
        <w:t>per</w:t>
      </w:r>
      <w:r w:rsidR="00A14AA5">
        <w:t> </w:t>
      </w:r>
      <w:r w:rsidR="00FE2AE8">
        <w:t>cent of defence and</w:t>
      </w:r>
      <w:r w:rsidRPr="004236EB">
        <w:t xml:space="preserve"> public order and safety</w:t>
      </w:r>
      <w:r w:rsidR="00F34510" w:rsidRPr="004236EB">
        <w:t xml:space="preserve"> spending</w:t>
      </w:r>
      <w:r w:rsidR="0088715E">
        <w:t>.</w:t>
      </w:r>
      <w:proofErr w:type="gramEnd"/>
      <w:r w:rsidR="0088715E">
        <w:t xml:space="preserve">  It included</w:t>
      </w:r>
      <w:r w:rsidRPr="004236EB">
        <w:t xml:space="preserve"> programs such as the provision of legal services, legal aid, and the administration of federal courts.</w:t>
      </w:r>
    </w:p>
    <w:p w:rsidR="004925E8" w:rsidRDefault="004925E8" w:rsidP="005B6494">
      <w:pPr>
        <w:pStyle w:val="Heading20"/>
      </w:pPr>
      <w:r w:rsidRPr="00B54066">
        <w:t xml:space="preserve">Trends in </w:t>
      </w:r>
      <w:r>
        <w:t>d</w:t>
      </w:r>
      <w:r w:rsidRPr="00B54066">
        <w:t xml:space="preserve">efence and </w:t>
      </w:r>
      <w:r>
        <w:t>p</w:t>
      </w:r>
      <w:r w:rsidRPr="00B54066">
        <w:t xml:space="preserve">ublic </w:t>
      </w:r>
      <w:r>
        <w:t>o</w:t>
      </w:r>
      <w:r w:rsidRPr="00B54066">
        <w:t xml:space="preserve">rder and </w:t>
      </w:r>
      <w:r>
        <w:t>s</w:t>
      </w:r>
      <w:r w:rsidRPr="00B54066">
        <w:t xml:space="preserve">afety </w:t>
      </w:r>
      <w:r>
        <w:t>spending</w:t>
      </w:r>
      <w:bookmarkEnd w:id="173"/>
    </w:p>
    <w:p w:rsidR="00951B84" w:rsidRDefault="00ED4FCA" w:rsidP="005B6494">
      <w:r w:rsidRPr="00ED4FCA">
        <w:t>From 2002</w:t>
      </w:r>
      <w:r w:rsidRPr="00ED4FCA">
        <w:noBreakHyphen/>
        <w:t>03 to 2012</w:t>
      </w:r>
      <w:r w:rsidRPr="00ED4FCA">
        <w:noBreakHyphen/>
        <w:t>13, defence and public order and safety expenses grew by 27.1 per cent, or 2</w:t>
      </w:r>
      <w:r w:rsidR="008D3366">
        <w:t>.4 </w:t>
      </w:r>
      <w:r w:rsidRPr="00ED4FCA">
        <w:t xml:space="preserve">per cent annually.  This was slower than GDP growth of 34.3 per cent, or 3.0 per cent annually.  </w:t>
      </w:r>
      <w:r w:rsidR="004925E8" w:rsidRPr="00ED4FCA">
        <w:t xml:space="preserve">  </w:t>
      </w:r>
    </w:p>
    <w:p w:rsidR="004925E8" w:rsidRDefault="004925E8" w:rsidP="005B6494">
      <w:r w:rsidRPr="00ED4FCA">
        <w:t xml:space="preserve">Defence </w:t>
      </w:r>
      <w:r w:rsidR="001F5F49" w:rsidRPr="00ED4FCA">
        <w:t>expenses</w:t>
      </w:r>
      <w:r w:rsidRPr="00ED4FCA">
        <w:t xml:space="preserve"> made the largest contribution to cumulative growth in defence and public order and safety (20.3</w:t>
      </w:r>
      <w:r w:rsidR="00A14AA5" w:rsidRPr="00ED4FCA">
        <w:t> </w:t>
      </w:r>
      <w:r w:rsidRPr="00ED4FCA">
        <w:t>percentage points), compared with 6.4</w:t>
      </w:r>
      <w:r w:rsidR="007453D8" w:rsidRPr="00ED4FCA">
        <w:t> </w:t>
      </w:r>
      <w:r w:rsidRPr="00ED4FCA">
        <w:t>percentage points for other public order and</w:t>
      </w:r>
      <w:r>
        <w:t xml:space="preserve"> safety and 0.4</w:t>
      </w:r>
      <w:r w:rsidR="00633B00">
        <w:t> </w:t>
      </w:r>
      <w:r>
        <w:t>percentage points for courts and legal services.</w:t>
      </w:r>
    </w:p>
    <w:p w:rsidR="0089632D" w:rsidRDefault="0089632D" w:rsidP="007A4A40">
      <w:pPr>
        <w:pStyle w:val="Caption"/>
      </w:pPr>
      <w:bookmarkStart w:id="174" w:name="_Toc373422183"/>
      <w:bookmarkStart w:id="175" w:name="_Toc373873659"/>
      <w:bookmarkStart w:id="176" w:name="_Toc373955562"/>
      <w:bookmarkStart w:id="177" w:name="_Toc374088506"/>
      <w:bookmarkStart w:id="178" w:name="_Toc374102218"/>
      <w:bookmarkStart w:id="179" w:name="_Toc374350002"/>
      <w:proofErr w:type="gramStart"/>
      <w:r w:rsidRPr="004236EB">
        <w:lastRenderedPageBreak/>
        <w:t xml:space="preserve">Figure </w:t>
      </w:r>
      <w:r w:rsidR="00134D4A">
        <w:t>7</w:t>
      </w:r>
      <w:r w:rsidR="00F90856" w:rsidRPr="004236EB">
        <w:t>.</w:t>
      </w:r>
      <w:proofErr w:type="gramEnd"/>
      <w:r w:rsidR="00143AAD">
        <w:fldChar w:fldCharType="begin"/>
      </w:r>
      <w:r w:rsidR="00143AAD">
        <w:instrText xml:space="preserve"> SEQ Figure \* ARABIC \s 1 </w:instrText>
      </w:r>
      <w:r w:rsidR="00143AAD">
        <w:fldChar w:fldCharType="separate"/>
      </w:r>
      <w:r w:rsidR="00E862AC">
        <w:rPr>
          <w:noProof/>
        </w:rPr>
        <w:t>2</w:t>
      </w:r>
      <w:r w:rsidR="00143AAD">
        <w:rPr>
          <w:noProof/>
        </w:rPr>
        <w:fldChar w:fldCharType="end"/>
      </w:r>
      <w:r w:rsidR="00773778">
        <w:t>:</w:t>
      </w:r>
      <w:r w:rsidR="00773778">
        <w:tab/>
      </w:r>
      <w:r w:rsidRPr="004236EB">
        <w:t>Contributions to growth in defence</w:t>
      </w:r>
      <w:r w:rsidR="00F419B4">
        <w:t xml:space="preserve"> and</w:t>
      </w:r>
      <w:r w:rsidRPr="004236EB">
        <w:t xml:space="preserve"> public order and safety </w:t>
      </w:r>
      <w:r w:rsidR="008A1BDB" w:rsidRPr="004236EB">
        <w:t>expenses</w:t>
      </w:r>
      <w:bookmarkEnd w:id="174"/>
      <w:bookmarkEnd w:id="175"/>
      <w:bookmarkEnd w:id="176"/>
      <w:bookmarkEnd w:id="177"/>
      <w:bookmarkEnd w:id="178"/>
      <w:bookmarkEnd w:id="179"/>
    </w:p>
    <w:p w:rsidR="004925E8" w:rsidRDefault="00C602F6" w:rsidP="007F035A">
      <w:pPr>
        <w:pStyle w:val="PBOtext"/>
        <w:spacing w:before="0" w:after="0"/>
        <w:jc w:val="center"/>
      </w:pPr>
      <w:r>
        <w:rPr>
          <w:noProof/>
        </w:rPr>
        <w:drawing>
          <wp:inline distT="0" distB="0" distL="0" distR="0" wp14:anchorId="277CF572" wp14:editId="7FE0F02D">
            <wp:extent cx="5402241" cy="3587750"/>
            <wp:effectExtent l="0" t="0" r="8255" b="0"/>
            <wp:docPr id="73" name="Picture 73" descr="This chart shows that real defence and public order and safety expenses grew broadly in line with real GDP over the period 2002–03 to 2011–12 before a marked drop in 2012–13.  It highlights that the largest contribution to this growth came from defence at three quarters of total growth followed by other public order and safety." title="Fig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5">
                      <a:extLst>
                        <a:ext uri="{28A0092B-C50C-407E-A947-70E740481C1C}">
                          <a14:useLocalDpi xmlns:a14="http://schemas.microsoft.com/office/drawing/2010/main" val="0"/>
                        </a:ext>
                      </a:extLst>
                    </a:blip>
                    <a:srcRect t="1551" b="1035"/>
                    <a:stretch/>
                  </pic:blipFill>
                  <pic:spPr bwMode="auto">
                    <a:xfrm>
                      <a:off x="0" y="0"/>
                      <a:ext cx="5401310" cy="3587132"/>
                    </a:xfrm>
                    <a:prstGeom prst="rect">
                      <a:avLst/>
                    </a:prstGeom>
                    <a:noFill/>
                    <a:ln>
                      <a:noFill/>
                    </a:ln>
                    <a:extLst>
                      <a:ext uri="{53640926-AAD7-44D8-BBD7-CCE9431645EC}">
                        <a14:shadowObscured xmlns:a14="http://schemas.microsoft.com/office/drawing/2010/main"/>
                      </a:ext>
                    </a:extLst>
                  </pic:spPr>
                </pic:pic>
              </a:graphicData>
            </a:graphic>
          </wp:inline>
        </w:drawing>
      </w:r>
    </w:p>
    <w:p w:rsidR="00325E68" w:rsidRDefault="00325E68" w:rsidP="00E42D24">
      <w:pPr>
        <w:pStyle w:val="FigureCaption"/>
      </w:pPr>
      <w:r>
        <w:t>Source</w:t>
      </w:r>
      <w:r w:rsidR="00B132DA">
        <w:t>s</w:t>
      </w:r>
      <w:r>
        <w:t xml:space="preserve">: </w:t>
      </w:r>
      <w:r>
        <w:rPr>
          <w:rFonts w:eastAsia="MS PGothic"/>
        </w:rPr>
        <w:t xml:space="preserve">Australian </w:t>
      </w:r>
      <w:r w:rsidRPr="0041748B">
        <w:rPr>
          <w:rFonts w:eastAsia="MS PGothic"/>
        </w:rPr>
        <w:t xml:space="preserve">Government </w:t>
      </w:r>
      <w:r>
        <w:rPr>
          <w:rFonts w:eastAsia="MS PGothic"/>
        </w:rPr>
        <w:t xml:space="preserve">Final Budget Outcomes and </w:t>
      </w:r>
      <w:r>
        <w:t>ABS</w:t>
      </w:r>
    </w:p>
    <w:p w:rsidR="009D02D1" w:rsidRDefault="009D02D1" w:rsidP="009D02D1">
      <w:r>
        <w:t>As</w:t>
      </w:r>
      <w:r w:rsidR="006703CD">
        <w:t xml:space="preserve"> illustrated by the Figure</w:t>
      </w:r>
      <w:r w:rsidR="007453D8">
        <w:t> </w:t>
      </w:r>
      <w:r w:rsidR="006703CD">
        <w:t>7.2</w:t>
      </w:r>
      <w:r>
        <w:t xml:space="preserve"> above, spending for defence, public order and safety increased broadly in line </w:t>
      </w:r>
      <w:r w:rsidR="00633B00">
        <w:t>with economic growth until 2012</w:t>
      </w:r>
      <w:r w:rsidR="00633B00" w:rsidRPr="006B456E">
        <w:noBreakHyphen/>
      </w:r>
      <w:r>
        <w:t>13 when there was a marked reduction in defence expenses.</w:t>
      </w:r>
    </w:p>
    <w:p w:rsidR="004925E8" w:rsidRDefault="00B23E79" w:rsidP="00481DCA">
      <w:r>
        <w:t>Over</w:t>
      </w:r>
      <w:r w:rsidR="004925E8">
        <w:t xml:space="preserve"> this period</w:t>
      </w:r>
      <w:r>
        <w:t>,</w:t>
      </w:r>
      <w:r w:rsidR="004925E8">
        <w:t xml:space="preserve"> trends </w:t>
      </w:r>
      <w:r w:rsidR="00E63E6D">
        <w:t xml:space="preserve">were </w:t>
      </w:r>
      <w:r w:rsidR="004925E8">
        <w:t>influenced by policy decisions which for defence included the enhancement of capabilities (army, navy and air force) and overseas military operations, and, for other public order and safety, increased spending to strengthen domestic security.</w:t>
      </w:r>
    </w:p>
    <w:p w:rsidR="00603EAA" w:rsidRPr="00B54066" w:rsidRDefault="00603EAA" w:rsidP="007F035A">
      <w:pPr>
        <w:jc w:val="both"/>
      </w:pPr>
      <w:r>
        <w:t xml:space="preserve">The following table provides a summary of trends in defence, public order and safety </w:t>
      </w:r>
      <w:r w:rsidR="001F5F49">
        <w:t>expenses</w:t>
      </w:r>
      <w:r>
        <w:t>.</w:t>
      </w:r>
    </w:p>
    <w:p w:rsidR="00603EAA" w:rsidRDefault="00603EAA" w:rsidP="006220A8">
      <w:pPr>
        <w:pStyle w:val="PBOfiguretableheading"/>
        <w:tabs>
          <w:tab w:val="left" w:pos="1134"/>
        </w:tabs>
      </w:pPr>
      <w:bookmarkStart w:id="180" w:name="_Toc373422198"/>
      <w:bookmarkStart w:id="181" w:name="_Toc373873660"/>
      <w:bookmarkStart w:id="182" w:name="_Toc374102219"/>
      <w:bookmarkStart w:id="183" w:name="_Toc374350040"/>
      <w:proofErr w:type="gramStart"/>
      <w:r>
        <w:t xml:space="preserve">Table </w:t>
      </w:r>
      <w:r w:rsidR="00134D4A">
        <w:t>7</w:t>
      </w:r>
      <w:r w:rsidR="00935C60">
        <w:t>.</w:t>
      </w:r>
      <w:proofErr w:type="gramEnd"/>
      <w:r w:rsidR="00143AAD">
        <w:fldChar w:fldCharType="begin"/>
      </w:r>
      <w:r w:rsidR="00143AAD">
        <w:instrText xml:space="preserve"> SEQ Table \* ARABIC \s 1 </w:instrText>
      </w:r>
      <w:r w:rsidR="00143AAD">
        <w:fldChar w:fldCharType="separate"/>
      </w:r>
      <w:r w:rsidR="00E862AC">
        <w:rPr>
          <w:noProof/>
        </w:rPr>
        <w:t>1</w:t>
      </w:r>
      <w:r w:rsidR="00143AAD">
        <w:rPr>
          <w:noProof/>
        </w:rPr>
        <w:fldChar w:fldCharType="end"/>
      </w:r>
      <w:r w:rsidR="00773778">
        <w:t>:</w:t>
      </w:r>
      <w:r w:rsidR="00773778">
        <w:tab/>
      </w:r>
      <w:r>
        <w:t>Summary of defence</w:t>
      </w:r>
      <w:r w:rsidR="00F419B4">
        <w:t xml:space="preserve"> and</w:t>
      </w:r>
      <w:r>
        <w:t xml:space="preserve"> </w:t>
      </w:r>
      <w:r w:rsidR="00F90AF6">
        <w:t>public order and safety expenses</w:t>
      </w:r>
      <w:r>
        <w:t xml:space="preserve"> trends</w:t>
      </w:r>
      <w:bookmarkEnd w:id="180"/>
      <w:bookmarkEnd w:id="181"/>
      <w:bookmarkEnd w:id="182"/>
      <w:bookmarkEnd w:id="183"/>
    </w:p>
    <w:tbl>
      <w:tblPr>
        <w:tblStyle w:val="PBOtables"/>
        <w:tblW w:w="8408" w:type="dxa"/>
        <w:jc w:val="center"/>
        <w:tblInd w:w="421" w:type="dxa"/>
        <w:tblLook w:val="04A0" w:firstRow="1" w:lastRow="0" w:firstColumn="1" w:lastColumn="0" w:noHBand="0" w:noVBand="1"/>
      </w:tblPr>
      <w:tblGrid>
        <w:gridCol w:w="3260"/>
        <w:gridCol w:w="1701"/>
        <w:gridCol w:w="1559"/>
        <w:gridCol w:w="1888"/>
      </w:tblGrid>
      <w:tr w:rsidR="007F035A" w:rsidRPr="007F035A" w:rsidTr="007F035A">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3260" w:type="dxa"/>
            <w:vMerge w:val="restart"/>
            <w:tcBorders>
              <w:top w:val="single" w:sz="8" w:space="0" w:color="2B3B5F"/>
              <w:left w:val="single" w:sz="8" w:space="0" w:color="2B3B5F"/>
              <w:bottom w:val="single" w:sz="8" w:space="0" w:color="2B3B5F"/>
              <w:right w:val="single" w:sz="8" w:space="0" w:color="2B3B5F"/>
            </w:tcBorders>
            <w:shd w:val="clear" w:color="auto" w:fill="95A4C6"/>
            <w:noWrap/>
            <w:hideMark/>
          </w:tcPr>
          <w:p w:rsidR="00795015" w:rsidRPr="007F035A" w:rsidRDefault="00795015" w:rsidP="001B6DCD">
            <w:pPr>
              <w:spacing w:before="0" w:after="0"/>
              <w:rPr>
                <w:b w:val="0"/>
                <w:color w:val="auto"/>
                <w:sz w:val="18"/>
                <w:szCs w:val="18"/>
              </w:rPr>
            </w:pPr>
            <w:bookmarkStart w:id="184" w:name="OLE_LINK1"/>
            <w:r w:rsidRPr="007F035A">
              <w:rPr>
                <w:color w:val="auto"/>
                <w:sz w:val="18"/>
                <w:szCs w:val="18"/>
              </w:rPr>
              <w:t>Category</w:t>
            </w:r>
          </w:p>
        </w:tc>
        <w:tc>
          <w:tcPr>
            <w:tcW w:w="1701" w:type="dxa"/>
            <w:vMerge w:val="restart"/>
            <w:tcBorders>
              <w:top w:val="single" w:sz="8" w:space="0" w:color="2B3B5F"/>
              <w:left w:val="single" w:sz="8" w:space="0" w:color="2B3B5F"/>
              <w:bottom w:val="single" w:sz="8" w:space="0" w:color="2B3B5F"/>
              <w:right w:val="single" w:sz="8" w:space="0" w:color="2B3B5F"/>
            </w:tcBorders>
            <w:shd w:val="clear" w:color="auto" w:fill="95A4C6"/>
            <w:noWrap/>
            <w:hideMark/>
          </w:tcPr>
          <w:p w:rsidR="00795015" w:rsidRPr="007F035A" w:rsidRDefault="00795015" w:rsidP="001B6DCD">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r w:rsidRPr="007F035A">
              <w:rPr>
                <w:color w:val="auto"/>
                <w:sz w:val="18"/>
                <w:szCs w:val="18"/>
              </w:rPr>
              <w:t>Share of</w:t>
            </w:r>
            <w:r w:rsidRPr="007F035A">
              <w:rPr>
                <w:color w:val="auto"/>
                <w:sz w:val="18"/>
                <w:szCs w:val="18"/>
              </w:rPr>
              <w:br/>
              <w:t>2012-13 total</w:t>
            </w:r>
          </w:p>
        </w:tc>
        <w:tc>
          <w:tcPr>
            <w:tcW w:w="3447" w:type="dxa"/>
            <w:gridSpan w:val="2"/>
            <w:tcBorders>
              <w:top w:val="single" w:sz="8" w:space="0" w:color="2B3B5F"/>
              <w:left w:val="single" w:sz="8" w:space="0" w:color="2B3B5F"/>
              <w:bottom w:val="single" w:sz="8" w:space="0" w:color="2B3B5F"/>
              <w:right w:val="single" w:sz="8" w:space="0" w:color="2B3B5F"/>
            </w:tcBorders>
            <w:shd w:val="clear" w:color="auto" w:fill="95A4C6"/>
            <w:noWrap/>
          </w:tcPr>
          <w:p w:rsidR="00795015" w:rsidRPr="007F035A" w:rsidRDefault="00795015" w:rsidP="001B6DCD">
            <w:pPr>
              <w:spacing w:before="0" w:after="0"/>
              <w:cnfStyle w:val="100000000000" w:firstRow="1" w:lastRow="0" w:firstColumn="0" w:lastColumn="0" w:oddVBand="0" w:evenVBand="0" w:oddHBand="0" w:evenHBand="0" w:firstRowFirstColumn="0" w:firstRowLastColumn="0" w:lastRowFirstColumn="0" w:lastRowLastColumn="0"/>
              <w:rPr>
                <w:bCs/>
                <w:color w:val="auto"/>
                <w:sz w:val="18"/>
                <w:szCs w:val="18"/>
              </w:rPr>
            </w:pPr>
            <w:r w:rsidRPr="007F035A">
              <w:rPr>
                <w:color w:val="auto"/>
                <w:sz w:val="18"/>
                <w:szCs w:val="18"/>
              </w:rPr>
              <w:t>Real spending growth 2002-03 to 2012-13</w:t>
            </w:r>
          </w:p>
        </w:tc>
      </w:tr>
      <w:tr w:rsidR="007F035A" w:rsidRPr="007F035A" w:rsidTr="007F035A">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3260" w:type="dxa"/>
            <w:vMerge/>
            <w:tcBorders>
              <w:top w:val="single" w:sz="8" w:space="0" w:color="2B3B5F"/>
              <w:left w:val="single" w:sz="8" w:space="0" w:color="2B3B5F"/>
              <w:bottom w:val="single" w:sz="8" w:space="0" w:color="2B3B5F"/>
              <w:right w:val="single" w:sz="8" w:space="0" w:color="2B3B5F"/>
            </w:tcBorders>
            <w:shd w:val="clear" w:color="auto" w:fill="95A4C6"/>
            <w:noWrap/>
            <w:hideMark/>
          </w:tcPr>
          <w:p w:rsidR="00795015" w:rsidRPr="007F035A" w:rsidRDefault="00795015" w:rsidP="001B6DCD">
            <w:pPr>
              <w:spacing w:before="0" w:after="0"/>
              <w:rPr>
                <w:b w:val="0"/>
                <w:color w:val="auto"/>
                <w:sz w:val="18"/>
                <w:szCs w:val="18"/>
              </w:rPr>
            </w:pPr>
          </w:p>
        </w:tc>
        <w:tc>
          <w:tcPr>
            <w:tcW w:w="1701" w:type="dxa"/>
            <w:vMerge/>
            <w:tcBorders>
              <w:top w:val="single" w:sz="8" w:space="0" w:color="2B3B5F"/>
              <w:left w:val="single" w:sz="8" w:space="0" w:color="2B3B5F"/>
              <w:bottom w:val="single" w:sz="8" w:space="0" w:color="2B3B5F"/>
              <w:right w:val="single" w:sz="8" w:space="0" w:color="2B3B5F"/>
            </w:tcBorders>
            <w:shd w:val="clear" w:color="auto" w:fill="95A4C6"/>
            <w:noWrap/>
          </w:tcPr>
          <w:p w:rsidR="00795015" w:rsidRPr="007F035A" w:rsidRDefault="00795015" w:rsidP="001B6DCD">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1559" w:type="dxa"/>
            <w:tcBorders>
              <w:top w:val="single" w:sz="8" w:space="0" w:color="2B3B5F"/>
              <w:left w:val="single" w:sz="8" w:space="0" w:color="2B3B5F"/>
              <w:bottom w:val="single" w:sz="8" w:space="0" w:color="2B3B5F"/>
              <w:right w:val="single" w:sz="8" w:space="0" w:color="2B3B5F"/>
            </w:tcBorders>
            <w:shd w:val="clear" w:color="auto" w:fill="95A4C6"/>
          </w:tcPr>
          <w:p w:rsidR="00795015" w:rsidRPr="007F035A" w:rsidRDefault="00795015" w:rsidP="001B6DCD">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r w:rsidRPr="007F035A">
              <w:rPr>
                <w:color w:val="auto"/>
                <w:sz w:val="18"/>
                <w:szCs w:val="18"/>
              </w:rPr>
              <w:t>Annual growth</w:t>
            </w:r>
          </w:p>
        </w:tc>
        <w:tc>
          <w:tcPr>
            <w:tcW w:w="1888" w:type="dxa"/>
            <w:tcBorders>
              <w:top w:val="single" w:sz="8" w:space="0" w:color="2B3B5F"/>
              <w:left w:val="single" w:sz="8" w:space="0" w:color="2B3B5F"/>
              <w:bottom w:val="single" w:sz="8" w:space="0" w:color="2B3B5F"/>
              <w:right w:val="single" w:sz="8" w:space="0" w:color="2B3B5F"/>
            </w:tcBorders>
            <w:shd w:val="clear" w:color="auto" w:fill="95A4C6"/>
            <w:noWrap/>
          </w:tcPr>
          <w:p w:rsidR="00795015" w:rsidRPr="007F035A" w:rsidRDefault="00795015" w:rsidP="001B6DCD">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r w:rsidRPr="007F035A">
              <w:rPr>
                <w:color w:val="auto"/>
                <w:sz w:val="18"/>
                <w:szCs w:val="18"/>
              </w:rPr>
              <w:t>Contribution to</w:t>
            </w:r>
            <w:r w:rsidRPr="007F035A">
              <w:rPr>
                <w:color w:val="auto"/>
                <w:sz w:val="18"/>
                <w:szCs w:val="18"/>
              </w:rPr>
              <w:br/>
              <w:t>total growth</w:t>
            </w:r>
          </w:p>
        </w:tc>
      </w:tr>
      <w:tr w:rsidR="00795015" w:rsidRPr="005B64C7" w:rsidTr="007F035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60" w:type="dxa"/>
            <w:tcBorders>
              <w:top w:val="single" w:sz="8" w:space="0" w:color="2B3B5F"/>
              <w:left w:val="single" w:sz="8" w:space="0" w:color="2B3B5F"/>
              <w:bottom w:val="single" w:sz="8" w:space="0" w:color="2B3B5F"/>
              <w:right w:val="single" w:sz="8" w:space="0" w:color="2B3B5F"/>
            </w:tcBorders>
            <w:shd w:val="clear" w:color="auto" w:fill="D7DDE9"/>
            <w:noWrap/>
          </w:tcPr>
          <w:p w:rsidR="00603EAA" w:rsidRPr="005B64C7" w:rsidRDefault="00603EAA" w:rsidP="007F035A">
            <w:pPr>
              <w:spacing w:before="0" w:after="0"/>
              <w:ind w:left="57"/>
              <w:rPr>
                <w:sz w:val="18"/>
                <w:szCs w:val="18"/>
              </w:rPr>
            </w:pPr>
            <w:r w:rsidRPr="005B64C7">
              <w:rPr>
                <w:sz w:val="18"/>
                <w:szCs w:val="18"/>
              </w:rPr>
              <w:t>Unit</w:t>
            </w:r>
          </w:p>
        </w:tc>
        <w:tc>
          <w:tcPr>
            <w:tcW w:w="1701" w:type="dxa"/>
            <w:tcBorders>
              <w:top w:val="single" w:sz="8" w:space="0" w:color="2B3B5F"/>
              <w:left w:val="single" w:sz="8" w:space="0" w:color="2B3B5F"/>
              <w:bottom w:val="single" w:sz="8" w:space="0" w:color="2B3B5F"/>
              <w:right w:val="single" w:sz="8" w:space="0" w:color="2B3B5F"/>
            </w:tcBorders>
            <w:shd w:val="clear" w:color="auto" w:fill="D7DDE9"/>
            <w:noWrap/>
          </w:tcPr>
          <w:p w:rsidR="00603EAA" w:rsidRPr="005B64C7" w:rsidRDefault="00603EAA" w:rsidP="007F035A">
            <w:pPr>
              <w:spacing w:before="0" w:after="0"/>
              <w:ind w:right="227"/>
              <w:jc w:val="right"/>
              <w:cnfStyle w:val="000000100000" w:firstRow="0" w:lastRow="0" w:firstColumn="0" w:lastColumn="0" w:oddVBand="0" w:evenVBand="0" w:oddHBand="1" w:evenHBand="0" w:firstRowFirstColumn="0" w:firstRowLastColumn="0" w:lastRowFirstColumn="0" w:lastRowLastColumn="0"/>
              <w:rPr>
                <w:b/>
                <w:sz w:val="18"/>
                <w:szCs w:val="18"/>
              </w:rPr>
            </w:pPr>
            <w:r w:rsidRPr="005B64C7">
              <w:rPr>
                <w:b/>
                <w:sz w:val="18"/>
                <w:szCs w:val="18"/>
              </w:rPr>
              <w:t>%</w:t>
            </w:r>
          </w:p>
        </w:tc>
        <w:tc>
          <w:tcPr>
            <w:tcW w:w="1559" w:type="dxa"/>
            <w:tcBorders>
              <w:top w:val="single" w:sz="8" w:space="0" w:color="2B3B5F"/>
              <w:left w:val="single" w:sz="8" w:space="0" w:color="2B3B5F"/>
              <w:bottom w:val="single" w:sz="8" w:space="0" w:color="2B3B5F"/>
              <w:right w:val="single" w:sz="8" w:space="0" w:color="2B3B5F"/>
            </w:tcBorders>
            <w:shd w:val="clear" w:color="auto" w:fill="D7DDE9"/>
          </w:tcPr>
          <w:p w:rsidR="00603EAA" w:rsidRPr="005B64C7" w:rsidRDefault="00603EAA" w:rsidP="007F035A">
            <w:pPr>
              <w:spacing w:before="0" w:after="0"/>
              <w:ind w:right="227"/>
              <w:jc w:val="right"/>
              <w:cnfStyle w:val="000000100000" w:firstRow="0" w:lastRow="0" w:firstColumn="0" w:lastColumn="0" w:oddVBand="0" w:evenVBand="0" w:oddHBand="1" w:evenHBand="0" w:firstRowFirstColumn="0" w:firstRowLastColumn="0" w:lastRowFirstColumn="0" w:lastRowLastColumn="0"/>
              <w:rPr>
                <w:b/>
                <w:sz w:val="18"/>
                <w:szCs w:val="18"/>
              </w:rPr>
            </w:pPr>
            <w:r w:rsidRPr="005B64C7">
              <w:rPr>
                <w:b/>
                <w:sz w:val="18"/>
                <w:szCs w:val="18"/>
              </w:rPr>
              <w:t>%</w:t>
            </w:r>
          </w:p>
        </w:tc>
        <w:tc>
          <w:tcPr>
            <w:tcW w:w="1888" w:type="dxa"/>
            <w:tcBorders>
              <w:top w:val="single" w:sz="8" w:space="0" w:color="2B3B5F"/>
              <w:left w:val="single" w:sz="8" w:space="0" w:color="2B3B5F"/>
              <w:bottom w:val="single" w:sz="8" w:space="0" w:color="2B3B5F"/>
              <w:right w:val="single" w:sz="8" w:space="0" w:color="2B3B5F"/>
            </w:tcBorders>
            <w:shd w:val="clear" w:color="auto" w:fill="D7DDE9"/>
            <w:noWrap/>
          </w:tcPr>
          <w:p w:rsidR="00603EAA" w:rsidRPr="005B64C7" w:rsidRDefault="00603EAA" w:rsidP="007F035A">
            <w:pPr>
              <w:spacing w:before="0" w:after="0"/>
              <w:ind w:right="227"/>
              <w:jc w:val="right"/>
              <w:cnfStyle w:val="000000100000" w:firstRow="0" w:lastRow="0" w:firstColumn="0" w:lastColumn="0" w:oddVBand="0" w:evenVBand="0" w:oddHBand="1" w:evenHBand="0" w:firstRowFirstColumn="0" w:firstRowLastColumn="0" w:lastRowFirstColumn="0" w:lastRowLastColumn="0"/>
              <w:rPr>
                <w:b/>
                <w:sz w:val="18"/>
                <w:szCs w:val="18"/>
              </w:rPr>
            </w:pPr>
            <w:r w:rsidRPr="005B64C7">
              <w:rPr>
                <w:b/>
                <w:sz w:val="18"/>
                <w:szCs w:val="18"/>
              </w:rPr>
              <w:t>percentage points</w:t>
            </w:r>
          </w:p>
        </w:tc>
      </w:tr>
      <w:tr w:rsidR="007F035A" w:rsidRPr="005B64C7" w:rsidTr="007F035A">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60" w:type="dxa"/>
            <w:tcBorders>
              <w:top w:val="single" w:sz="8" w:space="0" w:color="2B3B5F"/>
              <w:left w:val="single" w:sz="8" w:space="0" w:color="2B3B5F"/>
              <w:right w:val="single" w:sz="8" w:space="0" w:color="2B3B5F"/>
            </w:tcBorders>
            <w:noWrap/>
            <w:hideMark/>
          </w:tcPr>
          <w:p w:rsidR="007F035A" w:rsidRPr="007F035A" w:rsidRDefault="007F035A" w:rsidP="007F035A">
            <w:pPr>
              <w:spacing w:before="0" w:after="0"/>
              <w:ind w:left="57"/>
              <w:rPr>
                <w:b w:val="0"/>
                <w:color w:val="000000"/>
                <w:sz w:val="18"/>
                <w:szCs w:val="18"/>
              </w:rPr>
            </w:pPr>
            <w:r w:rsidRPr="007F035A">
              <w:rPr>
                <w:b w:val="0"/>
                <w:color w:val="000000"/>
                <w:sz w:val="18"/>
                <w:szCs w:val="18"/>
              </w:rPr>
              <w:t>Defence</w:t>
            </w:r>
          </w:p>
        </w:tc>
        <w:tc>
          <w:tcPr>
            <w:tcW w:w="1701" w:type="dxa"/>
            <w:tcBorders>
              <w:top w:val="single" w:sz="8" w:space="0" w:color="2B3B5F"/>
              <w:left w:val="single" w:sz="8" w:space="0" w:color="2B3B5F"/>
              <w:right w:val="single" w:sz="8" w:space="0" w:color="2B3B5F"/>
            </w:tcBorders>
            <w:noWrap/>
          </w:tcPr>
          <w:p w:rsidR="007F035A" w:rsidRPr="007F035A" w:rsidRDefault="007F035A" w:rsidP="007F035A">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7F035A">
              <w:rPr>
                <w:color w:val="000000"/>
                <w:sz w:val="18"/>
                <w:szCs w:val="18"/>
              </w:rPr>
              <w:t>84.4</w:t>
            </w:r>
          </w:p>
        </w:tc>
        <w:tc>
          <w:tcPr>
            <w:tcW w:w="1559" w:type="dxa"/>
            <w:tcBorders>
              <w:top w:val="single" w:sz="8" w:space="0" w:color="2B3B5F"/>
              <w:left w:val="single" w:sz="8" w:space="0" w:color="2B3B5F"/>
              <w:right w:val="single" w:sz="8" w:space="0" w:color="2B3B5F"/>
            </w:tcBorders>
          </w:tcPr>
          <w:p w:rsidR="007F035A" w:rsidRPr="007F035A" w:rsidRDefault="007F035A" w:rsidP="007F035A">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7F035A">
              <w:rPr>
                <w:color w:val="000000"/>
                <w:sz w:val="18"/>
                <w:szCs w:val="18"/>
              </w:rPr>
              <w:t>2.1</w:t>
            </w:r>
          </w:p>
        </w:tc>
        <w:tc>
          <w:tcPr>
            <w:tcW w:w="1888" w:type="dxa"/>
            <w:tcBorders>
              <w:top w:val="single" w:sz="8" w:space="0" w:color="2B3B5F"/>
              <w:left w:val="single" w:sz="8" w:space="0" w:color="2B3B5F"/>
              <w:right w:val="single" w:sz="8" w:space="0" w:color="2B3B5F"/>
            </w:tcBorders>
            <w:noWrap/>
          </w:tcPr>
          <w:p w:rsidR="007F035A" w:rsidRPr="007F035A" w:rsidRDefault="007F035A" w:rsidP="007F035A">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7F035A">
              <w:rPr>
                <w:color w:val="000000"/>
                <w:sz w:val="18"/>
                <w:szCs w:val="18"/>
              </w:rPr>
              <w:t>20.3</w:t>
            </w:r>
          </w:p>
        </w:tc>
      </w:tr>
      <w:tr w:rsidR="007F035A" w:rsidRPr="005B64C7" w:rsidTr="007F035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60" w:type="dxa"/>
            <w:tcBorders>
              <w:left w:val="single" w:sz="8" w:space="0" w:color="2B3B5F"/>
              <w:right w:val="single" w:sz="8" w:space="0" w:color="2B3B5F"/>
            </w:tcBorders>
            <w:shd w:val="clear" w:color="auto" w:fill="D7DDE9"/>
            <w:noWrap/>
            <w:hideMark/>
          </w:tcPr>
          <w:p w:rsidR="007F035A" w:rsidRPr="007F035A" w:rsidRDefault="007F035A" w:rsidP="007F035A">
            <w:pPr>
              <w:spacing w:before="0" w:after="0"/>
              <w:ind w:left="57"/>
              <w:rPr>
                <w:b w:val="0"/>
                <w:color w:val="000000"/>
                <w:sz w:val="18"/>
                <w:szCs w:val="18"/>
              </w:rPr>
            </w:pPr>
            <w:r w:rsidRPr="007F035A">
              <w:rPr>
                <w:b w:val="0"/>
                <w:color w:val="000000"/>
                <w:sz w:val="18"/>
                <w:szCs w:val="18"/>
              </w:rPr>
              <w:t>Other public order and safety</w:t>
            </w:r>
          </w:p>
        </w:tc>
        <w:tc>
          <w:tcPr>
            <w:tcW w:w="1701" w:type="dxa"/>
            <w:tcBorders>
              <w:left w:val="single" w:sz="8" w:space="0" w:color="2B3B5F"/>
              <w:right w:val="single" w:sz="8" w:space="0" w:color="2B3B5F"/>
            </w:tcBorders>
            <w:shd w:val="clear" w:color="auto" w:fill="D7DDE9"/>
            <w:noWrap/>
          </w:tcPr>
          <w:p w:rsidR="007F035A" w:rsidRPr="007F035A" w:rsidRDefault="007F035A" w:rsidP="007F035A">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F035A">
              <w:rPr>
                <w:color w:val="000000"/>
                <w:sz w:val="18"/>
                <w:szCs w:val="18"/>
              </w:rPr>
              <w:t>12.3</w:t>
            </w:r>
          </w:p>
        </w:tc>
        <w:tc>
          <w:tcPr>
            <w:tcW w:w="1559" w:type="dxa"/>
            <w:tcBorders>
              <w:left w:val="single" w:sz="8" w:space="0" w:color="2B3B5F"/>
              <w:right w:val="single" w:sz="8" w:space="0" w:color="2B3B5F"/>
            </w:tcBorders>
            <w:shd w:val="clear" w:color="auto" w:fill="D7DDE9"/>
          </w:tcPr>
          <w:p w:rsidR="007F035A" w:rsidRPr="007F035A" w:rsidRDefault="007F035A" w:rsidP="007F035A">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F035A">
              <w:rPr>
                <w:color w:val="000000"/>
                <w:sz w:val="18"/>
                <w:szCs w:val="18"/>
              </w:rPr>
              <w:t>5.4</w:t>
            </w:r>
          </w:p>
        </w:tc>
        <w:tc>
          <w:tcPr>
            <w:tcW w:w="1888" w:type="dxa"/>
            <w:tcBorders>
              <w:left w:val="single" w:sz="8" w:space="0" w:color="2B3B5F"/>
              <w:right w:val="single" w:sz="8" w:space="0" w:color="2B3B5F"/>
            </w:tcBorders>
            <w:shd w:val="clear" w:color="auto" w:fill="D7DDE9"/>
            <w:noWrap/>
          </w:tcPr>
          <w:p w:rsidR="007F035A" w:rsidRPr="007F035A" w:rsidRDefault="007F035A" w:rsidP="007F035A">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7F035A">
              <w:rPr>
                <w:color w:val="000000"/>
                <w:sz w:val="18"/>
                <w:szCs w:val="18"/>
              </w:rPr>
              <w:t>6.4</w:t>
            </w:r>
          </w:p>
        </w:tc>
      </w:tr>
      <w:tr w:rsidR="007F035A" w:rsidRPr="005B64C7" w:rsidTr="007F035A">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60" w:type="dxa"/>
            <w:tcBorders>
              <w:left w:val="single" w:sz="8" w:space="0" w:color="2B3B5F"/>
              <w:right w:val="single" w:sz="8" w:space="0" w:color="2B3B5F"/>
            </w:tcBorders>
            <w:noWrap/>
            <w:hideMark/>
          </w:tcPr>
          <w:p w:rsidR="007F035A" w:rsidRPr="007F035A" w:rsidRDefault="007F035A" w:rsidP="007F035A">
            <w:pPr>
              <w:spacing w:before="0" w:after="0"/>
              <w:ind w:left="57"/>
              <w:rPr>
                <w:b w:val="0"/>
                <w:color w:val="000000"/>
                <w:sz w:val="18"/>
                <w:szCs w:val="18"/>
              </w:rPr>
            </w:pPr>
            <w:r w:rsidRPr="007F035A">
              <w:rPr>
                <w:b w:val="0"/>
                <w:color w:val="000000"/>
                <w:sz w:val="18"/>
                <w:szCs w:val="18"/>
              </w:rPr>
              <w:t>Courts and legal services</w:t>
            </w:r>
          </w:p>
        </w:tc>
        <w:tc>
          <w:tcPr>
            <w:tcW w:w="1701" w:type="dxa"/>
            <w:tcBorders>
              <w:left w:val="single" w:sz="8" w:space="0" w:color="2B3B5F"/>
              <w:right w:val="single" w:sz="8" w:space="0" w:color="2B3B5F"/>
            </w:tcBorders>
            <w:noWrap/>
          </w:tcPr>
          <w:p w:rsidR="007F035A" w:rsidRPr="007F035A" w:rsidRDefault="007F035A" w:rsidP="007F035A">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7F035A">
              <w:rPr>
                <w:color w:val="000000"/>
                <w:sz w:val="18"/>
                <w:szCs w:val="18"/>
              </w:rPr>
              <w:t>3.4</w:t>
            </w:r>
          </w:p>
        </w:tc>
        <w:tc>
          <w:tcPr>
            <w:tcW w:w="1559" w:type="dxa"/>
            <w:tcBorders>
              <w:left w:val="single" w:sz="8" w:space="0" w:color="2B3B5F"/>
              <w:right w:val="single" w:sz="8" w:space="0" w:color="2B3B5F"/>
            </w:tcBorders>
          </w:tcPr>
          <w:p w:rsidR="007F035A" w:rsidRPr="007F035A" w:rsidRDefault="007F035A" w:rsidP="007F035A">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7F035A">
              <w:rPr>
                <w:color w:val="000000"/>
                <w:sz w:val="18"/>
                <w:szCs w:val="18"/>
              </w:rPr>
              <w:t>1.0</w:t>
            </w:r>
          </w:p>
        </w:tc>
        <w:tc>
          <w:tcPr>
            <w:tcW w:w="1888" w:type="dxa"/>
            <w:tcBorders>
              <w:left w:val="single" w:sz="8" w:space="0" w:color="2B3B5F"/>
              <w:right w:val="single" w:sz="8" w:space="0" w:color="2B3B5F"/>
            </w:tcBorders>
            <w:noWrap/>
          </w:tcPr>
          <w:p w:rsidR="007F035A" w:rsidRPr="007F035A" w:rsidRDefault="007F035A" w:rsidP="007F035A">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7F035A">
              <w:rPr>
                <w:color w:val="000000"/>
                <w:sz w:val="18"/>
                <w:szCs w:val="18"/>
              </w:rPr>
              <w:t>0.4</w:t>
            </w:r>
          </w:p>
        </w:tc>
      </w:tr>
      <w:tr w:rsidR="007F035A" w:rsidRPr="007F035A" w:rsidTr="007F035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60" w:type="dxa"/>
            <w:tcBorders>
              <w:left w:val="single" w:sz="8" w:space="0" w:color="2B3B5F"/>
              <w:bottom w:val="single" w:sz="8" w:space="0" w:color="2B3B5F"/>
              <w:right w:val="single" w:sz="8" w:space="0" w:color="2B3B5F"/>
            </w:tcBorders>
            <w:shd w:val="clear" w:color="auto" w:fill="D7DDE9"/>
            <w:noWrap/>
            <w:hideMark/>
          </w:tcPr>
          <w:p w:rsidR="007F035A" w:rsidRPr="007F035A" w:rsidRDefault="007F035A" w:rsidP="007F035A">
            <w:pPr>
              <w:spacing w:before="0" w:after="0"/>
              <w:ind w:left="57"/>
              <w:rPr>
                <w:color w:val="000000"/>
                <w:sz w:val="18"/>
                <w:szCs w:val="18"/>
              </w:rPr>
            </w:pPr>
            <w:r w:rsidRPr="007F035A">
              <w:rPr>
                <w:color w:val="000000"/>
                <w:sz w:val="18"/>
                <w:szCs w:val="18"/>
              </w:rPr>
              <w:t>Total</w:t>
            </w:r>
          </w:p>
        </w:tc>
        <w:tc>
          <w:tcPr>
            <w:tcW w:w="1701" w:type="dxa"/>
            <w:tcBorders>
              <w:left w:val="single" w:sz="8" w:space="0" w:color="2B3B5F"/>
              <w:bottom w:val="single" w:sz="8" w:space="0" w:color="2B3B5F"/>
              <w:right w:val="single" w:sz="8" w:space="0" w:color="2B3B5F"/>
            </w:tcBorders>
            <w:shd w:val="clear" w:color="auto" w:fill="D7DDE9"/>
            <w:noWrap/>
          </w:tcPr>
          <w:p w:rsidR="007F035A" w:rsidRPr="007F035A" w:rsidRDefault="007F035A" w:rsidP="007F035A">
            <w:pPr>
              <w:spacing w:before="0" w:after="0"/>
              <w:ind w:right="227"/>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sidRPr="007F035A">
              <w:rPr>
                <w:b/>
                <w:color w:val="000000"/>
                <w:sz w:val="18"/>
                <w:szCs w:val="18"/>
              </w:rPr>
              <w:t>100.0</w:t>
            </w:r>
          </w:p>
        </w:tc>
        <w:tc>
          <w:tcPr>
            <w:tcW w:w="1559" w:type="dxa"/>
            <w:tcBorders>
              <w:left w:val="single" w:sz="8" w:space="0" w:color="2B3B5F"/>
              <w:bottom w:val="single" w:sz="8" w:space="0" w:color="2B3B5F"/>
              <w:right w:val="single" w:sz="8" w:space="0" w:color="2B3B5F"/>
            </w:tcBorders>
            <w:shd w:val="clear" w:color="auto" w:fill="D7DDE9"/>
          </w:tcPr>
          <w:p w:rsidR="007F035A" w:rsidRPr="007F035A" w:rsidRDefault="007F035A" w:rsidP="007F035A">
            <w:pPr>
              <w:spacing w:before="0" w:after="0"/>
              <w:ind w:right="227"/>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sidRPr="007F035A">
              <w:rPr>
                <w:b/>
                <w:color w:val="000000"/>
                <w:sz w:val="18"/>
                <w:szCs w:val="18"/>
              </w:rPr>
              <w:t>2.4</w:t>
            </w:r>
          </w:p>
        </w:tc>
        <w:tc>
          <w:tcPr>
            <w:tcW w:w="1888" w:type="dxa"/>
            <w:tcBorders>
              <w:left w:val="single" w:sz="8" w:space="0" w:color="2B3B5F"/>
              <w:bottom w:val="single" w:sz="8" w:space="0" w:color="2B3B5F"/>
              <w:right w:val="single" w:sz="8" w:space="0" w:color="2B3B5F"/>
            </w:tcBorders>
            <w:shd w:val="clear" w:color="auto" w:fill="D7DDE9"/>
            <w:noWrap/>
          </w:tcPr>
          <w:p w:rsidR="007F035A" w:rsidRPr="007F035A" w:rsidRDefault="007F035A" w:rsidP="007F035A">
            <w:pPr>
              <w:spacing w:before="0" w:after="0"/>
              <w:ind w:right="227"/>
              <w:jc w:val="right"/>
              <w:cnfStyle w:val="000000100000" w:firstRow="0" w:lastRow="0" w:firstColumn="0" w:lastColumn="0" w:oddVBand="0" w:evenVBand="0" w:oddHBand="1" w:evenHBand="0" w:firstRowFirstColumn="0" w:firstRowLastColumn="0" w:lastRowFirstColumn="0" w:lastRowLastColumn="0"/>
              <w:rPr>
                <w:b/>
                <w:color w:val="000000"/>
                <w:sz w:val="18"/>
                <w:szCs w:val="18"/>
              </w:rPr>
            </w:pPr>
            <w:r w:rsidRPr="007F035A">
              <w:rPr>
                <w:b/>
                <w:color w:val="000000"/>
                <w:sz w:val="18"/>
                <w:szCs w:val="18"/>
              </w:rPr>
              <w:t>27.1</w:t>
            </w:r>
          </w:p>
        </w:tc>
      </w:tr>
      <w:bookmarkEnd w:id="184"/>
    </w:tbl>
    <w:p w:rsidR="00467EE1" w:rsidRDefault="00467EE1" w:rsidP="005B6494">
      <w:pPr>
        <w:pStyle w:val="Heading30"/>
      </w:pPr>
      <w:r>
        <w:br w:type="page"/>
      </w:r>
    </w:p>
    <w:p w:rsidR="004925E8" w:rsidRDefault="00B16AF0" w:rsidP="005B6494">
      <w:pPr>
        <w:pStyle w:val="Heading30"/>
      </w:pPr>
      <w:r>
        <w:lastRenderedPageBreak/>
        <w:t>Contribution from D</w:t>
      </w:r>
      <w:r w:rsidR="004925E8">
        <w:t>efence</w:t>
      </w:r>
    </w:p>
    <w:p w:rsidR="009D02D1" w:rsidRDefault="00D12C6F" w:rsidP="00795015">
      <w:pPr>
        <w:pStyle w:val="PBOtext"/>
      </w:pPr>
      <w:r>
        <w:t>Over the period 2002</w:t>
      </w:r>
      <w:r w:rsidR="00633B00" w:rsidRPr="006B456E">
        <w:noBreakHyphen/>
      </w:r>
      <w:r>
        <w:t>03 to 2012</w:t>
      </w:r>
      <w:r w:rsidR="00633B00" w:rsidRPr="006B456E">
        <w:noBreakHyphen/>
      </w:r>
      <w:r>
        <w:t>13</w:t>
      </w:r>
      <w:r w:rsidRPr="00414653">
        <w:t xml:space="preserve">, the largest contributor to overall growth in </w:t>
      </w:r>
      <w:r>
        <w:t>defence, public order and safety was defence, which contributed</w:t>
      </w:r>
      <w:r w:rsidRPr="00414653">
        <w:t xml:space="preserve"> </w:t>
      </w:r>
      <w:r>
        <w:t xml:space="preserve">20.3 </w:t>
      </w:r>
      <w:r w:rsidRPr="00414653">
        <w:t xml:space="preserve">percentage points of the total growth of </w:t>
      </w:r>
      <w:r>
        <w:t>27.1 </w:t>
      </w:r>
      <w:r w:rsidRPr="00414653">
        <w:t>per</w:t>
      </w:r>
      <w:r w:rsidR="00F604A2">
        <w:t> </w:t>
      </w:r>
      <w:r w:rsidRPr="00414653">
        <w:t xml:space="preserve">cent (or </w:t>
      </w:r>
      <w:r>
        <w:t>three quarters</w:t>
      </w:r>
      <w:r w:rsidRPr="00414653">
        <w:t xml:space="preserve"> of total growth). </w:t>
      </w:r>
      <w:r>
        <w:t xml:space="preserve"> </w:t>
      </w:r>
      <w:r w:rsidR="00603EAA" w:rsidRPr="00603EAA">
        <w:t>Over this period</w:t>
      </w:r>
      <w:r w:rsidR="00B23E79">
        <w:t>,</w:t>
      </w:r>
      <w:r w:rsidR="00603EAA" w:rsidRPr="00603EAA">
        <w:t xml:space="preserve"> s</w:t>
      </w:r>
      <w:r w:rsidR="00633B00">
        <w:t>pending was strongest from 2005</w:t>
      </w:r>
      <w:r w:rsidR="00633B00" w:rsidRPr="006B456E">
        <w:noBreakHyphen/>
      </w:r>
      <w:r w:rsidR="00603EAA" w:rsidRPr="00603EAA">
        <w:t>06 to 2010-2011 when it outstripped growth in GDP befo</w:t>
      </w:r>
      <w:r w:rsidR="00633B00">
        <w:t>re a marked reduction from 2011</w:t>
      </w:r>
      <w:r w:rsidR="00633B00" w:rsidRPr="006B456E">
        <w:noBreakHyphen/>
      </w:r>
      <w:r w:rsidR="00603EAA" w:rsidRPr="00603EAA">
        <w:t>12 t</w:t>
      </w:r>
      <w:r w:rsidR="007453D8">
        <w:t>o 2012</w:t>
      </w:r>
      <w:r w:rsidR="00633B00" w:rsidRPr="006B456E">
        <w:noBreakHyphen/>
      </w:r>
      <w:r w:rsidR="007453D8">
        <w:t>13 as shown in Figure </w:t>
      </w:r>
      <w:r w:rsidR="006703CD">
        <w:t>7</w:t>
      </w:r>
      <w:r w:rsidR="0030784E">
        <w:t>.2.</w:t>
      </w:r>
      <w:r w:rsidR="00E63E6D">
        <w:t xml:space="preserve">  Over the decade defence expenses grew at 2.1 per cent annually compared with GDP growth of 3.0 per cent annually.</w:t>
      </w:r>
    </w:p>
    <w:p w:rsidR="00992795" w:rsidRDefault="001F5F49" w:rsidP="00992795">
      <w:r>
        <w:t>Growth in expenses</w:t>
      </w:r>
      <w:r w:rsidR="00603EAA" w:rsidRPr="00603EAA">
        <w:t xml:space="preserve"> across much of this period </w:t>
      </w:r>
      <w:r w:rsidR="009D02D1">
        <w:t>was</w:t>
      </w:r>
      <w:r w:rsidR="00603EAA" w:rsidRPr="00603EAA">
        <w:t xml:space="preserve"> influenced by the policy agenda in the White</w:t>
      </w:r>
      <w:r w:rsidR="003E04E1">
        <w:t> </w:t>
      </w:r>
      <w:r w:rsidR="00603EAA" w:rsidRPr="00603EAA">
        <w:t xml:space="preserve">Paper </w:t>
      </w:r>
      <w:r w:rsidR="00603EAA" w:rsidRPr="00603EAA">
        <w:rPr>
          <w:i/>
        </w:rPr>
        <w:t>Defence 2000: Our Future Defence Force</w:t>
      </w:r>
      <w:r w:rsidR="00603EAA" w:rsidRPr="00603EAA">
        <w:t xml:space="preserve">, which outlined the Australian </w:t>
      </w:r>
      <w:r w:rsidR="00603EAA" w:rsidRPr="00706358">
        <w:t>Government’s</w:t>
      </w:r>
      <w:r w:rsidR="00603EAA" w:rsidRPr="00603EAA">
        <w:t xml:space="preserve"> defence strategy over the following decade and included the Defence Capability Plan which provided for enhancement of army, navy, air </w:t>
      </w:r>
      <w:r w:rsidR="00992795" w:rsidRPr="00603EAA">
        <w:t xml:space="preserve">force and intelligence capabilities, as well as investment in capital required to meet these aims.  </w:t>
      </w:r>
      <w:r w:rsidR="009D02D1">
        <w:t>Growth in f</w:t>
      </w:r>
      <w:r w:rsidR="00992795" w:rsidRPr="00603EAA">
        <w:t xml:space="preserve">unding associated with </w:t>
      </w:r>
      <w:r w:rsidR="00992795" w:rsidRPr="00603EAA">
        <w:rPr>
          <w:i/>
        </w:rPr>
        <w:t>Defence 2000</w:t>
      </w:r>
      <w:r w:rsidR="00992795" w:rsidRPr="00603EAA">
        <w:t xml:space="preserve"> was projected to average 3</w:t>
      </w:r>
      <w:r w:rsidR="007453D8">
        <w:t> </w:t>
      </w:r>
      <w:r w:rsidR="00992795" w:rsidRPr="00603EAA">
        <w:t>per</w:t>
      </w:r>
      <w:r w:rsidR="007453D8">
        <w:t> </w:t>
      </w:r>
      <w:r w:rsidR="00992795" w:rsidRPr="00603EAA">
        <w:t xml:space="preserve">cent </w:t>
      </w:r>
      <w:r w:rsidR="00B23E79">
        <w:t xml:space="preserve">annually </w:t>
      </w:r>
      <w:r w:rsidR="00992795" w:rsidRPr="00603EAA">
        <w:t>over the following ten years.</w:t>
      </w:r>
    </w:p>
    <w:p w:rsidR="003914A5" w:rsidRPr="00FE2AE8" w:rsidRDefault="0044575D" w:rsidP="001F5F49">
      <w:r w:rsidRPr="008207F7">
        <w:t>Other long term funding commitments included an extension of the 3</w:t>
      </w:r>
      <w:r w:rsidR="007453D8">
        <w:t> </w:t>
      </w:r>
      <w:r w:rsidRPr="008207F7">
        <w:t>per</w:t>
      </w:r>
      <w:r w:rsidR="007453D8">
        <w:t> </w:t>
      </w:r>
      <w:r w:rsidRPr="008207F7">
        <w:t>cent annual growth to 2015</w:t>
      </w:r>
      <w:r w:rsidR="00633B00" w:rsidRPr="006B456E">
        <w:noBreakHyphen/>
      </w:r>
      <w:r w:rsidRPr="008207F7">
        <w:t>16 announced in the 2006</w:t>
      </w:r>
      <w:r w:rsidR="00633B00" w:rsidRPr="006B456E">
        <w:noBreakHyphen/>
      </w:r>
      <w:r w:rsidRPr="008207F7">
        <w:t>07</w:t>
      </w:r>
      <w:r w:rsidR="007453D8">
        <w:t> </w:t>
      </w:r>
      <w:r w:rsidRPr="008207F7">
        <w:t>Budget with funding of $10.7</w:t>
      </w:r>
      <w:r w:rsidR="007453D8">
        <w:t> </w:t>
      </w:r>
      <w:r w:rsidRPr="008207F7">
        <w:t>billion over five years from 2011</w:t>
      </w:r>
      <w:r w:rsidR="00633B00" w:rsidRPr="006B456E">
        <w:noBreakHyphen/>
      </w:r>
      <w:r w:rsidRPr="008207F7">
        <w:t xml:space="preserve">12, and new funding commitments associated with the 2009 White Paper: </w:t>
      </w:r>
      <w:r w:rsidRPr="008207F7">
        <w:rPr>
          <w:i/>
        </w:rPr>
        <w:t>Force 2030</w:t>
      </w:r>
      <w:r w:rsidRPr="008207F7">
        <w:t xml:space="preserve"> totalling </w:t>
      </w:r>
      <w:r w:rsidRPr="00FE2AE8">
        <w:t>$146</w:t>
      </w:r>
      <w:r w:rsidR="008207F7" w:rsidRPr="00FE2AE8">
        <w:t>.1 </w:t>
      </w:r>
      <w:r w:rsidRPr="00FE2AE8">
        <w:t>billion in 2029</w:t>
      </w:r>
      <w:r w:rsidR="00633B00" w:rsidRPr="006B456E">
        <w:noBreakHyphen/>
      </w:r>
      <w:r w:rsidRPr="00FE2AE8">
        <w:t>30.</w:t>
      </w:r>
    </w:p>
    <w:p w:rsidR="00992795" w:rsidRPr="00FE2AE8" w:rsidRDefault="00992795" w:rsidP="00992795">
      <w:r w:rsidRPr="00FE2AE8">
        <w:t xml:space="preserve">Additional contributors to growth since 2002-03 included funding </w:t>
      </w:r>
      <w:r w:rsidR="003914A5" w:rsidRPr="00FE2AE8">
        <w:t xml:space="preserve">for specific </w:t>
      </w:r>
      <w:r w:rsidRPr="00FE2AE8">
        <w:t>capabilities including:</w:t>
      </w:r>
    </w:p>
    <w:p w:rsidR="00992795" w:rsidRPr="00FE2AE8" w:rsidRDefault="00992795" w:rsidP="00247070">
      <w:pPr>
        <w:pStyle w:val="ListParagraph"/>
        <w:numPr>
          <w:ilvl w:val="0"/>
          <w:numId w:val="10"/>
        </w:numPr>
        <w:ind w:left="284" w:hanging="284"/>
        <w:contextualSpacing w:val="0"/>
      </w:pPr>
      <w:r w:rsidRPr="00FE2AE8">
        <w:t>an increase to the size of the army by one battalion (at a cost of $4.1</w:t>
      </w:r>
      <w:r w:rsidR="007453D8">
        <w:t> </w:t>
      </w:r>
      <w:r w:rsidRPr="00FE2AE8">
        <w:t>billion over 11</w:t>
      </w:r>
      <w:r w:rsidR="007453D8">
        <w:t> </w:t>
      </w:r>
      <w:r w:rsidR="00633B00">
        <w:t>years from 2006</w:t>
      </w:r>
      <w:r w:rsidR="00633B00" w:rsidRPr="006B456E">
        <w:noBreakHyphen/>
      </w:r>
      <w:r w:rsidRPr="00FE2AE8">
        <w:t>07); and increase</w:t>
      </w:r>
      <w:r w:rsidR="003914A5" w:rsidRPr="00FE2AE8">
        <w:t>d</w:t>
      </w:r>
      <w:r w:rsidR="00B23E79" w:rsidRPr="00FE2AE8">
        <w:t xml:space="preserve"> spending</w:t>
      </w:r>
      <w:r w:rsidRPr="00FE2AE8">
        <w:t xml:space="preserve"> to improve the army‘s </w:t>
      </w:r>
      <w:r w:rsidR="003914A5" w:rsidRPr="00FE2AE8">
        <w:t>combat capabilities</w:t>
      </w:r>
      <w:r w:rsidRPr="00FE2AE8">
        <w:t xml:space="preserve"> ($1.5</w:t>
      </w:r>
      <w:r w:rsidR="007453D8">
        <w:t> </w:t>
      </w:r>
      <w:r w:rsidR="001178A9">
        <w:t>billion over ten</w:t>
      </w:r>
      <w:r w:rsidR="00F604A2" w:rsidRPr="00FE2AE8">
        <w:t> </w:t>
      </w:r>
      <w:r w:rsidRPr="00FE2AE8">
        <w:t>years provided in the 2006</w:t>
      </w:r>
      <w:r w:rsidR="00633B00" w:rsidRPr="006B456E">
        <w:noBreakHyphen/>
      </w:r>
      <w:r w:rsidRPr="00FE2AE8">
        <w:t>07</w:t>
      </w:r>
      <w:r w:rsidR="007453D8">
        <w:t> </w:t>
      </w:r>
      <w:r w:rsidR="003D2864">
        <w:t>Budget);</w:t>
      </w:r>
    </w:p>
    <w:p w:rsidR="00992795" w:rsidRPr="00FE2AE8" w:rsidRDefault="00992795" w:rsidP="00247070">
      <w:pPr>
        <w:pStyle w:val="ListParagraph"/>
        <w:numPr>
          <w:ilvl w:val="0"/>
          <w:numId w:val="10"/>
        </w:numPr>
        <w:ind w:left="284" w:hanging="284"/>
        <w:contextualSpacing w:val="0"/>
      </w:pPr>
      <w:r w:rsidRPr="00FE2AE8">
        <w:t>the acquisition of the F/A18F Super Hornet aircraft ($6.6</w:t>
      </w:r>
      <w:r w:rsidR="007453D8">
        <w:t> billion over 13 </w:t>
      </w:r>
      <w:r w:rsidRPr="00FE2AE8">
        <w:t>years from 2007</w:t>
      </w:r>
      <w:r w:rsidR="00633B00" w:rsidRPr="006B456E">
        <w:noBreakHyphen/>
      </w:r>
      <w:r w:rsidRPr="00FE2AE8">
        <w:t>08); and</w:t>
      </w:r>
    </w:p>
    <w:p w:rsidR="00992795" w:rsidRPr="00FE2AE8" w:rsidRDefault="00992795" w:rsidP="00247070">
      <w:pPr>
        <w:pStyle w:val="ListParagraph"/>
        <w:numPr>
          <w:ilvl w:val="0"/>
          <w:numId w:val="10"/>
        </w:numPr>
        <w:ind w:left="284" w:hanging="284"/>
        <w:contextualSpacing w:val="0"/>
      </w:pPr>
      <w:proofErr w:type="gramStart"/>
      <w:r w:rsidRPr="00FE2AE8">
        <w:t>the</w:t>
      </w:r>
      <w:proofErr w:type="gramEnd"/>
      <w:r w:rsidRPr="00FE2AE8">
        <w:t xml:space="preserve"> acquisi</w:t>
      </w:r>
      <w:r w:rsidR="008207F7" w:rsidRPr="00FE2AE8">
        <w:t>tion of heavy lift aircraft ($2.2</w:t>
      </w:r>
      <w:r w:rsidR="007453D8">
        <w:t> </w:t>
      </w:r>
      <w:r w:rsidR="007C5A0F" w:rsidRPr="00FE2AE8">
        <w:t>b</w:t>
      </w:r>
      <w:r w:rsidRPr="00FE2AE8">
        <w:t>illion over six years in the 2006-07</w:t>
      </w:r>
      <w:r w:rsidR="007453D8">
        <w:t> </w:t>
      </w:r>
      <w:r w:rsidRPr="00FE2AE8">
        <w:t>Budget and $1.4</w:t>
      </w:r>
      <w:r w:rsidR="00C951CE" w:rsidRPr="00FE2AE8">
        <w:t> </w:t>
      </w:r>
      <w:r w:rsidRPr="00FE2AE8">
        <w:t>billion announced in the 2007</w:t>
      </w:r>
      <w:r w:rsidR="00633B00" w:rsidRPr="006B456E">
        <w:noBreakHyphen/>
      </w:r>
      <w:r w:rsidRPr="00FE2AE8">
        <w:t>08</w:t>
      </w:r>
      <w:r w:rsidR="007453D8">
        <w:t> </w:t>
      </w:r>
      <w:r w:rsidRPr="00FE2AE8">
        <w:t>Budget).</w:t>
      </w:r>
    </w:p>
    <w:p w:rsidR="00524BC5" w:rsidRPr="00FE2AE8" w:rsidRDefault="00B16AF0" w:rsidP="00B16AF0">
      <w:r w:rsidRPr="00FE2AE8">
        <w:t>Australia’s involvement in overseas operations including Afghanistan beginning in 2001, Iraq in 2003, and East Timor was a key component of defence sp</w:t>
      </w:r>
      <w:r w:rsidR="007453D8">
        <w:t>ending from 2002</w:t>
      </w:r>
      <w:r w:rsidR="00633B00" w:rsidRPr="006B456E">
        <w:noBreakHyphen/>
      </w:r>
      <w:r w:rsidR="00633B00">
        <w:t>03 to 2012</w:t>
      </w:r>
      <w:r w:rsidR="00633B00" w:rsidRPr="006B456E">
        <w:noBreakHyphen/>
      </w:r>
      <w:r w:rsidR="007453D8">
        <w:t xml:space="preserve">13. </w:t>
      </w:r>
      <w:r w:rsidRPr="00FE2AE8">
        <w:t xml:space="preserve"> The cost to Defence of the Afghanistan operation (Operation Slipper) over this period</w:t>
      </w:r>
      <w:r w:rsidR="007453D8">
        <w:t xml:space="preserve"> </w:t>
      </w:r>
      <w:r w:rsidRPr="00FE2AE8">
        <w:t>was $6.1</w:t>
      </w:r>
      <w:r w:rsidR="007453D8">
        <w:t> </w:t>
      </w:r>
      <w:r w:rsidRPr="00FE2AE8">
        <w:t>billion; the total cost of the Iraq operation (Operation Catalyst),</w:t>
      </w:r>
      <w:r w:rsidR="00633B00">
        <w:t xml:space="preserve"> which ended in 2009</w:t>
      </w:r>
      <w:r w:rsidR="00633B00" w:rsidRPr="006B456E">
        <w:noBreakHyphen/>
      </w:r>
      <w:r w:rsidR="007C5A0F" w:rsidRPr="00FE2AE8">
        <w:t>10, was $2.</w:t>
      </w:r>
      <w:r w:rsidRPr="00FE2AE8">
        <w:t>4</w:t>
      </w:r>
      <w:r w:rsidR="007453D8">
        <w:t> </w:t>
      </w:r>
      <w:r w:rsidRPr="00FE2AE8">
        <w:t xml:space="preserve">billion; and the cost </w:t>
      </w:r>
      <w:r w:rsidR="00E63E6D">
        <w:t>of</w:t>
      </w:r>
      <w:r w:rsidR="00E63E6D" w:rsidRPr="00FE2AE8">
        <w:t xml:space="preserve"> </w:t>
      </w:r>
      <w:r w:rsidR="00CB0127" w:rsidRPr="00FE2AE8">
        <w:t>the operation in East Timor (</w:t>
      </w:r>
      <w:r w:rsidRPr="00FE2AE8">
        <w:t>Operation Astute</w:t>
      </w:r>
      <w:r w:rsidR="00CB0127" w:rsidRPr="00FE2AE8">
        <w:t>) was $2.</w:t>
      </w:r>
      <w:r w:rsidRPr="00FE2AE8">
        <w:t>3</w:t>
      </w:r>
      <w:r w:rsidR="007453D8">
        <w:t> </w:t>
      </w:r>
      <w:r w:rsidRPr="00FE2AE8">
        <w:t>billion over the period to 2012</w:t>
      </w:r>
      <w:r w:rsidR="00633B00" w:rsidRPr="006B456E">
        <w:noBreakHyphen/>
      </w:r>
      <w:r w:rsidRPr="00FE2AE8">
        <w:t>13.</w:t>
      </w:r>
    </w:p>
    <w:p w:rsidR="00B16AF0" w:rsidRPr="00FE2AE8" w:rsidRDefault="00524BC5" w:rsidP="00B16AF0">
      <w:r w:rsidRPr="00FE2AE8">
        <w:t xml:space="preserve">The cost of overseas operations did not grow significantly over the period </w:t>
      </w:r>
      <w:r w:rsidR="008207F7" w:rsidRPr="00FE2AE8">
        <w:t>2002</w:t>
      </w:r>
      <w:r w:rsidR="00633B00" w:rsidRPr="006B456E">
        <w:noBreakHyphen/>
      </w:r>
      <w:r w:rsidR="008207F7" w:rsidRPr="00FE2AE8">
        <w:t>03 to 2012</w:t>
      </w:r>
      <w:r w:rsidR="00633B00" w:rsidRPr="006B456E">
        <w:noBreakHyphen/>
      </w:r>
      <w:r w:rsidR="008207F7" w:rsidRPr="00FE2AE8">
        <w:t>13 but</w:t>
      </w:r>
      <w:r w:rsidR="008E6A41" w:rsidRPr="00FE2AE8">
        <w:t xml:space="preserve"> involvement in these operations was substantial across </w:t>
      </w:r>
      <w:r w:rsidR="00B16AF0" w:rsidRPr="00FE2AE8">
        <w:t xml:space="preserve">the </w:t>
      </w:r>
      <w:r w:rsidR="00633B00">
        <w:t>period.  In 2002</w:t>
      </w:r>
      <w:r w:rsidR="00633B00" w:rsidRPr="006B456E">
        <w:noBreakHyphen/>
      </w:r>
      <w:r w:rsidR="00633B00">
        <w:t>03 and 2003</w:t>
      </w:r>
      <w:r w:rsidR="00633B00" w:rsidRPr="006B456E">
        <w:noBreakHyphen/>
      </w:r>
      <w:r w:rsidR="008E6A41" w:rsidRPr="00FE2AE8">
        <w:t xml:space="preserve">04 there was substantial spending on operations in East Timor and Iraq.  As spending on these operations declined, this was offset by </w:t>
      </w:r>
      <w:r w:rsidR="00B16AF0" w:rsidRPr="00FE2AE8">
        <w:t>increase</w:t>
      </w:r>
      <w:r w:rsidR="008E6A41" w:rsidRPr="00FE2AE8">
        <w:t>d spending on the Afghanistan operation.</w:t>
      </w:r>
    </w:p>
    <w:p w:rsidR="00603EAA" w:rsidRPr="00603EAA" w:rsidRDefault="00603EAA" w:rsidP="00992795">
      <w:r w:rsidRPr="00FE2AE8">
        <w:t>The growth in Defence expenses provided in the long</w:t>
      </w:r>
      <w:r w:rsidR="008207F7" w:rsidRPr="00FE2AE8">
        <w:t>-</w:t>
      </w:r>
      <w:r w:rsidRPr="00FE2AE8">
        <w:t>term funding commitments</w:t>
      </w:r>
      <w:r w:rsidRPr="00603EAA">
        <w:t xml:space="preserve"> </w:t>
      </w:r>
      <w:r w:rsidR="00E63E6D">
        <w:t>was</w:t>
      </w:r>
      <w:r w:rsidRPr="00603EAA">
        <w:t xml:space="preserve"> reduced by a number of decisions commencing in the 2009</w:t>
      </w:r>
      <w:r w:rsidR="00633B00" w:rsidRPr="006B456E">
        <w:noBreakHyphen/>
      </w:r>
      <w:r w:rsidRPr="00603EAA">
        <w:t>10</w:t>
      </w:r>
      <w:r w:rsidR="007453D8">
        <w:t> </w:t>
      </w:r>
      <w:r w:rsidRPr="00603EAA">
        <w:t>Budget, largely involving the deferral of capital acquisitions</w:t>
      </w:r>
      <w:r w:rsidR="00E63E6D">
        <w:t xml:space="preserve"> and the associated operating and maintenance costs.</w:t>
      </w:r>
    </w:p>
    <w:p w:rsidR="007328EC" w:rsidRDefault="00134D4A" w:rsidP="005B6494">
      <w:r>
        <w:t>As shown in Figure</w:t>
      </w:r>
      <w:r w:rsidR="007453D8">
        <w:t> </w:t>
      </w:r>
      <w:r>
        <w:t>7</w:t>
      </w:r>
      <w:r w:rsidR="00603EAA" w:rsidRPr="00603EAA">
        <w:t xml:space="preserve">.2, the impact of these savings measures </w:t>
      </w:r>
      <w:r w:rsidR="00633B00">
        <w:t>is particularly evident in 2012</w:t>
      </w:r>
      <w:r w:rsidR="00633B00" w:rsidRPr="006B456E">
        <w:noBreakHyphen/>
      </w:r>
      <w:r w:rsidR="00603EAA" w:rsidRPr="00603EAA">
        <w:t xml:space="preserve">13 where there is a decline in defence </w:t>
      </w:r>
      <w:r w:rsidR="003914A5">
        <w:t>expenses</w:t>
      </w:r>
      <w:r w:rsidR="00603EAA" w:rsidRPr="00603EAA">
        <w:t>.  Significant savings measures include</w:t>
      </w:r>
      <w:r w:rsidR="003914A5">
        <w:t>d</w:t>
      </w:r>
      <w:r w:rsidR="00603EAA" w:rsidRPr="00603EAA">
        <w:t xml:space="preserve"> a </w:t>
      </w:r>
      <w:proofErr w:type="spellStart"/>
      <w:r w:rsidR="00603EAA" w:rsidRPr="00603EAA">
        <w:t>rephasing</w:t>
      </w:r>
      <w:proofErr w:type="spellEnd"/>
      <w:r w:rsidR="00603EAA" w:rsidRPr="00603EAA">
        <w:t xml:space="preserve"> of $2 billion </w:t>
      </w:r>
      <w:r w:rsidR="00E25AD6">
        <w:t xml:space="preserve">of measures </w:t>
      </w:r>
      <w:r w:rsidR="00603EAA" w:rsidRPr="00603EAA">
        <w:t>announced in the 2009</w:t>
      </w:r>
      <w:r w:rsidR="00633B00" w:rsidRPr="006B456E">
        <w:noBreakHyphen/>
      </w:r>
      <w:r w:rsidR="00603EAA" w:rsidRPr="00603EAA">
        <w:t>10</w:t>
      </w:r>
      <w:r w:rsidR="007453D8">
        <w:t> </w:t>
      </w:r>
      <w:r w:rsidR="00603EAA" w:rsidRPr="00603EAA">
        <w:t xml:space="preserve">Budget, </w:t>
      </w:r>
      <w:r w:rsidR="005518A2">
        <w:t>$1.2</w:t>
      </w:r>
      <w:r w:rsidR="007453D8">
        <w:t> </w:t>
      </w:r>
      <w:r w:rsidR="005518A2">
        <w:t>b</w:t>
      </w:r>
      <w:r w:rsidR="00603EAA" w:rsidRPr="00603EAA">
        <w:t xml:space="preserve">illion in efficiency savings and a </w:t>
      </w:r>
      <w:proofErr w:type="spellStart"/>
      <w:r w:rsidR="00603EAA" w:rsidRPr="00603EAA">
        <w:t>rephasing</w:t>
      </w:r>
      <w:proofErr w:type="spellEnd"/>
      <w:r w:rsidR="00603EAA" w:rsidRPr="00603EAA">
        <w:t xml:space="preserve"> of capital inve</w:t>
      </w:r>
      <w:r w:rsidR="00BB6A12">
        <w:t>stment generating savings of $1.3</w:t>
      </w:r>
      <w:r w:rsidR="007453D8">
        <w:t> </w:t>
      </w:r>
      <w:r w:rsidR="00BB6A12">
        <w:t>b</w:t>
      </w:r>
      <w:r w:rsidR="007453D8">
        <w:t>illion in the 2011</w:t>
      </w:r>
      <w:r w:rsidR="00633B00" w:rsidRPr="006B456E">
        <w:noBreakHyphen/>
      </w:r>
      <w:r w:rsidR="007453D8">
        <w:t>12 </w:t>
      </w:r>
      <w:r w:rsidR="00603EAA" w:rsidRPr="00603EAA">
        <w:t>Budget</w:t>
      </w:r>
      <w:r w:rsidR="00DC0958">
        <w:t xml:space="preserve"> and $5.4</w:t>
      </w:r>
      <w:r w:rsidR="007453D8">
        <w:t> </w:t>
      </w:r>
      <w:r w:rsidR="00DC0958">
        <w:t>billion efficiency and reprogram</w:t>
      </w:r>
      <w:r w:rsidR="00CA0778">
        <w:t>m</w:t>
      </w:r>
      <w:r w:rsidR="00DC0958">
        <w:t>ing savings in the 2012</w:t>
      </w:r>
      <w:r w:rsidR="00633B00" w:rsidRPr="006B456E">
        <w:noBreakHyphen/>
      </w:r>
      <w:r w:rsidR="00DC0958">
        <w:t>13</w:t>
      </w:r>
      <w:r w:rsidR="007453D8">
        <w:t> </w:t>
      </w:r>
      <w:r w:rsidR="00DC0958">
        <w:t>Budget</w:t>
      </w:r>
      <w:r w:rsidR="00603EAA" w:rsidRPr="00603EAA">
        <w:t>.</w:t>
      </w:r>
    </w:p>
    <w:p w:rsidR="007328EC" w:rsidRDefault="007328EC" w:rsidP="007328EC">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1"/>
      </w:tblGrid>
      <w:tr w:rsidR="007328EC" w:rsidRPr="009603E5" w:rsidTr="007328EC">
        <w:tc>
          <w:tcPr>
            <w:tcW w:w="8391" w:type="dxa"/>
            <w:shd w:val="clear" w:color="auto" w:fill="D7DDE9"/>
          </w:tcPr>
          <w:p w:rsidR="007328EC" w:rsidRDefault="007328EC" w:rsidP="007328EC">
            <w:pPr>
              <w:pStyle w:val="Heading30"/>
            </w:pPr>
            <w:bookmarkStart w:id="185" w:name="_Toc373955564"/>
            <w:bookmarkStart w:id="186" w:name="_Toc374088507"/>
            <w:r w:rsidRPr="004236EB">
              <w:lastRenderedPageBreak/>
              <w:t>Total defence spending</w:t>
            </w:r>
          </w:p>
          <w:p w:rsidR="007328EC" w:rsidRPr="00FE2AE8" w:rsidRDefault="007328EC" w:rsidP="007328EC">
            <w:pPr>
              <w:pStyle w:val="PBOtext"/>
              <w:rPr>
                <w:b/>
              </w:rPr>
            </w:pPr>
            <w:r w:rsidRPr="008207F7">
              <w:t xml:space="preserve">Defence has the largest proportion of net capital investment of all government functions and its inclusion provides a more comprehensive measure of total defence spending.  As illustrated by Figure 7.3, total defence </w:t>
            </w:r>
            <w:r w:rsidRPr="00FE2AE8">
              <w:t>spending</w:t>
            </w:r>
            <w:r w:rsidR="008207F7" w:rsidRPr="00FE2AE8">
              <w:t>, which includes net capital investment,</w:t>
            </w:r>
            <w:r w:rsidRPr="00FE2AE8">
              <w:t xml:space="preserve"> increased by 33</w:t>
            </w:r>
            <w:r w:rsidR="008207F7" w:rsidRPr="00FE2AE8">
              <w:t>.5</w:t>
            </w:r>
            <w:r w:rsidR="007453D8">
              <w:t> </w:t>
            </w:r>
            <w:r w:rsidRPr="00FE2AE8">
              <w:t>per</w:t>
            </w:r>
            <w:r w:rsidR="007453D8">
              <w:t> </w:t>
            </w:r>
            <w:r w:rsidRPr="00FE2AE8">
              <w:t>cent from 2002</w:t>
            </w:r>
            <w:r w:rsidR="00633B00" w:rsidRPr="006B456E">
              <w:noBreakHyphen/>
            </w:r>
            <w:r w:rsidRPr="00FE2AE8">
              <w:t>03 to 2012</w:t>
            </w:r>
            <w:r w:rsidR="00633B00" w:rsidRPr="006B456E">
              <w:noBreakHyphen/>
            </w:r>
            <w:r w:rsidRPr="00FE2AE8">
              <w:t>13, compared to an increase of 23</w:t>
            </w:r>
            <w:r w:rsidR="008207F7" w:rsidRPr="00FE2AE8">
              <w:t>.3</w:t>
            </w:r>
            <w:r w:rsidRPr="00FE2AE8">
              <w:t> per cent in defence expenses.  Defence spending including net capital investment contributed 2.2</w:t>
            </w:r>
            <w:r w:rsidR="007453D8">
              <w:t> </w:t>
            </w:r>
            <w:r w:rsidRPr="00FE2AE8">
              <w:t>percentage points to total government spending growth of 45.</w:t>
            </w:r>
            <w:r w:rsidR="008207F7" w:rsidRPr="00FE2AE8">
              <w:t>2</w:t>
            </w:r>
            <w:r w:rsidR="007453D8">
              <w:t> </w:t>
            </w:r>
            <w:r w:rsidRPr="00FE2AE8">
              <w:t>per</w:t>
            </w:r>
            <w:r w:rsidR="007453D8">
              <w:t> </w:t>
            </w:r>
            <w:r w:rsidRPr="00FE2AE8">
              <w:t>cent.  This reflects an annual growth rate of 2.9</w:t>
            </w:r>
            <w:r w:rsidR="007453D8">
              <w:t> </w:t>
            </w:r>
            <w:r w:rsidRPr="00FE2AE8">
              <w:t>per</w:t>
            </w:r>
            <w:r w:rsidR="007453D8">
              <w:t> </w:t>
            </w:r>
            <w:r w:rsidRPr="00FE2AE8">
              <w:t>cent from 2002</w:t>
            </w:r>
            <w:r w:rsidR="00633B00" w:rsidRPr="006B456E">
              <w:noBreakHyphen/>
            </w:r>
            <w:r w:rsidRPr="00FE2AE8">
              <w:t>03 to 2012</w:t>
            </w:r>
            <w:r w:rsidR="00633B00" w:rsidRPr="006B456E">
              <w:noBreakHyphen/>
            </w:r>
            <w:r w:rsidRPr="00FE2AE8">
              <w:t>13</w:t>
            </w:r>
            <w:r w:rsidR="00E25AD6">
              <w:t xml:space="preserve"> compared with growth in GDP of 3.0 per cent annually</w:t>
            </w:r>
            <w:r w:rsidRPr="00FE2AE8">
              <w:t>.</w:t>
            </w:r>
          </w:p>
          <w:p w:rsidR="007328EC" w:rsidRDefault="007328EC" w:rsidP="007A4A40">
            <w:pPr>
              <w:pStyle w:val="Caption"/>
            </w:pPr>
            <w:bookmarkStart w:id="187" w:name="_Toc374102220"/>
            <w:bookmarkStart w:id="188" w:name="_Toc374350003"/>
            <w:r w:rsidRPr="00FE2AE8">
              <w:t>Figure 7.</w:t>
            </w:r>
            <w:fldSimple w:instr=" SEQ Figure \* ARABIC \s 1 ">
              <w:r w:rsidR="00E862AC">
                <w:rPr>
                  <w:noProof/>
                </w:rPr>
                <w:t>3</w:t>
              </w:r>
            </w:fldSimple>
            <w:r w:rsidRPr="00FE2AE8">
              <w:t>:</w:t>
            </w:r>
            <w:r w:rsidRPr="00FE2AE8">
              <w:tab/>
            </w:r>
            <w:r w:rsidR="00EC5FF0" w:rsidRPr="00FE2AE8">
              <w:t>Cumulative g</w:t>
            </w:r>
            <w:r w:rsidRPr="00FE2AE8">
              <w:t>rowth in total defence</w:t>
            </w:r>
            <w:r w:rsidRPr="004236EB">
              <w:t xml:space="preserve"> spending</w:t>
            </w:r>
            <w:bookmarkEnd w:id="185"/>
            <w:bookmarkEnd w:id="186"/>
            <w:bookmarkEnd w:id="187"/>
            <w:bookmarkEnd w:id="188"/>
          </w:p>
          <w:p w:rsidR="007328EC" w:rsidRPr="007328EC" w:rsidRDefault="00C602F6" w:rsidP="007328EC">
            <w:pPr>
              <w:pStyle w:val="PBOtext"/>
              <w:spacing w:before="0" w:after="0"/>
              <w:jc w:val="center"/>
            </w:pPr>
            <w:r>
              <w:rPr>
                <w:noProof/>
              </w:rPr>
              <w:drawing>
                <wp:inline distT="0" distB="0" distL="0" distR="0" wp14:anchorId="736ADF69" wp14:editId="6609C317">
                  <wp:extent cx="5149850" cy="3512856"/>
                  <wp:effectExtent l="0" t="0" r="0" b="0"/>
                  <wp:docPr id="82" name="Picture 82" descr="This chart shows the cumulative growth in real total defence spending over the period 2002–03 to 2012–13.  It shows that defence spending including net capital investment grew at a stronger rate than defence expenses over the period." title="Fig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8964" cy="3512251"/>
                          </a:xfrm>
                          <a:prstGeom prst="rect">
                            <a:avLst/>
                          </a:prstGeom>
                          <a:noFill/>
                        </pic:spPr>
                      </pic:pic>
                    </a:graphicData>
                  </a:graphic>
                </wp:inline>
              </w:drawing>
            </w:r>
          </w:p>
        </w:tc>
      </w:tr>
      <w:tr w:rsidR="007328EC" w:rsidTr="007328EC">
        <w:tc>
          <w:tcPr>
            <w:tcW w:w="8391" w:type="dxa"/>
            <w:shd w:val="clear" w:color="auto" w:fill="D7DDE9"/>
          </w:tcPr>
          <w:p w:rsidR="007328EC" w:rsidRPr="004236EB" w:rsidRDefault="007328EC" w:rsidP="007328EC">
            <w:pPr>
              <w:pStyle w:val="FigureCaption"/>
            </w:pPr>
            <w:r w:rsidRPr="00A35B0A">
              <w:rPr>
                <w:rFonts w:eastAsia="Cambria"/>
              </w:rPr>
              <w:t xml:space="preserve">Source: </w:t>
            </w:r>
            <w:r>
              <w:rPr>
                <w:rFonts w:eastAsia="Cambria"/>
              </w:rPr>
              <w:t xml:space="preserve">Australian Government </w:t>
            </w:r>
            <w:r w:rsidRPr="00A35429">
              <w:t>Final Budget Outcomes</w:t>
            </w:r>
          </w:p>
        </w:tc>
      </w:tr>
    </w:tbl>
    <w:p w:rsidR="00A90B87" w:rsidRPr="00542A13" w:rsidRDefault="00A90B87" w:rsidP="00A90B87">
      <w:pPr>
        <w:pStyle w:val="Heading30"/>
      </w:pPr>
      <w:r w:rsidRPr="00542A13">
        <w:t>Contribution from other public order and safety</w:t>
      </w:r>
    </w:p>
    <w:p w:rsidR="0044575D" w:rsidRPr="00F72931" w:rsidRDefault="0044575D" w:rsidP="007453D8">
      <w:r w:rsidRPr="00EC5FF0">
        <w:t>Other public order and safety spending grew by 5.4</w:t>
      </w:r>
      <w:r w:rsidR="007453D8">
        <w:t> </w:t>
      </w:r>
      <w:r w:rsidRPr="00EC5FF0">
        <w:t>per</w:t>
      </w:r>
      <w:r w:rsidR="007453D8">
        <w:t> </w:t>
      </w:r>
      <w:r w:rsidRPr="00EC5FF0">
        <w:t>cen</w:t>
      </w:r>
      <w:r w:rsidR="00633B00">
        <w:t>t annually from 2002</w:t>
      </w:r>
      <w:r w:rsidR="00633B00" w:rsidRPr="006B456E">
        <w:noBreakHyphen/>
      </w:r>
      <w:r w:rsidR="00633B00">
        <w:t>03 to 2012</w:t>
      </w:r>
      <w:r w:rsidR="00633B00" w:rsidRPr="006B456E">
        <w:noBreakHyphen/>
      </w:r>
      <w:r w:rsidRPr="00EC5FF0">
        <w:t>13 mainly due to increases in spending for the AFP, Customs, and ASIO.</w:t>
      </w:r>
      <w:r w:rsidR="007453D8">
        <w:t xml:space="preserve"> </w:t>
      </w:r>
      <w:r w:rsidRPr="00EC5FF0">
        <w:t xml:space="preserve"> Spending by the AFP grew 4.8 per</w:t>
      </w:r>
      <w:r w:rsidR="007453D8">
        <w:t> </w:t>
      </w:r>
      <w:r w:rsidRPr="00EC5FF0">
        <w:t>cent annually and contributed 2.0</w:t>
      </w:r>
      <w:r w:rsidR="007453D8">
        <w:t> </w:t>
      </w:r>
      <w:r w:rsidRPr="00EC5FF0">
        <w:t>percentage points to total growth in defence, public order and safety.</w:t>
      </w:r>
      <w:r w:rsidR="007453D8">
        <w:t xml:space="preserve"> </w:t>
      </w:r>
      <w:r w:rsidRPr="00EC5FF0">
        <w:t xml:space="preserve"> Annual growth in spending by Customs was 4.1</w:t>
      </w:r>
      <w:r w:rsidR="007453D8">
        <w:t> </w:t>
      </w:r>
      <w:r w:rsidRPr="00EC5FF0">
        <w:t>per</w:t>
      </w:r>
      <w:r w:rsidR="007453D8">
        <w:t> </w:t>
      </w:r>
      <w:r w:rsidRPr="00EC5FF0">
        <w:t>cent contributing 1.8</w:t>
      </w:r>
      <w:r w:rsidR="007453D8">
        <w:t> </w:t>
      </w:r>
      <w:r w:rsidRPr="00EC5FF0">
        <w:t>percentage points and spending by ASIO grew 13.4</w:t>
      </w:r>
      <w:r w:rsidR="007453D8">
        <w:t> </w:t>
      </w:r>
      <w:r w:rsidRPr="00EC5FF0">
        <w:t>per</w:t>
      </w:r>
      <w:r w:rsidR="007453D8">
        <w:t> </w:t>
      </w:r>
      <w:r w:rsidRPr="00EC5FF0">
        <w:t>cent annually, contributing 1.5 percentage points.</w:t>
      </w:r>
    </w:p>
    <w:p w:rsidR="00992795" w:rsidRPr="005C2B75" w:rsidRDefault="00992795" w:rsidP="00992795">
      <w:r w:rsidRPr="004236EB">
        <w:t xml:space="preserve">The increase in spending reflects the focus on security after 11 September 2001 as part of the </w:t>
      </w:r>
      <w:r w:rsidRPr="004236EB">
        <w:rPr>
          <w:i/>
        </w:rPr>
        <w:t>Upgrading Domestic Security</w:t>
      </w:r>
      <w:r w:rsidRPr="004236EB">
        <w:t xml:space="preserve"> package outlined in the 2002</w:t>
      </w:r>
      <w:r w:rsidR="00633B00" w:rsidRPr="006B456E">
        <w:noBreakHyphen/>
      </w:r>
      <w:r w:rsidRPr="004236EB">
        <w:t>03</w:t>
      </w:r>
      <w:r w:rsidR="007453D8">
        <w:t> </w:t>
      </w:r>
      <w:r w:rsidRPr="004236EB">
        <w:t>Budget which saw increases in funding</w:t>
      </w:r>
      <w:r w:rsidRPr="005C2B75">
        <w:t xml:space="preserve"> for agencies including ASIO, AFP and Customs for initiatives relating to aviation security and the identification of and response to security threats such as terrorist incidents.  Around $1.3</w:t>
      </w:r>
      <w:r w:rsidR="007453D8">
        <w:t> </w:t>
      </w:r>
      <w:r w:rsidRPr="005C2B75">
        <w:t>billion of funding was provided for initiatives in this package over five years from 2002</w:t>
      </w:r>
      <w:r w:rsidR="00633B00" w:rsidRPr="006B456E">
        <w:noBreakHyphen/>
      </w:r>
      <w:r w:rsidRPr="005C2B75">
        <w:t>03</w:t>
      </w:r>
      <w:r w:rsidR="00BF46DF">
        <w:t>.</w:t>
      </w:r>
    </w:p>
    <w:p w:rsidR="005C2B75" w:rsidRPr="00FE2AE8" w:rsidRDefault="00992795" w:rsidP="005C2B75">
      <w:r w:rsidRPr="005C2B75">
        <w:t xml:space="preserve">Subsequent packages included </w:t>
      </w:r>
      <w:r w:rsidRPr="005C2B75">
        <w:rPr>
          <w:i/>
        </w:rPr>
        <w:t xml:space="preserve">A Safer Australia </w:t>
      </w:r>
      <w:r w:rsidRPr="005C2B75">
        <w:t>($411</w:t>
      </w:r>
      <w:r w:rsidR="007453D8">
        <w:t> </w:t>
      </w:r>
      <w:r w:rsidRPr="005C2B75">
        <w:t>million over five years) in the 2003</w:t>
      </w:r>
      <w:r w:rsidR="00633B00" w:rsidRPr="006B456E">
        <w:noBreakHyphen/>
      </w:r>
      <w:r w:rsidRPr="005C2B75">
        <w:t>04</w:t>
      </w:r>
      <w:r w:rsidR="007453D8">
        <w:t> </w:t>
      </w:r>
      <w:r w:rsidRPr="005C2B75">
        <w:t xml:space="preserve">Budget, </w:t>
      </w:r>
      <w:r w:rsidRPr="005C2B75">
        <w:rPr>
          <w:i/>
        </w:rPr>
        <w:t xml:space="preserve">Investing in Australia’s </w:t>
      </w:r>
      <w:r w:rsidRPr="00FE2AE8">
        <w:rPr>
          <w:i/>
        </w:rPr>
        <w:t>Security</w:t>
      </w:r>
      <w:r w:rsidRPr="00FE2AE8">
        <w:t xml:space="preserve"> ($</w:t>
      </w:r>
      <w:r w:rsidR="00EC5FF0" w:rsidRPr="00FE2AE8">
        <w:t>754</w:t>
      </w:r>
      <w:r w:rsidR="007453D8">
        <w:t> </w:t>
      </w:r>
      <w:r w:rsidR="00EC5FF0" w:rsidRPr="00FE2AE8">
        <w:t>m</w:t>
      </w:r>
      <w:r w:rsidRPr="00FE2AE8">
        <w:t>illion over five years) in the 2004</w:t>
      </w:r>
      <w:r w:rsidR="00633B00" w:rsidRPr="006B456E">
        <w:noBreakHyphen/>
      </w:r>
      <w:r w:rsidRPr="00FE2AE8">
        <w:t>05</w:t>
      </w:r>
      <w:r w:rsidR="007453D8">
        <w:t> </w:t>
      </w:r>
      <w:r w:rsidRPr="00FE2AE8">
        <w:t xml:space="preserve">Budget, and the </w:t>
      </w:r>
      <w:r w:rsidRPr="00FE2AE8">
        <w:rPr>
          <w:i/>
        </w:rPr>
        <w:t>National Security – Preventing Terrorism</w:t>
      </w:r>
      <w:r w:rsidRPr="00FE2AE8">
        <w:t xml:space="preserve"> package, which provided an additional $1.5</w:t>
      </w:r>
      <w:r w:rsidR="007453D8">
        <w:t> </w:t>
      </w:r>
      <w:r w:rsidRPr="00FE2AE8">
        <w:t xml:space="preserve">billion over five years </w:t>
      </w:r>
      <w:r w:rsidRPr="00FE2AE8">
        <w:lastRenderedPageBreak/>
        <w:t>from 2005-06.  This package included funding of $394</w:t>
      </w:r>
      <w:r w:rsidR="007453D8">
        <w:t> </w:t>
      </w:r>
      <w:r w:rsidRPr="00FE2AE8">
        <w:t>million for increased staffing at ASIO, $252</w:t>
      </w:r>
      <w:r w:rsidR="007453D8">
        <w:t> </w:t>
      </w:r>
      <w:r w:rsidRPr="00FE2AE8">
        <w:t xml:space="preserve">million for the continuation of ASIO measures that would otherwise </w:t>
      </w:r>
      <w:proofErr w:type="gramStart"/>
      <w:r w:rsidRPr="00FE2AE8">
        <w:t>end,</w:t>
      </w:r>
      <w:proofErr w:type="gramEnd"/>
      <w:r w:rsidRPr="00FE2AE8">
        <w:t xml:space="preserve"> $355</w:t>
      </w:r>
      <w:r w:rsidR="007453D8">
        <w:t> </w:t>
      </w:r>
      <w:r w:rsidRPr="00FE2AE8">
        <w:t>million for the AFP for security at airports and $112</w:t>
      </w:r>
      <w:r w:rsidR="007453D8">
        <w:t> </w:t>
      </w:r>
      <w:r w:rsidRPr="00FE2AE8">
        <w:t>million for the AFP for protective security</w:t>
      </w:r>
      <w:r w:rsidR="00BF46DF" w:rsidRPr="00FE2AE8">
        <w:t>.</w:t>
      </w:r>
    </w:p>
    <w:p w:rsidR="00A90B87" w:rsidRPr="00FE2AE8" w:rsidRDefault="00A90B87" w:rsidP="00A90B87">
      <w:pPr>
        <w:pStyle w:val="Heading30"/>
      </w:pPr>
      <w:r w:rsidRPr="00FE2AE8">
        <w:t>Contribution from courts and legal services</w:t>
      </w:r>
    </w:p>
    <w:p w:rsidR="005C2B75" w:rsidRPr="00FE2AE8" w:rsidRDefault="005C2B75" w:rsidP="005C2B75">
      <w:r w:rsidRPr="00FE2AE8">
        <w:t>Spending on courts and legal services gr</w:t>
      </w:r>
      <w:r w:rsidR="00992795" w:rsidRPr="00FE2AE8">
        <w:t>e</w:t>
      </w:r>
      <w:r w:rsidRPr="00FE2AE8">
        <w:t>w by 1</w:t>
      </w:r>
      <w:r w:rsidR="008B33A8" w:rsidRPr="00FE2AE8">
        <w:t>.0</w:t>
      </w:r>
      <w:r w:rsidR="007453D8">
        <w:t> </w:t>
      </w:r>
      <w:r w:rsidRPr="00FE2AE8">
        <w:t>per</w:t>
      </w:r>
      <w:r w:rsidR="007453D8">
        <w:t> </w:t>
      </w:r>
      <w:r w:rsidRPr="00FE2AE8">
        <w:t>cent annually from 2002</w:t>
      </w:r>
      <w:r w:rsidR="00633B00" w:rsidRPr="006B456E">
        <w:noBreakHyphen/>
      </w:r>
      <w:r w:rsidRPr="00FE2AE8">
        <w:t>03 to 2012</w:t>
      </w:r>
      <w:r w:rsidR="00633B00" w:rsidRPr="006B456E">
        <w:noBreakHyphen/>
      </w:r>
      <w:r w:rsidRPr="00FE2AE8">
        <w:t>13.  This slight increase was driven by spending on Legal Aid.  Significant measures relating to courts and legal services over this period include:</w:t>
      </w:r>
    </w:p>
    <w:p w:rsidR="005C2B75" w:rsidRPr="00FE2AE8" w:rsidRDefault="005C2B75" w:rsidP="00686315">
      <w:pPr>
        <w:pStyle w:val="ListParagraph"/>
        <w:numPr>
          <w:ilvl w:val="0"/>
          <w:numId w:val="11"/>
        </w:numPr>
        <w:ind w:left="357" w:hanging="357"/>
        <w:contextualSpacing w:val="0"/>
      </w:pPr>
      <w:r w:rsidRPr="00FE2AE8">
        <w:t>increas</w:t>
      </w:r>
      <w:r w:rsidR="003914A5" w:rsidRPr="00FE2AE8">
        <w:t>ed</w:t>
      </w:r>
      <w:r w:rsidRPr="00FE2AE8">
        <w:t xml:space="preserve"> funding for legal aid </w:t>
      </w:r>
      <w:r w:rsidR="00633B00">
        <w:t>announced in the 2004</w:t>
      </w:r>
      <w:r w:rsidR="00633B00" w:rsidRPr="006B456E">
        <w:noBreakHyphen/>
      </w:r>
      <w:r w:rsidRPr="00FE2AE8">
        <w:t>05 Budget to maintain eq</w:t>
      </w:r>
      <w:r w:rsidR="00EC5FF0" w:rsidRPr="00FE2AE8">
        <w:t>uitable access to Commonwealth legal a</w:t>
      </w:r>
      <w:r w:rsidRPr="00FE2AE8">
        <w:t>id and the establishment of a National Crime Prevention Programme;</w:t>
      </w:r>
    </w:p>
    <w:p w:rsidR="005C2B75" w:rsidRPr="00FE2AE8" w:rsidRDefault="005C2B75" w:rsidP="00686315">
      <w:pPr>
        <w:pStyle w:val="ListParagraph"/>
        <w:numPr>
          <w:ilvl w:val="0"/>
          <w:numId w:val="11"/>
        </w:numPr>
        <w:ind w:left="357" w:hanging="357"/>
        <w:contextualSpacing w:val="0"/>
      </w:pPr>
      <w:r w:rsidRPr="00FE2AE8">
        <w:t>increase</w:t>
      </w:r>
      <w:r w:rsidR="00EC5FF0" w:rsidRPr="00FE2AE8">
        <w:t>d</w:t>
      </w:r>
      <w:r w:rsidR="00633B00">
        <w:t xml:space="preserve"> funding from 2005</w:t>
      </w:r>
      <w:r w:rsidR="00633B00" w:rsidRPr="006B456E">
        <w:noBreakHyphen/>
      </w:r>
      <w:r w:rsidR="00633B00">
        <w:t>06 to 2009</w:t>
      </w:r>
      <w:r w:rsidR="00633B00" w:rsidRPr="006B456E">
        <w:noBreakHyphen/>
      </w:r>
      <w:r w:rsidRPr="00FE2AE8">
        <w:t>10 for the family law system, the refurbishment of the Sydney Law Courts and increased prosecutions relating to feder</w:t>
      </w:r>
      <w:r w:rsidR="00F604A2" w:rsidRPr="00FE2AE8">
        <w:t>al law announced in the 2005</w:t>
      </w:r>
      <w:r w:rsidR="00F604A2" w:rsidRPr="00FE2AE8">
        <w:noBreakHyphen/>
        <w:t>06 </w:t>
      </w:r>
      <w:r w:rsidRPr="00FE2AE8">
        <w:t>Budget; and</w:t>
      </w:r>
    </w:p>
    <w:p w:rsidR="00A90B87" w:rsidRPr="00FE2AE8" w:rsidRDefault="005C2B75" w:rsidP="00686315">
      <w:pPr>
        <w:pStyle w:val="ListParagraph"/>
        <w:numPr>
          <w:ilvl w:val="0"/>
          <w:numId w:val="11"/>
        </w:numPr>
        <w:ind w:left="357" w:hanging="357"/>
        <w:contextualSpacing w:val="0"/>
      </w:pPr>
      <w:proofErr w:type="gramStart"/>
      <w:r w:rsidRPr="00FE2AE8">
        <w:t>expenses</w:t>
      </w:r>
      <w:proofErr w:type="gramEnd"/>
      <w:r w:rsidRPr="00FE2AE8">
        <w:t xml:space="preserve"> relating to new measures including </w:t>
      </w:r>
      <w:r w:rsidR="00EC5FF0" w:rsidRPr="00FE2AE8">
        <w:t>for</w:t>
      </w:r>
      <w:r w:rsidRPr="00FE2AE8">
        <w:t xml:space="preserve"> </w:t>
      </w:r>
      <w:r w:rsidRPr="00FE2AE8">
        <w:rPr>
          <w:i/>
        </w:rPr>
        <w:t>Strengthening national security – implementing the Anti-Terrorism Act (No.2) 2005</w:t>
      </w:r>
      <w:r w:rsidR="00EC5FF0" w:rsidRPr="00FE2AE8">
        <w:rPr>
          <w:i/>
        </w:rPr>
        <w:t>.</w:t>
      </w:r>
    </w:p>
    <w:p w:rsidR="0030784E" w:rsidRPr="005C2B75" w:rsidRDefault="0030784E" w:rsidP="0030784E"/>
    <w:p w:rsidR="005C2B75" w:rsidRDefault="005C2B75" w:rsidP="00A90B87">
      <w:pPr>
        <w:sectPr w:rsidR="005C2B75" w:rsidSect="0099638E">
          <w:footerReference w:type="default" r:id="rId47"/>
          <w:pgSz w:w="11900" w:h="16840"/>
          <w:pgMar w:top="1440" w:right="1797" w:bottom="1440" w:left="1797" w:header="709" w:footer="709" w:gutter="0"/>
          <w:cols w:space="708"/>
          <w:titlePg/>
          <w:docGrid w:linePitch="326"/>
        </w:sectPr>
      </w:pPr>
    </w:p>
    <w:p w:rsidR="00D665E5" w:rsidRDefault="00D665E5" w:rsidP="003D676E">
      <w:pPr>
        <w:pStyle w:val="Heading1"/>
        <w:numPr>
          <w:ilvl w:val="0"/>
          <w:numId w:val="31"/>
        </w:numPr>
        <w:ind w:left="709" w:hanging="709"/>
      </w:pPr>
      <w:bookmarkStart w:id="189" w:name="_Toc372697982"/>
      <w:bookmarkStart w:id="190" w:name="_Toc373778497"/>
      <w:bookmarkStart w:id="191" w:name="_Toc374182870"/>
      <w:bookmarkStart w:id="192" w:name="_Toc374349466"/>
      <w:bookmarkStart w:id="193" w:name="_Toc372697980"/>
      <w:bookmarkStart w:id="194" w:name="_Toc373778496"/>
      <w:r>
        <w:lastRenderedPageBreak/>
        <w:t>Industry and economic affairs</w:t>
      </w:r>
      <w:bookmarkEnd w:id="189"/>
      <w:r w:rsidRPr="00686315">
        <w:t xml:space="preserve"> expenses</w:t>
      </w:r>
      <w:bookmarkEnd w:id="190"/>
      <w:bookmarkEnd w:id="191"/>
      <w:bookmarkEnd w:id="192"/>
    </w:p>
    <w:p w:rsidR="00D665E5" w:rsidRDefault="00D665E5" w:rsidP="00D665E5">
      <w:r>
        <w:t>I</w:t>
      </w:r>
      <w:r w:rsidRPr="0060141D">
        <w:t>ndustry and economic affai</w:t>
      </w:r>
      <w:r w:rsidR="00167C63">
        <w:t>rs spending was $21.9 </w:t>
      </w:r>
      <w:r>
        <w:t xml:space="preserve">billion or </w:t>
      </w:r>
      <w:r w:rsidR="00167C63">
        <w:t>5.7 </w:t>
      </w:r>
      <w:r w:rsidRPr="0060141D">
        <w:t>per</w:t>
      </w:r>
      <w:r w:rsidR="00167C63">
        <w:t> </w:t>
      </w:r>
      <w:r w:rsidRPr="0060141D">
        <w:t>c</w:t>
      </w:r>
      <w:r>
        <w:t>ent of total government spending</w:t>
      </w:r>
      <w:r w:rsidR="00633B00">
        <w:t xml:space="preserve"> in 2012</w:t>
      </w:r>
      <w:r w:rsidR="00633B00" w:rsidRPr="006B456E">
        <w:noBreakHyphen/>
      </w:r>
      <w:r w:rsidRPr="0060141D">
        <w:t xml:space="preserve">13.  </w:t>
      </w:r>
      <w:r w:rsidRPr="00A427FB">
        <w:t xml:space="preserve">The </w:t>
      </w:r>
      <w:r>
        <w:t>composition</w:t>
      </w:r>
      <w:r w:rsidRPr="00A427FB">
        <w:t xml:space="preserve"> of this spending is shown in </w:t>
      </w:r>
      <w:r w:rsidR="00134D4A">
        <w:t>Figure</w:t>
      </w:r>
      <w:r w:rsidR="00167C63">
        <w:t> </w:t>
      </w:r>
      <w:r w:rsidR="00134D4A">
        <w:t>8</w:t>
      </w:r>
      <w:r>
        <w:t xml:space="preserve">.1 </w:t>
      </w:r>
      <w:r w:rsidRPr="00A427FB">
        <w:t>below.</w:t>
      </w:r>
    </w:p>
    <w:p w:rsidR="00D665E5" w:rsidRDefault="00D665E5" w:rsidP="007A4A40">
      <w:pPr>
        <w:pStyle w:val="Caption"/>
      </w:pPr>
      <w:bookmarkStart w:id="195" w:name="_Toc373422190"/>
      <w:bookmarkStart w:id="196" w:name="_Toc373873669"/>
      <w:bookmarkStart w:id="197" w:name="_Toc373955572"/>
      <w:bookmarkStart w:id="198" w:name="_Toc374088508"/>
      <w:bookmarkStart w:id="199" w:name="_Toc374102221"/>
      <w:bookmarkStart w:id="200" w:name="_Toc374350004"/>
      <w:proofErr w:type="gramStart"/>
      <w:r w:rsidRPr="00CF2BC1">
        <w:t xml:space="preserve">Figure </w:t>
      </w:r>
      <w:r w:rsidR="00134D4A">
        <w:t>8</w:t>
      </w:r>
      <w:r w:rsidRPr="00CF2BC1">
        <w:t>.</w:t>
      </w:r>
      <w:proofErr w:type="gramEnd"/>
      <w:r w:rsidR="00143AAD">
        <w:fldChar w:fldCharType="begin"/>
      </w:r>
      <w:r w:rsidR="00143AAD">
        <w:instrText xml:space="preserve"> SEQ Figure \* ARABIC \s 1 </w:instrText>
      </w:r>
      <w:r w:rsidR="00143AAD">
        <w:fldChar w:fldCharType="separate"/>
      </w:r>
      <w:r w:rsidR="00E862AC">
        <w:rPr>
          <w:noProof/>
        </w:rPr>
        <w:t>1</w:t>
      </w:r>
      <w:r w:rsidR="00143AAD">
        <w:rPr>
          <w:noProof/>
        </w:rPr>
        <w:fldChar w:fldCharType="end"/>
      </w:r>
      <w:r w:rsidRPr="00CF2BC1">
        <w:t>:</w:t>
      </w:r>
      <w:r>
        <w:tab/>
      </w:r>
      <w:r w:rsidRPr="00CF2BC1">
        <w:t>Composition of industry and economic affairs expenses in 2012-13</w:t>
      </w:r>
      <w:bookmarkEnd w:id="195"/>
      <w:bookmarkEnd w:id="196"/>
      <w:bookmarkEnd w:id="197"/>
      <w:bookmarkEnd w:id="198"/>
      <w:bookmarkEnd w:id="199"/>
      <w:bookmarkEnd w:id="200"/>
    </w:p>
    <w:p w:rsidR="00D665E5" w:rsidRPr="00AE34FF" w:rsidRDefault="002F7889" w:rsidP="00AE34FF">
      <w:pPr>
        <w:pStyle w:val="PBOtext"/>
        <w:spacing w:before="0" w:after="0"/>
        <w:jc w:val="center"/>
      </w:pPr>
      <w:r>
        <w:rPr>
          <w:noProof/>
        </w:rPr>
        <w:drawing>
          <wp:inline distT="0" distB="0" distL="0" distR="0" wp14:anchorId="1F8E449D" wp14:editId="2FEB0D28">
            <wp:extent cx="4680645" cy="3452813"/>
            <wp:effectExtent l="0" t="0" r="5715" b="0"/>
            <wp:docPr id="9" name="Picture 9" descr="This chart shows the composition of industry and economic affairs expenses in 2012–13.  Spending on fuel and energy was the largest area of spending at 27 per cent, followed by labour and employment affairs at 19 per cent and immigration at 16 per cent." title="Fig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2717" b="3494"/>
                    <a:stretch/>
                  </pic:blipFill>
                  <pic:spPr bwMode="auto">
                    <a:xfrm>
                      <a:off x="0" y="0"/>
                      <a:ext cx="4681855" cy="3453706"/>
                    </a:xfrm>
                    <a:prstGeom prst="rect">
                      <a:avLst/>
                    </a:prstGeom>
                    <a:noFill/>
                    <a:ln>
                      <a:noFill/>
                    </a:ln>
                    <a:extLst>
                      <a:ext uri="{53640926-AAD7-44D8-BBD7-CCE9431645EC}">
                        <a14:shadowObscured xmlns:a14="http://schemas.microsoft.com/office/drawing/2010/main"/>
                      </a:ext>
                    </a:extLst>
                  </pic:spPr>
                </pic:pic>
              </a:graphicData>
            </a:graphic>
          </wp:inline>
        </w:drawing>
      </w:r>
    </w:p>
    <w:p w:rsidR="00D665E5" w:rsidRPr="0041748B" w:rsidRDefault="00D665E5" w:rsidP="00D665E5">
      <w:pPr>
        <w:pStyle w:val="FigureCaption"/>
      </w:pPr>
      <w:r w:rsidRPr="0041748B">
        <w:t xml:space="preserve">Source: </w:t>
      </w:r>
      <w:r>
        <w:t>Australian</w:t>
      </w:r>
      <w:r w:rsidRPr="0041748B">
        <w:t xml:space="preserve"> Government </w:t>
      </w:r>
      <w:r>
        <w:t xml:space="preserve">Final </w:t>
      </w:r>
      <w:r w:rsidRPr="0041748B">
        <w:t xml:space="preserve">Budget </w:t>
      </w:r>
      <w:r>
        <w:t xml:space="preserve">Outcome </w:t>
      </w:r>
      <w:r w:rsidRPr="0041748B">
        <w:t>201</w:t>
      </w:r>
      <w:r>
        <w:t>2</w:t>
      </w:r>
      <w:r w:rsidRPr="0041748B">
        <w:t>-1</w:t>
      </w:r>
      <w:r>
        <w:t>3</w:t>
      </w:r>
    </w:p>
    <w:p w:rsidR="00ED4FCA" w:rsidRPr="00ED4FCA" w:rsidRDefault="00ED4FCA" w:rsidP="00ED4FCA">
      <w:pPr>
        <w:pStyle w:val="PBOtext"/>
      </w:pPr>
      <w:r w:rsidRPr="00ED4FCA">
        <w:t>In 2012</w:t>
      </w:r>
      <w:r w:rsidRPr="00ED4FCA">
        <w:noBreakHyphen/>
        <w:t xml:space="preserve">13, expenses on </w:t>
      </w:r>
      <w:r w:rsidRPr="00ED4FCA">
        <w:rPr>
          <w:b/>
        </w:rPr>
        <w:t>fuel and energy</w:t>
      </w:r>
      <w:r w:rsidRPr="00ED4FCA">
        <w:t xml:space="preserve"> amounted to $6.0 billion or 27 per cent of total expenses on industry and economic affairs.  Fuel and energy consisted mainly of fuel tax credits to businesses which amounted to $5.5 billion in 2012</w:t>
      </w:r>
      <w:r w:rsidRPr="00ED4FCA">
        <w:noBreakHyphen/>
        <w:t>13, or around 92 per cent of fuel and energy expenses.  These tax credits are provided to businesses for fuel used in machinery, plant, equipment and heavy vehicles.  The remaining 8 per cent of the fuel and energy component was made up of resources and energy related initiatives which included ongoing subsidy schemes such as the ethanol production sub</w:t>
      </w:r>
      <w:r w:rsidR="003D2864">
        <w:t>sidy ($109 million in 2012</w:t>
      </w:r>
      <w:r w:rsidR="003D2864">
        <w:noBreakHyphen/>
        <w:t>13).</w:t>
      </w:r>
    </w:p>
    <w:p w:rsidR="00ED4FCA" w:rsidRPr="00ED4FCA" w:rsidRDefault="00ED4FCA" w:rsidP="00ED4FCA">
      <w:pPr>
        <w:pStyle w:val="PBOtext"/>
      </w:pPr>
      <w:r w:rsidRPr="00ED4FCA">
        <w:t xml:space="preserve">Expenses on </w:t>
      </w:r>
      <w:r w:rsidRPr="00ED4FCA">
        <w:rPr>
          <w:b/>
        </w:rPr>
        <w:t>labour and employment affairs</w:t>
      </w:r>
      <w:r w:rsidRPr="00ED4FCA">
        <w:t xml:space="preserve"> included labour and employment affairs; industrial relations expenses; and vocational and industry training expenses.  These amounted to $4.2 billion in 2012</w:t>
      </w:r>
      <w:r w:rsidRPr="00ED4FCA">
        <w:noBreakHyphen/>
        <w:t>13 or 19 per cent of total spending on industry and economic affairs.  Labour market assistance ($1.7 billion) refers to employment services such as Job Services Australia and the Indigenous employment program.  Industrial relations expenses ($801 million in 2012</w:t>
      </w:r>
      <w:r w:rsidRPr="00ED4FCA">
        <w:noBreakHyphen/>
        <w:t>13) included the general employee entitlements and redundancy scheme (GEERS), which cost $224 million and expenses by the Fair Work Commission and the Office of the Fair Work Ombudsman.  Vocational and industry training expenses ($1.6 billion in 2012</w:t>
      </w:r>
      <w:r w:rsidRPr="00ED4FCA">
        <w:noBreakHyphen/>
        <w:t>13) included programs to provide support for apprenticeships and programs to improve workforce skills.</w:t>
      </w:r>
    </w:p>
    <w:p w:rsidR="00AF012C" w:rsidRDefault="00AF012C">
      <w:pPr>
        <w:spacing w:before="0" w:after="200" w:line="252" w:lineRule="auto"/>
        <w:rPr>
          <w:b/>
        </w:rPr>
      </w:pPr>
      <w:r>
        <w:rPr>
          <w:b/>
        </w:rPr>
        <w:br w:type="page"/>
      </w:r>
    </w:p>
    <w:p w:rsidR="00ED4FCA" w:rsidRPr="00ED4FCA" w:rsidRDefault="00ED4FCA" w:rsidP="00ED4FCA">
      <w:pPr>
        <w:pStyle w:val="PBOtext"/>
      </w:pPr>
      <w:r w:rsidRPr="00ED4FCA">
        <w:rPr>
          <w:b/>
        </w:rPr>
        <w:lastRenderedPageBreak/>
        <w:t>Immigration</w:t>
      </w:r>
      <w:r w:rsidRPr="00ED4FCA">
        <w:t xml:space="preserve"> expenses included visa and migration services, settlement and multicultural services and management of irregular maritime arrivals.  In 2012</w:t>
      </w:r>
      <w:r w:rsidRPr="00ED4FCA">
        <w:noBreakHyphen/>
        <w:t>13, administered expenses for onshore and offshore detention amounted to 53.7 per cent of total immigration expenses.  Expenses on immigration were $3.5 billion in 2012</w:t>
      </w:r>
      <w:r w:rsidRPr="00ED4FCA">
        <w:noBreakHyphen/>
        <w:t>13 or 16.1 per cent of total spending on industry and economic affairs.</w:t>
      </w:r>
    </w:p>
    <w:p w:rsidR="00ED4FCA" w:rsidRPr="00ED4FCA" w:rsidRDefault="00ED4FCA" w:rsidP="00ED4FCA">
      <w:r w:rsidRPr="00ED4FCA">
        <w:t xml:space="preserve">Industry and economic affairs expenses also included industry assistance programs located in the component, </w:t>
      </w:r>
      <w:r w:rsidRPr="00ED4FCA">
        <w:rPr>
          <w:b/>
        </w:rPr>
        <w:t>other economic affairs</w:t>
      </w:r>
      <w:r w:rsidRPr="00ED4FCA">
        <w:t>.  Expenses for other economic affairs were $2.9 billion in 2012</w:t>
      </w:r>
      <w:r w:rsidRPr="00ED4FCA">
        <w:noBreakHyphen/>
        <w:t>13 or 13.4 per cent of total expenses on industry and economic affairs.  These included funding for regulatory agencies including the Australian Securities and Investment Commission (ASIC) ($411 million), the Australian Competition and Consumer Commission (ACCC) ($177 million) and the Bureau of Meteorology ($353 million).  They also include programs under Innovative Industry which provide incentives for innovation, green energy and assistance to commercialisation ($299 million), export assistance through the export market development grants scheme ($126 million) and tourism and area promotion ($190 million).</w:t>
      </w:r>
    </w:p>
    <w:p w:rsidR="00ED4FCA" w:rsidRPr="00ED4FCA" w:rsidRDefault="00ED4FCA" w:rsidP="00ED4FCA">
      <w:pPr>
        <w:pStyle w:val="PBOtext"/>
      </w:pPr>
      <w:r w:rsidRPr="00ED4FCA">
        <w:rPr>
          <w:b/>
        </w:rPr>
        <w:t>Mining, manufacturing and construction</w:t>
      </w:r>
      <w:r w:rsidRPr="00ED4FCA">
        <w:t xml:space="preserve"> expenses in 2012</w:t>
      </w:r>
      <w:r w:rsidRPr="00ED4FCA">
        <w:noBreakHyphen/>
        <w:t>13 were $2.9 billion or 13 per cent of total expenses on industry and economic affairs.  The research and development tax incentive ($2.2 billion) made up most of the expenses.  The rest included industry specific programs, such as for automotive, steel and textiles.</w:t>
      </w:r>
    </w:p>
    <w:p w:rsidR="00D665E5" w:rsidRDefault="00ED4FCA" w:rsidP="00ED4FCA">
      <w:pPr>
        <w:pStyle w:val="PBOtext"/>
      </w:pPr>
      <w:r w:rsidRPr="00ED4FCA">
        <w:rPr>
          <w:b/>
        </w:rPr>
        <w:t xml:space="preserve">Agriculture, forestry and fishing </w:t>
      </w:r>
      <w:r w:rsidRPr="00ED4FCA">
        <w:t>expenses were $2.4 billion or 11 per cent of total expenses for industry and economic affairs.  This component refers to assistance to primary industries, rural assistance (including drought programs) and natural resources development (including water reform</w:t>
      </w:r>
      <w:r w:rsidR="00D665E5" w:rsidRPr="00ED4FCA">
        <w:t>).</w:t>
      </w:r>
    </w:p>
    <w:p w:rsidR="00D665E5" w:rsidRDefault="00D665E5" w:rsidP="00D665E5">
      <w:pPr>
        <w:pStyle w:val="PBOheading2"/>
      </w:pPr>
      <w:r>
        <w:t>Trends in industry and economic affairs expenses</w:t>
      </w:r>
    </w:p>
    <w:p w:rsidR="00D665E5" w:rsidRDefault="00D665E5" w:rsidP="00D665E5">
      <w:r>
        <w:t xml:space="preserve">The contributions of the different components to growth in industry and economic affairs expenses are shown in the </w:t>
      </w:r>
      <w:r w:rsidR="00134D4A">
        <w:t>Figure</w:t>
      </w:r>
      <w:r w:rsidR="00167C63">
        <w:t> </w:t>
      </w:r>
      <w:r w:rsidR="00134D4A">
        <w:t>8</w:t>
      </w:r>
      <w:r w:rsidR="009C5BAC">
        <w:t>.2 below.</w:t>
      </w:r>
    </w:p>
    <w:p w:rsidR="00D665E5" w:rsidRDefault="00D665E5" w:rsidP="007A4A40">
      <w:pPr>
        <w:pStyle w:val="Caption"/>
      </w:pPr>
      <w:bookmarkStart w:id="201" w:name="_Ref372705319"/>
      <w:bookmarkStart w:id="202" w:name="_Toc373422191"/>
      <w:bookmarkStart w:id="203" w:name="_Toc373873670"/>
      <w:bookmarkStart w:id="204" w:name="_Toc373955573"/>
      <w:bookmarkStart w:id="205" w:name="_Toc374088509"/>
      <w:bookmarkStart w:id="206" w:name="_Toc374102222"/>
      <w:bookmarkStart w:id="207" w:name="_Toc374350005"/>
      <w:proofErr w:type="gramStart"/>
      <w:r w:rsidRPr="00CF2BC1">
        <w:lastRenderedPageBreak/>
        <w:t>Figure</w:t>
      </w:r>
      <w:r w:rsidR="00134D4A">
        <w:t xml:space="preserve"> 8</w:t>
      </w:r>
      <w:r w:rsidRPr="00CF2BC1">
        <w:t>.</w:t>
      </w:r>
      <w:proofErr w:type="gramEnd"/>
      <w:r w:rsidR="00143AAD">
        <w:fldChar w:fldCharType="begin"/>
      </w:r>
      <w:r w:rsidR="00143AAD">
        <w:instrText xml:space="preserve"> SEQ Figure \* ARABIC \s 1 </w:instrText>
      </w:r>
      <w:r w:rsidR="00143AAD">
        <w:fldChar w:fldCharType="separate"/>
      </w:r>
      <w:r w:rsidR="00E862AC">
        <w:rPr>
          <w:noProof/>
        </w:rPr>
        <w:t>2</w:t>
      </w:r>
      <w:r w:rsidR="00143AAD">
        <w:rPr>
          <w:noProof/>
        </w:rPr>
        <w:fldChar w:fldCharType="end"/>
      </w:r>
      <w:bookmarkEnd w:id="201"/>
      <w:r w:rsidRPr="00CF2BC1">
        <w:t>:</w:t>
      </w:r>
      <w:r>
        <w:tab/>
      </w:r>
      <w:r w:rsidRPr="00CF2BC1">
        <w:t>Contributions to growth in industry and economic affairs expenses</w:t>
      </w:r>
      <w:r w:rsidRPr="00CF2BC1">
        <w:rPr>
          <w:rStyle w:val="FootnoteReference"/>
        </w:rPr>
        <w:footnoteReference w:id="13"/>
      </w:r>
      <w:bookmarkEnd w:id="202"/>
      <w:bookmarkEnd w:id="203"/>
      <w:bookmarkEnd w:id="204"/>
      <w:bookmarkEnd w:id="205"/>
      <w:bookmarkEnd w:id="206"/>
      <w:bookmarkEnd w:id="207"/>
    </w:p>
    <w:p w:rsidR="00D665E5" w:rsidRDefault="00C602F6" w:rsidP="009C5BAC">
      <w:pPr>
        <w:pStyle w:val="PBOtext"/>
        <w:spacing w:before="0" w:after="0"/>
        <w:jc w:val="center"/>
      </w:pPr>
      <w:r>
        <w:rPr>
          <w:noProof/>
        </w:rPr>
        <w:drawing>
          <wp:inline distT="0" distB="0" distL="0" distR="0" wp14:anchorId="6764945E" wp14:editId="189CB603">
            <wp:extent cx="5402240" cy="3556000"/>
            <wp:effectExtent l="0" t="0" r="8255" b="6350"/>
            <wp:docPr id="89" name="Picture 89" descr="This chart shows that real industry and economic affairs expenses grew faster than real GDP over the period 2002–03 to 2012–13.  It highlights that the largest contribution to this growth came from immigration." title="Fig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9">
                      <a:extLst>
                        <a:ext uri="{28A0092B-C50C-407E-A947-70E740481C1C}">
                          <a14:useLocalDpi xmlns:a14="http://schemas.microsoft.com/office/drawing/2010/main" val="0"/>
                        </a:ext>
                      </a:extLst>
                    </a:blip>
                    <a:srcRect t="2581" b="1033"/>
                    <a:stretch/>
                  </pic:blipFill>
                  <pic:spPr bwMode="auto">
                    <a:xfrm>
                      <a:off x="0" y="0"/>
                      <a:ext cx="5401310" cy="3555388"/>
                    </a:xfrm>
                    <a:prstGeom prst="rect">
                      <a:avLst/>
                    </a:prstGeom>
                    <a:noFill/>
                    <a:ln>
                      <a:noFill/>
                    </a:ln>
                    <a:extLst>
                      <a:ext uri="{53640926-AAD7-44D8-BBD7-CCE9431645EC}">
                        <a14:shadowObscured xmlns:a14="http://schemas.microsoft.com/office/drawing/2010/main"/>
                      </a:ext>
                    </a:extLst>
                  </pic:spPr>
                </pic:pic>
              </a:graphicData>
            </a:graphic>
          </wp:inline>
        </w:drawing>
      </w:r>
    </w:p>
    <w:p w:rsidR="00D665E5" w:rsidRDefault="00D665E5" w:rsidP="00D665E5">
      <w:pPr>
        <w:pStyle w:val="FigureCaption"/>
      </w:pPr>
      <w:r>
        <w:t xml:space="preserve">Sources: </w:t>
      </w:r>
      <w:r>
        <w:rPr>
          <w:rFonts w:eastAsia="MS PGothic"/>
        </w:rPr>
        <w:t xml:space="preserve">Australian </w:t>
      </w:r>
      <w:r w:rsidRPr="0041748B">
        <w:rPr>
          <w:rFonts w:eastAsia="MS PGothic"/>
        </w:rPr>
        <w:t xml:space="preserve">Government </w:t>
      </w:r>
      <w:r>
        <w:rPr>
          <w:rFonts w:eastAsia="MS PGothic"/>
        </w:rPr>
        <w:t xml:space="preserve">Final Budget Outcomes and </w:t>
      </w:r>
      <w:r>
        <w:t>ABS</w:t>
      </w:r>
    </w:p>
    <w:p w:rsidR="00D665E5" w:rsidRDefault="00D665E5" w:rsidP="00D665E5">
      <w:pPr>
        <w:pStyle w:val="PBOtext"/>
      </w:pPr>
      <w:r w:rsidRPr="00471192">
        <w:t>From 2002</w:t>
      </w:r>
      <w:r w:rsidR="00633B00" w:rsidRPr="006B456E">
        <w:noBreakHyphen/>
      </w:r>
      <w:r w:rsidRPr="00471192">
        <w:t>03 to 2012</w:t>
      </w:r>
      <w:r w:rsidR="00633B00" w:rsidRPr="006B456E">
        <w:noBreakHyphen/>
      </w:r>
      <w:r w:rsidRPr="00471192">
        <w:t>13, industry and econom</w:t>
      </w:r>
      <w:r w:rsidR="00FA315A" w:rsidRPr="00471192">
        <w:t>ic affairs expenses grew by 51.8</w:t>
      </w:r>
      <w:r w:rsidR="0071067C">
        <w:t> </w:t>
      </w:r>
      <w:r w:rsidRPr="00471192">
        <w:t>per</w:t>
      </w:r>
      <w:r w:rsidR="0071067C">
        <w:t> </w:t>
      </w:r>
      <w:r w:rsidRPr="00471192">
        <w:t>cent (or 4.</w:t>
      </w:r>
      <w:r w:rsidR="00FA315A" w:rsidRPr="00471192">
        <w:t>3</w:t>
      </w:r>
      <w:r w:rsidRPr="00471192">
        <w:t xml:space="preserve"> per cent annually) which was higher than GDP </w:t>
      </w:r>
      <w:r w:rsidR="00FA315A" w:rsidRPr="00471192">
        <w:t>growth of 34.3</w:t>
      </w:r>
      <w:r w:rsidR="0071067C">
        <w:t> </w:t>
      </w:r>
      <w:r w:rsidR="00FA315A" w:rsidRPr="00471192">
        <w:t>per</w:t>
      </w:r>
      <w:r w:rsidR="0071067C">
        <w:t> </w:t>
      </w:r>
      <w:r w:rsidR="00FA315A" w:rsidRPr="00471192">
        <w:t>cent (or 3.0</w:t>
      </w:r>
      <w:r w:rsidR="0071067C">
        <w:t> </w:t>
      </w:r>
      <w:r w:rsidRPr="00471192">
        <w:t>per cent</w:t>
      </w:r>
      <w:r>
        <w:t xml:space="preserve"> annually).  Expenses growth in this area had been strong throughout the period with fluctuations arising from temporary spending priorities such as drought assistance which peaked in 2007</w:t>
      </w:r>
      <w:r w:rsidR="00633B00" w:rsidRPr="006B456E">
        <w:noBreakHyphen/>
      </w:r>
      <w:r>
        <w:t>08 and the implementation of the fiscal stimulus over the period 2008</w:t>
      </w:r>
      <w:r w:rsidR="00633B00" w:rsidRPr="006B456E">
        <w:noBreakHyphen/>
      </w:r>
      <w:r>
        <w:t>09 to 2010</w:t>
      </w:r>
      <w:r w:rsidR="00633B00" w:rsidRPr="006B456E">
        <w:noBreakHyphen/>
      </w:r>
      <w:r>
        <w:t>11.</w:t>
      </w:r>
    </w:p>
    <w:p w:rsidR="00D665E5" w:rsidRDefault="00D665E5" w:rsidP="00FD4464">
      <w:pPr>
        <w:pStyle w:val="PBOfiguretableheading"/>
        <w:tabs>
          <w:tab w:val="left" w:pos="1134"/>
        </w:tabs>
      </w:pPr>
      <w:bookmarkStart w:id="208" w:name="_Toc374102223"/>
      <w:bookmarkStart w:id="209" w:name="_Toc374350041"/>
      <w:proofErr w:type="gramStart"/>
      <w:r>
        <w:t xml:space="preserve">Table </w:t>
      </w:r>
      <w:r w:rsidR="00134D4A">
        <w:t>8</w:t>
      </w:r>
      <w:r>
        <w:t>.</w:t>
      </w:r>
      <w:proofErr w:type="gramEnd"/>
      <w:r w:rsidR="00143AAD">
        <w:fldChar w:fldCharType="begin"/>
      </w:r>
      <w:r w:rsidR="00143AAD">
        <w:instrText xml:space="preserve"> SEQ Table \* ARABIC \s 1 </w:instrText>
      </w:r>
      <w:r w:rsidR="00143AAD">
        <w:fldChar w:fldCharType="separate"/>
      </w:r>
      <w:r w:rsidR="00E862AC">
        <w:rPr>
          <w:noProof/>
        </w:rPr>
        <w:t>1</w:t>
      </w:r>
      <w:r w:rsidR="00143AAD">
        <w:rPr>
          <w:noProof/>
        </w:rPr>
        <w:fldChar w:fldCharType="end"/>
      </w:r>
      <w:r>
        <w:t>:</w:t>
      </w:r>
      <w:r>
        <w:tab/>
        <w:t>Summary of industry and economic affairs expenses trends</w:t>
      </w:r>
      <w:bookmarkEnd w:id="208"/>
      <w:bookmarkEnd w:id="209"/>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4A76"/>
        <w:tblLook w:val="04A0" w:firstRow="1" w:lastRow="0" w:firstColumn="1" w:lastColumn="0" w:noHBand="0" w:noVBand="1"/>
      </w:tblPr>
      <w:tblGrid>
        <w:gridCol w:w="3243"/>
        <w:gridCol w:w="1701"/>
        <w:gridCol w:w="1559"/>
        <w:gridCol w:w="1969"/>
      </w:tblGrid>
      <w:tr w:rsidR="009C5BAC" w:rsidRPr="009C5BAC" w:rsidTr="00E470DC">
        <w:trPr>
          <w:trHeight w:val="340"/>
        </w:trPr>
        <w:tc>
          <w:tcPr>
            <w:tcW w:w="3243" w:type="dxa"/>
            <w:vMerge w:val="restart"/>
            <w:tcBorders>
              <w:top w:val="single" w:sz="8" w:space="0" w:color="2B3B5F"/>
              <w:left w:val="single" w:sz="8" w:space="0" w:color="2B3B5F"/>
              <w:bottom w:val="single" w:sz="8" w:space="0" w:color="2B3B5F"/>
              <w:right w:val="single" w:sz="8" w:space="0" w:color="2B3B5F"/>
            </w:tcBorders>
            <w:shd w:val="clear" w:color="auto" w:fill="95A4C6"/>
            <w:vAlign w:val="center"/>
          </w:tcPr>
          <w:p w:rsidR="00D665E5" w:rsidRPr="009C5BAC" w:rsidRDefault="00D665E5" w:rsidP="00E470DC">
            <w:pPr>
              <w:pStyle w:val="PBOtext"/>
              <w:spacing w:before="0" w:after="0"/>
              <w:jc w:val="center"/>
              <w:rPr>
                <w:b/>
                <w:sz w:val="18"/>
                <w:szCs w:val="18"/>
              </w:rPr>
            </w:pPr>
            <w:r w:rsidRPr="009C5BAC">
              <w:rPr>
                <w:b/>
                <w:sz w:val="18"/>
                <w:szCs w:val="18"/>
              </w:rPr>
              <w:t>Category</w:t>
            </w:r>
          </w:p>
        </w:tc>
        <w:tc>
          <w:tcPr>
            <w:tcW w:w="1701" w:type="dxa"/>
            <w:vMerge w:val="restart"/>
            <w:tcBorders>
              <w:top w:val="single" w:sz="8" w:space="0" w:color="2B3B5F"/>
              <w:left w:val="single" w:sz="8" w:space="0" w:color="2B3B5F"/>
              <w:bottom w:val="single" w:sz="8" w:space="0" w:color="2B3B5F"/>
              <w:right w:val="single" w:sz="8" w:space="0" w:color="2B3B5F"/>
            </w:tcBorders>
            <w:shd w:val="clear" w:color="auto" w:fill="95A4C6"/>
            <w:vAlign w:val="center"/>
          </w:tcPr>
          <w:p w:rsidR="00D665E5" w:rsidRPr="009C5BAC" w:rsidRDefault="00F37BA6" w:rsidP="00F37BA6">
            <w:pPr>
              <w:pStyle w:val="PBOtext"/>
              <w:spacing w:before="0" w:after="0"/>
              <w:jc w:val="center"/>
              <w:rPr>
                <w:b/>
                <w:sz w:val="18"/>
                <w:szCs w:val="18"/>
              </w:rPr>
            </w:pPr>
            <w:r>
              <w:rPr>
                <w:b/>
                <w:sz w:val="18"/>
                <w:szCs w:val="18"/>
              </w:rPr>
              <w:t>Share of</w:t>
            </w:r>
            <w:r>
              <w:rPr>
                <w:b/>
                <w:sz w:val="18"/>
                <w:szCs w:val="18"/>
              </w:rPr>
              <w:br/>
              <w:t xml:space="preserve">2012-13 </w:t>
            </w:r>
            <w:r w:rsidR="00D665E5" w:rsidRPr="009C5BAC">
              <w:rPr>
                <w:b/>
                <w:sz w:val="18"/>
                <w:szCs w:val="18"/>
              </w:rPr>
              <w:t>tota</w:t>
            </w:r>
            <w:r>
              <w:rPr>
                <w:b/>
                <w:sz w:val="18"/>
                <w:szCs w:val="18"/>
              </w:rPr>
              <w:t>l</w:t>
            </w:r>
          </w:p>
        </w:tc>
        <w:tc>
          <w:tcPr>
            <w:tcW w:w="3528" w:type="dxa"/>
            <w:gridSpan w:val="2"/>
            <w:tcBorders>
              <w:top w:val="single" w:sz="8" w:space="0" w:color="2B3B5F"/>
              <w:left w:val="single" w:sz="8" w:space="0" w:color="2B3B5F"/>
              <w:bottom w:val="single" w:sz="8" w:space="0" w:color="2B3B5F"/>
              <w:right w:val="single" w:sz="8" w:space="0" w:color="2B3B5F"/>
            </w:tcBorders>
            <w:shd w:val="clear" w:color="auto" w:fill="95A4C6"/>
            <w:vAlign w:val="center"/>
          </w:tcPr>
          <w:p w:rsidR="00D665E5" w:rsidRPr="009C5BAC" w:rsidRDefault="00D665E5" w:rsidP="00E470DC">
            <w:pPr>
              <w:pStyle w:val="PBOtext"/>
              <w:spacing w:before="0" w:after="0"/>
              <w:jc w:val="center"/>
              <w:rPr>
                <w:b/>
                <w:sz w:val="18"/>
                <w:szCs w:val="18"/>
              </w:rPr>
            </w:pPr>
            <w:r w:rsidRPr="009C5BAC">
              <w:rPr>
                <w:b/>
                <w:sz w:val="18"/>
                <w:szCs w:val="18"/>
              </w:rPr>
              <w:t>Real spending growth 2002-03 to 2012-13</w:t>
            </w:r>
          </w:p>
        </w:tc>
      </w:tr>
      <w:tr w:rsidR="009C5BAC" w:rsidRPr="009C5BAC" w:rsidTr="00E470DC">
        <w:trPr>
          <w:trHeight w:val="340"/>
        </w:trPr>
        <w:tc>
          <w:tcPr>
            <w:tcW w:w="3243" w:type="dxa"/>
            <w:vMerge/>
            <w:tcBorders>
              <w:top w:val="single" w:sz="8" w:space="0" w:color="2B3B5F"/>
              <w:left w:val="single" w:sz="8" w:space="0" w:color="2B3B5F"/>
              <w:bottom w:val="single" w:sz="8" w:space="0" w:color="2B3B5F"/>
              <w:right w:val="single" w:sz="8" w:space="0" w:color="2B3B5F"/>
            </w:tcBorders>
            <w:shd w:val="clear" w:color="auto" w:fill="95A4C6"/>
            <w:vAlign w:val="center"/>
          </w:tcPr>
          <w:p w:rsidR="00D665E5" w:rsidRPr="009C5BAC" w:rsidRDefault="00D665E5" w:rsidP="00E470DC">
            <w:pPr>
              <w:pStyle w:val="PBOtext"/>
              <w:spacing w:before="0" w:after="0"/>
              <w:jc w:val="center"/>
              <w:rPr>
                <w:b/>
                <w:sz w:val="18"/>
                <w:szCs w:val="18"/>
              </w:rPr>
            </w:pPr>
          </w:p>
        </w:tc>
        <w:tc>
          <w:tcPr>
            <w:tcW w:w="1701" w:type="dxa"/>
            <w:vMerge/>
            <w:tcBorders>
              <w:top w:val="single" w:sz="8" w:space="0" w:color="2B3B5F"/>
              <w:left w:val="single" w:sz="8" w:space="0" w:color="2B3B5F"/>
              <w:bottom w:val="single" w:sz="8" w:space="0" w:color="2B3B5F"/>
              <w:right w:val="single" w:sz="8" w:space="0" w:color="2B3B5F"/>
            </w:tcBorders>
            <w:shd w:val="clear" w:color="auto" w:fill="95A4C6"/>
            <w:vAlign w:val="center"/>
          </w:tcPr>
          <w:p w:rsidR="00D665E5" w:rsidRPr="009C5BAC" w:rsidRDefault="00D665E5" w:rsidP="00E470DC">
            <w:pPr>
              <w:pStyle w:val="PBOtext"/>
              <w:spacing w:before="0" w:after="0"/>
              <w:jc w:val="center"/>
              <w:rPr>
                <w:b/>
                <w:sz w:val="18"/>
                <w:szCs w:val="18"/>
              </w:rPr>
            </w:pPr>
          </w:p>
        </w:tc>
        <w:tc>
          <w:tcPr>
            <w:tcW w:w="1559" w:type="dxa"/>
            <w:tcBorders>
              <w:top w:val="single" w:sz="8" w:space="0" w:color="2B3B5F"/>
              <w:left w:val="single" w:sz="8" w:space="0" w:color="2B3B5F"/>
              <w:bottom w:val="single" w:sz="8" w:space="0" w:color="2B3B5F"/>
              <w:right w:val="single" w:sz="8" w:space="0" w:color="2B3B5F"/>
            </w:tcBorders>
            <w:shd w:val="clear" w:color="auto" w:fill="95A4C6"/>
            <w:vAlign w:val="center"/>
          </w:tcPr>
          <w:p w:rsidR="00D665E5" w:rsidRPr="009C5BAC" w:rsidRDefault="00D665E5" w:rsidP="00E470DC">
            <w:pPr>
              <w:pStyle w:val="PBOtext"/>
              <w:spacing w:before="0" w:after="0"/>
              <w:jc w:val="center"/>
              <w:rPr>
                <w:b/>
                <w:sz w:val="18"/>
                <w:szCs w:val="18"/>
              </w:rPr>
            </w:pPr>
            <w:r w:rsidRPr="009C5BAC">
              <w:rPr>
                <w:b/>
                <w:sz w:val="18"/>
                <w:szCs w:val="18"/>
              </w:rPr>
              <w:t>Annual growth</w:t>
            </w:r>
          </w:p>
        </w:tc>
        <w:tc>
          <w:tcPr>
            <w:tcW w:w="1969" w:type="dxa"/>
            <w:tcBorders>
              <w:top w:val="single" w:sz="8" w:space="0" w:color="2B3B5F"/>
              <w:left w:val="single" w:sz="8" w:space="0" w:color="2B3B5F"/>
              <w:bottom w:val="single" w:sz="8" w:space="0" w:color="2B3B5F"/>
              <w:right w:val="single" w:sz="8" w:space="0" w:color="2B3B5F"/>
            </w:tcBorders>
            <w:shd w:val="clear" w:color="auto" w:fill="95A4C6"/>
            <w:vAlign w:val="center"/>
          </w:tcPr>
          <w:p w:rsidR="00D665E5" w:rsidRPr="009C5BAC" w:rsidRDefault="00D665E5" w:rsidP="00E470DC">
            <w:pPr>
              <w:pStyle w:val="PBOtext"/>
              <w:spacing w:before="0" w:after="0"/>
              <w:jc w:val="center"/>
              <w:rPr>
                <w:b/>
                <w:sz w:val="18"/>
                <w:szCs w:val="18"/>
              </w:rPr>
            </w:pPr>
            <w:r w:rsidRPr="009C5BAC">
              <w:rPr>
                <w:b/>
                <w:sz w:val="18"/>
                <w:szCs w:val="18"/>
              </w:rPr>
              <w:t>Contribution to</w:t>
            </w:r>
            <w:r w:rsidRPr="009C5BAC">
              <w:rPr>
                <w:b/>
                <w:sz w:val="18"/>
                <w:szCs w:val="18"/>
              </w:rPr>
              <w:br/>
              <w:t>total growth</w:t>
            </w:r>
          </w:p>
        </w:tc>
      </w:tr>
      <w:tr w:rsidR="00D665E5" w:rsidRPr="00C85543" w:rsidTr="00E470DC">
        <w:trPr>
          <w:trHeight w:val="340"/>
        </w:trPr>
        <w:tc>
          <w:tcPr>
            <w:tcW w:w="3243" w:type="dxa"/>
            <w:tcBorders>
              <w:top w:val="single" w:sz="8" w:space="0" w:color="2B3B5F"/>
              <w:left w:val="single" w:sz="8" w:space="0" w:color="2B3B5F"/>
              <w:bottom w:val="single" w:sz="8" w:space="0" w:color="2B3B5F"/>
              <w:right w:val="single" w:sz="8" w:space="0" w:color="2B3B5F"/>
            </w:tcBorders>
            <w:shd w:val="clear" w:color="auto" w:fill="D7DDE9"/>
            <w:vAlign w:val="center"/>
          </w:tcPr>
          <w:p w:rsidR="00D665E5" w:rsidRPr="00C85543" w:rsidRDefault="00D665E5" w:rsidP="00E470DC">
            <w:pPr>
              <w:spacing w:before="0" w:after="0"/>
              <w:ind w:left="57"/>
              <w:rPr>
                <w:rFonts w:asciiTheme="minorHAnsi" w:eastAsia="Times New Roman" w:hAnsiTheme="minorHAnsi"/>
                <w:b/>
                <w:color w:val="000000"/>
                <w:sz w:val="18"/>
                <w:szCs w:val="18"/>
              </w:rPr>
            </w:pPr>
            <w:r w:rsidRPr="00C85543">
              <w:rPr>
                <w:rFonts w:asciiTheme="minorHAnsi" w:eastAsia="Times New Roman" w:hAnsiTheme="minorHAnsi"/>
                <w:b/>
                <w:color w:val="000000"/>
                <w:sz w:val="18"/>
                <w:szCs w:val="18"/>
              </w:rPr>
              <w:t>Unit</w:t>
            </w:r>
          </w:p>
        </w:tc>
        <w:tc>
          <w:tcPr>
            <w:tcW w:w="1701" w:type="dxa"/>
            <w:tcBorders>
              <w:top w:val="single" w:sz="8" w:space="0" w:color="2B3B5F"/>
              <w:left w:val="single" w:sz="8" w:space="0" w:color="2B3B5F"/>
              <w:bottom w:val="single" w:sz="8" w:space="0" w:color="2B3B5F"/>
              <w:right w:val="single" w:sz="8" w:space="0" w:color="2B3B5F"/>
            </w:tcBorders>
            <w:shd w:val="clear" w:color="auto" w:fill="D7DDE9"/>
            <w:vAlign w:val="center"/>
          </w:tcPr>
          <w:p w:rsidR="00D665E5" w:rsidRPr="00C85543" w:rsidRDefault="00D665E5" w:rsidP="00E470DC">
            <w:pPr>
              <w:spacing w:before="0" w:after="0"/>
              <w:ind w:right="227"/>
              <w:jc w:val="right"/>
              <w:rPr>
                <w:rFonts w:asciiTheme="minorHAnsi" w:eastAsia="Times New Roman" w:hAnsiTheme="minorHAnsi"/>
                <w:b/>
                <w:color w:val="000000"/>
                <w:sz w:val="18"/>
                <w:szCs w:val="18"/>
              </w:rPr>
            </w:pPr>
            <w:r w:rsidRPr="00C85543">
              <w:rPr>
                <w:rFonts w:asciiTheme="minorHAnsi" w:eastAsia="Times New Roman" w:hAnsiTheme="minorHAnsi"/>
                <w:b/>
                <w:color w:val="000000"/>
                <w:sz w:val="18"/>
                <w:szCs w:val="18"/>
              </w:rPr>
              <w:t>%</w:t>
            </w:r>
          </w:p>
        </w:tc>
        <w:tc>
          <w:tcPr>
            <w:tcW w:w="1559" w:type="dxa"/>
            <w:tcBorders>
              <w:top w:val="single" w:sz="8" w:space="0" w:color="2B3B5F"/>
              <w:left w:val="single" w:sz="8" w:space="0" w:color="2B3B5F"/>
              <w:bottom w:val="single" w:sz="8" w:space="0" w:color="2B3B5F"/>
              <w:right w:val="single" w:sz="8" w:space="0" w:color="2B3B5F"/>
            </w:tcBorders>
            <w:shd w:val="clear" w:color="auto" w:fill="D7DDE9"/>
            <w:vAlign w:val="center"/>
          </w:tcPr>
          <w:p w:rsidR="00D665E5" w:rsidRPr="00C85543" w:rsidRDefault="00D665E5" w:rsidP="00E470DC">
            <w:pPr>
              <w:spacing w:before="0" w:after="0"/>
              <w:ind w:right="227"/>
              <w:jc w:val="right"/>
              <w:rPr>
                <w:rFonts w:asciiTheme="minorHAnsi" w:eastAsia="Times New Roman" w:hAnsiTheme="minorHAnsi"/>
                <w:b/>
                <w:color w:val="000000"/>
                <w:sz w:val="18"/>
                <w:szCs w:val="18"/>
              </w:rPr>
            </w:pPr>
            <w:r w:rsidRPr="00C85543">
              <w:rPr>
                <w:rFonts w:asciiTheme="minorHAnsi" w:eastAsia="Times New Roman" w:hAnsiTheme="minorHAnsi"/>
                <w:b/>
                <w:color w:val="000000"/>
                <w:sz w:val="18"/>
                <w:szCs w:val="18"/>
              </w:rPr>
              <w:t>%</w:t>
            </w:r>
          </w:p>
        </w:tc>
        <w:tc>
          <w:tcPr>
            <w:tcW w:w="1969" w:type="dxa"/>
            <w:tcBorders>
              <w:top w:val="single" w:sz="8" w:space="0" w:color="2B3B5F"/>
              <w:left w:val="single" w:sz="8" w:space="0" w:color="2B3B5F"/>
              <w:bottom w:val="single" w:sz="8" w:space="0" w:color="2B3B5F"/>
              <w:right w:val="single" w:sz="8" w:space="0" w:color="2B3B5F"/>
            </w:tcBorders>
            <w:shd w:val="clear" w:color="auto" w:fill="D7DDE9"/>
            <w:vAlign w:val="center"/>
          </w:tcPr>
          <w:p w:rsidR="00D665E5" w:rsidRPr="00C85543" w:rsidRDefault="00D665E5" w:rsidP="00E470DC">
            <w:pPr>
              <w:spacing w:before="0" w:after="0"/>
              <w:ind w:right="227"/>
              <w:jc w:val="right"/>
              <w:rPr>
                <w:rFonts w:asciiTheme="minorHAnsi" w:eastAsia="Times New Roman" w:hAnsiTheme="minorHAnsi"/>
                <w:b/>
                <w:color w:val="000000"/>
                <w:sz w:val="18"/>
                <w:szCs w:val="18"/>
              </w:rPr>
            </w:pPr>
            <w:r w:rsidRPr="00C85543">
              <w:rPr>
                <w:rFonts w:asciiTheme="minorHAnsi" w:eastAsia="Times New Roman" w:hAnsiTheme="minorHAnsi"/>
                <w:b/>
                <w:color w:val="000000"/>
                <w:sz w:val="18"/>
                <w:szCs w:val="18"/>
              </w:rPr>
              <w:t>percentage points</w:t>
            </w:r>
          </w:p>
        </w:tc>
      </w:tr>
      <w:tr w:rsidR="009C5BAC" w:rsidRPr="0030784E" w:rsidTr="00E470DC">
        <w:trPr>
          <w:trHeight w:val="340"/>
        </w:trPr>
        <w:tc>
          <w:tcPr>
            <w:tcW w:w="3243" w:type="dxa"/>
            <w:tcBorders>
              <w:top w:val="single" w:sz="8" w:space="0" w:color="2B3B5F"/>
              <w:left w:val="single" w:sz="8" w:space="0" w:color="2B3B5F"/>
              <w:right w:val="single" w:sz="8" w:space="0" w:color="2B3B5F"/>
            </w:tcBorders>
            <w:shd w:val="clear" w:color="auto" w:fill="auto"/>
            <w:vAlign w:val="center"/>
          </w:tcPr>
          <w:p w:rsidR="009C5BAC" w:rsidRPr="009C5BAC" w:rsidRDefault="009C5BAC" w:rsidP="00E470DC">
            <w:pPr>
              <w:spacing w:before="0" w:after="0"/>
              <w:ind w:left="57"/>
              <w:rPr>
                <w:color w:val="000000"/>
                <w:sz w:val="18"/>
                <w:szCs w:val="18"/>
              </w:rPr>
            </w:pPr>
            <w:r w:rsidRPr="009C5BAC">
              <w:rPr>
                <w:color w:val="000000"/>
                <w:sz w:val="18"/>
                <w:szCs w:val="18"/>
              </w:rPr>
              <w:t>Fuel and energy</w:t>
            </w:r>
          </w:p>
        </w:tc>
        <w:tc>
          <w:tcPr>
            <w:tcW w:w="1701" w:type="dxa"/>
            <w:tcBorders>
              <w:top w:val="single" w:sz="8" w:space="0" w:color="2B3B5F"/>
              <w:left w:val="single" w:sz="8" w:space="0" w:color="2B3B5F"/>
              <w:right w:val="single" w:sz="8" w:space="0" w:color="2B3B5F"/>
            </w:tcBorders>
            <w:shd w:val="clear" w:color="auto" w:fill="auto"/>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27.2</w:t>
            </w:r>
          </w:p>
        </w:tc>
        <w:tc>
          <w:tcPr>
            <w:tcW w:w="1559" w:type="dxa"/>
            <w:tcBorders>
              <w:top w:val="single" w:sz="8" w:space="0" w:color="2B3B5F"/>
              <w:left w:val="single" w:sz="8" w:space="0" w:color="2B3B5F"/>
              <w:right w:val="single" w:sz="8" w:space="0" w:color="2B3B5F"/>
            </w:tcBorders>
            <w:shd w:val="clear" w:color="auto" w:fill="auto"/>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2.1</w:t>
            </w:r>
          </w:p>
        </w:tc>
        <w:tc>
          <w:tcPr>
            <w:tcW w:w="1969" w:type="dxa"/>
            <w:tcBorders>
              <w:top w:val="single" w:sz="8" w:space="0" w:color="2B3B5F"/>
              <w:left w:val="single" w:sz="8" w:space="0" w:color="2B3B5F"/>
              <w:right w:val="single" w:sz="8" w:space="0" w:color="2B3B5F"/>
            </w:tcBorders>
            <w:shd w:val="clear" w:color="auto" w:fill="auto"/>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7.6</w:t>
            </w:r>
          </w:p>
        </w:tc>
      </w:tr>
      <w:tr w:rsidR="009C5BAC" w:rsidRPr="0030784E" w:rsidTr="00E470DC">
        <w:trPr>
          <w:trHeight w:val="340"/>
        </w:trPr>
        <w:tc>
          <w:tcPr>
            <w:tcW w:w="3243" w:type="dxa"/>
            <w:tcBorders>
              <w:left w:val="single" w:sz="8" w:space="0" w:color="2B3B5F"/>
              <w:right w:val="single" w:sz="8" w:space="0" w:color="2B3B5F"/>
            </w:tcBorders>
            <w:shd w:val="clear" w:color="auto" w:fill="D7DDE9"/>
            <w:vAlign w:val="center"/>
          </w:tcPr>
          <w:p w:rsidR="009C5BAC" w:rsidRPr="009C5BAC" w:rsidRDefault="009C5BAC" w:rsidP="00E470DC">
            <w:pPr>
              <w:spacing w:before="0" w:after="0"/>
              <w:ind w:left="57"/>
              <w:rPr>
                <w:color w:val="000000"/>
                <w:sz w:val="18"/>
                <w:szCs w:val="18"/>
              </w:rPr>
            </w:pPr>
            <w:r w:rsidRPr="009C5BAC">
              <w:rPr>
                <w:color w:val="000000"/>
                <w:sz w:val="18"/>
                <w:szCs w:val="18"/>
              </w:rPr>
              <w:t>Labour and employment affairs</w:t>
            </w:r>
          </w:p>
        </w:tc>
        <w:tc>
          <w:tcPr>
            <w:tcW w:w="1701" w:type="dxa"/>
            <w:tcBorders>
              <w:left w:val="single" w:sz="8" w:space="0" w:color="2B3B5F"/>
              <w:right w:val="single" w:sz="8" w:space="0" w:color="2B3B5F"/>
            </w:tcBorders>
            <w:shd w:val="clear" w:color="auto" w:fill="D7DDE9"/>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19.0</w:t>
            </w:r>
          </w:p>
        </w:tc>
        <w:tc>
          <w:tcPr>
            <w:tcW w:w="1559" w:type="dxa"/>
            <w:tcBorders>
              <w:left w:val="single" w:sz="8" w:space="0" w:color="2B3B5F"/>
              <w:right w:val="single" w:sz="8" w:space="0" w:color="2B3B5F"/>
            </w:tcBorders>
            <w:shd w:val="clear" w:color="auto" w:fill="D7DDE9"/>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3.3</w:t>
            </w:r>
          </w:p>
        </w:tc>
        <w:tc>
          <w:tcPr>
            <w:tcW w:w="1969" w:type="dxa"/>
            <w:tcBorders>
              <w:left w:val="single" w:sz="8" w:space="0" w:color="2B3B5F"/>
              <w:right w:val="single" w:sz="8" w:space="0" w:color="2B3B5F"/>
            </w:tcBorders>
            <w:shd w:val="clear" w:color="auto" w:fill="D7DDE9"/>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7.9</w:t>
            </w:r>
          </w:p>
        </w:tc>
      </w:tr>
      <w:tr w:rsidR="009C5BAC" w:rsidRPr="0030784E" w:rsidTr="00E470DC">
        <w:trPr>
          <w:trHeight w:val="340"/>
        </w:trPr>
        <w:tc>
          <w:tcPr>
            <w:tcW w:w="3243" w:type="dxa"/>
            <w:tcBorders>
              <w:left w:val="single" w:sz="8" w:space="0" w:color="2B3B5F"/>
              <w:right w:val="single" w:sz="8" w:space="0" w:color="2B3B5F"/>
            </w:tcBorders>
            <w:shd w:val="clear" w:color="auto" w:fill="auto"/>
            <w:vAlign w:val="center"/>
          </w:tcPr>
          <w:p w:rsidR="009C5BAC" w:rsidRPr="009C5BAC" w:rsidRDefault="009C5BAC" w:rsidP="00E470DC">
            <w:pPr>
              <w:spacing w:before="0" w:after="0"/>
              <w:ind w:left="57"/>
              <w:rPr>
                <w:color w:val="000000"/>
                <w:sz w:val="18"/>
                <w:szCs w:val="18"/>
              </w:rPr>
            </w:pPr>
            <w:r w:rsidRPr="009C5BAC">
              <w:rPr>
                <w:color w:val="000000"/>
                <w:sz w:val="18"/>
                <w:szCs w:val="18"/>
              </w:rPr>
              <w:t>Immigration</w:t>
            </w:r>
          </w:p>
        </w:tc>
        <w:tc>
          <w:tcPr>
            <w:tcW w:w="1701" w:type="dxa"/>
            <w:tcBorders>
              <w:left w:val="single" w:sz="8" w:space="0" w:color="2B3B5F"/>
              <w:right w:val="single" w:sz="8" w:space="0" w:color="2B3B5F"/>
            </w:tcBorders>
            <w:shd w:val="clear" w:color="auto" w:fill="auto"/>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16.1</w:t>
            </w:r>
          </w:p>
        </w:tc>
        <w:tc>
          <w:tcPr>
            <w:tcW w:w="1559" w:type="dxa"/>
            <w:tcBorders>
              <w:left w:val="single" w:sz="8" w:space="0" w:color="2B3B5F"/>
              <w:right w:val="single" w:sz="8" w:space="0" w:color="2B3B5F"/>
            </w:tcBorders>
            <w:shd w:val="clear" w:color="auto" w:fill="auto"/>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14.3</w:t>
            </w:r>
          </w:p>
        </w:tc>
        <w:tc>
          <w:tcPr>
            <w:tcW w:w="1969" w:type="dxa"/>
            <w:tcBorders>
              <w:left w:val="single" w:sz="8" w:space="0" w:color="2B3B5F"/>
              <w:right w:val="single" w:sz="8" w:space="0" w:color="2B3B5F"/>
            </w:tcBorders>
            <w:shd w:val="clear" w:color="auto" w:fill="auto"/>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18.1</w:t>
            </w:r>
          </w:p>
        </w:tc>
      </w:tr>
      <w:tr w:rsidR="009C5BAC" w:rsidRPr="0030784E" w:rsidTr="00E470DC">
        <w:trPr>
          <w:trHeight w:val="340"/>
        </w:trPr>
        <w:tc>
          <w:tcPr>
            <w:tcW w:w="3243" w:type="dxa"/>
            <w:tcBorders>
              <w:left w:val="single" w:sz="8" w:space="0" w:color="2B3B5F"/>
              <w:right w:val="single" w:sz="8" w:space="0" w:color="2B3B5F"/>
            </w:tcBorders>
            <w:shd w:val="clear" w:color="auto" w:fill="D7DDE9"/>
            <w:vAlign w:val="center"/>
          </w:tcPr>
          <w:p w:rsidR="009C5BAC" w:rsidRPr="009C5BAC" w:rsidRDefault="009C5BAC" w:rsidP="00E470DC">
            <w:pPr>
              <w:spacing w:before="0" w:after="0"/>
              <w:ind w:left="57"/>
              <w:rPr>
                <w:color w:val="000000"/>
                <w:sz w:val="18"/>
                <w:szCs w:val="18"/>
              </w:rPr>
            </w:pPr>
            <w:r w:rsidRPr="00F069DD">
              <w:rPr>
                <w:color w:val="000000"/>
                <w:sz w:val="18"/>
                <w:szCs w:val="18"/>
              </w:rPr>
              <w:t>Other</w:t>
            </w:r>
            <w:r w:rsidR="00471192" w:rsidRPr="00F069DD">
              <w:rPr>
                <w:color w:val="000000"/>
                <w:sz w:val="18"/>
                <w:szCs w:val="18"/>
              </w:rPr>
              <w:t xml:space="preserve"> economic affairs</w:t>
            </w:r>
          </w:p>
        </w:tc>
        <w:tc>
          <w:tcPr>
            <w:tcW w:w="1701" w:type="dxa"/>
            <w:tcBorders>
              <w:left w:val="single" w:sz="8" w:space="0" w:color="2B3B5F"/>
              <w:right w:val="single" w:sz="8" w:space="0" w:color="2B3B5F"/>
            </w:tcBorders>
            <w:shd w:val="clear" w:color="auto" w:fill="D7DDE9"/>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13.4</w:t>
            </w:r>
          </w:p>
        </w:tc>
        <w:tc>
          <w:tcPr>
            <w:tcW w:w="1559" w:type="dxa"/>
            <w:tcBorders>
              <w:left w:val="single" w:sz="8" w:space="0" w:color="2B3B5F"/>
              <w:right w:val="single" w:sz="8" w:space="0" w:color="2B3B5F"/>
            </w:tcBorders>
            <w:shd w:val="clear" w:color="auto" w:fill="D7DDE9"/>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5.7</w:t>
            </w:r>
          </w:p>
        </w:tc>
        <w:tc>
          <w:tcPr>
            <w:tcW w:w="1969" w:type="dxa"/>
            <w:tcBorders>
              <w:left w:val="single" w:sz="8" w:space="0" w:color="2B3B5F"/>
              <w:right w:val="single" w:sz="8" w:space="0" w:color="2B3B5F"/>
            </w:tcBorders>
            <w:shd w:val="clear" w:color="auto" w:fill="D7DDE9"/>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8.7</w:t>
            </w:r>
          </w:p>
        </w:tc>
      </w:tr>
      <w:tr w:rsidR="009C5BAC" w:rsidRPr="0030784E" w:rsidTr="00E470DC">
        <w:trPr>
          <w:trHeight w:val="340"/>
        </w:trPr>
        <w:tc>
          <w:tcPr>
            <w:tcW w:w="3243" w:type="dxa"/>
            <w:tcBorders>
              <w:left w:val="single" w:sz="8" w:space="0" w:color="2B3B5F"/>
              <w:right w:val="single" w:sz="8" w:space="0" w:color="2B3B5F"/>
            </w:tcBorders>
            <w:shd w:val="clear" w:color="auto" w:fill="auto"/>
            <w:vAlign w:val="center"/>
          </w:tcPr>
          <w:p w:rsidR="009C5BAC" w:rsidRPr="009C5BAC" w:rsidRDefault="009C5BAC" w:rsidP="00E470DC">
            <w:pPr>
              <w:spacing w:before="0" w:after="0"/>
              <w:ind w:left="57"/>
              <w:rPr>
                <w:color w:val="000000"/>
                <w:sz w:val="18"/>
                <w:szCs w:val="18"/>
              </w:rPr>
            </w:pPr>
            <w:r w:rsidRPr="009C5BAC">
              <w:rPr>
                <w:color w:val="000000"/>
                <w:sz w:val="18"/>
                <w:szCs w:val="18"/>
              </w:rPr>
              <w:t>Mining, manufacturing and construction</w:t>
            </w:r>
          </w:p>
        </w:tc>
        <w:tc>
          <w:tcPr>
            <w:tcW w:w="1701" w:type="dxa"/>
            <w:tcBorders>
              <w:left w:val="single" w:sz="8" w:space="0" w:color="2B3B5F"/>
              <w:right w:val="single" w:sz="8" w:space="0" w:color="2B3B5F"/>
            </w:tcBorders>
            <w:shd w:val="clear" w:color="auto" w:fill="auto"/>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13.3</w:t>
            </w:r>
          </w:p>
        </w:tc>
        <w:tc>
          <w:tcPr>
            <w:tcW w:w="1559" w:type="dxa"/>
            <w:tcBorders>
              <w:left w:val="single" w:sz="8" w:space="0" w:color="2B3B5F"/>
              <w:right w:val="single" w:sz="8" w:space="0" w:color="2B3B5F"/>
            </w:tcBorders>
            <w:shd w:val="clear" w:color="auto" w:fill="auto"/>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6.7</w:t>
            </w:r>
          </w:p>
        </w:tc>
        <w:tc>
          <w:tcPr>
            <w:tcW w:w="1969" w:type="dxa"/>
            <w:tcBorders>
              <w:left w:val="single" w:sz="8" w:space="0" w:color="2B3B5F"/>
              <w:right w:val="single" w:sz="8" w:space="0" w:color="2B3B5F"/>
            </w:tcBorders>
            <w:shd w:val="clear" w:color="auto" w:fill="auto"/>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9.6</w:t>
            </w:r>
          </w:p>
        </w:tc>
      </w:tr>
      <w:tr w:rsidR="009C5BAC" w:rsidRPr="0030784E" w:rsidTr="00E470DC">
        <w:trPr>
          <w:trHeight w:val="340"/>
        </w:trPr>
        <w:tc>
          <w:tcPr>
            <w:tcW w:w="3243" w:type="dxa"/>
            <w:tcBorders>
              <w:left w:val="single" w:sz="8" w:space="0" w:color="2B3B5F"/>
              <w:right w:val="single" w:sz="8" w:space="0" w:color="2B3B5F"/>
            </w:tcBorders>
            <w:shd w:val="clear" w:color="auto" w:fill="D7DDE9"/>
            <w:vAlign w:val="center"/>
          </w:tcPr>
          <w:p w:rsidR="009C5BAC" w:rsidRPr="009C5BAC" w:rsidRDefault="009C5BAC" w:rsidP="00E470DC">
            <w:pPr>
              <w:spacing w:before="0" w:after="0"/>
              <w:ind w:left="57"/>
              <w:rPr>
                <w:color w:val="000000"/>
                <w:sz w:val="18"/>
                <w:szCs w:val="18"/>
              </w:rPr>
            </w:pPr>
            <w:r w:rsidRPr="009C5BAC">
              <w:rPr>
                <w:color w:val="000000"/>
                <w:sz w:val="18"/>
                <w:szCs w:val="18"/>
              </w:rPr>
              <w:t>Agriculture, forestry and fishing</w:t>
            </w:r>
          </w:p>
        </w:tc>
        <w:tc>
          <w:tcPr>
            <w:tcW w:w="1701" w:type="dxa"/>
            <w:tcBorders>
              <w:left w:val="single" w:sz="8" w:space="0" w:color="2B3B5F"/>
              <w:right w:val="single" w:sz="8" w:space="0" w:color="2B3B5F"/>
            </w:tcBorders>
            <w:shd w:val="clear" w:color="auto" w:fill="D7DDE9"/>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11.0</w:t>
            </w:r>
          </w:p>
        </w:tc>
        <w:tc>
          <w:tcPr>
            <w:tcW w:w="1559" w:type="dxa"/>
            <w:tcBorders>
              <w:left w:val="single" w:sz="8" w:space="0" w:color="2B3B5F"/>
              <w:right w:val="single" w:sz="8" w:space="0" w:color="2B3B5F"/>
            </w:tcBorders>
            <w:shd w:val="clear" w:color="auto" w:fill="D7DDE9"/>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-0.1</w:t>
            </w:r>
          </w:p>
        </w:tc>
        <w:tc>
          <w:tcPr>
            <w:tcW w:w="1969" w:type="dxa"/>
            <w:tcBorders>
              <w:left w:val="single" w:sz="8" w:space="0" w:color="2B3B5F"/>
              <w:right w:val="single" w:sz="8" w:space="0" w:color="2B3B5F"/>
            </w:tcBorders>
            <w:shd w:val="clear" w:color="auto" w:fill="D7DDE9"/>
            <w:vAlign w:val="center"/>
          </w:tcPr>
          <w:p w:rsidR="009C5BAC" w:rsidRPr="009C5BAC" w:rsidRDefault="009C5BAC" w:rsidP="00E470DC">
            <w:pPr>
              <w:spacing w:before="0" w:after="0"/>
              <w:ind w:right="227"/>
              <w:jc w:val="right"/>
              <w:rPr>
                <w:color w:val="000000"/>
                <w:sz w:val="18"/>
                <w:szCs w:val="18"/>
              </w:rPr>
            </w:pPr>
            <w:r w:rsidRPr="009C5BAC">
              <w:rPr>
                <w:color w:val="000000"/>
                <w:sz w:val="18"/>
                <w:szCs w:val="18"/>
              </w:rPr>
              <w:t>-0.1</w:t>
            </w:r>
          </w:p>
        </w:tc>
      </w:tr>
      <w:tr w:rsidR="009C5BAC" w:rsidRPr="009C5BAC" w:rsidTr="00E470DC">
        <w:trPr>
          <w:trHeight w:val="340"/>
        </w:trPr>
        <w:tc>
          <w:tcPr>
            <w:tcW w:w="3243" w:type="dxa"/>
            <w:tcBorders>
              <w:left w:val="single" w:sz="8" w:space="0" w:color="2B3B5F"/>
              <w:bottom w:val="single" w:sz="8" w:space="0" w:color="2B3B5F"/>
              <w:right w:val="single" w:sz="8" w:space="0" w:color="2B3B5F"/>
            </w:tcBorders>
            <w:shd w:val="clear" w:color="auto" w:fill="auto"/>
            <w:vAlign w:val="center"/>
          </w:tcPr>
          <w:p w:rsidR="009C5BAC" w:rsidRPr="009C5BAC" w:rsidRDefault="009C5BAC" w:rsidP="00E470DC">
            <w:pPr>
              <w:spacing w:before="0" w:after="0"/>
              <w:ind w:left="57"/>
              <w:rPr>
                <w:b/>
                <w:color w:val="000000"/>
                <w:sz w:val="18"/>
                <w:szCs w:val="18"/>
              </w:rPr>
            </w:pPr>
            <w:r w:rsidRPr="009C5BAC">
              <w:rPr>
                <w:b/>
                <w:color w:val="000000"/>
                <w:sz w:val="18"/>
                <w:szCs w:val="18"/>
              </w:rPr>
              <w:t>Total</w:t>
            </w:r>
          </w:p>
        </w:tc>
        <w:tc>
          <w:tcPr>
            <w:tcW w:w="1701" w:type="dxa"/>
            <w:tcBorders>
              <w:left w:val="single" w:sz="8" w:space="0" w:color="2B3B5F"/>
              <w:bottom w:val="single" w:sz="8" w:space="0" w:color="2B3B5F"/>
              <w:right w:val="single" w:sz="8" w:space="0" w:color="2B3B5F"/>
            </w:tcBorders>
            <w:shd w:val="clear" w:color="auto" w:fill="auto"/>
            <w:vAlign w:val="center"/>
          </w:tcPr>
          <w:p w:rsidR="009C5BAC" w:rsidRPr="009C5BAC" w:rsidRDefault="009C5BAC" w:rsidP="00E470DC">
            <w:pPr>
              <w:spacing w:before="0" w:after="0"/>
              <w:ind w:right="227"/>
              <w:jc w:val="right"/>
              <w:rPr>
                <w:b/>
                <w:color w:val="000000"/>
                <w:sz w:val="18"/>
                <w:szCs w:val="18"/>
              </w:rPr>
            </w:pPr>
            <w:r w:rsidRPr="009C5BAC">
              <w:rPr>
                <w:b/>
                <w:color w:val="000000"/>
                <w:sz w:val="18"/>
                <w:szCs w:val="18"/>
              </w:rPr>
              <w:t>100.0</w:t>
            </w:r>
          </w:p>
        </w:tc>
        <w:tc>
          <w:tcPr>
            <w:tcW w:w="1559" w:type="dxa"/>
            <w:tcBorders>
              <w:left w:val="single" w:sz="8" w:space="0" w:color="2B3B5F"/>
              <w:bottom w:val="single" w:sz="8" w:space="0" w:color="2B3B5F"/>
              <w:right w:val="single" w:sz="8" w:space="0" w:color="2B3B5F"/>
            </w:tcBorders>
            <w:shd w:val="clear" w:color="auto" w:fill="auto"/>
            <w:vAlign w:val="center"/>
          </w:tcPr>
          <w:p w:rsidR="009C5BAC" w:rsidRPr="009C5BAC" w:rsidRDefault="009C5BAC" w:rsidP="00E470DC">
            <w:pPr>
              <w:spacing w:before="0" w:after="0"/>
              <w:ind w:right="227"/>
              <w:jc w:val="right"/>
              <w:rPr>
                <w:b/>
                <w:color w:val="000000"/>
                <w:sz w:val="18"/>
                <w:szCs w:val="18"/>
              </w:rPr>
            </w:pPr>
            <w:r w:rsidRPr="009C5BAC">
              <w:rPr>
                <w:b/>
                <w:color w:val="000000"/>
                <w:sz w:val="18"/>
                <w:szCs w:val="18"/>
              </w:rPr>
              <w:t>4.3</w:t>
            </w:r>
          </w:p>
        </w:tc>
        <w:tc>
          <w:tcPr>
            <w:tcW w:w="1969" w:type="dxa"/>
            <w:tcBorders>
              <w:left w:val="single" w:sz="8" w:space="0" w:color="2B3B5F"/>
              <w:bottom w:val="single" w:sz="8" w:space="0" w:color="2B3B5F"/>
              <w:right w:val="single" w:sz="8" w:space="0" w:color="2B3B5F"/>
            </w:tcBorders>
            <w:shd w:val="clear" w:color="auto" w:fill="auto"/>
            <w:vAlign w:val="center"/>
          </w:tcPr>
          <w:p w:rsidR="009C5BAC" w:rsidRPr="009C5BAC" w:rsidRDefault="009C5BAC" w:rsidP="00E470DC">
            <w:pPr>
              <w:spacing w:before="0" w:after="0"/>
              <w:ind w:right="227"/>
              <w:jc w:val="right"/>
              <w:rPr>
                <w:b/>
                <w:color w:val="000000"/>
                <w:sz w:val="18"/>
                <w:szCs w:val="18"/>
              </w:rPr>
            </w:pPr>
            <w:r w:rsidRPr="009C5BAC">
              <w:rPr>
                <w:b/>
                <w:color w:val="000000"/>
                <w:sz w:val="18"/>
                <w:szCs w:val="18"/>
              </w:rPr>
              <w:t>51.8</w:t>
            </w:r>
          </w:p>
        </w:tc>
      </w:tr>
    </w:tbl>
    <w:p w:rsidR="00D665E5" w:rsidRDefault="00D665E5" w:rsidP="00D665E5">
      <w:pPr>
        <w:pStyle w:val="PBOtext"/>
        <w:rPr>
          <w:b/>
          <w:color w:val="264A76"/>
          <w:sz w:val="22"/>
          <w:szCs w:val="24"/>
          <w:lang w:eastAsia="en-US"/>
        </w:rPr>
      </w:pPr>
      <w:r>
        <w:br w:type="page"/>
      </w:r>
    </w:p>
    <w:p w:rsidR="00D665E5" w:rsidRDefault="00D665E5" w:rsidP="00D665E5">
      <w:pPr>
        <w:pStyle w:val="Heading30"/>
      </w:pPr>
      <w:r>
        <w:lastRenderedPageBreak/>
        <w:t>Contribution from immigration</w:t>
      </w:r>
    </w:p>
    <w:p w:rsidR="00D665E5" w:rsidRPr="00471192" w:rsidRDefault="00D665E5" w:rsidP="00D665E5">
      <w:r w:rsidRPr="00DF3A95">
        <w:t xml:space="preserve">Immigration </w:t>
      </w:r>
      <w:r>
        <w:t>made the largest contribution to growth in industry and economic affai</w:t>
      </w:r>
      <w:r w:rsidR="00FA315A">
        <w:t xml:space="preserve">rs expenses, </w:t>
      </w:r>
      <w:r w:rsidR="00FA315A" w:rsidRPr="00471192">
        <w:t>accounting for 18.1</w:t>
      </w:r>
      <w:r w:rsidRPr="00471192">
        <w:t> percentage points, or a third of total growth in this function.</w:t>
      </w:r>
    </w:p>
    <w:p w:rsidR="00D665E5" w:rsidRDefault="00D665E5" w:rsidP="00D665E5">
      <w:pPr>
        <w:pStyle w:val="PBOtext"/>
      </w:pPr>
      <w:r w:rsidRPr="00471192">
        <w:t>The growth in immigration spending was 14.3</w:t>
      </w:r>
      <w:r w:rsidR="0071067C">
        <w:t> </w:t>
      </w:r>
      <w:r w:rsidRPr="00471192">
        <w:t>per</w:t>
      </w:r>
      <w:r w:rsidR="0071067C">
        <w:t> </w:t>
      </w:r>
      <w:r w:rsidRPr="00471192">
        <w:t>cent annually over the period but significant growth, largely from 2009</w:t>
      </w:r>
      <w:r w:rsidR="005969AC" w:rsidRPr="006B456E">
        <w:noBreakHyphen/>
      </w:r>
      <w:r w:rsidRPr="00471192">
        <w:t xml:space="preserve">10 onwards, was driven primarily by costs associated with increased irregular maritime arrivals. </w:t>
      </w:r>
      <w:r w:rsidR="005969AC">
        <w:t>In 2010</w:t>
      </w:r>
      <w:r w:rsidR="005969AC" w:rsidRPr="006B456E">
        <w:noBreakHyphen/>
      </w:r>
      <w:r w:rsidR="00DB63C6" w:rsidRPr="00471192">
        <w:t xml:space="preserve">11, irregular maritime arrivals </w:t>
      </w:r>
      <w:r w:rsidR="00DD7157">
        <w:t xml:space="preserve">held </w:t>
      </w:r>
      <w:r w:rsidR="00DB63C6" w:rsidRPr="00471192">
        <w:t>in immigration detention increased by 41 per cent on the previous year</w:t>
      </w:r>
      <w:r w:rsidR="00DD7157">
        <w:t>.</w:t>
      </w:r>
      <w:r w:rsidR="00DB63C6" w:rsidRPr="00471192">
        <w:t xml:space="preserve"> </w:t>
      </w:r>
      <w:proofErr w:type="gramStart"/>
      <w:r w:rsidR="00DB63C6" w:rsidRPr="00471192">
        <w:t>the</w:t>
      </w:r>
      <w:proofErr w:type="gramEnd"/>
      <w:r w:rsidR="00DB63C6" w:rsidRPr="00471192">
        <w:t xml:space="preserve"> total number of people in immigration detention increased by 34 per cent. </w:t>
      </w:r>
      <w:r w:rsidRPr="00471192">
        <w:t xml:space="preserve"> To accommodate this large increase, new transit accommodation, new detention centres and expansions and upgrades to existing facil</w:t>
      </w:r>
      <w:r w:rsidR="005969AC">
        <w:t>ities were commissioned in 2010</w:t>
      </w:r>
      <w:r w:rsidR="005969AC" w:rsidRPr="006B456E">
        <w:noBreakHyphen/>
      </w:r>
      <w:r w:rsidRPr="00471192">
        <w:t xml:space="preserve">11.  </w:t>
      </w:r>
      <w:r w:rsidR="00DB63C6" w:rsidRPr="00471192">
        <w:t>Administrative expenses associated with offshore detention were $1.8 billion in 2012</w:t>
      </w:r>
      <w:r w:rsidR="005969AC" w:rsidRPr="006B456E">
        <w:noBreakHyphen/>
      </w:r>
      <w:r w:rsidR="00DB63C6" w:rsidRPr="00471192">
        <w:t>13.  (This does not include capital investment which is discussed in Chapter 10.)</w:t>
      </w:r>
    </w:p>
    <w:p w:rsidR="00D665E5" w:rsidRDefault="00D665E5" w:rsidP="00D665E5">
      <w:pPr>
        <w:pStyle w:val="Heading30"/>
      </w:pPr>
      <w:r>
        <w:t>Contribution from labour and employment affairs</w:t>
      </w:r>
    </w:p>
    <w:p w:rsidR="00D665E5" w:rsidRPr="00BF7448" w:rsidRDefault="00D665E5" w:rsidP="00D665E5">
      <w:r w:rsidRPr="00F069DD">
        <w:t>F</w:t>
      </w:r>
      <w:r w:rsidR="00471192" w:rsidRPr="00F069DD">
        <w:t>r</w:t>
      </w:r>
      <w:r w:rsidRPr="00F069DD">
        <w:t>o</w:t>
      </w:r>
      <w:r w:rsidR="00471192" w:rsidRPr="00F069DD">
        <w:t>m</w:t>
      </w:r>
      <w:r w:rsidRPr="00F069DD">
        <w:t xml:space="preserve"> 200</w:t>
      </w:r>
      <w:r w:rsidR="00727A00">
        <w:t>2</w:t>
      </w:r>
      <w:r w:rsidR="005969AC" w:rsidRPr="006B456E">
        <w:noBreakHyphen/>
      </w:r>
      <w:r w:rsidRPr="00F069DD">
        <w:t>03 to 2012</w:t>
      </w:r>
      <w:r w:rsidR="005969AC" w:rsidRPr="006B456E">
        <w:noBreakHyphen/>
      </w:r>
      <w:r w:rsidRPr="00F069DD">
        <w:t xml:space="preserve">13 </w:t>
      </w:r>
      <w:r w:rsidR="00471192" w:rsidRPr="00F069DD">
        <w:t>the</w:t>
      </w:r>
      <w:r w:rsidRPr="00F069DD">
        <w:t xml:space="preserve"> contribution </w:t>
      </w:r>
      <w:r w:rsidR="00471192" w:rsidRPr="00F069DD">
        <w:t xml:space="preserve">of labour and employment affairs </w:t>
      </w:r>
      <w:r w:rsidRPr="00F069DD">
        <w:t>to overall growth was 7.9</w:t>
      </w:r>
      <w:r w:rsidR="0071067C">
        <w:t> </w:t>
      </w:r>
      <w:r w:rsidRPr="00F069DD">
        <w:t>percentag</w:t>
      </w:r>
      <w:r w:rsidR="00DB63C6" w:rsidRPr="00F069DD">
        <w:t>e points of total growth of 51.8</w:t>
      </w:r>
      <w:r w:rsidR="0071067C">
        <w:t> </w:t>
      </w:r>
      <w:r w:rsidRPr="00F069DD">
        <w:t>per</w:t>
      </w:r>
      <w:r w:rsidR="0071067C">
        <w:t> </w:t>
      </w:r>
      <w:r w:rsidRPr="00F069DD">
        <w:t>cent.  Annual growth was 3.3 per cent over the period, largely driven by an increase in funding for vocational and in</w:t>
      </w:r>
      <w:r w:rsidR="009052FC">
        <w:t>dustry training from 2005</w:t>
      </w:r>
      <w:r w:rsidR="005969AC" w:rsidRPr="006B456E">
        <w:noBreakHyphen/>
      </w:r>
      <w:r w:rsidR="00DB63C6" w:rsidRPr="00F069DD">
        <w:t>06</w:t>
      </w:r>
      <w:r w:rsidR="00471192" w:rsidRPr="00F069DD">
        <w:t xml:space="preserve"> to 2009</w:t>
      </w:r>
      <w:r w:rsidR="005969AC" w:rsidRPr="006B456E">
        <w:noBreakHyphen/>
      </w:r>
      <w:r w:rsidR="00471192" w:rsidRPr="00F069DD">
        <w:t>10 of 154.8</w:t>
      </w:r>
      <w:r w:rsidRPr="00F069DD">
        <w:t xml:space="preserve"> per cent.  This was mainly driven by the 2006 </w:t>
      </w:r>
      <w:r w:rsidRPr="00F069DD">
        <w:rPr>
          <w:i/>
        </w:rPr>
        <w:t>Skills for the Future</w:t>
      </w:r>
      <w:r w:rsidRPr="00F069DD">
        <w:t xml:space="preserve"> package which provided additional skills</w:t>
      </w:r>
      <w:r>
        <w:t xml:space="preserve"> training for adult workers and incentives for mid</w:t>
      </w:r>
      <w:r>
        <w:noBreakHyphen/>
        <w:t>caree</w:t>
      </w:r>
      <w:r w:rsidR="00F069DD">
        <w:t>r apprentices, and the 2008-09</w:t>
      </w:r>
      <w:r w:rsidR="009052FC">
        <w:t> </w:t>
      </w:r>
      <w:r w:rsidR="00F069DD">
        <w:t>B</w:t>
      </w:r>
      <w:r>
        <w:t xml:space="preserve">udget package </w:t>
      </w:r>
      <w:r>
        <w:rPr>
          <w:i/>
        </w:rPr>
        <w:t>Skilling Australia for the Future</w:t>
      </w:r>
      <w:r>
        <w:t xml:space="preserve"> which provided additional places for vocational education and training, additional Australian apprenticeship places, as well as grants for school students to participate in on-the-job training.</w:t>
      </w:r>
    </w:p>
    <w:p w:rsidR="00D665E5" w:rsidRDefault="00D665E5" w:rsidP="00D665E5">
      <w:pPr>
        <w:pStyle w:val="Heading30"/>
      </w:pPr>
      <w:r>
        <w:t>Contribution from fuel and energy</w:t>
      </w:r>
    </w:p>
    <w:p w:rsidR="00D665E5" w:rsidRDefault="00D665E5" w:rsidP="00D665E5">
      <w:pPr>
        <w:pStyle w:val="PBOtext"/>
      </w:pPr>
      <w:r w:rsidRPr="00CA0778">
        <w:t>Fuel and energy contributed 7.6</w:t>
      </w:r>
      <w:r w:rsidR="009052FC">
        <w:t> </w:t>
      </w:r>
      <w:r w:rsidRPr="00CA0778">
        <w:t>percentage points to the growth in industry and economic affairs and</w:t>
      </w:r>
      <w:r>
        <w:t xml:space="preserve"> grew by 2.1 per cent annually year over the period.</w:t>
      </w:r>
    </w:p>
    <w:p w:rsidR="00D665E5" w:rsidRDefault="00134D4A" w:rsidP="00D665E5">
      <w:r>
        <w:t>As shown in Figure</w:t>
      </w:r>
      <w:r w:rsidR="009052FC">
        <w:t> </w:t>
      </w:r>
      <w:r>
        <w:t>8</w:t>
      </w:r>
      <w:r w:rsidR="00D665E5">
        <w:t>.2, fuel and energy was the key driver when expenses peaked in 2009</w:t>
      </w:r>
      <w:r w:rsidR="005969AC" w:rsidRPr="006B456E">
        <w:noBreakHyphen/>
      </w:r>
      <w:r w:rsidR="00D665E5">
        <w:t xml:space="preserve">10.  This was due to increased expenses as part of the fiscal stimulus package under the </w:t>
      </w:r>
      <w:r w:rsidR="00D665E5" w:rsidRPr="001B5769">
        <w:rPr>
          <w:i/>
        </w:rPr>
        <w:t>Nation Building and Jobs Plan (Energy Efficient Homes)</w:t>
      </w:r>
      <w:r w:rsidR="00D665E5">
        <w:t xml:space="preserve">, the </w:t>
      </w:r>
      <w:r w:rsidR="00D665E5" w:rsidRPr="001B5769">
        <w:rPr>
          <w:i/>
        </w:rPr>
        <w:t>Solar Homes and Communities</w:t>
      </w:r>
      <w:r w:rsidR="00D665E5">
        <w:t xml:space="preserve"> program and the </w:t>
      </w:r>
      <w:r w:rsidR="00D665E5" w:rsidRPr="001B5769">
        <w:rPr>
          <w:i/>
        </w:rPr>
        <w:t>National Solar Schools</w:t>
      </w:r>
      <w:r w:rsidR="00D665E5">
        <w:t xml:space="preserve"> program.  After the implementation of the fiscal stimulus packages, growth in fuel and energy expenses fell back to levels consistent with previous years driven largely by modest growth in fuel tax credits.</w:t>
      </w:r>
    </w:p>
    <w:p w:rsidR="00D665E5" w:rsidRDefault="00D665E5" w:rsidP="00D665E5">
      <w:pPr>
        <w:pStyle w:val="Heading30"/>
      </w:pPr>
      <w:r>
        <w:t>Contribution from mining, manufacturing and construction</w:t>
      </w:r>
    </w:p>
    <w:p w:rsidR="00D665E5" w:rsidRDefault="00D665E5" w:rsidP="00D665E5">
      <w:pPr>
        <w:pStyle w:val="PBOtext"/>
      </w:pPr>
      <w:r>
        <w:t>Mining, manufacturing and construction made a contribution of 9.6</w:t>
      </w:r>
      <w:r w:rsidR="009052FC">
        <w:t> </w:t>
      </w:r>
      <w:r>
        <w:t>percentage points to growth in industry and economic affairs in the period 2002</w:t>
      </w:r>
      <w:r w:rsidR="005969AC" w:rsidRPr="006B456E">
        <w:noBreakHyphen/>
      </w:r>
      <w:r w:rsidR="005969AC">
        <w:t>03 to 2012</w:t>
      </w:r>
      <w:r w:rsidR="005969AC" w:rsidRPr="006B456E">
        <w:noBreakHyphen/>
      </w:r>
      <w:r>
        <w:t xml:space="preserve">13.  Expenses grew by 6.7 per cent annually driven by an increase </w:t>
      </w:r>
      <w:r w:rsidRPr="00F069DD">
        <w:t>of 891</w:t>
      </w:r>
      <w:r w:rsidR="00471192" w:rsidRPr="00F069DD">
        <w:t>.4</w:t>
      </w:r>
      <w:r w:rsidR="009052FC">
        <w:t> </w:t>
      </w:r>
      <w:r w:rsidRPr="00F069DD">
        <w:t>per</w:t>
      </w:r>
      <w:r w:rsidR="009052FC">
        <w:t> </w:t>
      </w:r>
      <w:r w:rsidRPr="00F069DD">
        <w:t>cent</w:t>
      </w:r>
      <w:r>
        <w:t xml:space="preserve"> in the </w:t>
      </w:r>
      <w:r w:rsidR="00801368">
        <w:t>r</w:t>
      </w:r>
      <w:r>
        <w:t xml:space="preserve">esearch and </w:t>
      </w:r>
      <w:r w:rsidR="00801368">
        <w:t>d</w:t>
      </w:r>
      <w:r>
        <w:t xml:space="preserve">evelopment </w:t>
      </w:r>
      <w:r w:rsidR="00801368">
        <w:t>t</w:t>
      </w:r>
      <w:r>
        <w:t xml:space="preserve">ax </w:t>
      </w:r>
      <w:r w:rsidR="00801368">
        <w:t>offsets</w:t>
      </w:r>
      <w:r>
        <w:t xml:space="preserve"> o</w:t>
      </w:r>
      <w:r w:rsidR="00801368">
        <w:t>ver the period.  Spending on the</w:t>
      </w:r>
      <w:r>
        <w:t>s</w:t>
      </w:r>
      <w:r w:rsidR="00801368">
        <w:t>e</w:t>
      </w:r>
      <w:r>
        <w:t xml:space="preserve"> </w:t>
      </w:r>
      <w:r w:rsidR="00801368">
        <w:t>tax offsets</w:t>
      </w:r>
      <w:r>
        <w:t xml:space="preserve"> </w:t>
      </w:r>
      <w:r w:rsidR="00801368">
        <w:t>more than doubled</w:t>
      </w:r>
      <w:r>
        <w:t xml:space="preserve"> in 2011</w:t>
      </w:r>
      <w:r w:rsidR="005969AC" w:rsidRPr="006B456E">
        <w:noBreakHyphen/>
      </w:r>
      <w:r>
        <w:t>12 following the replacement in 2010</w:t>
      </w:r>
      <w:r w:rsidR="005969AC" w:rsidRPr="006B456E">
        <w:noBreakHyphen/>
      </w:r>
      <w:r>
        <w:t>11 of the previous Research and Development Tax Concession with the more generous Research and Development Tax Incentive.  The newer scheme provided a 45 per cent refundable tax offset on R&amp;</w:t>
      </w:r>
      <w:r w:rsidR="00471192">
        <w:t xml:space="preserve">D spending, available to </w:t>
      </w:r>
      <w:r>
        <w:t xml:space="preserve">companies </w:t>
      </w:r>
      <w:r w:rsidRPr="00471192">
        <w:t>with a</w:t>
      </w:r>
      <w:r w:rsidR="00DB63C6" w:rsidRPr="00471192">
        <w:t>n annual</w:t>
      </w:r>
      <w:r w:rsidRPr="00471192">
        <w:t xml:space="preserve"> turnover</w:t>
      </w:r>
      <w:r>
        <w:t xml:space="preserve"> of less than $20 million, and a 40 per cent offset for larger companies.</w:t>
      </w:r>
    </w:p>
    <w:p w:rsidR="00D665E5" w:rsidRDefault="00D665E5" w:rsidP="00D665E5">
      <w:pPr>
        <w:pStyle w:val="PBOtext"/>
      </w:pPr>
      <w:r>
        <w:t>The increase in the Research and Development Tax Incentive was partly offset by the reduction in expenses over the period for industry specific programs, including the Automotive Transformation Scheme (previously the Automotive Competitiveness and Investment Scheme), Assistance to the Textile C</w:t>
      </w:r>
      <w:r w:rsidR="00471192">
        <w:t xml:space="preserve">lothing and Footwear </w:t>
      </w:r>
      <w:r w:rsidR="00471192" w:rsidRPr="00F069DD">
        <w:t>Industries and</w:t>
      </w:r>
      <w:r w:rsidRPr="00F069DD">
        <w:t xml:space="preserve"> the Pharmaceutical</w:t>
      </w:r>
      <w:r>
        <w:t xml:space="preserve"> Industry Investment Program.</w:t>
      </w:r>
    </w:p>
    <w:p w:rsidR="00D665E5" w:rsidRDefault="00D665E5" w:rsidP="00D665E5">
      <w:pPr>
        <w:pStyle w:val="Heading30"/>
      </w:pPr>
      <w:r>
        <w:lastRenderedPageBreak/>
        <w:t>Contribution from other economic affairs</w:t>
      </w:r>
    </w:p>
    <w:p w:rsidR="00DB63C6" w:rsidRPr="00471192" w:rsidRDefault="00DB63C6" w:rsidP="00DB63C6">
      <w:pPr>
        <w:pStyle w:val="PBOtext"/>
      </w:pPr>
      <w:r w:rsidRPr="00471192">
        <w:t>Expenses from other economic affairs contributed 8.7</w:t>
      </w:r>
      <w:r w:rsidR="006D0E38">
        <w:t> </w:t>
      </w:r>
      <w:r w:rsidRPr="00471192">
        <w:t>percentage points to growth in industry and economic affairs over 2002</w:t>
      </w:r>
      <w:r w:rsidR="005969AC" w:rsidRPr="006B456E">
        <w:noBreakHyphen/>
      </w:r>
      <w:r w:rsidRPr="00471192">
        <w:t>03 to 2012</w:t>
      </w:r>
      <w:r w:rsidR="005969AC" w:rsidRPr="006B456E">
        <w:noBreakHyphen/>
      </w:r>
      <w:r w:rsidRPr="00471192">
        <w:t>13, with annual growth in spending of 5.7</w:t>
      </w:r>
      <w:r w:rsidR="006D0E38">
        <w:t> </w:t>
      </w:r>
      <w:r w:rsidRPr="00471192">
        <w:t>per</w:t>
      </w:r>
      <w:r w:rsidR="006D0E38">
        <w:t> </w:t>
      </w:r>
      <w:r w:rsidRPr="00471192">
        <w:t>cent.</w:t>
      </w:r>
    </w:p>
    <w:p w:rsidR="00DB63C6" w:rsidRPr="00F069DD" w:rsidRDefault="00DB63C6" w:rsidP="00DB63C6">
      <w:pPr>
        <w:pStyle w:val="PBOtext"/>
      </w:pPr>
      <w:r w:rsidRPr="00471192">
        <w:t xml:space="preserve">The largest driver of growth was the increased provision for refund of unclaimed monies which contributed 3.3 percentage points </w:t>
      </w:r>
      <w:r w:rsidRPr="00F069DD">
        <w:t>or 38</w:t>
      </w:r>
      <w:r w:rsidR="00471192" w:rsidRPr="00F069DD">
        <w:t>.1</w:t>
      </w:r>
      <w:r w:rsidRPr="00F069DD">
        <w:t> per cent of the contribution of other economic affairs to industry and economic affairs.</w:t>
      </w:r>
      <w:r w:rsidR="006D0E38">
        <w:t xml:space="preserve"> </w:t>
      </w:r>
      <w:r w:rsidRPr="00F069DD">
        <w:t xml:space="preserve"> This was attributable to measures in the 2012</w:t>
      </w:r>
      <w:r w:rsidR="005969AC" w:rsidRPr="006B456E">
        <w:noBreakHyphen/>
      </w:r>
      <w:r w:rsidRPr="00F069DD">
        <w:t>13 Mid-Year Economic and Fiscal Outlook to amend the transfer of unclaimed company monies and monies in inactive bank accounts and life insurance policies to the Australian Securities and Investment Commission (ASIC), including a reduction in the period of inactivity before monies are transferred</w:t>
      </w:r>
      <w:r w:rsidR="00DD7157">
        <w:t>,</w:t>
      </w:r>
      <w:r w:rsidRPr="00F069DD">
        <w:t xml:space="preserve"> from seven to three years.</w:t>
      </w:r>
    </w:p>
    <w:p w:rsidR="00DB63C6" w:rsidRPr="00471192" w:rsidRDefault="00DB63C6" w:rsidP="00DB63C6">
      <w:pPr>
        <w:pStyle w:val="PBOtext"/>
      </w:pPr>
      <w:r w:rsidRPr="00F069DD">
        <w:t>Over the period, the departmental expenses of agencies which are included in other economic affairs also contributed to its growth</w:t>
      </w:r>
      <w:r w:rsidR="00705CFA">
        <w:t>.  ASIC grew annually by 6.2 </w:t>
      </w:r>
      <w:r w:rsidRPr="00F069DD">
        <w:t>per</w:t>
      </w:r>
      <w:r w:rsidR="00705CFA">
        <w:t> </w:t>
      </w:r>
      <w:r w:rsidRPr="00F069DD">
        <w:t xml:space="preserve">cent; the Bureau of Meteorology grew annually by 5.0 per cent; and the Australian Competition and Consumer Commission by 6.3 per cent. </w:t>
      </w:r>
      <w:r w:rsidR="00705CFA">
        <w:t xml:space="preserve"> </w:t>
      </w:r>
      <w:r w:rsidRPr="00F069DD">
        <w:t>Together, these agencies contributed 2.8</w:t>
      </w:r>
      <w:r w:rsidR="00705CFA">
        <w:t> </w:t>
      </w:r>
      <w:r w:rsidR="00471192" w:rsidRPr="00F069DD">
        <w:t>percentage points, or 30.5</w:t>
      </w:r>
      <w:r w:rsidRPr="00F069DD">
        <w:t> per</w:t>
      </w:r>
      <w:r w:rsidR="00705CFA">
        <w:t> </w:t>
      </w:r>
      <w:r w:rsidRPr="00F069DD">
        <w:t>cent of the contribution of other ec</w:t>
      </w:r>
      <w:r w:rsidRPr="00471192">
        <w:t>onomic affairs to industry and economic affairs.</w:t>
      </w:r>
    </w:p>
    <w:p w:rsidR="00DB63C6" w:rsidRDefault="00DB63C6" w:rsidP="00DB63C6">
      <w:pPr>
        <w:pStyle w:val="PBOtext"/>
      </w:pPr>
      <w:r w:rsidRPr="00471192">
        <w:t>These increases were partially offset by reductions in spending on export market development grants which fell by 4.4 per</w:t>
      </w:r>
      <w:r w:rsidR="00705CFA">
        <w:t> </w:t>
      </w:r>
      <w:r w:rsidRPr="00471192">
        <w:t>cent annually, and spending on trade, education and investment (administered by the Australian Trade Commission) which fell by 3.2 per cent annually.</w:t>
      </w:r>
    </w:p>
    <w:p w:rsidR="00D665E5" w:rsidRDefault="00D665E5" w:rsidP="00D665E5">
      <w:pPr>
        <w:pStyle w:val="Heading30"/>
      </w:pPr>
      <w:r>
        <w:t>Contribution from agriculture, forestry and fishing</w:t>
      </w:r>
    </w:p>
    <w:p w:rsidR="00D665E5" w:rsidRDefault="00D665E5" w:rsidP="00D665E5">
      <w:pPr>
        <w:pStyle w:val="PBOtext"/>
      </w:pPr>
      <w:r w:rsidRPr="001D1335">
        <w:t xml:space="preserve">Agriculture, forestry and fishing expenses detracted </w:t>
      </w:r>
      <w:r>
        <w:t xml:space="preserve">slightly </w:t>
      </w:r>
      <w:r w:rsidRPr="001D1335">
        <w:t xml:space="preserve">from growth in industry and economic </w:t>
      </w:r>
      <w:r w:rsidRPr="00471192">
        <w:t>affairs with an annual decrease of 0.1</w:t>
      </w:r>
      <w:r w:rsidR="00705CFA">
        <w:t> </w:t>
      </w:r>
      <w:r w:rsidRPr="00471192">
        <w:t>per</w:t>
      </w:r>
      <w:r w:rsidR="00705CFA">
        <w:t> </w:t>
      </w:r>
      <w:r w:rsidRPr="00471192">
        <w:t>cent.</w:t>
      </w:r>
      <w:r w:rsidR="00705CFA">
        <w:t xml:space="preserve"> </w:t>
      </w:r>
      <w:r w:rsidRPr="00471192">
        <w:t xml:space="preserve"> Agriculture, forestry and fishing made a contribution </w:t>
      </w:r>
      <w:r w:rsidR="00DB63C6" w:rsidRPr="00471192">
        <w:t>of 13.5</w:t>
      </w:r>
      <w:r w:rsidR="00705CFA">
        <w:t> </w:t>
      </w:r>
      <w:r w:rsidRPr="00471192">
        <w:t xml:space="preserve">percentage points, or </w:t>
      </w:r>
      <w:r w:rsidR="00DB63C6" w:rsidRPr="00471192">
        <w:t>41.8</w:t>
      </w:r>
      <w:r w:rsidR="00705CFA">
        <w:t> </w:t>
      </w:r>
      <w:r w:rsidR="00DB63C6" w:rsidRPr="00471192">
        <w:t>per</w:t>
      </w:r>
      <w:r w:rsidR="00705CFA">
        <w:t> </w:t>
      </w:r>
      <w:r w:rsidR="00DB63C6" w:rsidRPr="00471192">
        <w:t xml:space="preserve">cent </w:t>
      </w:r>
      <w:r w:rsidRPr="00471192">
        <w:t>of cumulative growth in industry and economic affairs up to 2007</w:t>
      </w:r>
      <w:r w:rsidR="005969AC" w:rsidRPr="006B456E">
        <w:noBreakHyphen/>
      </w:r>
      <w:r w:rsidRPr="00471192">
        <w:t>08.  This was driven by increases in rural</w:t>
      </w:r>
      <w:r w:rsidRPr="001D1335">
        <w:t xml:space="preserve"> assistance, </w:t>
      </w:r>
      <w:r>
        <w:t xml:space="preserve">largely </w:t>
      </w:r>
      <w:r w:rsidRPr="001D1335">
        <w:t>drought assistance.</w:t>
      </w:r>
      <w:r>
        <w:t xml:space="preserve">  </w:t>
      </w:r>
      <w:r w:rsidRPr="001D1335">
        <w:t xml:space="preserve">After </w:t>
      </w:r>
      <w:r w:rsidR="00DB63C6">
        <w:t>2007</w:t>
      </w:r>
      <w:r w:rsidR="005969AC" w:rsidRPr="006B456E">
        <w:noBreakHyphen/>
      </w:r>
      <w:r w:rsidRPr="001D1335">
        <w:t>08, th</w:t>
      </w:r>
      <w:r>
        <w:t xml:space="preserve">e </w:t>
      </w:r>
      <w:r w:rsidRPr="001D1335">
        <w:t xml:space="preserve">contribution of agriculture, forestry and fishing </w:t>
      </w:r>
      <w:r>
        <w:t xml:space="preserve">decreased due to the decline in </w:t>
      </w:r>
      <w:r w:rsidRPr="001D1335">
        <w:t>drought related assistance and a decrease in expen</w:t>
      </w:r>
      <w:r>
        <w:t>ses</w:t>
      </w:r>
      <w:r w:rsidRPr="001D1335">
        <w:t xml:space="preserve"> in water reform</w:t>
      </w:r>
      <w:r>
        <w:t>.</w:t>
      </w:r>
    </w:p>
    <w:p w:rsidR="003D676E" w:rsidRPr="001D1335" w:rsidRDefault="003D676E" w:rsidP="00D665E5">
      <w:pPr>
        <w:pStyle w:val="PBOtext"/>
      </w:pPr>
    </w:p>
    <w:p w:rsidR="00D665E5" w:rsidRDefault="00D665E5" w:rsidP="00D665E5">
      <w:pPr>
        <w:sectPr w:rsidR="00D665E5" w:rsidSect="0099638E">
          <w:footerReference w:type="default" r:id="rId50"/>
          <w:pgSz w:w="11900" w:h="16840"/>
          <w:pgMar w:top="1440" w:right="1797" w:bottom="1440" w:left="1797" w:header="709" w:footer="709" w:gutter="0"/>
          <w:cols w:space="708"/>
          <w:titlePg/>
          <w:docGrid w:linePitch="326"/>
        </w:sectPr>
      </w:pPr>
    </w:p>
    <w:p w:rsidR="005A7020" w:rsidRDefault="00F947A1" w:rsidP="003D676E">
      <w:pPr>
        <w:pStyle w:val="Heading1"/>
        <w:numPr>
          <w:ilvl w:val="0"/>
          <w:numId w:val="31"/>
        </w:numPr>
        <w:ind w:left="709" w:hanging="709"/>
      </w:pPr>
      <w:bookmarkStart w:id="210" w:name="_Toc374182871"/>
      <w:bookmarkStart w:id="211" w:name="_Toc374349467"/>
      <w:r w:rsidRPr="00686315">
        <w:lastRenderedPageBreak/>
        <w:t>Community</w:t>
      </w:r>
      <w:r>
        <w:t xml:space="preserve"> </w:t>
      </w:r>
      <w:r w:rsidR="00F83867">
        <w:t>a</w:t>
      </w:r>
      <w:r w:rsidR="005A7020">
        <w:t>menities and infrastructure</w:t>
      </w:r>
      <w:bookmarkEnd w:id="193"/>
      <w:r w:rsidR="00AD3345">
        <w:t xml:space="preserve"> </w:t>
      </w:r>
      <w:r w:rsidRPr="00686315">
        <w:t>expenses</w:t>
      </w:r>
      <w:bookmarkEnd w:id="194"/>
      <w:bookmarkEnd w:id="210"/>
      <w:bookmarkEnd w:id="211"/>
    </w:p>
    <w:p w:rsidR="005A7020" w:rsidRDefault="005969AC" w:rsidP="007E21C8">
      <w:bookmarkStart w:id="212" w:name="_Toc361303389"/>
      <w:r>
        <w:t>In 2012</w:t>
      </w:r>
      <w:r w:rsidRPr="006B456E">
        <w:noBreakHyphen/>
      </w:r>
      <w:r w:rsidR="005A7020" w:rsidRPr="00945D77">
        <w:t>13, $15.4</w:t>
      </w:r>
      <w:r w:rsidR="00705CFA">
        <w:t> </w:t>
      </w:r>
      <w:r w:rsidR="005A7020" w:rsidRPr="00945D77">
        <w:t>billion was spent on community amenities a</w:t>
      </w:r>
      <w:r w:rsidR="005A7020">
        <w:t>nd infrastructure</w:t>
      </w:r>
      <w:r w:rsidR="009F6295">
        <w:t>, which was 4</w:t>
      </w:r>
      <w:r w:rsidR="005A7020">
        <w:t>.0</w:t>
      </w:r>
      <w:r w:rsidR="00C07EEE">
        <w:t> </w:t>
      </w:r>
      <w:r w:rsidR="005A7020" w:rsidRPr="00845EDA">
        <w:t>per</w:t>
      </w:r>
      <w:r w:rsidR="009F6295">
        <w:t> </w:t>
      </w:r>
      <w:r w:rsidR="005A7020" w:rsidRPr="00845EDA">
        <w:t>cent of total government spending</w:t>
      </w:r>
      <w:r w:rsidR="005A7020">
        <w:t xml:space="preserve">.  </w:t>
      </w:r>
      <w:r w:rsidR="00BF2351" w:rsidRPr="00A427FB">
        <w:t xml:space="preserve">The </w:t>
      </w:r>
      <w:r w:rsidR="00BF2351">
        <w:t>composition</w:t>
      </w:r>
      <w:r w:rsidR="00BF2351" w:rsidRPr="00A427FB">
        <w:t xml:space="preserve"> of this spending is shown in </w:t>
      </w:r>
      <w:r w:rsidR="00134D4A">
        <w:t>Figure</w:t>
      </w:r>
      <w:r w:rsidR="00705CFA">
        <w:t> </w:t>
      </w:r>
      <w:r w:rsidR="00134D4A">
        <w:t>9</w:t>
      </w:r>
      <w:r w:rsidR="00B655D2">
        <w:t xml:space="preserve">.1 </w:t>
      </w:r>
      <w:r w:rsidR="00BF2351" w:rsidRPr="00A427FB">
        <w:t>below.</w:t>
      </w:r>
    </w:p>
    <w:p w:rsidR="007E21C8" w:rsidRDefault="007E21C8" w:rsidP="007A4A40">
      <w:pPr>
        <w:pStyle w:val="Caption"/>
      </w:pPr>
      <w:bookmarkStart w:id="213" w:name="_Ref372713015"/>
      <w:bookmarkStart w:id="214" w:name="_Toc373422188"/>
      <w:bookmarkStart w:id="215" w:name="_Toc373873666"/>
      <w:bookmarkStart w:id="216" w:name="_Toc373955569"/>
      <w:bookmarkStart w:id="217" w:name="_Toc374088510"/>
      <w:bookmarkStart w:id="218" w:name="_Toc374102224"/>
      <w:bookmarkStart w:id="219" w:name="_Toc374350006"/>
      <w:proofErr w:type="gramStart"/>
      <w:r w:rsidRPr="004236EB">
        <w:t xml:space="preserve">Figure </w:t>
      </w:r>
      <w:r w:rsidR="00134D4A">
        <w:t>9</w:t>
      </w:r>
      <w:r w:rsidR="00F90856" w:rsidRPr="004236EB">
        <w:t>.</w:t>
      </w:r>
      <w:proofErr w:type="gramEnd"/>
      <w:r w:rsidR="00143AAD">
        <w:fldChar w:fldCharType="begin"/>
      </w:r>
      <w:r w:rsidR="00143AAD">
        <w:instrText xml:space="preserve"> SEQ Figure \* ARABIC \s 1 </w:instrText>
      </w:r>
      <w:r w:rsidR="00143AAD">
        <w:fldChar w:fldCharType="separate"/>
      </w:r>
      <w:r w:rsidR="00E862AC">
        <w:rPr>
          <w:noProof/>
        </w:rPr>
        <w:t>1</w:t>
      </w:r>
      <w:r w:rsidR="00143AAD">
        <w:rPr>
          <w:noProof/>
        </w:rPr>
        <w:fldChar w:fldCharType="end"/>
      </w:r>
      <w:bookmarkEnd w:id="213"/>
      <w:r w:rsidRPr="004236EB">
        <w:t>:</w:t>
      </w:r>
      <w:r w:rsidR="00773778">
        <w:tab/>
      </w:r>
      <w:r w:rsidRPr="004236EB">
        <w:t xml:space="preserve">Composition of community amenities and infrastructure </w:t>
      </w:r>
      <w:r w:rsidR="008A1BDB" w:rsidRPr="004236EB">
        <w:t>expenses</w:t>
      </w:r>
      <w:r w:rsidRPr="004236EB">
        <w:t xml:space="preserve"> in 2012-13</w:t>
      </w:r>
      <w:bookmarkEnd w:id="214"/>
      <w:bookmarkEnd w:id="215"/>
      <w:bookmarkEnd w:id="216"/>
      <w:bookmarkEnd w:id="217"/>
      <w:bookmarkEnd w:id="218"/>
      <w:bookmarkEnd w:id="219"/>
    </w:p>
    <w:p w:rsidR="005A7020" w:rsidRDefault="00356878" w:rsidP="005D136C">
      <w:pPr>
        <w:spacing w:before="0" w:after="0"/>
        <w:jc w:val="center"/>
      </w:pPr>
      <w:r>
        <w:rPr>
          <w:noProof/>
        </w:rPr>
        <w:drawing>
          <wp:inline distT="0" distB="0" distL="0" distR="0" wp14:anchorId="4EFF5F17" wp14:editId="35EFD291">
            <wp:extent cx="4681537" cy="3771900"/>
            <wp:effectExtent l="0" t="0" r="5080" b="0"/>
            <wp:docPr id="24" name="Picture 24" descr="This chart shows the composition of community amenities and infrastructure expenses in 2012–13.  Spending on recreation and culture was the largest area of spending at 24 per cent, followed by road and rail transport at 23 per cent and environmental protection at 22 per cent." title="Fig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t="2991" b="2250"/>
                    <a:stretch/>
                  </pic:blipFill>
                  <pic:spPr bwMode="auto">
                    <a:xfrm>
                      <a:off x="0" y="0"/>
                      <a:ext cx="4681855" cy="3772156"/>
                    </a:xfrm>
                    <a:prstGeom prst="rect">
                      <a:avLst/>
                    </a:prstGeom>
                    <a:noFill/>
                    <a:ln>
                      <a:noFill/>
                    </a:ln>
                    <a:extLst>
                      <a:ext uri="{53640926-AAD7-44D8-BBD7-CCE9431645EC}">
                        <a14:shadowObscured xmlns:a14="http://schemas.microsoft.com/office/drawing/2010/main"/>
                      </a:ext>
                    </a:extLst>
                  </pic:spPr>
                </pic:pic>
              </a:graphicData>
            </a:graphic>
          </wp:inline>
        </w:drawing>
      </w:r>
    </w:p>
    <w:p w:rsidR="005A7020" w:rsidRPr="00FA26CD" w:rsidRDefault="005A7020" w:rsidP="005D136C">
      <w:pPr>
        <w:pStyle w:val="FigureCaption"/>
      </w:pPr>
      <w:r w:rsidRPr="00FA26CD">
        <w:t xml:space="preserve">Source: </w:t>
      </w:r>
      <w:r>
        <w:t>Australian</w:t>
      </w:r>
      <w:r w:rsidRPr="00FA26CD">
        <w:t xml:space="preserve"> Government </w:t>
      </w:r>
      <w:r>
        <w:t>Final B</w:t>
      </w:r>
      <w:r w:rsidRPr="00FA26CD">
        <w:t>udget Outcome 2012-13</w:t>
      </w:r>
    </w:p>
    <w:p w:rsidR="005A7020" w:rsidRPr="00FA26CD" w:rsidRDefault="005A7020" w:rsidP="005452EA">
      <w:r>
        <w:rPr>
          <w:b/>
        </w:rPr>
        <w:t>R</w:t>
      </w:r>
      <w:r w:rsidRPr="00610583">
        <w:rPr>
          <w:b/>
        </w:rPr>
        <w:t>ecreation and culture</w:t>
      </w:r>
      <w:r>
        <w:rPr>
          <w:b/>
        </w:rPr>
        <w:t xml:space="preserve"> </w:t>
      </w:r>
      <w:r w:rsidRPr="003025E3">
        <w:t>was the largest component of community amenities and infrastructure spending in 2012</w:t>
      </w:r>
      <w:r w:rsidR="005969AC" w:rsidRPr="006B456E">
        <w:noBreakHyphen/>
      </w:r>
      <w:r w:rsidRPr="003025E3">
        <w:t>13</w:t>
      </w:r>
      <w:r>
        <w:t>, am</w:t>
      </w:r>
      <w:r w:rsidR="00705CFA">
        <w:t>ounting to $3.6 </w:t>
      </w:r>
      <w:r w:rsidR="00F34510">
        <w:t>billion, or 24</w:t>
      </w:r>
      <w:r w:rsidR="00705CFA">
        <w:t> </w:t>
      </w:r>
      <w:r w:rsidR="00F34510">
        <w:t>per</w:t>
      </w:r>
      <w:r w:rsidR="00705CFA">
        <w:t> </w:t>
      </w:r>
      <w:r w:rsidR="00F34510">
        <w:t>cent of community amenities and infrastructure spending</w:t>
      </w:r>
      <w:r>
        <w:t xml:space="preserve">.  This included spending on public broadcasting, arts and cultural heritage, sport and recreation activities and the management and protection of national parks and other world heritage areas.  Some of the larger </w:t>
      </w:r>
      <w:r w:rsidR="00B101E6">
        <w:t>areas of</w:t>
      </w:r>
      <w:r>
        <w:t xml:space="preserve"> rec</w:t>
      </w:r>
      <w:r w:rsidR="00B101E6">
        <w:t>reation and culture spend</w:t>
      </w:r>
      <w:r>
        <w:t xml:space="preserve">ing </w:t>
      </w:r>
      <w:r w:rsidR="00B101E6">
        <w:t>include</w:t>
      </w:r>
      <w:r>
        <w:t xml:space="preserve"> the Australian Broadcasting Corporation (ABC) </w:t>
      </w:r>
      <w:r w:rsidR="00B101E6">
        <w:t>at $1.2</w:t>
      </w:r>
      <w:r w:rsidR="00705CFA">
        <w:t> </w:t>
      </w:r>
      <w:r w:rsidR="00B101E6">
        <w:t>b</w:t>
      </w:r>
      <w:r>
        <w:t>illion, the Special Broadcasting Service</w:t>
      </w:r>
      <w:r w:rsidR="00B101E6">
        <w:t xml:space="preserve"> Corporation (SBS) at $0.3</w:t>
      </w:r>
      <w:r w:rsidR="00705CFA">
        <w:t> </w:t>
      </w:r>
      <w:r w:rsidR="00B101E6">
        <w:t>b</w:t>
      </w:r>
      <w:r>
        <w:t>illion and the Australian Sports Commission (including the Australian Institute of Sport)</w:t>
      </w:r>
      <w:r w:rsidRPr="00415087">
        <w:t xml:space="preserve"> </w:t>
      </w:r>
      <w:r w:rsidR="00B101E6">
        <w:t>at $0.3</w:t>
      </w:r>
      <w:r w:rsidR="007C5A0F">
        <w:t> </w:t>
      </w:r>
      <w:r w:rsidR="00B101E6">
        <w:t>b</w:t>
      </w:r>
      <w:r w:rsidRPr="00BA2A1A">
        <w:t>illion.  Other spending included the Australian Screen Production Incentive which provides tax incentives for film, television and</w:t>
      </w:r>
      <w:r w:rsidRPr="00E67071">
        <w:rPr>
          <w:lang w:val="en"/>
        </w:rPr>
        <w:t xml:space="preserve"> other screen production in Australia</w:t>
      </w:r>
      <w:r>
        <w:rPr>
          <w:lang w:val="en"/>
        </w:rPr>
        <w:t>.</w:t>
      </w:r>
    </w:p>
    <w:p w:rsidR="005A7020" w:rsidRDefault="006867F7" w:rsidP="005452EA">
      <w:r>
        <w:t>The next</w:t>
      </w:r>
      <w:r w:rsidR="005A7020" w:rsidRPr="002D4893">
        <w:t xml:space="preserve"> largest component</w:t>
      </w:r>
      <w:r w:rsidR="005A7020" w:rsidRPr="00945D77">
        <w:t xml:space="preserve"> was</w:t>
      </w:r>
      <w:r w:rsidR="005A7020">
        <w:rPr>
          <w:b/>
        </w:rPr>
        <w:t xml:space="preserve"> r</w:t>
      </w:r>
      <w:r w:rsidR="005A7020" w:rsidRPr="00610583">
        <w:rPr>
          <w:b/>
        </w:rPr>
        <w:t>oad and rail transport</w:t>
      </w:r>
      <w:r w:rsidR="00F34510">
        <w:t xml:space="preserve"> at $3.5</w:t>
      </w:r>
      <w:r w:rsidR="00705CFA">
        <w:t> </w:t>
      </w:r>
      <w:r w:rsidR="00F34510">
        <w:t>billion, or 23</w:t>
      </w:r>
      <w:r w:rsidR="00705CFA">
        <w:t> </w:t>
      </w:r>
      <w:r w:rsidR="005A7020">
        <w:t>per</w:t>
      </w:r>
      <w:r w:rsidR="00705CFA">
        <w:t> </w:t>
      </w:r>
      <w:r w:rsidR="005A7020">
        <w:t>cent of community amenities and infrastructure spending in 2012</w:t>
      </w:r>
      <w:r w:rsidR="005969AC" w:rsidRPr="006B456E">
        <w:noBreakHyphen/>
      </w:r>
      <w:r w:rsidR="005A7020">
        <w:t xml:space="preserve">13.  This was predominantly made </w:t>
      </w:r>
      <w:r w:rsidR="005A7020" w:rsidRPr="00FC044B">
        <w:t xml:space="preserve">up of </w:t>
      </w:r>
      <w:r w:rsidRPr="00FC044B">
        <w:t>funding to the S</w:t>
      </w:r>
      <w:r w:rsidR="005A7020" w:rsidRPr="00FC044B">
        <w:t>tates for road and rail projects.</w:t>
      </w:r>
    </w:p>
    <w:p w:rsidR="005A7020" w:rsidRPr="00A421EE" w:rsidRDefault="005A7020" w:rsidP="005452EA">
      <w:r>
        <w:t xml:space="preserve">Spending on </w:t>
      </w:r>
      <w:r w:rsidRPr="00610583">
        <w:rPr>
          <w:b/>
        </w:rPr>
        <w:t>environment protection</w:t>
      </w:r>
      <w:r>
        <w:t xml:space="preserve"> was around </w:t>
      </w:r>
      <w:r w:rsidR="00F34510">
        <w:t>$3.4</w:t>
      </w:r>
      <w:r w:rsidR="00705CFA">
        <w:t> </w:t>
      </w:r>
      <w:r w:rsidR="00F34510">
        <w:t>billion in 2012</w:t>
      </w:r>
      <w:r w:rsidR="005969AC" w:rsidRPr="006B456E">
        <w:noBreakHyphen/>
      </w:r>
      <w:r w:rsidR="00F34510">
        <w:t>13, or 22</w:t>
      </w:r>
      <w:r w:rsidR="00705CFA">
        <w:t> </w:t>
      </w:r>
      <w:r>
        <w:t>per</w:t>
      </w:r>
      <w:r w:rsidR="00705CFA">
        <w:t> </w:t>
      </w:r>
      <w:r>
        <w:t>cent of community amenities and infrastructure</w:t>
      </w:r>
      <w:r w:rsidR="00F34510">
        <w:t xml:space="preserve"> spending</w:t>
      </w:r>
      <w:r w:rsidR="00AD4CBF">
        <w:t>.  This included</w:t>
      </w:r>
      <w:r>
        <w:t xml:space="preserve"> spending </w:t>
      </w:r>
      <w:r w:rsidR="00B06DC3">
        <w:t xml:space="preserve">on </w:t>
      </w:r>
      <w:r>
        <w:t xml:space="preserve">the protection and conservation of the environment, water and waste management, pollution abatement and </w:t>
      </w:r>
      <w:r>
        <w:lastRenderedPageBreak/>
        <w:t xml:space="preserve">environmental research.  The largest component of </w:t>
      </w:r>
      <w:r w:rsidR="00981027">
        <w:t>spending</w:t>
      </w:r>
      <w:r>
        <w:t xml:space="preserve"> on environment protection in 2012</w:t>
      </w:r>
      <w:r w:rsidR="005969AC" w:rsidRPr="006B456E">
        <w:noBreakHyphen/>
      </w:r>
      <w:r>
        <w:t xml:space="preserve">13 related to free carbon permits issued under the </w:t>
      </w:r>
      <w:r w:rsidR="00705CFA">
        <w:rPr>
          <w:lang w:val="en"/>
        </w:rPr>
        <w:t>Carbon Pricing Mechanism (CPM).</w:t>
      </w:r>
    </w:p>
    <w:p w:rsidR="005A7020" w:rsidRDefault="005A7020" w:rsidP="005452EA">
      <w:r w:rsidRPr="00610583">
        <w:rPr>
          <w:b/>
          <w:lang w:val="en"/>
        </w:rPr>
        <w:t>Housing</w:t>
      </w:r>
      <w:r w:rsidRPr="009B7F8F">
        <w:rPr>
          <w:lang w:val="en"/>
        </w:rPr>
        <w:t xml:space="preserve"> </w:t>
      </w:r>
      <w:r w:rsidR="00981027">
        <w:rPr>
          <w:lang w:val="en"/>
        </w:rPr>
        <w:t>spending</w:t>
      </w:r>
      <w:r>
        <w:rPr>
          <w:lang w:val="en"/>
        </w:rPr>
        <w:t xml:space="preserve"> was $2.8</w:t>
      </w:r>
      <w:r w:rsidR="00705CFA">
        <w:rPr>
          <w:lang w:val="en"/>
        </w:rPr>
        <w:t> </w:t>
      </w:r>
      <w:r>
        <w:rPr>
          <w:lang w:val="en"/>
        </w:rPr>
        <w:t>billion in</w:t>
      </w:r>
      <w:r w:rsidR="00AD4CBF">
        <w:rPr>
          <w:lang w:val="en"/>
        </w:rPr>
        <w:t xml:space="preserve"> 2012</w:t>
      </w:r>
      <w:r w:rsidR="005969AC" w:rsidRPr="006B456E">
        <w:noBreakHyphen/>
      </w:r>
      <w:r w:rsidR="00AD4CBF">
        <w:rPr>
          <w:lang w:val="en"/>
        </w:rPr>
        <w:t xml:space="preserve">13.  This </w:t>
      </w:r>
      <w:r w:rsidR="00AD4CBF" w:rsidRPr="00736679">
        <w:rPr>
          <w:lang w:val="en"/>
        </w:rPr>
        <w:t>represented 18</w:t>
      </w:r>
      <w:r w:rsidR="00705CFA" w:rsidRPr="00736679">
        <w:rPr>
          <w:lang w:val="en"/>
        </w:rPr>
        <w:t> </w:t>
      </w:r>
      <w:r w:rsidRPr="00736679">
        <w:rPr>
          <w:lang w:val="en"/>
        </w:rPr>
        <w:t>per</w:t>
      </w:r>
      <w:r w:rsidR="00705CFA" w:rsidRPr="00736679">
        <w:rPr>
          <w:lang w:val="en"/>
        </w:rPr>
        <w:t> </w:t>
      </w:r>
      <w:r w:rsidRPr="00736679">
        <w:rPr>
          <w:lang w:val="en"/>
        </w:rPr>
        <w:t>cent of</w:t>
      </w:r>
      <w:r>
        <w:rPr>
          <w:lang w:val="en"/>
        </w:rPr>
        <w:t xml:space="preserve"> </w:t>
      </w:r>
      <w:r>
        <w:t>community amenities and infrastructure</w:t>
      </w:r>
      <w:r w:rsidR="00F34510">
        <w:t xml:space="preserve"> </w:t>
      </w:r>
      <w:r w:rsidR="00F34510" w:rsidRPr="00FC044B">
        <w:t>spending</w:t>
      </w:r>
      <w:r w:rsidR="006867F7" w:rsidRPr="00FC044B">
        <w:t xml:space="preserve"> and was</w:t>
      </w:r>
      <w:r w:rsidRPr="00FC044B">
        <w:t xml:space="preserve"> largely comprised </w:t>
      </w:r>
      <w:r w:rsidR="006867F7" w:rsidRPr="00FC044B">
        <w:t xml:space="preserve">of </w:t>
      </w:r>
      <w:r w:rsidR="00B101E6" w:rsidRPr="00FC044B">
        <w:t>funding</w:t>
      </w:r>
      <w:r w:rsidR="00E04314" w:rsidRPr="00FC044B">
        <w:t xml:space="preserve"> to </w:t>
      </w:r>
      <w:r w:rsidR="00B06DC3" w:rsidRPr="00FC044B">
        <w:t xml:space="preserve">the </w:t>
      </w:r>
      <w:r w:rsidR="00E04314" w:rsidRPr="00FC044B">
        <w:t>S</w:t>
      </w:r>
      <w:r w:rsidRPr="00FC044B">
        <w:t>tates to support affordable</w:t>
      </w:r>
      <w:r>
        <w:t xml:space="preserve"> housing services ($1.8</w:t>
      </w:r>
      <w:r w:rsidR="00705CFA">
        <w:t> </w:t>
      </w:r>
      <w:r>
        <w:t>billion) and the expenses of Defence Housing Australia</w:t>
      </w:r>
      <w:r w:rsidRPr="00415087">
        <w:t xml:space="preserve"> </w:t>
      </w:r>
      <w:r>
        <w:t>($1.0</w:t>
      </w:r>
      <w:r w:rsidR="00705CFA">
        <w:t> billion).</w:t>
      </w:r>
    </w:p>
    <w:p w:rsidR="005A7020" w:rsidRPr="00845EDA" w:rsidRDefault="005A7020" w:rsidP="005452EA">
      <w:r w:rsidRPr="00861FCE">
        <w:rPr>
          <w:b/>
          <w:lang w:val="en"/>
        </w:rPr>
        <w:t>Other</w:t>
      </w:r>
      <w:r>
        <w:rPr>
          <w:lang w:val="en"/>
        </w:rPr>
        <w:t xml:space="preserve"> spending is made up of urban and regional development, communication and other transport expenses (including air and sea transport).  Spending in these areas was </w:t>
      </w:r>
      <w:r w:rsidR="00F34510">
        <w:rPr>
          <w:lang w:val="en"/>
        </w:rPr>
        <w:t>$2.0</w:t>
      </w:r>
      <w:r w:rsidR="00705CFA">
        <w:rPr>
          <w:lang w:val="en"/>
        </w:rPr>
        <w:t> </w:t>
      </w:r>
      <w:r w:rsidR="00F34510">
        <w:rPr>
          <w:lang w:val="en"/>
        </w:rPr>
        <w:t>billion in 2012</w:t>
      </w:r>
      <w:r w:rsidR="005969AC" w:rsidRPr="006B456E">
        <w:noBreakHyphen/>
      </w:r>
      <w:r w:rsidR="00F34510">
        <w:rPr>
          <w:lang w:val="en"/>
        </w:rPr>
        <w:t>13, or 13</w:t>
      </w:r>
      <w:r>
        <w:rPr>
          <w:lang w:val="en"/>
        </w:rPr>
        <w:t> per</w:t>
      </w:r>
      <w:r w:rsidR="00705CFA">
        <w:rPr>
          <w:lang w:val="en"/>
        </w:rPr>
        <w:t> </w:t>
      </w:r>
      <w:r w:rsidR="003D2864">
        <w:rPr>
          <w:lang w:val="en"/>
        </w:rPr>
        <w:t>cent of the total.</w:t>
      </w:r>
    </w:p>
    <w:p w:rsidR="005A7020" w:rsidRPr="00845EDA" w:rsidRDefault="005A7020" w:rsidP="005A7020">
      <w:pPr>
        <w:pStyle w:val="PBOheading2"/>
      </w:pPr>
      <w:r>
        <w:t xml:space="preserve">Trends in community amenities and infrastructure </w:t>
      </w:r>
      <w:r w:rsidRPr="004B04A2">
        <w:t>expenses</w:t>
      </w:r>
    </w:p>
    <w:p w:rsidR="005A7020" w:rsidRDefault="005A7020" w:rsidP="005A7020">
      <w:pPr>
        <w:pStyle w:val="PBOtext"/>
        <w:rPr>
          <w:lang w:val="en"/>
        </w:rPr>
      </w:pPr>
      <w:r w:rsidRPr="002D4893">
        <w:rPr>
          <w:lang w:val="en"/>
        </w:rPr>
        <w:t>Over the period 2002</w:t>
      </w:r>
      <w:r w:rsidR="005969AC" w:rsidRPr="006B456E">
        <w:noBreakHyphen/>
      </w:r>
      <w:r w:rsidRPr="002D4893">
        <w:rPr>
          <w:lang w:val="en"/>
        </w:rPr>
        <w:t>03 to 2</w:t>
      </w:r>
      <w:r>
        <w:rPr>
          <w:lang w:val="en"/>
        </w:rPr>
        <w:t>012</w:t>
      </w:r>
      <w:r w:rsidR="005969AC" w:rsidRPr="006B456E">
        <w:noBreakHyphen/>
      </w:r>
      <w:r>
        <w:rPr>
          <w:lang w:val="en"/>
        </w:rPr>
        <w:t xml:space="preserve">13, </w:t>
      </w:r>
      <w:r w:rsidRPr="002D4893">
        <w:rPr>
          <w:lang w:val="en"/>
        </w:rPr>
        <w:t>spending on community amenities and infra</w:t>
      </w:r>
      <w:r w:rsidR="00AD4CBF">
        <w:rPr>
          <w:lang w:val="en"/>
        </w:rPr>
        <w:t xml:space="preserve">structure grew by </w:t>
      </w:r>
      <w:r w:rsidR="00AD4CBF" w:rsidRPr="00736679">
        <w:rPr>
          <w:lang w:val="en"/>
        </w:rPr>
        <w:t>83.5</w:t>
      </w:r>
      <w:r w:rsidRPr="00736679">
        <w:rPr>
          <w:lang w:val="en"/>
        </w:rPr>
        <w:t> per</w:t>
      </w:r>
      <w:r w:rsidRPr="00800855">
        <w:rPr>
          <w:lang w:val="en"/>
        </w:rPr>
        <w:t> cent</w:t>
      </w:r>
      <w:r>
        <w:rPr>
          <w:lang w:val="en"/>
        </w:rPr>
        <w:t>, or 6.3</w:t>
      </w:r>
      <w:r w:rsidR="00705CFA">
        <w:rPr>
          <w:lang w:val="en"/>
        </w:rPr>
        <w:t> </w:t>
      </w:r>
      <w:r w:rsidRPr="00800855">
        <w:rPr>
          <w:lang w:val="en"/>
        </w:rPr>
        <w:t>per</w:t>
      </w:r>
      <w:r w:rsidR="00705CFA">
        <w:rPr>
          <w:lang w:val="en"/>
        </w:rPr>
        <w:t> </w:t>
      </w:r>
      <w:r w:rsidRPr="00800855">
        <w:rPr>
          <w:lang w:val="en"/>
        </w:rPr>
        <w:t xml:space="preserve">cent </w:t>
      </w:r>
      <w:r w:rsidR="00B0149B">
        <w:rPr>
          <w:lang w:val="en"/>
        </w:rPr>
        <w:t>annually</w:t>
      </w:r>
      <w:r>
        <w:rPr>
          <w:lang w:val="en"/>
        </w:rPr>
        <w:t>.  This was</w:t>
      </w:r>
      <w:r w:rsidRPr="00800855">
        <w:rPr>
          <w:lang w:val="en"/>
        </w:rPr>
        <w:t xml:space="preserve"> significantly faster than GDP growth which </w:t>
      </w:r>
      <w:r w:rsidR="00F31360">
        <w:rPr>
          <w:lang w:val="en"/>
        </w:rPr>
        <w:t>was</w:t>
      </w:r>
      <w:r>
        <w:rPr>
          <w:lang w:val="en"/>
        </w:rPr>
        <w:t xml:space="preserve"> 34.3</w:t>
      </w:r>
      <w:r w:rsidR="00F31360">
        <w:rPr>
          <w:lang w:val="en"/>
        </w:rPr>
        <w:t> </w:t>
      </w:r>
      <w:r w:rsidRPr="00800855">
        <w:rPr>
          <w:lang w:val="en"/>
        </w:rPr>
        <w:t>per</w:t>
      </w:r>
      <w:r w:rsidR="00705CFA">
        <w:rPr>
          <w:lang w:val="en"/>
        </w:rPr>
        <w:t> </w:t>
      </w:r>
      <w:r w:rsidRPr="00800855">
        <w:rPr>
          <w:lang w:val="en"/>
        </w:rPr>
        <w:t>cent</w:t>
      </w:r>
      <w:r>
        <w:rPr>
          <w:lang w:val="en"/>
        </w:rPr>
        <w:t xml:space="preserve"> over the same period</w:t>
      </w:r>
      <w:r w:rsidRPr="00800855">
        <w:rPr>
          <w:lang w:val="en"/>
        </w:rPr>
        <w:t>, or 3.0</w:t>
      </w:r>
      <w:r w:rsidR="00705CFA">
        <w:rPr>
          <w:lang w:val="en"/>
        </w:rPr>
        <w:t> </w:t>
      </w:r>
      <w:r w:rsidRPr="00800855">
        <w:rPr>
          <w:lang w:val="en"/>
        </w:rPr>
        <w:t>per</w:t>
      </w:r>
      <w:r w:rsidR="00705CFA">
        <w:rPr>
          <w:lang w:val="en"/>
        </w:rPr>
        <w:t> </w:t>
      </w:r>
      <w:r w:rsidRPr="00800855">
        <w:rPr>
          <w:lang w:val="en"/>
        </w:rPr>
        <w:t xml:space="preserve">cent </w:t>
      </w:r>
      <w:r w:rsidR="006F3F42">
        <w:rPr>
          <w:lang w:val="en"/>
        </w:rPr>
        <w:t>annually</w:t>
      </w:r>
      <w:r w:rsidR="00705CFA">
        <w:rPr>
          <w:lang w:val="en"/>
        </w:rPr>
        <w:t>.</w:t>
      </w:r>
    </w:p>
    <w:p w:rsidR="00882237" w:rsidRDefault="005A7020" w:rsidP="005A7020">
      <w:pPr>
        <w:pStyle w:val="PBOtext"/>
        <w:rPr>
          <w:lang w:val="en"/>
        </w:rPr>
      </w:pPr>
      <w:r w:rsidRPr="00800855">
        <w:rPr>
          <w:lang w:val="en"/>
        </w:rPr>
        <w:t xml:space="preserve">Overall, growth in community amenities and infrastructure spending </w:t>
      </w:r>
      <w:r>
        <w:rPr>
          <w:lang w:val="en"/>
        </w:rPr>
        <w:t>was</w:t>
      </w:r>
      <w:r w:rsidRPr="00800855">
        <w:rPr>
          <w:lang w:val="en"/>
        </w:rPr>
        <w:t xml:space="preserve"> driven by strong growth in spending on environment protection and road and rail </w:t>
      </w:r>
      <w:r w:rsidR="006F3F42">
        <w:rPr>
          <w:lang w:val="en"/>
        </w:rPr>
        <w:t>transport</w:t>
      </w:r>
      <w:r w:rsidR="00882237">
        <w:rPr>
          <w:lang w:val="en"/>
        </w:rPr>
        <w:t>.  U</w:t>
      </w:r>
      <w:r w:rsidRPr="00800855">
        <w:rPr>
          <w:lang w:val="en"/>
        </w:rPr>
        <w:t>nderlying this overall</w:t>
      </w:r>
      <w:r>
        <w:rPr>
          <w:lang w:val="en"/>
        </w:rPr>
        <w:t xml:space="preserve"> growth wa</w:t>
      </w:r>
      <w:r w:rsidRPr="00800855">
        <w:rPr>
          <w:lang w:val="en"/>
        </w:rPr>
        <w:t>s a particularly</w:t>
      </w:r>
      <w:r>
        <w:rPr>
          <w:lang w:val="en"/>
        </w:rPr>
        <w:t xml:space="preserve"> volatile</w:t>
      </w:r>
      <w:r w:rsidRPr="00800855">
        <w:rPr>
          <w:lang w:val="en"/>
        </w:rPr>
        <w:t xml:space="preserve"> </w:t>
      </w:r>
      <w:r w:rsidR="00981027">
        <w:rPr>
          <w:lang w:val="en"/>
        </w:rPr>
        <w:t>spending</w:t>
      </w:r>
      <w:r w:rsidR="005969AC">
        <w:rPr>
          <w:lang w:val="en"/>
        </w:rPr>
        <w:t xml:space="preserve"> profile from 2008</w:t>
      </w:r>
      <w:r w:rsidR="005969AC" w:rsidRPr="006B456E">
        <w:noBreakHyphen/>
      </w:r>
      <w:r w:rsidRPr="00800855">
        <w:rPr>
          <w:lang w:val="en"/>
        </w:rPr>
        <w:t xml:space="preserve">09 </w:t>
      </w:r>
      <w:r>
        <w:rPr>
          <w:lang w:val="en"/>
        </w:rPr>
        <w:t>onwards</w:t>
      </w:r>
      <w:r w:rsidR="00973266">
        <w:rPr>
          <w:lang w:val="en"/>
        </w:rPr>
        <w:t>.</w:t>
      </w:r>
    </w:p>
    <w:p w:rsidR="005A7020" w:rsidRDefault="005A7020" w:rsidP="005A7020">
      <w:pPr>
        <w:pStyle w:val="PBOtext"/>
        <w:rPr>
          <w:lang w:val="en"/>
        </w:rPr>
      </w:pPr>
      <w:r w:rsidRPr="00800855">
        <w:rPr>
          <w:lang w:val="en"/>
        </w:rPr>
        <w:t xml:space="preserve">Much of this volatility can be attributed to fiscal stimulus spending, the </w:t>
      </w:r>
      <w:r w:rsidR="006867F7">
        <w:rPr>
          <w:lang w:val="en"/>
        </w:rPr>
        <w:t xml:space="preserve">introduction of the CPM and </w:t>
      </w:r>
      <w:r w:rsidRPr="00800855">
        <w:rPr>
          <w:lang w:val="en"/>
        </w:rPr>
        <w:t xml:space="preserve">fluctuations inherent in infrastructure spending.  This volatility was </w:t>
      </w:r>
      <w:r w:rsidR="00F31360">
        <w:rPr>
          <w:lang w:val="en"/>
        </w:rPr>
        <w:t>also due to</w:t>
      </w:r>
      <w:r w:rsidRPr="00800855">
        <w:rPr>
          <w:lang w:val="en"/>
        </w:rPr>
        <w:t xml:space="preserve"> government decisions to change the funding profile for various infrastructure projects during the period.</w:t>
      </w:r>
    </w:p>
    <w:p w:rsidR="005A7020" w:rsidRDefault="00134D4A" w:rsidP="005A7020">
      <w:pPr>
        <w:pStyle w:val="PBOtext"/>
        <w:rPr>
          <w:lang w:val="en"/>
        </w:rPr>
      </w:pPr>
      <w:r>
        <w:rPr>
          <w:lang w:val="en"/>
        </w:rPr>
        <w:t>Figure</w:t>
      </w:r>
      <w:r w:rsidR="00973266">
        <w:rPr>
          <w:lang w:val="en"/>
        </w:rPr>
        <w:t> </w:t>
      </w:r>
      <w:r>
        <w:rPr>
          <w:lang w:val="en"/>
        </w:rPr>
        <w:t>9</w:t>
      </w:r>
      <w:r w:rsidR="005A7020">
        <w:rPr>
          <w:lang w:val="en"/>
        </w:rPr>
        <w:t>.2</w:t>
      </w:r>
      <w:r w:rsidR="005A7020" w:rsidRPr="002D4893">
        <w:rPr>
          <w:lang w:val="en"/>
        </w:rPr>
        <w:t xml:space="preserve"> shows the cumulative growth in spending on community amenities and infrastructure.</w:t>
      </w:r>
    </w:p>
    <w:p w:rsidR="006F3F42" w:rsidRDefault="006F3F42" w:rsidP="007A4A40">
      <w:pPr>
        <w:pStyle w:val="Caption"/>
      </w:pPr>
      <w:bookmarkStart w:id="220" w:name="_Toc373422189"/>
      <w:bookmarkStart w:id="221" w:name="_Toc373873667"/>
      <w:bookmarkStart w:id="222" w:name="_Toc373955570"/>
      <w:bookmarkStart w:id="223" w:name="_Toc374088511"/>
      <w:bookmarkStart w:id="224" w:name="_Toc374102225"/>
      <w:bookmarkStart w:id="225" w:name="_Toc374350007"/>
      <w:proofErr w:type="gramStart"/>
      <w:r w:rsidRPr="004236EB">
        <w:t xml:space="preserve">Figure </w:t>
      </w:r>
      <w:r w:rsidR="00134D4A">
        <w:t>9</w:t>
      </w:r>
      <w:r w:rsidRPr="004236EB">
        <w:t>.</w:t>
      </w:r>
      <w:proofErr w:type="gramEnd"/>
      <w:r w:rsidR="00143AAD">
        <w:fldChar w:fldCharType="begin"/>
      </w:r>
      <w:r w:rsidR="00143AAD">
        <w:instrText xml:space="preserve"> SEQ Figure \* ARABIC \s 1 </w:instrText>
      </w:r>
      <w:r w:rsidR="00143AAD">
        <w:fldChar w:fldCharType="separate"/>
      </w:r>
      <w:r w:rsidR="00E862AC">
        <w:rPr>
          <w:noProof/>
        </w:rPr>
        <w:t>2</w:t>
      </w:r>
      <w:r w:rsidR="00143AAD">
        <w:rPr>
          <w:noProof/>
        </w:rPr>
        <w:fldChar w:fldCharType="end"/>
      </w:r>
      <w:r w:rsidRPr="004236EB">
        <w:t>:</w:t>
      </w:r>
      <w:r w:rsidR="00773778">
        <w:tab/>
      </w:r>
      <w:r w:rsidRPr="004236EB">
        <w:t xml:space="preserve">Contributions to growth in community amenities and infrastructure </w:t>
      </w:r>
      <w:r w:rsidR="008A1BDB" w:rsidRPr="004236EB">
        <w:t>expenses</w:t>
      </w:r>
      <w:bookmarkEnd w:id="220"/>
      <w:bookmarkEnd w:id="221"/>
      <w:bookmarkEnd w:id="222"/>
      <w:bookmarkEnd w:id="223"/>
      <w:bookmarkEnd w:id="224"/>
      <w:bookmarkEnd w:id="225"/>
    </w:p>
    <w:p w:rsidR="006C4016" w:rsidRDefault="00046F40" w:rsidP="005D136C">
      <w:pPr>
        <w:pStyle w:val="FigureCaption"/>
        <w:spacing w:after="0"/>
        <w:jc w:val="center"/>
      </w:pPr>
      <w:r>
        <w:rPr>
          <w:noProof/>
        </w:rPr>
        <w:drawing>
          <wp:inline distT="0" distB="0" distL="0" distR="0" wp14:anchorId="4C6DDD04" wp14:editId="2DC4C237">
            <wp:extent cx="5402239" cy="3587750"/>
            <wp:effectExtent l="0" t="0" r="8255" b="0"/>
            <wp:docPr id="90" name="Picture 90" descr="This chart shows that real community amenities and infrastructure expenses grew faster than real GDP over the period 2002–03 to 2012–13.  It highlights that the largest contribution to this growth came from environment protection.  It also highlights the strong contribution to growth from fiscal stimulus measures for housing and road and rail transport infrastructure over the period 2008–09 to 2011–12." title="Fig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2">
                      <a:extLst>
                        <a:ext uri="{28A0092B-C50C-407E-A947-70E740481C1C}">
                          <a14:useLocalDpi xmlns:a14="http://schemas.microsoft.com/office/drawing/2010/main" val="0"/>
                        </a:ext>
                      </a:extLst>
                    </a:blip>
                    <a:srcRect t="1377" b="1377"/>
                    <a:stretch/>
                  </pic:blipFill>
                  <pic:spPr bwMode="auto">
                    <a:xfrm>
                      <a:off x="0" y="0"/>
                      <a:ext cx="5401310" cy="3587133"/>
                    </a:xfrm>
                    <a:prstGeom prst="rect">
                      <a:avLst/>
                    </a:prstGeom>
                    <a:noFill/>
                    <a:ln>
                      <a:noFill/>
                    </a:ln>
                    <a:extLst>
                      <a:ext uri="{53640926-AAD7-44D8-BBD7-CCE9431645EC}">
                        <a14:shadowObscured xmlns:a14="http://schemas.microsoft.com/office/drawing/2010/main"/>
                      </a:ext>
                    </a:extLst>
                  </pic:spPr>
                </pic:pic>
              </a:graphicData>
            </a:graphic>
          </wp:inline>
        </w:drawing>
      </w:r>
    </w:p>
    <w:p w:rsidR="00973266" w:rsidRDefault="006F3F42" w:rsidP="003D676E">
      <w:pPr>
        <w:pStyle w:val="FigureCaption"/>
        <w:rPr>
          <w:lang w:val="en"/>
        </w:rPr>
      </w:pPr>
      <w:r>
        <w:t>Source</w:t>
      </w:r>
      <w:r w:rsidR="00B132DA">
        <w:t>s</w:t>
      </w:r>
      <w:r>
        <w:t xml:space="preserve">: </w:t>
      </w:r>
      <w:r>
        <w:rPr>
          <w:rFonts w:eastAsia="MS PGothic"/>
        </w:rPr>
        <w:t xml:space="preserve">Australian </w:t>
      </w:r>
      <w:r w:rsidRPr="0041748B">
        <w:rPr>
          <w:rFonts w:eastAsia="MS PGothic"/>
        </w:rPr>
        <w:t xml:space="preserve">Government </w:t>
      </w:r>
      <w:r>
        <w:rPr>
          <w:rFonts w:eastAsia="MS PGothic"/>
        </w:rPr>
        <w:t xml:space="preserve">Final Budget Outcomes and </w:t>
      </w:r>
      <w:r>
        <w:t>ABS</w:t>
      </w:r>
      <w:r w:rsidR="00973266">
        <w:rPr>
          <w:lang w:val="en"/>
        </w:rPr>
        <w:br w:type="page"/>
      </w:r>
    </w:p>
    <w:p w:rsidR="00520C45" w:rsidRPr="00FC044B" w:rsidRDefault="00721EAC" w:rsidP="005452EA">
      <w:pPr>
        <w:pStyle w:val="PBOtext"/>
        <w:rPr>
          <w:lang w:val="en"/>
        </w:rPr>
      </w:pPr>
      <w:r>
        <w:rPr>
          <w:lang w:val="en"/>
        </w:rPr>
        <w:lastRenderedPageBreak/>
        <w:t>F</w:t>
      </w:r>
      <w:r w:rsidR="005452EA" w:rsidRPr="002D4893">
        <w:rPr>
          <w:lang w:val="en"/>
        </w:rPr>
        <w:t xml:space="preserve">iscal stimulus </w:t>
      </w:r>
      <w:r>
        <w:rPr>
          <w:lang w:val="en"/>
        </w:rPr>
        <w:t>measures were</w:t>
      </w:r>
      <w:r w:rsidR="005452EA" w:rsidRPr="002D4893">
        <w:rPr>
          <w:lang w:val="en"/>
        </w:rPr>
        <w:t xml:space="preserve"> responsible for driving the strong growth in spending on community ameni</w:t>
      </w:r>
      <w:r w:rsidR="005969AC">
        <w:rPr>
          <w:lang w:val="en"/>
        </w:rPr>
        <w:t>ties and infrastructure in 2008</w:t>
      </w:r>
      <w:r w:rsidR="005969AC" w:rsidRPr="006B456E">
        <w:noBreakHyphen/>
      </w:r>
      <w:r w:rsidR="005452EA" w:rsidRPr="002D4893">
        <w:rPr>
          <w:lang w:val="en"/>
        </w:rPr>
        <w:t>09 and 2009</w:t>
      </w:r>
      <w:r w:rsidR="005969AC" w:rsidRPr="006B456E">
        <w:noBreakHyphen/>
      </w:r>
      <w:r w:rsidR="005452EA" w:rsidRPr="002D4893">
        <w:rPr>
          <w:lang w:val="en"/>
        </w:rPr>
        <w:t>10.</w:t>
      </w:r>
      <w:r w:rsidR="00B06DC3">
        <w:rPr>
          <w:lang w:val="en"/>
        </w:rPr>
        <w:t xml:space="preserve"> </w:t>
      </w:r>
      <w:r w:rsidR="005452EA" w:rsidRPr="002D4893">
        <w:rPr>
          <w:lang w:val="en"/>
        </w:rPr>
        <w:t xml:space="preserve"> The majority of </w:t>
      </w:r>
      <w:r>
        <w:rPr>
          <w:lang w:val="en"/>
        </w:rPr>
        <w:t>this temporary</w:t>
      </w:r>
      <w:r w:rsidR="005452EA" w:rsidRPr="002D4893">
        <w:rPr>
          <w:lang w:val="en"/>
        </w:rPr>
        <w:t xml:space="preserve"> spending was </w:t>
      </w:r>
      <w:r>
        <w:rPr>
          <w:lang w:val="en"/>
        </w:rPr>
        <w:t>funding</w:t>
      </w:r>
      <w:r w:rsidR="005452EA" w:rsidRPr="002D4893">
        <w:rPr>
          <w:lang w:val="en"/>
        </w:rPr>
        <w:t xml:space="preserve"> to </w:t>
      </w:r>
      <w:r w:rsidR="005452EA" w:rsidRPr="00FC044B">
        <w:rPr>
          <w:lang w:val="en"/>
        </w:rPr>
        <w:t>the States fo</w:t>
      </w:r>
      <w:r w:rsidR="00347B22" w:rsidRPr="00FC044B">
        <w:rPr>
          <w:lang w:val="en"/>
        </w:rPr>
        <w:t>r the First Home Owner</w:t>
      </w:r>
      <w:r w:rsidR="00B06DC3" w:rsidRPr="00FC044B">
        <w:rPr>
          <w:lang w:val="en"/>
        </w:rPr>
        <w:t>s</w:t>
      </w:r>
      <w:r w:rsidR="00347B22" w:rsidRPr="00FC044B">
        <w:rPr>
          <w:lang w:val="en"/>
        </w:rPr>
        <w:t xml:space="preserve"> Boost,</w:t>
      </w:r>
      <w:r w:rsidR="005452EA" w:rsidRPr="00FC044B">
        <w:rPr>
          <w:lang w:val="en"/>
        </w:rPr>
        <w:t xml:space="preserve"> social housing and </w:t>
      </w:r>
      <w:r w:rsidR="00347B22" w:rsidRPr="00FC044B">
        <w:rPr>
          <w:lang w:val="en"/>
        </w:rPr>
        <w:t>initiatives to address homelessness</w:t>
      </w:r>
      <w:r w:rsidR="00AD4CBF" w:rsidRPr="00FC044B">
        <w:rPr>
          <w:lang w:val="en"/>
        </w:rPr>
        <w:t>,</w:t>
      </w:r>
      <w:r w:rsidR="00347B22" w:rsidRPr="00FC044B">
        <w:rPr>
          <w:lang w:val="en"/>
        </w:rPr>
        <w:t xml:space="preserve"> along with additional </w:t>
      </w:r>
      <w:proofErr w:type="spellStart"/>
      <w:r w:rsidR="005452EA" w:rsidRPr="00FC044B">
        <w:rPr>
          <w:lang w:val="en"/>
        </w:rPr>
        <w:t>Defence</w:t>
      </w:r>
      <w:proofErr w:type="spellEnd"/>
      <w:r w:rsidR="005452EA" w:rsidRPr="00FC044B">
        <w:rPr>
          <w:lang w:val="en"/>
        </w:rPr>
        <w:t xml:space="preserve"> </w:t>
      </w:r>
      <w:r w:rsidR="00347B22" w:rsidRPr="00FC044B">
        <w:rPr>
          <w:lang w:val="en"/>
        </w:rPr>
        <w:t>Housing Australia</w:t>
      </w:r>
      <w:r w:rsidR="00973266" w:rsidRPr="00FC044B">
        <w:rPr>
          <w:lang w:val="en"/>
        </w:rPr>
        <w:t xml:space="preserve"> dwellings.</w:t>
      </w:r>
    </w:p>
    <w:p w:rsidR="005452EA" w:rsidRPr="00FC044B" w:rsidRDefault="005452EA" w:rsidP="005452EA">
      <w:pPr>
        <w:pStyle w:val="PBOtext"/>
        <w:rPr>
          <w:lang w:val="en"/>
        </w:rPr>
      </w:pPr>
      <w:r w:rsidRPr="00FC044B">
        <w:rPr>
          <w:lang w:val="en"/>
        </w:rPr>
        <w:t xml:space="preserve">Fiscal </w:t>
      </w:r>
      <w:r w:rsidR="00520C45" w:rsidRPr="00FC044B">
        <w:rPr>
          <w:lang w:val="en"/>
        </w:rPr>
        <w:t>s</w:t>
      </w:r>
      <w:r w:rsidR="00B06DC3" w:rsidRPr="00FC044B">
        <w:rPr>
          <w:lang w:val="en"/>
        </w:rPr>
        <w:t>timulus spending on housing was</w:t>
      </w:r>
      <w:r w:rsidRPr="00FC044B">
        <w:rPr>
          <w:lang w:val="en"/>
        </w:rPr>
        <w:t xml:space="preserve"> $1.</w:t>
      </w:r>
      <w:r w:rsidR="006867F7" w:rsidRPr="00FC044B">
        <w:rPr>
          <w:lang w:val="en"/>
        </w:rPr>
        <w:t>5</w:t>
      </w:r>
      <w:r w:rsidR="00973266" w:rsidRPr="00FC044B">
        <w:rPr>
          <w:lang w:val="en"/>
        </w:rPr>
        <w:t> </w:t>
      </w:r>
      <w:r w:rsidRPr="00FC044B">
        <w:rPr>
          <w:lang w:val="en"/>
        </w:rPr>
        <w:t>billion in 2008</w:t>
      </w:r>
      <w:r w:rsidR="005969AC" w:rsidRPr="00FC044B">
        <w:noBreakHyphen/>
      </w:r>
      <w:r w:rsidRPr="00FC044B">
        <w:rPr>
          <w:lang w:val="en"/>
        </w:rPr>
        <w:t>0</w:t>
      </w:r>
      <w:r w:rsidR="006867F7" w:rsidRPr="00FC044B">
        <w:rPr>
          <w:lang w:val="en"/>
        </w:rPr>
        <w:t>9, $5.3</w:t>
      </w:r>
      <w:r w:rsidR="00973266" w:rsidRPr="00FC044B">
        <w:rPr>
          <w:lang w:val="en"/>
        </w:rPr>
        <w:t> </w:t>
      </w:r>
      <w:r w:rsidR="006867F7" w:rsidRPr="00FC044B">
        <w:rPr>
          <w:lang w:val="en"/>
        </w:rPr>
        <w:t>billion in 2009</w:t>
      </w:r>
      <w:r w:rsidR="005969AC" w:rsidRPr="00FC044B">
        <w:noBreakHyphen/>
      </w:r>
      <w:r w:rsidR="006867F7" w:rsidRPr="00FC044B">
        <w:rPr>
          <w:lang w:val="en"/>
        </w:rPr>
        <w:t>10, $1.5</w:t>
      </w:r>
      <w:r w:rsidR="00973266" w:rsidRPr="00FC044B">
        <w:rPr>
          <w:lang w:val="en"/>
        </w:rPr>
        <w:t> </w:t>
      </w:r>
      <w:r w:rsidR="006867F7" w:rsidRPr="00FC044B">
        <w:rPr>
          <w:lang w:val="en"/>
        </w:rPr>
        <w:t>billion in 2010</w:t>
      </w:r>
      <w:r w:rsidR="005969AC" w:rsidRPr="00FC044B">
        <w:noBreakHyphen/>
      </w:r>
      <w:r w:rsidR="006867F7" w:rsidRPr="00FC044B">
        <w:rPr>
          <w:lang w:val="en"/>
        </w:rPr>
        <w:t>11 and $0.2</w:t>
      </w:r>
      <w:r w:rsidR="00973266" w:rsidRPr="00FC044B">
        <w:rPr>
          <w:lang w:val="en"/>
        </w:rPr>
        <w:t> </w:t>
      </w:r>
      <w:r w:rsidR="005969AC" w:rsidRPr="00FC044B">
        <w:rPr>
          <w:lang w:val="en"/>
        </w:rPr>
        <w:t>billion in 2011</w:t>
      </w:r>
      <w:r w:rsidR="005969AC" w:rsidRPr="00FC044B">
        <w:noBreakHyphen/>
      </w:r>
      <w:r w:rsidR="003D2864">
        <w:rPr>
          <w:lang w:val="en"/>
        </w:rPr>
        <w:t>12.</w:t>
      </w:r>
    </w:p>
    <w:p w:rsidR="001A147C" w:rsidRDefault="00520C45" w:rsidP="001A147C">
      <w:pPr>
        <w:rPr>
          <w:lang w:val="en"/>
        </w:rPr>
      </w:pPr>
      <w:r w:rsidRPr="00FC044B">
        <w:rPr>
          <w:lang w:val="en"/>
        </w:rPr>
        <w:t>The remainder of</w:t>
      </w:r>
      <w:r w:rsidR="005452EA" w:rsidRPr="00FC044B">
        <w:rPr>
          <w:lang w:val="en"/>
        </w:rPr>
        <w:t xml:space="preserve"> </w:t>
      </w:r>
      <w:r w:rsidR="00CE0023">
        <w:rPr>
          <w:lang w:val="en"/>
        </w:rPr>
        <w:t xml:space="preserve">the </w:t>
      </w:r>
      <w:r w:rsidR="005452EA" w:rsidRPr="00FC044B">
        <w:rPr>
          <w:lang w:val="en"/>
        </w:rPr>
        <w:t xml:space="preserve">fiscal stimulus was </w:t>
      </w:r>
      <w:r w:rsidRPr="00FC044B">
        <w:rPr>
          <w:lang w:val="en"/>
        </w:rPr>
        <w:t>for</w:t>
      </w:r>
      <w:r w:rsidR="005452EA" w:rsidRPr="00FC044B">
        <w:rPr>
          <w:lang w:val="en"/>
        </w:rPr>
        <w:t xml:space="preserve"> road and rail transport</w:t>
      </w:r>
      <w:r w:rsidR="001A147C" w:rsidRPr="00FC044B">
        <w:rPr>
          <w:lang w:val="en"/>
        </w:rPr>
        <w:t xml:space="preserve">, largely comprising spending from the Building </w:t>
      </w:r>
      <w:r w:rsidR="005452EA" w:rsidRPr="00FC044B">
        <w:rPr>
          <w:lang w:val="en"/>
        </w:rPr>
        <w:t>Australia Fund and the accel</w:t>
      </w:r>
      <w:r w:rsidR="001A147C" w:rsidRPr="00FC044B">
        <w:rPr>
          <w:lang w:val="en"/>
        </w:rPr>
        <w:t>eration of funding</w:t>
      </w:r>
      <w:r w:rsidR="001A147C">
        <w:rPr>
          <w:lang w:val="en"/>
        </w:rPr>
        <w:t xml:space="preserve"> for various </w:t>
      </w:r>
      <w:r w:rsidR="005452EA" w:rsidRPr="002D4893">
        <w:rPr>
          <w:lang w:val="en"/>
        </w:rPr>
        <w:t xml:space="preserve">projects. </w:t>
      </w:r>
      <w:r>
        <w:rPr>
          <w:lang w:val="en"/>
        </w:rPr>
        <w:t xml:space="preserve"> </w:t>
      </w:r>
      <w:r w:rsidR="005452EA" w:rsidRPr="002D4893">
        <w:rPr>
          <w:lang w:val="en"/>
        </w:rPr>
        <w:t>Fiscal stimulus spending on road and rail transport was $1.6</w:t>
      </w:r>
      <w:r w:rsidR="00973266">
        <w:rPr>
          <w:lang w:val="en"/>
        </w:rPr>
        <w:t> </w:t>
      </w:r>
      <w:r w:rsidR="005452EA" w:rsidRPr="002D4893">
        <w:rPr>
          <w:lang w:val="en"/>
        </w:rPr>
        <w:t>billion in 2008</w:t>
      </w:r>
      <w:r w:rsidR="005969AC" w:rsidRPr="006B456E">
        <w:noBreakHyphen/>
      </w:r>
      <w:r w:rsidR="005452EA" w:rsidRPr="002D4893">
        <w:rPr>
          <w:lang w:val="en"/>
        </w:rPr>
        <w:t>09, $1.0</w:t>
      </w:r>
      <w:r w:rsidR="00FF68BD">
        <w:rPr>
          <w:lang w:val="en"/>
        </w:rPr>
        <w:t> </w:t>
      </w:r>
      <w:r w:rsidR="005452EA" w:rsidRPr="002D4893">
        <w:rPr>
          <w:lang w:val="en"/>
        </w:rPr>
        <w:t>billion in 2009</w:t>
      </w:r>
      <w:r w:rsidR="005969AC" w:rsidRPr="006B456E">
        <w:noBreakHyphen/>
      </w:r>
      <w:r w:rsidR="005452EA" w:rsidRPr="002D4893">
        <w:rPr>
          <w:lang w:val="en"/>
        </w:rPr>
        <w:t>10, $0.7</w:t>
      </w:r>
      <w:r w:rsidR="00FF68BD">
        <w:rPr>
          <w:lang w:val="en"/>
        </w:rPr>
        <w:t> </w:t>
      </w:r>
      <w:r w:rsidR="005452EA" w:rsidRPr="002D4893">
        <w:rPr>
          <w:lang w:val="en"/>
        </w:rPr>
        <w:t>billion in 2010</w:t>
      </w:r>
      <w:r w:rsidR="005969AC" w:rsidRPr="006B456E">
        <w:noBreakHyphen/>
      </w:r>
      <w:r w:rsidR="005452EA" w:rsidRPr="002D4893">
        <w:rPr>
          <w:lang w:val="en"/>
        </w:rPr>
        <w:t>11 and $2.0</w:t>
      </w:r>
      <w:r w:rsidR="00FF68BD">
        <w:rPr>
          <w:lang w:val="en"/>
        </w:rPr>
        <w:t> </w:t>
      </w:r>
      <w:r w:rsidR="005969AC">
        <w:rPr>
          <w:lang w:val="en"/>
        </w:rPr>
        <w:t>billion in 2011</w:t>
      </w:r>
      <w:r w:rsidR="005969AC" w:rsidRPr="006B456E">
        <w:noBreakHyphen/>
      </w:r>
      <w:r w:rsidR="003D2864">
        <w:rPr>
          <w:lang w:val="en"/>
        </w:rPr>
        <w:t>12.</w:t>
      </w:r>
    </w:p>
    <w:p w:rsidR="005452EA" w:rsidRDefault="001A147C" w:rsidP="001A147C">
      <w:pPr>
        <w:rPr>
          <w:lang w:val="en"/>
        </w:rPr>
      </w:pPr>
      <w:r>
        <w:rPr>
          <w:lang w:val="en"/>
        </w:rPr>
        <w:fldChar w:fldCharType="begin"/>
      </w:r>
      <w:r>
        <w:rPr>
          <w:lang w:val="en"/>
        </w:rPr>
        <w:instrText xml:space="preserve"> REF _Ref372720496 \h </w:instrText>
      </w:r>
      <w:r>
        <w:rPr>
          <w:lang w:val="en"/>
        </w:rPr>
      </w:r>
      <w:r>
        <w:rPr>
          <w:lang w:val="en"/>
        </w:rPr>
        <w:fldChar w:fldCharType="separate"/>
      </w:r>
      <w:r w:rsidR="00E862AC">
        <w:t xml:space="preserve">Table </w:t>
      </w:r>
      <w:r w:rsidR="00E862AC">
        <w:rPr>
          <w:noProof/>
        </w:rPr>
        <w:t>9</w:t>
      </w:r>
      <w:r w:rsidR="00E862AC">
        <w:t>.</w:t>
      </w:r>
      <w:r w:rsidR="00E862AC">
        <w:rPr>
          <w:noProof/>
        </w:rPr>
        <w:t>1</w:t>
      </w:r>
      <w:r>
        <w:rPr>
          <w:lang w:val="en"/>
        </w:rPr>
        <w:fldChar w:fldCharType="end"/>
      </w:r>
      <w:r>
        <w:rPr>
          <w:lang w:val="en"/>
        </w:rPr>
        <w:t xml:space="preserve"> provides a summary of trends in community amenities and infrastructure spending.</w:t>
      </w:r>
    </w:p>
    <w:p w:rsidR="007D34A7" w:rsidRDefault="007D34A7" w:rsidP="00FD4464">
      <w:pPr>
        <w:pStyle w:val="PBOfiguretableheading"/>
        <w:tabs>
          <w:tab w:val="left" w:pos="1134"/>
        </w:tabs>
      </w:pPr>
      <w:bookmarkStart w:id="226" w:name="_Ref372720496"/>
      <w:bookmarkStart w:id="227" w:name="_Toc373422200"/>
      <w:bookmarkStart w:id="228" w:name="_Toc373873668"/>
      <w:bookmarkStart w:id="229" w:name="_Toc374102226"/>
      <w:bookmarkStart w:id="230" w:name="_Toc374350042"/>
      <w:proofErr w:type="gramStart"/>
      <w:r>
        <w:t xml:space="preserve">Table </w:t>
      </w:r>
      <w:fldSimple w:instr=" STYLEREF 1 \s ">
        <w:r w:rsidR="00E862AC">
          <w:rPr>
            <w:noProof/>
          </w:rPr>
          <w:t>9</w:t>
        </w:r>
      </w:fldSimple>
      <w:r w:rsidR="00935C60">
        <w:t>.</w:t>
      </w:r>
      <w:proofErr w:type="gramEnd"/>
      <w:r w:rsidR="00143AAD">
        <w:fldChar w:fldCharType="begin"/>
      </w:r>
      <w:r w:rsidR="00143AAD">
        <w:instrText xml:space="preserve"> SEQ Table \* ARABIC \s 1 </w:instrText>
      </w:r>
      <w:r w:rsidR="00143AAD">
        <w:fldChar w:fldCharType="separate"/>
      </w:r>
      <w:r w:rsidR="00E862AC">
        <w:rPr>
          <w:noProof/>
        </w:rPr>
        <w:t>1</w:t>
      </w:r>
      <w:r w:rsidR="00143AAD">
        <w:rPr>
          <w:noProof/>
        </w:rPr>
        <w:fldChar w:fldCharType="end"/>
      </w:r>
      <w:bookmarkEnd w:id="226"/>
      <w:r>
        <w:t>:</w:t>
      </w:r>
      <w:r w:rsidR="00773778">
        <w:tab/>
      </w:r>
      <w:r>
        <w:t xml:space="preserve">Summary of community amenities and infrastructure </w:t>
      </w:r>
      <w:r w:rsidR="00F90AF6">
        <w:t>expenses trends</w:t>
      </w:r>
      <w:bookmarkEnd w:id="227"/>
      <w:bookmarkEnd w:id="228"/>
      <w:bookmarkEnd w:id="229"/>
      <w:bookmarkEnd w:id="230"/>
    </w:p>
    <w:tbl>
      <w:tblPr>
        <w:tblStyle w:val="PBOtables"/>
        <w:tblW w:w="8363" w:type="dxa"/>
        <w:tblInd w:w="108" w:type="dxa"/>
        <w:tblLook w:val="04A0" w:firstRow="1" w:lastRow="0" w:firstColumn="1" w:lastColumn="0" w:noHBand="0" w:noVBand="1"/>
      </w:tblPr>
      <w:tblGrid>
        <w:gridCol w:w="3260"/>
        <w:gridCol w:w="1701"/>
        <w:gridCol w:w="1559"/>
        <w:gridCol w:w="1843"/>
      </w:tblGrid>
      <w:tr w:rsidR="0052085B" w:rsidRPr="0052085B" w:rsidTr="0052085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vMerge w:val="restart"/>
            <w:tcBorders>
              <w:top w:val="single" w:sz="8" w:space="0" w:color="2B3B5F"/>
              <w:left w:val="single" w:sz="8" w:space="0" w:color="2B3B5F"/>
              <w:bottom w:val="single" w:sz="8" w:space="0" w:color="2B3B5F"/>
              <w:right w:val="single" w:sz="8" w:space="0" w:color="2B3B5F"/>
            </w:tcBorders>
            <w:shd w:val="clear" w:color="auto" w:fill="95A4C6"/>
            <w:hideMark/>
          </w:tcPr>
          <w:p w:rsidR="00B03C5A" w:rsidRPr="0052085B" w:rsidRDefault="00B03C5A" w:rsidP="00ED3F68">
            <w:pPr>
              <w:spacing w:before="0" w:after="0"/>
              <w:rPr>
                <w:rFonts w:asciiTheme="minorHAnsi" w:eastAsia="Times New Roman" w:hAnsiTheme="minorHAnsi"/>
                <w:bCs/>
                <w:color w:val="auto"/>
                <w:sz w:val="18"/>
                <w:szCs w:val="18"/>
              </w:rPr>
            </w:pPr>
            <w:r w:rsidRPr="0052085B">
              <w:rPr>
                <w:rFonts w:asciiTheme="minorHAnsi" w:eastAsia="Times New Roman" w:hAnsiTheme="minorHAnsi"/>
                <w:bCs/>
                <w:color w:val="auto"/>
                <w:sz w:val="18"/>
                <w:szCs w:val="18"/>
              </w:rPr>
              <w:t>Category</w:t>
            </w:r>
          </w:p>
        </w:tc>
        <w:tc>
          <w:tcPr>
            <w:tcW w:w="1701" w:type="dxa"/>
            <w:vMerge w:val="restart"/>
            <w:tcBorders>
              <w:top w:val="single" w:sz="8" w:space="0" w:color="2B3B5F"/>
              <w:left w:val="single" w:sz="8" w:space="0" w:color="2B3B5F"/>
              <w:bottom w:val="single" w:sz="8" w:space="0" w:color="2B3B5F"/>
              <w:right w:val="single" w:sz="8" w:space="0" w:color="2B3B5F"/>
            </w:tcBorders>
            <w:shd w:val="clear" w:color="auto" w:fill="95A4C6"/>
            <w:hideMark/>
          </w:tcPr>
          <w:p w:rsidR="00B03C5A" w:rsidRPr="0052085B" w:rsidRDefault="0041751A" w:rsidP="00ED3F68">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color w:val="auto"/>
                <w:sz w:val="18"/>
                <w:szCs w:val="18"/>
              </w:rPr>
            </w:pPr>
            <w:r w:rsidRPr="0052085B">
              <w:rPr>
                <w:color w:val="auto"/>
                <w:sz w:val="18"/>
                <w:szCs w:val="18"/>
              </w:rPr>
              <w:t>Share of</w:t>
            </w:r>
            <w:r w:rsidRPr="0052085B">
              <w:rPr>
                <w:color w:val="auto"/>
                <w:sz w:val="18"/>
                <w:szCs w:val="18"/>
              </w:rPr>
              <w:br/>
            </w:r>
            <w:r w:rsidR="004C7FEB" w:rsidRPr="0052085B">
              <w:rPr>
                <w:color w:val="auto"/>
                <w:sz w:val="18"/>
                <w:szCs w:val="18"/>
              </w:rPr>
              <w:t>2012-13 total</w:t>
            </w:r>
          </w:p>
        </w:tc>
        <w:tc>
          <w:tcPr>
            <w:tcW w:w="3402" w:type="dxa"/>
            <w:gridSpan w:val="2"/>
            <w:tcBorders>
              <w:top w:val="single" w:sz="8" w:space="0" w:color="2B3B5F"/>
              <w:left w:val="single" w:sz="8" w:space="0" w:color="2B3B5F"/>
              <w:bottom w:val="single" w:sz="8" w:space="0" w:color="2B3B5F"/>
              <w:right w:val="single" w:sz="8" w:space="0" w:color="2B3B5F"/>
            </w:tcBorders>
            <w:shd w:val="clear" w:color="auto" w:fill="95A4C6"/>
            <w:hideMark/>
          </w:tcPr>
          <w:p w:rsidR="00B03C5A" w:rsidRPr="0052085B" w:rsidRDefault="00B03C5A" w:rsidP="00ED3F68">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color w:val="auto"/>
                <w:sz w:val="18"/>
                <w:szCs w:val="18"/>
              </w:rPr>
            </w:pPr>
            <w:r w:rsidRPr="0052085B">
              <w:rPr>
                <w:rFonts w:asciiTheme="minorHAnsi" w:eastAsia="Times New Roman" w:hAnsiTheme="minorHAnsi"/>
                <w:bCs/>
                <w:color w:val="auto"/>
                <w:sz w:val="18"/>
                <w:szCs w:val="18"/>
              </w:rPr>
              <w:t>Real spending growth 2002-03 to 2012-13</w:t>
            </w:r>
          </w:p>
        </w:tc>
      </w:tr>
      <w:tr w:rsidR="0052085B" w:rsidRPr="0052085B" w:rsidTr="005208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vMerge/>
            <w:tcBorders>
              <w:top w:val="single" w:sz="8" w:space="0" w:color="2B3B5F"/>
              <w:left w:val="single" w:sz="8" w:space="0" w:color="2B3B5F"/>
              <w:bottom w:val="single" w:sz="8" w:space="0" w:color="2B3B5F"/>
              <w:right w:val="single" w:sz="8" w:space="0" w:color="2B3B5F"/>
            </w:tcBorders>
            <w:shd w:val="clear" w:color="auto" w:fill="95A4C6"/>
            <w:hideMark/>
          </w:tcPr>
          <w:p w:rsidR="00B03C5A" w:rsidRPr="0052085B" w:rsidRDefault="00B03C5A" w:rsidP="00ED3F68">
            <w:pPr>
              <w:spacing w:before="0" w:after="0"/>
              <w:jc w:val="center"/>
              <w:rPr>
                <w:rFonts w:asciiTheme="minorHAnsi" w:eastAsia="Times New Roman" w:hAnsiTheme="minorHAnsi"/>
                <w:bCs/>
                <w:sz w:val="18"/>
                <w:szCs w:val="18"/>
              </w:rPr>
            </w:pPr>
          </w:p>
        </w:tc>
        <w:tc>
          <w:tcPr>
            <w:tcW w:w="1701" w:type="dxa"/>
            <w:vMerge/>
            <w:tcBorders>
              <w:top w:val="single" w:sz="8" w:space="0" w:color="2B3B5F"/>
              <w:left w:val="single" w:sz="8" w:space="0" w:color="2B3B5F"/>
              <w:bottom w:val="single" w:sz="8" w:space="0" w:color="2B3B5F"/>
              <w:right w:val="single" w:sz="8" w:space="0" w:color="2B3B5F"/>
            </w:tcBorders>
            <w:shd w:val="clear" w:color="auto" w:fill="95A4C6"/>
            <w:hideMark/>
          </w:tcPr>
          <w:p w:rsidR="00B03C5A" w:rsidRPr="0052085B" w:rsidRDefault="00B03C5A" w:rsidP="00ED3F68">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rPr>
            </w:pPr>
          </w:p>
        </w:tc>
        <w:tc>
          <w:tcPr>
            <w:tcW w:w="1559" w:type="dxa"/>
            <w:tcBorders>
              <w:top w:val="single" w:sz="8" w:space="0" w:color="2B3B5F"/>
              <w:left w:val="single" w:sz="8" w:space="0" w:color="2B3B5F"/>
              <w:bottom w:val="single" w:sz="8" w:space="0" w:color="2B3B5F"/>
              <w:right w:val="single" w:sz="8" w:space="0" w:color="2B3B5F"/>
            </w:tcBorders>
            <w:shd w:val="clear" w:color="auto" w:fill="95A4C6"/>
            <w:hideMark/>
          </w:tcPr>
          <w:p w:rsidR="00B03C5A" w:rsidRPr="0052085B" w:rsidRDefault="00B03C5A" w:rsidP="00ED3F68">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rPr>
            </w:pPr>
            <w:r w:rsidRPr="0052085B">
              <w:rPr>
                <w:rFonts w:asciiTheme="minorHAnsi" w:eastAsia="Times New Roman" w:hAnsiTheme="minorHAnsi"/>
                <w:b/>
                <w:bCs/>
                <w:sz w:val="18"/>
                <w:szCs w:val="18"/>
              </w:rPr>
              <w:t>Annual growth</w:t>
            </w:r>
          </w:p>
        </w:tc>
        <w:tc>
          <w:tcPr>
            <w:tcW w:w="1843" w:type="dxa"/>
            <w:tcBorders>
              <w:top w:val="single" w:sz="8" w:space="0" w:color="2B3B5F"/>
              <w:left w:val="single" w:sz="8" w:space="0" w:color="2B3B5F"/>
              <w:bottom w:val="single" w:sz="8" w:space="0" w:color="2B3B5F"/>
              <w:right w:val="single" w:sz="8" w:space="0" w:color="2B3B5F"/>
            </w:tcBorders>
            <w:shd w:val="clear" w:color="auto" w:fill="95A4C6"/>
            <w:hideMark/>
          </w:tcPr>
          <w:p w:rsidR="00B03C5A" w:rsidRPr="0052085B" w:rsidRDefault="00B03C5A" w:rsidP="0041751A">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rPr>
            </w:pPr>
            <w:r w:rsidRPr="0052085B">
              <w:rPr>
                <w:rFonts w:asciiTheme="minorHAnsi" w:eastAsia="Times New Roman" w:hAnsiTheme="minorHAnsi"/>
                <w:b/>
                <w:bCs/>
                <w:sz w:val="18"/>
                <w:szCs w:val="18"/>
              </w:rPr>
              <w:t>Contribution to</w:t>
            </w:r>
            <w:r w:rsidR="0041751A" w:rsidRPr="0052085B">
              <w:rPr>
                <w:rFonts w:asciiTheme="minorHAnsi" w:eastAsia="Times New Roman" w:hAnsiTheme="minorHAnsi"/>
                <w:b/>
                <w:bCs/>
                <w:sz w:val="18"/>
                <w:szCs w:val="18"/>
              </w:rPr>
              <w:br/>
            </w:r>
            <w:r w:rsidRPr="0052085B">
              <w:rPr>
                <w:rFonts w:asciiTheme="minorHAnsi" w:eastAsia="Times New Roman" w:hAnsiTheme="minorHAnsi"/>
                <w:b/>
                <w:bCs/>
                <w:sz w:val="18"/>
                <w:szCs w:val="18"/>
              </w:rPr>
              <w:t>total growth</w:t>
            </w:r>
          </w:p>
        </w:tc>
      </w:tr>
      <w:tr w:rsidR="005A7020" w:rsidRPr="00B03C5A" w:rsidTr="0052085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tcBorders>
              <w:top w:val="single" w:sz="8" w:space="0" w:color="2B3B5F"/>
              <w:left w:val="single" w:sz="8" w:space="0" w:color="2B3B5F"/>
              <w:bottom w:val="single" w:sz="8" w:space="0" w:color="2B3B5F"/>
              <w:right w:val="single" w:sz="8" w:space="0" w:color="2B3B5F"/>
            </w:tcBorders>
            <w:shd w:val="clear" w:color="auto" w:fill="D7DDE9"/>
            <w:hideMark/>
          </w:tcPr>
          <w:p w:rsidR="005A7020" w:rsidRPr="006054A8" w:rsidRDefault="00B03C5A" w:rsidP="0052085B">
            <w:pPr>
              <w:spacing w:before="0" w:after="0"/>
              <w:ind w:left="57"/>
              <w:rPr>
                <w:rFonts w:asciiTheme="minorHAnsi" w:eastAsia="Times New Roman" w:hAnsiTheme="minorHAnsi"/>
                <w:bCs/>
                <w:color w:val="000000"/>
                <w:sz w:val="18"/>
                <w:szCs w:val="18"/>
              </w:rPr>
            </w:pPr>
            <w:r w:rsidRPr="006054A8">
              <w:rPr>
                <w:rFonts w:asciiTheme="minorHAnsi" w:eastAsia="Times New Roman" w:hAnsiTheme="minorHAnsi"/>
                <w:bCs/>
                <w:color w:val="000000"/>
                <w:sz w:val="18"/>
                <w:szCs w:val="18"/>
              </w:rPr>
              <w:t>Unit</w:t>
            </w:r>
          </w:p>
        </w:tc>
        <w:tc>
          <w:tcPr>
            <w:tcW w:w="1701" w:type="dxa"/>
            <w:tcBorders>
              <w:top w:val="single" w:sz="8" w:space="0" w:color="2B3B5F"/>
              <w:left w:val="single" w:sz="8" w:space="0" w:color="2B3B5F"/>
              <w:bottom w:val="single" w:sz="8" w:space="0" w:color="2B3B5F"/>
              <w:right w:val="single" w:sz="8" w:space="0" w:color="2B3B5F"/>
            </w:tcBorders>
            <w:shd w:val="clear" w:color="auto" w:fill="D7DDE9"/>
            <w:hideMark/>
          </w:tcPr>
          <w:p w:rsidR="005A7020" w:rsidRPr="006054A8" w:rsidRDefault="005A7020" w:rsidP="0052085B">
            <w:pPr>
              <w:spacing w:before="0" w:after="0"/>
              <w:ind w:right="227"/>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color w:val="000000"/>
                <w:sz w:val="18"/>
                <w:szCs w:val="18"/>
              </w:rPr>
            </w:pPr>
            <w:r w:rsidRPr="006054A8">
              <w:rPr>
                <w:rFonts w:asciiTheme="minorHAnsi" w:eastAsia="Times New Roman" w:hAnsiTheme="minorHAnsi"/>
                <w:b/>
                <w:color w:val="000000"/>
                <w:sz w:val="18"/>
                <w:szCs w:val="18"/>
              </w:rPr>
              <w:t>%</w:t>
            </w:r>
          </w:p>
        </w:tc>
        <w:tc>
          <w:tcPr>
            <w:tcW w:w="1559" w:type="dxa"/>
            <w:tcBorders>
              <w:top w:val="single" w:sz="8" w:space="0" w:color="2B3B5F"/>
              <w:left w:val="single" w:sz="8" w:space="0" w:color="2B3B5F"/>
              <w:bottom w:val="single" w:sz="8" w:space="0" w:color="2B3B5F"/>
              <w:right w:val="single" w:sz="8" w:space="0" w:color="2B3B5F"/>
            </w:tcBorders>
            <w:shd w:val="clear" w:color="auto" w:fill="D7DDE9"/>
            <w:hideMark/>
          </w:tcPr>
          <w:p w:rsidR="005A7020" w:rsidRPr="006054A8" w:rsidRDefault="005A7020" w:rsidP="0052085B">
            <w:pPr>
              <w:spacing w:before="0" w:after="0"/>
              <w:ind w:right="227"/>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color w:val="000000"/>
                <w:sz w:val="18"/>
                <w:szCs w:val="18"/>
              </w:rPr>
            </w:pPr>
            <w:r w:rsidRPr="006054A8">
              <w:rPr>
                <w:rFonts w:asciiTheme="minorHAnsi" w:eastAsia="Times New Roman" w:hAnsiTheme="minorHAnsi"/>
                <w:b/>
                <w:color w:val="000000"/>
                <w:sz w:val="18"/>
                <w:szCs w:val="18"/>
              </w:rPr>
              <w:t>%</w:t>
            </w:r>
          </w:p>
        </w:tc>
        <w:tc>
          <w:tcPr>
            <w:tcW w:w="1843" w:type="dxa"/>
            <w:tcBorders>
              <w:top w:val="single" w:sz="8" w:space="0" w:color="2B3B5F"/>
              <w:left w:val="single" w:sz="8" w:space="0" w:color="2B3B5F"/>
              <w:bottom w:val="single" w:sz="8" w:space="0" w:color="2B3B5F"/>
              <w:right w:val="single" w:sz="8" w:space="0" w:color="2B3B5F"/>
            </w:tcBorders>
            <w:shd w:val="clear" w:color="auto" w:fill="D7DDE9"/>
            <w:hideMark/>
          </w:tcPr>
          <w:p w:rsidR="005A7020" w:rsidRPr="006054A8" w:rsidRDefault="005A7020" w:rsidP="0052085B">
            <w:pPr>
              <w:spacing w:before="0" w:after="0"/>
              <w:ind w:right="227"/>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color w:val="000000"/>
                <w:sz w:val="18"/>
                <w:szCs w:val="18"/>
              </w:rPr>
            </w:pPr>
            <w:r w:rsidRPr="006054A8">
              <w:rPr>
                <w:rFonts w:asciiTheme="minorHAnsi" w:eastAsia="Times New Roman" w:hAnsiTheme="minorHAnsi"/>
                <w:b/>
                <w:color w:val="000000"/>
                <w:sz w:val="18"/>
                <w:szCs w:val="18"/>
              </w:rPr>
              <w:t>percentage points</w:t>
            </w:r>
          </w:p>
        </w:tc>
      </w:tr>
      <w:tr w:rsidR="0052085B" w:rsidRPr="003F2424" w:rsidTr="005208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tcBorders>
              <w:top w:val="single" w:sz="8" w:space="0" w:color="2B3B5F"/>
              <w:left w:val="single" w:sz="8" w:space="0" w:color="2B3B5F"/>
              <w:right w:val="single" w:sz="8" w:space="0" w:color="2B3B5F"/>
            </w:tcBorders>
            <w:shd w:val="clear" w:color="auto" w:fill="auto"/>
            <w:hideMark/>
          </w:tcPr>
          <w:p w:rsidR="0052085B" w:rsidRPr="0052085B" w:rsidRDefault="0052085B" w:rsidP="0052085B">
            <w:pPr>
              <w:spacing w:before="0" w:after="0"/>
              <w:ind w:left="57"/>
              <w:rPr>
                <w:b w:val="0"/>
                <w:color w:val="000000"/>
                <w:sz w:val="18"/>
                <w:szCs w:val="18"/>
              </w:rPr>
            </w:pPr>
            <w:r w:rsidRPr="0052085B">
              <w:rPr>
                <w:b w:val="0"/>
                <w:color w:val="000000"/>
                <w:sz w:val="18"/>
                <w:szCs w:val="18"/>
              </w:rPr>
              <w:t>Recreation and culture</w:t>
            </w:r>
          </w:p>
        </w:tc>
        <w:tc>
          <w:tcPr>
            <w:tcW w:w="1701" w:type="dxa"/>
            <w:tcBorders>
              <w:top w:val="single" w:sz="8" w:space="0" w:color="2B3B5F"/>
              <w:left w:val="single" w:sz="8" w:space="0" w:color="2B3B5F"/>
              <w:right w:val="single" w:sz="8" w:space="0" w:color="2B3B5F"/>
            </w:tcBorders>
            <w:shd w:val="clear" w:color="auto" w:fill="auto"/>
            <w:noWrap/>
            <w:hideMark/>
          </w:tcPr>
          <w:p w:rsidR="0052085B" w:rsidRPr="0052085B" w:rsidRDefault="0052085B" w:rsidP="0052085B">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52085B">
              <w:rPr>
                <w:color w:val="000000"/>
                <w:sz w:val="18"/>
                <w:szCs w:val="18"/>
              </w:rPr>
              <w:t>23.5</w:t>
            </w:r>
          </w:p>
        </w:tc>
        <w:tc>
          <w:tcPr>
            <w:tcW w:w="1559" w:type="dxa"/>
            <w:tcBorders>
              <w:top w:val="single" w:sz="8" w:space="0" w:color="2B3B5F"/>
              <w:left w:val="single" w:sz="8" w:space="0" w:color="2B3B5F"/>
              <w:right w:val="single" w:sz="8" w:space="0" w:color="2B3B5F"/>
            </w:tcBorders>
            <w:shd w:val="clear" w:color="auto" w:fill="auto"/>
            <w:noWrap/>
            <w:hideMark/>
          </w:tcPr>
          <w:p w:rsidR="0052085B" w:rsidRPr="0052085B" w:rsidRDefault="0052085B" w:rsidP="0052085B">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52085B">
              <w:rPr>
                <w:color w:val="000000"/>
                <w:sz w:val="18"/>
                <w:szCs w:val="18"/>
              </w:rPr>
              <w:t>2.5</w:t>
            </w:r>
          </w:p>
        </w:tc>
        <w:tc>
          <w:tcPr>
            <w:tcW w:w="1843" w:type="dxa"/>
            <w:tcBorders>
              <w:top w:val="single" w:sz="8" w:space="0" w:color="2B3B5F"/>
              <w:left w:val="single" w:sz="8" w:space="0" w:color="2B3B5F"/>
              <w:right w:val="single" w:sz="8" w:space="0" w:color="2B3B5F"/>
            </w:tcBorders>
            <w:shd w:val="clear" w:color="auto" w:fill="auto"/>
            <w:noWrap/>
            <w:hideMark/>
          </w:tcPr>
          <w:p w:rsidR="0052085B" w:rsidRPr="0052085B" w:rsidRDefault="0052085B" w:rsidP="0052085B">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52085B">
              <w:rPr>
                <w:color w:val="000000"/>
                <w:sz w:val="18"/>
                <w:szCs w:val="18"/>
              </w:rPr>
              <w:t>9.4</w:t>
            </w:r>
          </w:p>
        </w:tc>
      </w:tr>
      <w:tr w:rsidR="0052085B" w:rsidRPr="003F2424" w:rsidTr="0052085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tcBorders>
              <w:left w:val="single" w:sz="8" w:space="0" w:color="2B3B5F"/>
              <w:right w:val="single" w:sz="8" w:space="0" w:color="2B3B5F"/>
            </w:tcBorders>
            <w:shd w:val="clear" w:color="auto" w:fill="D7DDE9"/>
            <w:hideMark/>
          </w:tcPr>
          <w:p w:rsidR="0052085B" w:rsidRPr="0052085B" w:rsidRDefault="0052085B" w:rsidP="0052085B">
            <w:pPr>
              <w:spacing w:before="0" w:after="0"/>
              <w:ind w:left="57"/>
              <w:rPr>
                <w:b w:val="0"/>
                <w:color w:val="000000"/>
                <w:sz w:val="18"/>
                <w:szCs w:val="18"/>
              </w:rPr>
            </w:pPr>
            <w:r w:rsidRPr="0052085B">
              <w:rPr>
                <w:b w:val="0"/>
                <w:color w:val="000000"/>
                <w:sz w:val="18"/>
                <w:szCs w:val="18"/>
              </w:rPr>
              <w:t>Road and rail transport</w:t>
            </w:r>
          </w:p>
        </w:tc>
        <w:tc>
          <w:tcPr>
            <w:tcW w:w="1701" w:type="dxa"/>
            <w:tcBorders>
              <w:left w:val="single" w:sz="8" w:space="0" w:color="2B3B5F"/>
              <w:right w:val="single" w:sz="8" w:space="0" w:color="2B3B5F"/>
            </w:tcBorders>
            <w:shd w:val="clear" w:color="auto" w:fill="D7DDE9"/>
            <w:noWrap/>
            <w:hideMark/>
          </w:tcPr>
          <w:p w:rsidR="0052085B" w:rsidRPr="0052085B" w:rsidRDefault="0052085B" w:rsidP="0052085B">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52085B">
              <w:rPr>
                <w:color w:val="000000"/>
                <w:sz w:val="18"/>
                <w:szCs w:val="18"/>
              </w:rPr>
              <w:t>23.0</w:t>
            </w:r>
          </w:p>
        </w:tc>
        <w:tc>
          <w:tcPr>
            <w:tcW w:w="1559" w:type="dxa"/>
            <w:tcBorders>
              <w:left w:val="single" w:sz="8" w:space="0" w:color="2B3B5F"/>
              <w:right w:val="single" w:sz="8" w:space="0" w:color="2B3B5F"/>
            </w:tcBorders>
            <w:shd w:val="clear" w:color="auto" w:fill="D7DDE9"/>
            <w:noWrap/>
            <w:hideMark/>
          </w:tcPr>
          <w:p w:rsidR="0052085B" w:rsidRPr="0052085B" w:rsidRDefault="0052085B" w:rsidP="0052085B">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52085B">
              <w:rPr>
                <w:color w:val="000000"/>
                <w:sz w:val="18"/>
                <w:szCs w:val="18"/>
              </w:rPr>
              <w:t>7.7</w:t>
            </w:r>
          </w:p>
        </w:tc>
        <w:tc>
          <w:tcPr>
            <w:tcW w:w="1843" w:type="dxa"/>
            <w:tcBorders>
              <w:left w:val="single" w:sz="8" w:space="0" w:color="2B3B5F"/>
              <w:right w:val="single" w:sz="8" w:space="0" w:color="2B3B5F"/>
            </w:tcBorders>
            <w:shd w:val="clear" w:color="auto" w:fill="D7DDE9"/>
            <w:noWrap/>
            <w:hideMark/>
          </w:tcPr>
          <w:p w:rsidR="0052085B" w:rsidRPr="0052085B" w:rsidRDefault="0052085B" w:rsidP="0052085B">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52085B">
              <w:rPr>
                <w:color w:val="000000"/>
                <w:sz w:val="18"/>
                <w:szCs w:val="18"/>
              </w:rPr>
              <w:t>22.1</w:t>
            </w:r>
          </w:p>
        </w:tc>
      </w:tr>
      <w:tr w:rsidR="0052085B" w:rsidRPr="003F2424" w:rsidTr="005208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tcBorders>
              <w:left w:val="single" w:sz="8" w:space="0" w:color="2B3B5F"/>
              <w:right w:val="single" w:sz="8" w:space="0" w:color="2B3B5F"/>
            </w:tcBorders>
            <w:shd w:val="clear" w:color="auto" w:fill="auto"/>
            <w:hideMark/>
          </w:tcPr>
          <w:p w:rsidR="0052085B" w:rsidRPr="0052085B" w:rsidRDefault="0052085B" w:rsidP="0052085B">
            <w:pPr>
              <w:spacing w:before="0" w:after="0"/>
              <w:ind w:left="57"/>
              <w:rPr>
                <w:b w:val="0"/>
                <w:color w:val="000000"/>
                <w:sz w:val="18"/>
                <w:szCs w:val="18"/>
              </w:rPr>
            </w:pPr>
            <w:r w:rsidRPr="0052085B">
              <w:rPr>
                <w:b w:val="0"/>
                <w:color w:val="000000"/>
                <w:sz w:val="18"/>
                <w:szCs w:val="18"/>
              </w:rPr>
              <w:t>Environment protection</w:t>
            </w:r>
          </w:p>
        </w:tc>
        <w:tc>
          <w:tcPr>
            <w:tcW w:w="1701" w:type="dxa"/>
            <w:tcBorders>
              <w:left w:val="single" w:sz="8" w:space="0" w:color="2B3B5F"/>
              <w:right w:val="single" w:sz="8" w:space="0" w:color="2B3B5F"/>
            </w:tcBorders>
            <w:shd w:val="clear" w:color="auto" w:fill="auto"/>
            <w:noWrap/>
            <w:hideMark/>
          </w:tcPr>
          <w:p w:rsidR="0052085B" w:rsidRPr="0052085B" w:rsidRDefault="0052085B" w:rsidP="0052085B">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52085B">
              <w:rPr>
                <w:color w:val="000000"/>
                <w:sz w:val="18"/>
                <w:szCs w:val="18"/>
              </w:rPr>
              <w:t>22.0</w:t>
            </w:r>
          </w:p>
        </w:tc>
        <w:tc>
          <w:tcPr>
            <w:tcW w:w="1559" w:type="dxa"/>
            <w:tcBorders>
              <w:left w:val="single" w:sz="8" w:space="0" w:color="2B3B5F"/>
              <w:right w:val="single" w:sz="8" w:space="0" w:color="2B3B5F"/>
            </w:tcBorders>
            <w:shd w:val="clear" w:color="auto" w:fill="auto"/>
            <w:noWrap/>
            <w:hideMark/>
          </w:tcPr>
          <w:p w:rsidR="0052085B" w:rsidRPr="0052085B" w:rsidRDefault="0052085B" w:rsidP="0052085B">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52085B">
              <w:rPr>
                <w:color w:val="000000"/>
                <w:sz w:val="18"/>
                <w:szCs w:val="18"/>
              </w:rPr>
              <w:t>30.8</w:t>
            </w:r>
          </w:p>
        </w:tc>
        <w:tc>
          <w:tcPr>
            <w:tcW w:w="1843" w:type="dxa"/>
            <w:tcBorders>
              <w:left w:val="single" w:sz="8" w:space="0" w:color="2B3B5F"/>
              <w:right w:val="single" w:sz="8" w:space="0" w:color="2B3B5F"/>
            </w:tcBorders>
            <w:shd w:val="clear" w:color="auto" w:fill="auto"/>
            <w:noWrap/>
            <w:hideMark/>
          </w:tcPr>
          <w:p w:rsidR="0052085B" w:rsidRPr="0052085B" w:rsidRDefault="0052085B" w:rsidP="0052085B">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52085B">
              <w:rPr>
                <w:color w:val="000000"/>
                <w:sz w:val="18"/>
                <w:szCs w:val="18"/>
              </w:rPr>
              <w:t>37.6</w:t>
            </w:r>
          </w:p>
        </w:tc>
      </w:tr>
      <w:tr w:rsidR="0052085B" w:rsidRPr="003F2424" w:rsidTr="0052085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tcBorders>
              <w:left w:val="single" w:sz="8" w:space="0" w:color="2B3B5F"/>
              <w:right w:val="single" w:sz="8" w:space="0" w:color="2B3B5F"/>
            </w:tcBorders>
            <w:shd w:val="clear" w:color="auto" w:fill="D7DDE9"/>
            <w:hideMark/>
          </w:tcPr>
          <w:p w:rsidR="0052085B" w:rsidRPr="0052085B" w:rsidRDefault="0052085B" w:rsidP="0052085B">
            <w:pPr>
              <w:spacing w:before="0" w:after="0"/>
              <w:ind w:left="57"/>
              <w:rPr>
                <w:b w:val="0"/>
                <w:color w:val="000000"/>
                <w:sz w:val="18"/>
                <w:szCs w:val="18"/>
              </w:rPr>
            </w:pPr>
            <w:r w:rsidRPr="0052085B">
              <w:rPr>
                <w:b w:val="0"/>
                <w:color w:val="000000"/>
                <w:sz w:val="18"/>
                <w:szCs w:val="18"/>
              </w:rPr>
              <w:t>Housing</w:t>
            </w:r>
          </w:p>
        </w:tc>
        <w:tc>
          <w:tcPr>
            <w:tcW w:w="1701" w:type="dxa"/>
            <w:tcBorders>
              <w:left w:val="single" w:sz="8" w:space="0" w:color="2B3B5F"/>
              <w:right w:val="single" w:sz="8" w:space="0" w:color="2B3B5F"/>
            </w:tcBorders>
            <w:shd w:val="clear" w:color="auto" w:fill="D7DDE9"/>
            <w:noWrap/>
            <w:hideMark/>
          </w:tcPr>
          <w:p w:rsidR="0052085B" w:rsidRPr="0052085B" w:rsidRDefault="0052085B" w:rsidP="0052085B">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52085B">
              <w:rPr>
                <w:color w:val="000000"/>
                <w:sz w:val="18"/>
                <w:szCs w:val="18"/>
              </w:rPr>
              <w:t>18.5</w:t>
            </w:r>
          </w:p>
        </w:tc>
        <w:tc>
          <w:tcPr>
            <w:tcW w:w="1559" w:type="dxa"/>
            <w:tcBorders>
              <w:left w:val="single" w:sz="8" w:space="0" w:color="2B3B5F"/>
              <w:right w:val="single" w:sz="8" w:space="0" w:color="2B3B5F"/>
            </w:tcBorders>
            <w:shd w:val="clear" w:color="auto" w:fill="D7DDE9"/>
            <w:noWrap/>
            <w:hideMark/>
          </w:tcPr>
          <w:p w:rsidR="0052085B" w:rsidRPr="0052085B" w:rsidRDefault="0052085B" w:rsidP="0052085B">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52085B">
              <w:rPr>
                <w:color w:val="000000"/>
                <w:sz w:val="18"/>
                <w:szCs w:val="18"/>
              </w:rPr>
              <w:t>3.2</w:t>
            </w:r>
          </w:p>
        </w:tc>
        <w:tc>
          <w:tcPr>
            <w:tcW w:w="1843" w:type="dxa"/>
            <w:tcBorders>
              <w:left w:val="single" w:sz="8" w:space="0" w:color="2B3B5F"/>
              <w:right w:val="single" w:sz="8" w:space="0" w:color="2B3B5F"/>
            </w:tcBorders>
            <w:shd w:val="clear" w:color="auto" w:fill="D7DDE9"/>
            <w:noWrap/>
            <w:hideMark/>
          </w:tcPr>
          <w:p w:rsidR="0052085B" w:rsidRPr="0052085B" w:rsidRDefault="0052085B" w:rsidP="0052085B">
            <w:pPr>
              <w:spacing w:before="0" w:after="0"/>
              <w:ind w:right="227"/>
              <w:jc w:val="right"/>
              <w:cnfStyle w:val="000000010000" w:firstRow="0" w:lastRow="0" w:firstColumn="0" w:lastColumn="0" w:oddVBand="0" w:evenVBand="0" w:oddHBand="0" w:evenHBand="1" w:firstRowFirstColumn="0" w:firstRowLastColumn="0" w:lastRowFirstColumn="0" w:lastRowLastColumn="0"/>
              <w:rPr>
                <w:color w:val="000000"/>
                <w:sz w:val="18"/>
                <w:szCs w:val="18"/>
              </w:rPr>
            </w:pPr>
            <w:r w:rsidRPr="0052085B">
              <w:rPr>
                <w:color w:val="000000"/>
                <w:sz w:val="18"/>
                <w:szCs w:val="18"/>
              </w:rPr>
              <w:t>9.1</w:t>
            </w:r>
          </w:p>
        </w:tc>
      </w:tr>
      <w:tr w:rsidR="0052085B" w:rsidRPr="003F2424" w:rsidTr="005208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tcBorders>
              <w:left w:val="single" w:sz="8" w:space="0" w:color="2B3B5F"/>
              <w:right w:val="single" w:sz="8" w:space="0" w:color="2B3B5F"/>
            </w:tcBorders>
            <w:shd w:val="clear" w:color="auto" w:fill="auto"/>
            <w:hideMark/>
          </w:tcPr>
          <w:p w:rsidR="0052085B" w:rsidRPr="0052085B" w:rsidRDefault="0052085B" w:rsidP="0052085B">
            <w:pPr>
              <w:spacing w:before="0" w:after="0"/>
              <w:ind w:left="57"/>
              <w:rPr>
                <w:b w:val="0"/>
                <w:color w:val="000000"/>
                <w:sz w:val="18"/>
                <w:szCs w:val="18"/>
              </w:rPr>
            </w:pPr>
            <w:r w:rsidRPr="0052085B">
              <w:rPr>
                <w:b w:val="0"/>
                <w:color w:val="000000"/>
                <w:sz w:val="18"/>
                <w:szCs w:val="18"/>
              </w:rPr>
              <w:t>Other</w:t>
            </w:r>
          </w:p>
        </w:tc>
        <w:tc>
          <w:tcPr>
            <w:tcW w:w="1701" w:type="dxa"/>
            <w:tcBorders>
              <w:left w:val="single" w:sz="8" w:space="0" w:color="2B3B5F"/>
              <w:right w:val="single" w:sz="8" w:space="0" w:color="2B3B5F"/>
            </w:tcBorders>
            <w:shd w:val="clear" w:color="auto" w:fill="auto"/>
            <w:noWrap/>
            <w:hideMark/>
          </w:tcPr>
          <w:p w:rsidR="0052085B" w:rsidRPr="0052085B" w:rsidRDefault="0052085B" w:rsidP="0052085B">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52085B">
              <w:rPr>
                <w:color w:val="000000"/>
                <w:sz w:val="18"/>
                <w:szCs w:val="18"/>
              </w:rPr>
              <w:t>13.0</w:t>
            </w:r>
          </w:p>
        </w:tc>
        <w:tc>
          <w:tcPr>
            <w:tcW w:w="1559" w:type="dxa"/>
            <w:tcBorders>
              <w:left w:val="single" w:sz="8" w:space="0" w:color="2B3B5F"/>
              <w:right w:val="single" w:sz="8" w:space="0" w:color="2B3B5F"/>
            </w:tcBorders>
            <w:shd w:val="clear" w:color="auto" w:fill="auto"/>
            <w:noWrap/>
            <w:hideMark/>
          </w:tcPr>
          <w:p w:rsidR="0052085B" w:rsidRPr="0052085B" w:rsidRDefault="0052085B" w:rsidP="0052085B">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52085B">
              <w:rPr>
                <w:color w:val="000000"/>
                <w:sz w:val="18"/>
                <w:szCs w:val="18"/>
              </w:rPr>
              <w:t>2.5</w:t>
            </w:r>
          </w:p>
        </w:tc>
        <w:tc>
          <w:tcPr>
            <w:tcW w:w="1843" w:type="dxa"/>
            <w:tcBorders>
              <w:left w:val="single" w:sz="8" w:space="0" w:color="2B3B5F"/>
              <w:right w:val="single" w:sz="8" w:space="0" w:color="2B3B5F"/>
            </w:tcBorders>
            <w:shd w:val="clear" w:color="auto" w:fill="auto"/>
            <w:noWrap/>
            <w:hideMark/>
          </w:tcPr>
          <w:p w:rsidR="0052085B" w:rsidRPr="0052085B" w:rsidRDefault="0052085B" w:rsidP="0052085B">
            <w:pPr>
              <w:spacing w:before="0" w:after="0"/>
              <w:ind w:right="227"/>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52085B">
              <w:rPr>
                <w:color w:val="000000"/>
                <w:sz w:val="18"/>
                <w:szCs w:val="18"/>
              </w:rPr>
              <w:t>5.2</w:t>
            </w:r>
          </w:p>
        </w:tc>
      </w:tr>
      <w:tr w:rsidR="0052085B" w:rsidRPr="0052085B" w:rsidTr="0052085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0" w:type="dxa"/>
            <w:tcBorders>
              <w:left w:val="single" w:sz="8" w:space="0" w:color="2B3B5F"/>
              <w:bottom w:val="single" w:sz="8" w:space="0" w:color="2B3B5F"/>
              <w:right w:val="single" w:sz="8" w:space="0" w:color="2B3B5F"/>
            </w:tcBorders>
            <w:shd w:val="clear" w:color="auto" w:fill="D7DDE9"/>
            <w:hideMark/>
          </w:tcPr>
          <w:p w:rsidR="0052085B" w:rsidRPr="0052085B" w:rsidRDefault="0052085B" w:rsidP="0052085B">
            <w:pPr>
              <w:spacing w:before="0" w:after="0"/>
              <w:ind w:left="57"/>
              <w:rPr>
                <w:bCs/>
                <w:color w:val="000000"/>
                <w:sz w:val="18"/>
                <w:szCs w:val="18"/>
              </w:rPr>
            </w:pPr>
            <w:r w:rsidRPr="0052085B">
              <w:rPr>
                <w:bCs/>
                <w:color w:val="000000"/>
                <w:sz w:val="18"/>
                <w:szCs w:val="18"/>
              </w:rPr>
              <w:t>Total</w:t>
            </w:r>
          </w:p>
        </w:tc>
        <w:tc>
          <w:tcPr>
            <w:tcW w:w="1701" w:type="dxa"/>
            <w:tcBorders>
              <w:left w:val="single" w:sz="8" w:space="0" w:color="2B3B5F"/>
              <w:bottom w:val="single" w:sz="8" w:space="0" w:color="2B3B5F"/>
              <w:right w:val="single" w:sz="8" w:space="0" w:color="2B3B5F"/>
            </w:tcBorders>
            <w:shd w:val="clear" w:color="auto" w:fill="D7DDE9"/>
            <w:noWrap/>
            <w:hideMark/>
          </w:tcPr>
          <w:p w:rsidR="0052085B" w:rsidRPr="0052085B" w:rsidRDefault="0052085B" w:rsidP="0052085B">
            <w:pPr>
              <w:spacing w:before="0" w:after="0"/>
              <w:ind w:right="227"/>
              <w:jc w:val="right"/>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52085B">
              <w:rPr>
                <w:b/>
                <w:bCs/>
                <w:color w:val="000000"/>
                <w:sz w:val="18"/>
                <w:szCs w:val="18"/>
              </w:rPr>
              <w:t>100.0</w:t>
            </w:r>
          </w:p>
        </w:tc>
        <w:tc>
          <w:tcPr>
            <w:tcW w:w="1559" w:type="dxa"/>
            <w:tcBorders>
              <w:left w:val="single" w:sz="8" w:space="0" w:color="2B3B5F"/>
              <w:bottom w:val="single" w:sz="8" w:space="0" w:color="2B3B5F"/>
              <w:right w:val="single" w:sz="8" w:space="0" w:color="2B3B5F"/>
            </w:tcBorders>
            <w:shd w:val="clear" w:color="auto" w:fill="D7DDE9"/>
            <w:noWrap/>
            <w:hideMark/>
          </w:tcPr>
          <w:p w:rsidR="0052085B" w:rsidRPr="0052085B" w:rsidRDefault="0052085B" w:rsidP="0052085B">
            <w:pPr>
              <w:spacing w:before="0" w:after="0"/>
              <w:ind w:right="227"/>
              <w:jc w:val="right"/>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52085B">
              <w:rPr>
                <w:b/>
                <w:bCs/>
                <w:color w:val="000000"/>
                <w:sz w:val="18"/>
                <w:szCs w:val="18"/>
              </w:rPr>
              <w:t>6.3</w:t>
            </w:r>
          </w:p>
        </w:tc>
        <w:tc>
          <w:tcPr>
            <w:tcW w:w="1843" w:type="dxa"/>
            <w:tcBorders>
              <w:left w:val="single" w:sz="8" w:space="0" w:color="2B3B5F"/>
              <w:bottom w:val="single" w:sz="8" w:space="0" w:color="2B3B5F"/>
              <w:right w:val="single" w:sz="8" w:space="0" w:color="2B3B5F"/>
            </w:tcBorders>
            <w:shd w:val="clear" w:color="auto" w:fill="D7DDE9"/>
            <w:noWrap/>
            <w:hideMark/>
          </w:tcPr>
          <w:p w:rsidR="0052085B" w:rsidRPr="0052085B" w:rsidRDefault="0052085B" w:rsidP="0052085B">
            <w:pPr>
              <w:spacing w:before="0" w:after="0"/>
              <w:ind w:right="227"/>
              <w:jc w:val="right"/>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52085B">
              <w:rPr>
                <w:b/>
                <w:bCs/>
                <w:color w:val="000000"/>
                <w:sz w:val="18"/>
                <w:szCs w:val="18"/>
              </w:rPr>
              <w:t>83.5</w:t>
            </w:r>
          </w:p>
        </w:tc>
      </w:tr>
    </w:tbl>
    <w:bookmarkEnd w:id="212"/>
    <w:p w:rsidR="005A7020" w:rsidRPr="005C7228" w:rsidRDefault="005A7020" w:rsidP="00B03C5A">
      <w:pPr>
        <w:pStyle w:val="Heading30"/>
        <w:rPr>
          <w:lang w:val="en"/>
        </w:rPr>
      </w:pPr>
      <w:r w:rsidRPr="002D4893">
        <w:t>Contribution from environment protection</w:t>
      </w:r>
    </w:p>
    <w:p w:rsidR="005A7020" w:rsidRPr="00736679" w:rsidRDefault="005A7020" w:rsidP="00810D85">
      <w:pPr>
        <w:rPr>
          <w:lang w:val="en"/>
        </w:rPr>
      </w:pPr>
      <w:r w:rsidRPr="002D4893">
        <w:rPr>
          <w:lang w:val="en"/>
        </w:rPr>
        <w:t>Over the period 2002</w:t>
      </w:r>
      <w:r w:rsidR="005969AC" w:rsidRPr="006B456E">
        <w:noBreakHyphen/>
      </w:r>
      <w:r w:rsidRPr="002D4893">
        <w:rPr>
          <w:lang w:val="en"/>
        </w:rPr>
        <w:t xml:space="preserve">03 to </w:t>
      </w:r>
      <w:r w:rsidR="005969AC">
        <w:rPr>
          <w:lang w:val="en"/>
        </w:rPr>
        <w:t>2012</w:t>
      </w:r>
      <w:r w:rsidR="005969AC" w:rsidRPr="006B456E">
        <w:noBreakHyphen/>
      </w:r>
      <w:r>
        <w:rPr>
          <w:lang w:val="en"/>
        </w:rPr>
        <w:t>13</w:t>
      </w:r>
      <w:r w:rsidRPr="002D4893">
        <w:rPr>
          <w:lang w:val="en"/>
        </w:rPr>
        <w:t>, the largest co</w:t>
      </w:r>
      <w:r>
        <w:rPr>
          <w:lang w:val="en"/>
        </w:rPr>
        <w:t xml:space="preserve">ntributor to overall growth in </w:t>
      </w:r>
      <w:r w:rsidRPr="002D4893">
        <w:rPr>
          <w:lang w:val="en"/>
        </w:rPr>
        <w:t>spending on communit</w:t>
      </w:r>
      <w:r w:rsidR="000065E1">
        <w:rPr>
          <w:lang w:val="en"/>
        </w:rPr>
        <w:t>y amenities and infrastructure wa</w:t>
      </w:r>
      <w:r w:rsidRPr="002D4893">
        <w:rPr>
          <w:lang w:val="en"/>
        </w:rPr>
        <w:t>s environment protection, which contr</w:t>
      </w:r>
      <w:r w:rsidR="00B06DC3">
        <w:rPr>
          <w:lang w:val="en"/>
        </w:rPr>
        <w:t>ibuted</w:t>
      </w:r>
      <w:r w:rsidR="00AD4CBF">
        <w:rPr>
          <w:lang w:val="en"/>
        </w:rPr>
        <w:t xml:space="preserve"> </w:t>
      </w:r>
      <w:r w:rsidR="00AD4CBF" w:rsidRPr="00736679">
        <w:rPr>
          <w:lang w:val="en"/>
        </w:rPr>
        <w:t>37.6</w:t>
      </w:r>
      <w:r w:rsidR="00C951CE" w:rsidRPr="00736679">
        <w:rPr>
          <w:lang w:val="en"/>
        </w:rPr>
        <w:t> </w:t>
      </w:r>
      <w:r w:rsidR="00AD4CBF" w:rsidRPr="00736679">
        <w:rPr>
          <w:lang w:val="en"/>
        </w:rPr>
        <w:t>percentage points of the 83.5</w:t>
      </w:r>
      <w:r w:rsidR="00FF68BD" w:rsidRPr="00736679">
        <w:rPr>
          <w:lang w:val="en"/>
        </w:rPr>
        <w:t> </w:t>
      </w:r>
      <w:r w:rsidRPr="00736679">
        <w:rPr>
          <w:lang w:val="en"/>
        </w:rPr>
        <w:t>per</w:t>
      </w:r>
      <w:r w:rsidR="00FF68BD" w:rsidRPr="00736679">
        <w:rPr>
          <w:lang w:val="en"/>
        </w:rPr>
        <w:t> </w:t>
      </w:r>
      <w:r w:rsidRPr="00736679">
        <w:rPr>
          <w:lang w:val="en"/>
        </w:rPr>
        <w:t xml:space="preserve">cent growth, or over two fifths of total growth.  The annual growth rate in environment protection </w:t>
      </w:r>
      <w:r w:rsidR="00981027" w:rsidRPr="00736679">
        <w:rPr>
          <w:lang w:val="en"/>
        </w:rPr>
        <w:t>spending</w:t>
      </w:r>
      <w:r w:rsidRPr="00736679">
        <w:rPr>
          <w:lang w:val="en"/>
        </w:rPr>
        <w:t xml:space="preserve"> was </w:t>
      </w:r>
      <w:r w:rsidR="00AD4CBF" w:rsidRPr="00736679">
        <w:rPr>
          <w:lang w:val="en"/>
        </w:rPr>
        <w:t>30.8</w:t>
      </w:r>
      <w:r w:rsidR="00FF68BD" w:rsidRPr="00736679">
        <w:rPr>
          <w:lang w:val="en"/>
        </w:rPr>
        <w:t> </w:t>
      </w:r>
      <w:r w:rsidRPr="00736679">
        <w:rPr>
          <w:lang w:val="en"/>
        </w:rPr>
        <w:t>per</w:t>
      </w:r>
      <w:r w:rsidR="00FF68BD" w:rsidRPr="00736679">
        <w:rPr>
          <w:lang w:val="en"/>
        </w:rPr>
        <w:t> </w:t>
      </w:r>
      <w:r w:rsidRPr="00736679">
        <w:rPr>
          <w:lang w:val="en"/>
        </w:rPr>
        <w:t>cent.</w:t>
      </w:r>
    </w:p>
    <w:p w:rsidR="005A7020" w:rsidRPr="00736679" w:rsidRDefault="005A7020" w:rsidP="00810D85">
      <w:pPr>
        <w:rPr>
          <w:lang w:val="en"/>
        </w:rPr>
      </w:pPr>
      <w:r w:rsidRPr="00736679">
        <w:rPr>
          <w:lang w:val="en"/>
        </w:rPr>
        <w:t xml:space="preserve">The main driver of the growth in environment protection </w:t>
      </w:r>
      <w:r w:rsidR="00981027" w:rsidRPr="00736679">
        <w:rPr>
          <w:lang w:val="en"/>
        </w:rPr>
        <w:t>spending</w:t>
      </w:r>
      <w:r w:rsidRPr="00736679">
        <w:rPr>
          <w:lang w:val="en"/>
        </w:rPr>
        <w:t xml:space="preserve"> </w:t>
      </w:r>
      <w:r w:rsidR="00B06DC3" w:rsidRPr="00736679">
        <w:rPr>
          <w:lang w:val="en"/>
        </w:rPr>
        <w:t>wa</w:t>
      </w:r>
      <w:r w:rsidRPr="00736679">
        <w:rPr>
          <w:lang w:val="en"/>
        </w:rPr>
        <w:t xml:space="preserve">s the introduction of assistance for electricity generation and emissions-intensive trade-exposed activities under the CPM from </w:t>
      </w:r>
      <w:r w:rsidR="00FF68BD" w:rsidRPr="00736679">
        <w:rPr>
          <w:lang w:val="en"/>
        </w:rPr>
        <w:br/>
      </w:r>
      <w:r w:rsidRPr="00736679">
        <w:rPr>
          <w:lang w:val="en"/>
        </w:rPr>
        <w:t>2011</w:t>
      </w:r>
      <w:r w:rsidR="00FF68BD" w:rsidRPr="00736679">
        <w:rPr>
          <w:lang w:val="en"/>
        </w:rPr>
        <w:t>-</w:t>
      </w:r>
      <w:r w:rsidRPr="00736679">
        <w:rPr>
          <w:lang w:val="en"/>
        </w:rPr>
        <w:t>12, largely through the allo</w:t>
      </w:r>
      <w:r w:rsidR="00FF68BD" w:rsidRPr="00736679">
        <w:rPr>
          <w:lang w:val="en"/>
        </w:rPr>
        <w:t>cation of free carbon permits.</w:t>
      </w:r>
    </w:p>
    <w:p w:rsidR="005A7020" w:rsidRPr="00736679" w:rsidRDefault="005A7020" w:rsidP="00B03C5A">
      <w:pPr>
        <w:pStyle w:val="Heading30"/>
      </w:pPr>
      <w:r w:rsidRPr="00736679">
        <w:t>Contribution from road and rail transport</w:t>
      </w:r>
    </w:p>
    <w:p w:rsidR="000065E1" w:rsidRDefault="000065E1" w:rsidP="000065E1">
      <w:pPr>
        <w:pStyle w:val="PBOtext"/>
        <w:rPr>
          <w:lang w:val="en"/>
        </w:rPr>
      </w:pPr>
      <w:r w:rsidRPr="00736679">
        <w:rPr>
          <w:lang w:val="en"/>
        </w:rPr>
        <w:t>The second largest contributor to growth in spending on community amenities and infrastructure was road and rail t</w:t>
      </w:r>
      <w:r w:rsidR="00AD4CBF" w:rsidRPr="00736679">
        <w:rPr>
          <w:lang w:val="en"/>
        </w:rPr>
        <w:t>ransport, which contributed 22.1</w:t>
      </w:r>
      <w:r w:rsidR="00FF68BD" w:rsidRPr="00736679">
        <w:rPr>
          <w:lang w:val="en"/>
        </w:rPr>
        <w:t> </w:t>
      </w:r>
      <w:r w:rsidRPr="00736679">
        <w:rPr>
          <w:lang w:val="en"/>
        </w:rPr>
        <w:t>percentage points</w:t>
      </w:r>
      <w:r w:rsidR="00AD4CBF" w:rsidRPr="00736679">
        <w:rPr>
          <w:lang w:val="en"/>
        </w:rPr>
        <w:t xml:space="preserve"> of the 83.5</w:t>
      </w:r>
      <w:r w:rsidR="00FF68BD" w:rsidRPr="00736679">
        <w:rPr>
          <w:lang w:val="en"/>
        </w:rPr>
        <w:t> </w:t>
      </w:r>
      <w:r w:rsidRPr="00736679">
        <w:rPr>
          <w:lang w:val="en"/>
        </w:rPr>
        <w:t xml:space="preserve">per cent growth. </w:t>
      </w:r>
      <w:r w:rsidR="00B06DC3" w:rsidRPr="00736679">
        <w:rPr>
          <w:lang w:val="en"/>
        </w:rPr>
        <w:t xml:space="preserve"> </w:t>
      </w:r>
      <w:r w:rsidRPr="00736679">
        <w:rPr>
          <w:lang w:val="en"/>
        </w:rPr>
        <w:t>This was around one quarter of total growth in community amenities and infrastructure</w:t>
      </w:r>
      <w:r>
        <w:rPr>
          <w:lang w:val="en"/>
        </w:rPr>
        <w:t xml:space="preserve"> spending</w:t>
      </w:r>
      <w:r w:rsidR="00FF68BD">
        <w:rPr>
          <w:lang w:val="en"/>
        </w:rPr>
        <w:t>.</w:t>
      </w:r>
    </w:p>
    <w:p w:rsidR="000065E1" w:rsidRPr="00800855" w:rsidRDefault="000065E1" w:rsidP="000065E1">
      <w:pPr>
        <w:pStyle w:val="PBOtext"/>
        <w:rPr>
          <w:lang w:val="en"/>
        </w:rPr>
      </w:pPr>
      <w:r>
        <w:rPr>
          <w:lang w:val="en"/>
        </w:rPr>
        <w:t>S</w:t>
      </w:r>
      <w:r w:rsidRPr="00800855">
        <w:rPr>
          <w:lang w:val="en"/>
        </w:rPr>
        <w:t>pending on road and rail t</w:t>
      </w:r>
      <w:r>
        <w:rPr>
          <w:lang w:val="en"/>
        </w:rPr>
        <w:t>ransport grew by 7.7</w:t>
      </w:r>
      <w:r w:rsidR="00FF68BD">
        <w:rPr>
          <w:lang w:val="en"/>
        </w:rPr>
        <w:t> </w:t>
      </w:r>
      <w:r w:rsidRPr="00800855">
        <w:rPr>
          <w:lang w:val="en"/>
        </w:rPr>
        <w:t>per</w:t>
      </w:r>
      <w:r w:rsidR="00FF68BD">
        <w:rPr>
          <w:lang w:val="en"/>
        </w:rPr>
        <w:t> </w:t>
      </w:r>
      <w:r w:rsidRPr="00800855">
        <w:rPr>
          <w:lang w:val="en"/>
        </w:rPr>
        <w:t xml:space="preserve">cent </w:t>
      </w:r>
      <w:r>
        <w:rPr>
          <w:lang w:val="en"/>
        </w:rPr>
        <w:t xml:space="preserve">annually </w:t>
      </w:r>
      <w:r w:rsidRPr="00800855">
        <w:rPr>
          <w:lang w:val="en"/>
        </w:rPr>
        <w:t>ov</w:t>
      </w:r>
      <w:r>
        <w:rPr>
          <w:lang w:val="en"/>
        </w:rPr>
        <w:t>er the period 2002</w:t>
      </w:r>
      <w:r w:rsidR="005969AC" w:rsidRPr="006B456E">
        <w:noBreakHyphen/>
      </w:r>
      <w:r>
        <w:rPr>
          <w:lang w:val="en"/>
        </w:rPr>
        <w:t>03 to 2012</w:t>
      </w:r>
      <w:r w:rsidR="005969AC" w:rsidRPr="006B456E">
        <w:noBreakHyphen/>
      </w:r>
      <w:r>
        <w:rPr>
          <w:lang w:val="en"/>
        </w:rPr>
        <w:t>13</w:t>
      </w:r>
      <w:r w:rsidRPr="00800855">
        <w:rPr>
          <w:lang w:val="en"/>
        </w:rPr>
        <w:t xml:space="preserve">, </w:t>
      </w:r>
      <w:r w:rsidR="00CE0023">
        <w:rPr>
          <w:lang w:val="en"/>
        </w:rPr>
        <w:t xml:space="preserve">more than double </w:t>
      </w:r>
      <w:r w:rsidRPr="00800855">
        <w:rPr>
          <w:lang w:val="en"/>
        </w:rPr>
        <w:t xml:space="preserve">GDP </w:t>
      </w:r>
      <w:r w:rsidR="00B06DC3">
        <w:rPr>
          <w:lang w:val="en"/>
        </w:rPr>
        <w:t xml:space="preserve">growth of </w:t>
      </w:r>
      <w:r w:rsidRPr="00800855">
        <w:rPr>
          <w:lang w:val="en"/>
        </w:rPr>
        <w:t>3.0</w:t>
      </w:r>
      <w:r w:rsidR="00FF68BD">
        <w:rPr>
          <w:lang w:val="en"/>
        </w:rPr>
        <w:t> per </w:t>
      </w:r>
      <w:r w:rsidRPr="00800855">
        <w:rPr>
          <w:lang w:val="en"/>
        </w:rPr>
        <w:t xml:space="preserve">cent </w:t>
      </w:r>
      <w:r>
        <w:rPr>
          <w:lang w:val="en"/>
        </w:rPr>
        <w:t>annually</w:t>
      </w:r>
      <w:r w:rsidR="00FF68BD">
        <w:rPr>
          <w:lang w:val="en"/>
        </w:rPr>
        <w:t>.</w:t>
      </w:r>
    </w:p>
    <w:p w:rsidR="000065E1" w:rsidRPr="00800855" w:rsidRDefault="000065E1" w:rsidP="000065E1">
      <w:pPr>
        <w:pStyle w:val="PBOtext"/>
        <w:rPr>
          <w:lang w:val="en"/>
        </w:rPr>
      </w:pPr>
      <w:r>
        <w:rPr>
          <w:lang w:val="en"/>
        </w:rPr>
        <w:t>G</w:t>
      </w:r>
      <w:r w:rsidRPr="00800855">
        <w:rPr>
          <w:lang w:val="en"/>
        </w:rPr>
        <w:t xml:space="preserve">rowth in road and rail transport </w:t>
      </w:r>
      <w:r>
        <w:rPr>
          <w:lang w:val="en"/>
        </w:rPr>
        <w:t>spending resulted from</w:t>
      </w:r>
      <w:r w:rsidRPr="00800855">
        <w:rPr>
          <w:lang w:val="en"/>
        </w:rPr>
        <w:t xml:space="preserve"> government decisions to increase funding for road and rail projects</w:t>
      </w:r>
      <w:r>
        <w:rPr>
          <w:lang w:val="en"/>
        </w:rPr>
        <w:t xml:space="preserve"> over the period</w:t>
      </w:r>
      <w:r w:rsidRPr="00800855">
        <w:rPr>
          <w:lang w:val="en"/>
        </w:rPr>
        <w:t xml:space="preserve">.  </w:t>
      </w:r>
      <w:r>
        <w:rPr>
          <w:lang w:val="en"/>
        </w:rPr>
        <w:t>T</w:t>
      </w:r>
      <w:r w:rsidRPr="00800855">
        <w:rPr>
          <w:lang w:val="en"/>
        </w:rPr>
        <w:t xml:space="preserve">he irregular </w:t>
      </w:r>
      <w:r w:rsidR="00D062FB" w:rsidRPr="00800855">
        <w:rPr>
          <w:lang w:val="en"/>
        </w:rPr>
        <w:t>nature of infrastructure</w:t>
      </w:r>
      <w:r w:rsidR="00D062FB">
        <w:rPr>
          <w:lang w:val="en"/>
        </w:rPr>
        <w:t xml:space="preserve"> spending was</w:t>
      </w:r>
      <w:r>
        <w:rPr>
          <w:lang w:val="en"/>
        </w:rPr>
        <w:t xml:space="preserve"> responsible for</w:t>
      </w:r>
      <w:r w:rsidRPr="00800855">
        <w:rPr>
          <w:lang w:val="en"/>
        </w:rPr>
        <w:t xml:space="preserve"> the volatility in road and rail transport </w:t>
      </w:r>
      <w:r w:rsidR="00981027">
        <w:rPr>
          <w:lang w:val="en"/>
        </w:rPr>
        <w:t>spending</w:t>
      </w:r>
      <w:r w:rsidRPr="00800855">
        <w:rPr>
          <w:lang w:val="en"/>
        </w:rPr>
        <w:t xml:space="preserve"> over the period.</w:t>
      </w:r>
    </w:p>
    <w:p w:rsidR="000065E1" w:rsidRPr="00FC044B" w:rsidRDefault="000065E1" w:rsidP="000065E1">
      <w:pPr>
        <w:pStyle w:val="PBOtext"/>
        <w:rPr>
          <w:lang w:val="en"/>
        </w:rPr>
      </w:pPr>
      <w:r>
        <w:rPr>
          <w:lang w:val="en"/>
        </w:rPr>
        <w:lastRenderedPageBreak/>
        <w:t>S</w:t>
      </w:r>
      <w:r w:rsidRPr="00800855">
        <w:rPr>
          <w:lang w:val="en"/>
        </w:rPr>
        <w:t xml:space="preserve">pending on road and rail </w:t>
      </w:r>
      <w:r w:rsidRPr="00FC044B">
        <w:rPr>
          <w:lang w:val="en"/>
        </w:rPr>
        <w:t xml:space="preserve">transport </w:t>
      </w:r>
      <w:r w:rsidR="006867F7" w:rsidRPr="00FC044B">
        <w:rPr>
          <w:lang w:val="en"/>
        </w:rPr>
        <w:t>almost</w:t>
      </w:r>
      <w:r w:rsidR="00D6444A" w:rsidRPr="00FC044B">
        <w:rPr>
          <w:lang w:val="en"/>
        </w:rPr>
        <w:t xml:space="preserve"> </w:t>
      </w:r>
      <w:r w:rsidRPr="00FC044B">
        <w:rPr>
          <w:lang w:val="en"/>
        </w:rPr>
        <w:t>doubled over the period 2002-03 to 2007-08.  This was mainly due to decisions in the 2004</w:t>
      </w:r>
      <w:r w:rsidR="005969AC" w:rsidRPr="00FC044B">
        <w:noBreakHyphen/>
      </w:r>
      <w:r w:rsidRPr="00FC044B">
        <w:rPr>
          <w:lang w:val="en"/>
        </w:rPr>
        <w:t>05</w:t>
      </w:r>
      <w:r w:rsidR="00FF68BD" w:rsidRPr="00FC044B">
        <w:rPr>
          <w:lang w:val="en"/>
        </w:rPr>
        <w:t> </w:t>
      </w:r>
      <w:r w:rsidRPr="00FC044B">
        <w:rPr>
          <w:lang w:val="en"/>
        </w:rPr>
        <w:t>Budget and 2004</w:t>
      </w:r>
      <w:r w:rsidR="005969AC" w:rsidRPr="00FC044B">
        <w:noBreakHyphen/>
      </w:r>
      <w:r w:rsidR="005969AC" w:rsidRPr="00FC044B">
        <w:rPr>
          <w:lang w:val="en"/>
        </w:rPr>
        <w:t>05 </w:t>
      </w:r>
      <w:r w:rsidR="00FA106C">
        <w:rPr>
          <w:lang w:val="en"/>
        </w:rPr>
        <w:t>MYEFO</w:t>
      </w:r>
      <w:r w:rsidRPr="00FC044B">
        <w:rPr>
          <w:lang w:val="en"/>
        </w:rPr>
        <w:t xml:space="preserve"> to spend an additional $1.3</w:t>
      </w:r>
      <w:r w:rsidR="00FF68BD" w:rsidRPr="00FC044B">
        <w:rPr>
          <w:lang w:val="en"/>
        </w:rPr>
        <w:t> </w:t>
      </w:r>
      <w:r w:rsidRPr="00FC044B">
        <w:rPr>
          <w:lang w:val="en"/>
        </w:rPr>
        <w:t>billion over four years from 2004</w:t>
      </w:r>
      <w:r w:rsidR="005969AC" w:rsidRPr="00FC044B">
        <w:noBreakHyphen/>
      </w:r>
      <w:r w:rsidRPr="00FC044B">
        <w:rPr>
          <w:lang w:val="en"/>
        </w:rPr>
        <w:t xml:space="preserve">05 on road and rail links of national importance under the </w:t>
      </w:r>
      <w:proofErr w:type="spellStart"/>
      <w:r w:rsidRPr="00FC044B">
        <w:rPr>
          <w:lang w:val="en"/>
        </w:rPr>
        <w:t>AusLink</w:t>
      </w:r>
      <w:proofErr w:type="spellEnd"/>
      <w:r w:rsidRPr="00FC044B">
        <w:rPr>
          <w:lang w:val="en"/>
        </w:rPr>
        <w:t xml:space="preserve"> program.</w:t>
      </w:r>
      <w:r w:rsidR="00FF68BD" w:rsidRPr="00FC044B">
        <w:rPr>
          <w:lang w:val="en"/>
        </w:rPr>
        <w:t xml:space="preserve">  </w:t>
      </w:r>
      <w:r w:rsidR="005969AC" w:rsidRPr="00FC044B">
        <w:rPr>
          <w:lang w:val="en"/>
        </w:rPr>
        <w:t>In addition, the 2006</w:t>
      </w:r>
      <w:r w:rsidR="005969AC" w:rsidRPr="00FC044B">
        <w:noBreakHyphen/>
      </w:r>
      <w:r w:rsidR="00FF68BD" w:rsidRPr="00FC044B">
        <w:rPr>
          <w:lang w:val="en"/>
        </w:rPr>
        <w:t>07 </w:t>
      </w:r>
      <w:r w:rsidRPr="00FC044B">
        <w:rPr>
          <w:lang w:val="en"/>
        </w:rPr>
        <w:t>Budget provided funding of $0.6 billion in 2006</w:t>
      </w:r>
      <w:r w:rsidR="005969AC" w:rsidRPr="00FC044B">
        <w:noBreakHyphen/>
      </w:r>
      <w:r w:rsidRPr="00FC044B">
        <w:rPr>
          <w:lang w:val="en"/>
        </w:rPr>
        <w:t>07 and 2007</w:t>
      </w:r>
      <w:r w:rsidR="005969AC" w:rsidRPr="00FC044B">
        <w:noBreakHyphen/>
      </w:r>
      <w:r w:rsidRPr="00FC044B">
        <w:rPr>
          <w:lang w:val="en"/>
        </w:rPr>
        <w:t xml:space="preserve">08 for the States to invest in highways on the </w:t>
      </w:r>
      <w:proofErr w:type="spellStart"/>
      <w:r w:rsidRPr="00FC044B">
        <w:rPr>
          <w:lang w:val="en"/>
        </w:rPr>
        <w:t>AusLink</w:t>
      </w:r>
      <w:proofErr w:type="spellEnd"/>
      <w:r w:rsidRPr="00FC044B">
        <w:rPr>
          <w:lang w:val="en"/>
        </w:rPr>
        <w:t xml:space="preserve"> national network, with additional funding in later years</w:t>
      </w:r>
      <w:r w:rsidR="00FF68BD" w:rsidRPr="00FC044B">
        <w:rPr>
          <w:lang w:val="en"/>
        </w:rPr>
        <w:t>.</w:t>
      </w:r>
    </w:p>
    <w:p w:rsidR="000065E1" w:rsidRPr="00FC044B" w:rsidRDefault="000065E1" w:rsidP="000065E1">
      <w:pPr>
        <w:pStyle w:val="PBOtext"/>
        <w:rPr>
          <w:lang w:val="en"/>
        </w:rPr>
      </w:pPr>
      <w:r w:rsidRPr="00FC044B">
        <w:rPr>
          <w:lang w:val="en"/>
        </w:rPr>
        <w:t>The 2007</w:t>
      </w:r>
      <w:r w:rsidR="005969AC" w:rsidRPr="00FC044B">
        <w:noBreakHyphen/>
      </w:r>
      <w:r w:rsidRPr="00FC044B">
        <w:rPr>
          <w:lang w:val="en"/>
        </w:rPr>
        <w:t>08</w:t>
      </w:r>
      <w:r w:rsidR="00FF68BD" w:rsidRPr="00FC044B">
        <w:rPr>
          <w:lang w:val="en"/>
        </w:rPr>
        <w:t> </w:t>
      </w:r>
      <w:r w:rsidRPr="00FC044B">
        <w:rPr>
          <w:lang w:val="en"/>
        </w:rPr>
        <w:t xml:space="preserve">Budget also increased funding for the original </w:t>
      </w:r>
      <w:proofErr w:type="spellStart"/>
      <w:r w:rsidRPr="00FC044B">
        <w:rPr>
          <w:lang w:val="en"/>
        </w:rPr>
        <w:t>AusLink</w:t>
      </w:r>
      <w:proofErr w:type="spellEnd"/>
      <w:r w:rsidRPr="00FC044B">
        <w:rPr>
          <w:lang w:val="en"/>
        </w:rPr>
        <w:t xml:space="preserve"> program by $400</w:t>
      </w:r>
      <w:r w:rsidR="00FF68BD" w:rsidRPr="00FC044B">
        <w:rPr>
          <w:lang w:val="en"/>
        </w:rPr>
        <w:t> </w:t>
      </w:r>
      <w:r w:rsidRPr="00FC044B">
        <w:rPr>
          <w:lang w:val="en"/>
        </w:rPr>
        <w:t>million and provided $16.8</w:t>
      </w:r>
      <w:r w:rsidR="00FF68BD" w:rsidRPr="00FC044B">
        <w:rPr>
          <w:lang w:val="en"/>
        </w:rPr>
        <w:t> </w:t>
      </w:r>
      <w:r w:rsidRPr="00FC044B">
        <w:rPr>
          <w:lang w:val="en"/>
        </w:rPr>
        <w:t>billion in funding from 2009</w:t>
      </w:r>
      <w:r w:rsidR="005969AC" w:rsidRPr="00FC044B">
        <w:noBreakHyphen/>
      </w:r>
      <w:r w:rsidRPr="00FC044B">
        <w:rPr>
          <w:lang w:val="en"/>
        </w:rPr>
        <w:t xml:space="preserve">10 for a second five-year </w:t>
      </w:r>
      <w:r w:rsidR="00B06DC3" w:rsidRPr="00FC044B">
        <w:rPr>
          <w:lang w:val="en"/>
        </w:rPr>
        <w:t>tranche</w:t>
      </w:r>
      <w:r w:rsidRPr="00FC044B">
        <w:rPr>
          <w:lang w:val="en"/>
        </w:rPr>
        <w:t xml:space="preserve">, significantly increasing road and rail transport </w:t>
      </w:r>
      <w:r w:rsidR="00981027" w:rsidRPr="00FC044B">
        <w:rPr>
          <w:lang w:val="en"/>
        </w:rPr>
        <w:t>spending</w:t>
      </w:r>
      <w:r w:rsidRPr="00FC044B">
        <w:rPr>
          <w:lang w:val="en"/>
        </w:rPr>
        <w:t xml:space="preserve"> through to 2013</w:t>
      </w:r>
      <w:r w:rsidR="005969AC" w:rsidRPr="00FC044B">
        <w:noBreakHyphen/>
      </w:r>
      <w:r w:rsidRPr="00FC044B">
        <w:rPr>
          <w:lang w:val="en"/>
        </w:rPr>
        <w:t>14.</w:t>
      </w:r>
    </w:p>
    <w:p w:rsidR="000065E1" w:rsidRPr="00FC044B" w:rsidRDefault="000065E1" w:rsidP="000065E1">
      <w:pPr>
        <w:pStyle w:val="PBOtext"/>
        <w:rPr>
          <w:lang w:val="en"/>
        </w:rPr>
      </w:pPr>
      <w:r w:rsidRPr="00FC044B">
        <w:rPr>
          <w:lang w:val="en"/>
        </w:rPr>
        <w:t>Spending on road and rail transport was particularly strong in 2008</w:t>
      </w:r>
      <w:r w:rsidR="005969AC" w:rsidRPr="00FC044B">
        <w:noBreakHyphen/>
      </w:r>
      <w:r w:rsidRPr="00FC044B">
        <w:rPr>
          <w:lang w:val="en"/>
        </w:rPr>
        <w:t>09, reflecting a number of government decisions in the 2009</w:t>
      </w:r>
      <w:r w:rsidR="005969AC" w:rsidRPr="00FC044B">
        <w:noBreakHyphen/>
      </w:r>
      <w:r w:rsidRPr="00FC044B">
        <w:rPr>
          <w:lang w:val="en"/>
        </w:rPr>
        <w:t>10</w:t>
      </w:r>
      <w:r w:rsidR="00FF68BD" w:rsidRPr="00FC044B">
        <w:rPr>
          <w:lang w:val="en"/>
        </w:rPr>
        <w:t> </w:t>
      </w:r>
      <w:r w:rsidRPr="00FC044B">
        <w:rPr>
          <w:lang w:val="en"/>
        </w:rPr>
        <w:t>Budget to increase funding for road and rail infrastructure as part</w:t>
      </w:r>
      <w:r w:rsidR="006867F7" w:rsidRPr="00FC044B">
        <w:rPr>
          <w:lang w:val="en"/>
        </w:rPr>
        <w:t xml:space="preserve"> of the fiscal stimulus</w:t>
      </w:r>
      <w:r w:rsidRPr="00FC044B">
        <w:rPr>
          <w:lang w:val="en"/>
        </w:rPr>
        <w:t>.  Examples of projects that were funded include the Ipswich Motorway in Queensland, the Hunter Expressway in New South Wales and the Regional Rail Express in Victoria.  Funding for these projects was provided from the Building Australia Fund, established in the</w:t>
      </w:r>
      <w:r w:rsidR="00FF68BD" w:rsidRPr="00FC044B">
        <w:rPr>
          <w:lang w:val="en"/>
        </w:rPr>
        <w:t xml:space="preserve"> 2008</w:t>
      </w:r>
      <w:r w:rsidR="005969AC" w:rsidRPr="00FC044B">
        <w:noBreakHyphen/>
      </w:r>
      <w:r w:rsidR="00FF68BD" w:rsidRPr="00FC044B">
        <w:rPr>
          <w:lang w:val="en"/>
        </w:rPr>
        <w:t>09 </w:t>
      </w:r>
      <w:r w:rsidRPr="00FC044B">
        <w:rPr>
          <w:lang w:val="en"/>
        </w:rPr>
        <w:t>Budget to provide financing for infrastructure projects.  Spending on road and rail transport was also high in 2008</w:t>
      </w:r>
      <w:r w:rsidR="005969AC" w:rsidRPr="00FC044B">
        <w:noBreakHyphen/>
      </w:r>
      <w:r w:rsidRPr="00FC044B">
        <w:rPr>
          <w:lang w:val="en"/>
        </w:rPr>
        <w:t xml:space="preserve">09 </w:t>
      </w:r>
      <w:r w:rsidR="006867F7" w:rsidRPr="00FC044B">
        <w:rPr>
          <w:lang w:val="en"/>
        </w:rPr>
        <w:t xml:space="preserve">as a result of </w:t>
      </w:r>
      <w:r w:rsidRPr="00FC044B">
        <w:rPr>
          <w:lang w:val="en"/>
        </w:rPr>
        <w:t>the bring</w:t>
      </w:r>
      <w:r w:rsidR="0045224A" w:rsidRPr="00FC044B">
        <w:rPr>
          <w:lang w:val="en"/>
        </w:rPr>
        <w:t>ing</w:t>
      </w:r>
      <w:r w:rsidRPr="00FC044B">
        <w:rPr>
          <w:lang w:val="en"/>
        </w:rPr>
        <w:t xml:space="preserve"> forward of funding for major road projects</w:t>
      </w:r>
      <w:r w:rsidR="006867F7" w:rsidRPr="00FC044B">
        <w:rPr>
          <w:lang w:val="en"/>
        </w:rPr>
        <w:t xml:space="preserve"> as part of the fiscal stimulus</w:t>
      </w:r>
      <w:r w:rsidR="003D2864">
        <w:rPr>
          <w:lang w:val="en"/>
        </w:rPr>
        <w:t>.</w:t>
      </w:r>
    </w:p>
    <w:p w:rsidR="000065E1" w:rsidRPr="00FC044B" w:rsidRDefault="000065E1" w:rsidP="000065E1">
      <w:pPr>
        <w:pStyle w:val="PBOtext"/>
        <w:rPr>
          <w:lang w:val="en"/>
        </w:rPr>
      </w:pPr>
      <w:r w:rsidRPr="00FC044B">
        <w:rPr>
          <w:lang w:val="en"/>
        </w:rPr>
        <w:t xml:space="preserve">Spending on road and rail transport peaked in 2011-12, with spending more than doubling relative to the previous year.  A large part of this fluctuation was due </w:t>
      </w:r>
      <w:r w:rsidR="00B06DC3" w:rsidRPr="00FC044B">
        <w:rPr>
          <w:lang w:val="en"/>
        </w:rPr>
        <w:t xml:space="preserve">to the announcement in the </w:t>
      </w:r>
      <w:r w:rsidR="00A65FF4" w:rsidRPr="00FC044B">
        <w:rPr>
          <w:lang w:val="en"/>
        </w:rPr>
        <w:br/>
      </w:r>
      <w:r w:rsidR="00B06DC3" w:rsidRPr="00FC044B">
        <w:rPr>
          <w:lang w:val="en"/>
        </w:rPr>
        <w:t>2011</w:t>
      </w:r>
      <w:r w:rsidR="00A65FF4" w:rsidRPr="00FC044B">
        <w:rPr>
          <w:lang w:val="en"/>
        </w:rPr>
        <w:t>-</w:t>
      </w:r>
      <w:r w:rsidR="00B06DC3" w:rsidRPr="00FC044B">
        <w:rPr>
          <w:lang w:val="en"/>
        </w:rPr>
        <w:t xml:space="preserve">12 MYEFO of the bringing forward of $1.4 billion </w:t>
      </w:r>
      <w:r w:rsidR="00D6444A" w:rsidRPr="00FC044B">
        <w:rPr>
          <w:lang w:val="en"/>
        </w:rPr>
        <w:t xml:space="preserve">of </w:t>
      </w:r>
      <w:r w:rsidR="00B06DC3" w:rsidRPr="00FC044B">
        <w:rPr>
          <w:lang w:val="en"/>
        </w:rPr>
        <w:t>funding originally scheduled for later years for a number of major infrastructure projects.</w:t>
      </w:r>
    </w:p>
    <w:p w:rsidR="005A7020" w:rsidRPr="00FC044B" w:rsidRDefault="005A7020" w:rsidP="00B03C5A">
      <w:pPr>
        <w:pStyle w:val="Heading30"/>
      </w:pPr>
      <w:r w:rsidRPr="00FC044B">
        <w:t>Contribution from recreation and culture</w:t>
      </w:r>
    </w:p>
    <w:p w:rsidR="005A7020" w:rsidRPr="00FC044B" w:rsidRDefault="005A7020" w:rsidP="00B03C5A">
      <w:pPr>
        <w:rPr>
          <w:lang w:val="en"/>
        </w:rPr>
      </w:pPr>
      <w:r w:rsidRPr="00FC044B">
        <w:rPr>
          <w:lang w:val="en"/>
        </w:rPr>
        <w:t>The next largest contributor to growth in spending on communit</w:t>
      </w:r>
      <w:r w:rsidR="00B06DC3" w:rsidRPr="00FC044B">
        <w:rPr>
          <w:lang w:val="en"/>
        </w:rPr>
        <w:t>y amenities and infrastructure wa</w:t>
      </w:r>
      <w:r w:rsidRPr="00FC044B">
        <w:rPr>
          <w:lang w:val="en"/>
        </w:rPr>
        <w:t>s recreation and culture, which contribut</w:t>
      </w:r>
      <w:r w:rsidR="00B06DC3" w:rsidRPr="00FC044B">
        <w:rPr>
          <w:lang w:val="en"/>
        </w:rPr>
        <w:t>ed</w:t>
      </w:r>
      <w:r w:rsidR="00AD4CBF" w:rsidRPr="00FC044B">
        <w:rPr>
          <w:lang w:val="en"/>
        </w:rPr>
        <w:t xml:space="preserve"> 9.4</w:t>
      </w:r>
      <w:r w:rsidR="00A65FF4" w:rsidRPr="00FC044B">
        <w:rPr>
          <w:lang w:val="en"/>
        </w:rPr>
        <w:t> </w:t>
      </w:r>
      <w:r w:rsidRPr="00FC044B">
        <w:rPr>
          <w:lang w:val="en"/>
        </w:rPr>
        <w:t>per</w:t>
      </w:r>
      <w:r w:rsidR="00AD4CBF" w:rsidRPr="00FC044B">
        <w:rPr>
          <w:lang w:val="en"/>
        </w:rPr>
        <w:t>centage points of the total 83.5</w:t>
      </w:r>
      <w:r w:rsidR="00A65FF4" w:rsidRPr="00FC044B">
        <w:rPr>
          <w:lang w:val="en"/>
        </w:rPr>
        <w:t> </w:t>
      </w:r>
      <w:r w:rsidRPr="00FC044B">
        <w:rPr>
          <w:lang w:val="en"/>
        </w:rPr>
        <w:t>per</w:t>
      </w:r>
      <w:r w:rsidR="00A65FF4" w:rsidRPr="00FC044B">
        <w:rPr>
          <w:lang w:val="en"/>
        </w:rPr>
        <w:t> </w:t>
      </w:r>
      <w:r w:rsidRPr="00FC044B">
        <w:rPr>
          <w:lang w:val="en"/>
        </w:rPr>
        <w:t>cent growth</w:t>
      </w:r>
      <w:r w:rsidR="00AD4CBF" w:rsidRPr="00FC044B">
        <w:rPr>
          <w:lang w:val="en"/>
        </w:rPr>
        <w:t>, or around one tenth</w:t>
      </w:r>
      <w:r w:rsidR="00A65FF4" w:rsidRPr="00FC044B">
        <w:rPr>
          <w:lang w:val="en"/>
        </w:rPr>
        <w:t xml:space="preserve"> of total growth.</w:t>
      </w:r>
    </w:p>
    <w:p w:rsidR="005A7020" w:rsidRPr="006867F7" w:rsidRDefault="006867F7" w:rsidP="00B03C5A">
      <w:pPr>
        <w:rPr>
          <w:lang w:val="en"/>
        </w:rPr>
      </w:pPr>
      <w:r w:rsidRPr="00FC044B">
        <w:rPr>
          <w:lang w:val="en"/>
        </w:rPr>
        <w:t>S</w:t>
      </w:r>
      <w:r w:rsidR="00AD4CBF" w:rsidRPr="00FC044B">
        <w:rPr>
          <w:lang w:val="en"/>
        </w:rPr>
        <w:t xml:space="preserve">pending on recreation and culture grew </w:t>
      </w:r>
      <w:r w:rsidRPr="00FC044B">
        <w:rPr>
          <w:lang w:val="en"/>
        </w:rPr>
        <w:t>s</w:t>
      </w:r>
      <w:r w:rsidR="00AD4CBF" w:rsidRPr="00FC044B">
        <w:rPr>
          <w:lang w:val="en"/>
        </w:rPr>
        <w:t>lower than GDP over the period</w:t>
      </w:r>
      <w:r w:rsidR="00AE0658" w:rsidRPr="00FC044B">
        <w:rPr>
          <w:lang w:val="en"/>
        </w:rPr>
        <w:t xml:space="preserve"> at 2.5</w:t>
      </w:r>
      <w:r w:rsidR="00A65FF4" w:rsidRPr="00FC044B">
        <w:rPr>
          <w:lang w:val="en"/>
        </w:rPr>
        <w:t> </w:t>
      </w:r>
      <w:r w:rsidR="00AE0658" w:rsidRPr="00FC044B">
        <w:rPr>
          <w:lang w:val="en"/>
        </w:rPr>
        <w:t>per</w:t>
      </w:r>
      <w:r w:rsidR="00A65FF4" w:rsidRPr="00FC044B">
        <w:rPr>
          <w:lang w:val="en"/>
        </w:rPr>
        <w:t> </w:t>
      </w:r>
      <w:r w:rsidR="00AE0658" w:rsidRPr="00FC044B">
        <w:rPr>
          <w:lang w:val="en"/>
        </w:rPr>
        <w:t>cent annually</w:t>
      </w:r>
      <w:r w:rsidRPr="00FC044B">
        <w:rPr>
          <w:lang w:val="en"/>
        </w:rPr>
        <w:t xml:space="preserve">, </w:t>
      </w:r>
      <w:r w:rsidR="00AE0658" w:rsidRPr="00FC044B">
        <w:rPr>
          <w:lang w:val="en"/>
        </w:rPr>
        <w:t>with some volatility between years</w:t>
      </w:r>
      <w:r w:rsidR="00AD4CBF" w:rsidRPr="00FC044B">
        <w:rPr>
          <w:lang w:val="en"/>
        </w:rPr>
        <w:t>.</w:t>
      </w:r>
      <w:r w:rsidR="005A7020" w:rsidRPr="00FC044B">
        <w:rPr>
          <w:lang w:val="en"/>
        </w:rPr>
        <w:t xml:space="preserve"> </w:t>
      </w:r>
      <w:r w:rsidR="00AD4CBF" w:rsidRPr="00FC044B">
        <w:rPr>
          <w:lang w:val="en"/>
        </w:rPr>
        <w:t xml:space="preserve"> </w:t>
      </w:r>
      <w:r w:rsidR="005A7020" w:rsidRPr="00FC044B">
        <w:rPr>
          <w:lang w:val="en"/>
        </w:rPr>
        <w:t>Som</w:t>
      </w:r>
      <w:r w:rsidR="00AE0658" w:rsidRPr="00FC044B">
        <w:rPr>
          <w:lang w:val="en"/>
        </w:rPr>
        <w:t>e of this</w:t>
      </w:r>
      <w:r w:rsidR="002A4530" w:rsidRPr="00FC044B">
        <w:rPr>
          <w:lang w:val="en"/>
        </w:rPr>
        <w:t xml:space="preserve"> volatility </w:t>
      </w:r>
      <w:r w:rsidR="005A7020" w:rsidRPr="00FC044B">
        <w:rPr>
          <w:lang w:val="en"/>
        </w:rPr>
        <w:t>comes from the one-off nature of expenses associated with staging events such as the 2006 Melbourne Commonwealth Games and World</w:t>
      </w:r>
      <w:r w:rsidR="00290916">
        <w:rPr>
          <w:lang w:val="en"/>
        </w:rPr>
        <w:t> Youth </w:t>
      </w:r>
      <w:r w:rsidR="005A7020" w:rsidRPr="00FC044B">
        <w:rPr>
          <w:lang w:val="en"/>
        </w:rPr>
        <w:t>Day in 2008.</w:t>
      </w:r>
    </w:p>
    <w:p w:rsidR="005A7020" w:rsidRPr="006867F7" w:rsidRDefault="005A7020" w:rsidP="00B03C5A">
      <w:pPr>
        <w:pStyle w:val="Heading30"/>
      </w:pPr>
      <w:r w:rsidRPr="006867F7">
        <w:t>Contribution from housing</w:t>
      </w:r>
    </w:p>
    <w:p w:rsidR="005A7020" w:rsidRPr="00800855" w:rsidRDefault="005A7020" w:rsidP="00B03C5A">
      <w:pPr>
        <w:rPr>
          <w:lang w:val="en"/>
        </w:rPr>
      </w:pPr>
      <w:r w:rsidRPr="006867F7">
        <w:rPr>
          <w:lang w:val="en"/>
        </w:rPr>
        <w:t>Housing</w:t>
      </w:r>
      <w:r w:rsidR="00AE0658">
        <w:rPr>
          <w:lang w:val="en"/>
        </w:rPr>
        <w:t xml:space="preserve"> </w:t>
      </w:r>
      <w:r w:rsidR="00B06DC3" w:rsidRPr="006867F7">
        <w:rPr>
          <w:lang w:val="en"/>
        </w:rPr>
        <w:t>contributed</w:t>
      </w:r>
      <w:r w:rsidR="00A65FF4">
        <w:rPr>
          <w:lang w:val="en"/>
        </w:rPr>
        <w:t xml:space="preserve"> 9.1 </w:t>
      </w:r>
      <w:r w:rsidRPr="006867F7">
        <w:rPr>
          <w:lang w:val="en"/>
        </w:rPr>
        <w:t xml:space="preserve">percentage points of the total </w:t>
      </w:r>
      <w:r w:rsidR="00AD4CBF" w:rsidRPr="006867F7">
        <w:rPr>
          <w:lang w:val="en"/>
        </w:rPr>
        <w:t>83.5</w:t>
      </w:r>
      <w:r w:rsidRPr="006867F7">
        <w:rPr>
          <w:lang w:val="en"/>
        </w:rPr>
        <w:t> per</w:t>
      </w:r>
      <w:r w:rsidR="00A65FF4">
        <w:rPr>
          <w:lang w:val="en"/>
        </w:rPr>
        <w:t> </w:t>
      </w:r>
      <w:r w:rsidRPr="006867F7">
        <w:rPr>
          <w:lang w:val="en"/>
        </w:rPr>
        <w:t>cent growth in community</w:t>
      </w:r>
      <w:r>
        <w:rPr>
          <w:lang w:val="en"/>
        </w:rPr>
        <w:t xml:space="preserve"> amenities and infrastructure spending</w:t>
      </w:r>
      <w:r w:rsidRPr="00800855">
        <w:rPr>
          <w:lang w:val="en"/>
        </w:rPr>
        <w:t xml:space="preserve">, or </w:t>
      </w:r>
      <w:r>
        <w:rPr>
          <w:lang w:val="en"/>
        </w:rPr>
        <w:t>around</w:t>
      </w:r>
      <w:r w:rsidRPr="00800855">
        <w:rPr>
          <w:lang w:val="en"/>
        </w:rPr>
        <w:t xml:space="preserve"> one </w:t>
      </w:r>
      <w:r>
        <w:rPr>
          <w:lang w:val="en"/>
        </w:rPr>
        <w:t>tenth</w:t>
      </w:r>
      <w:r w:rsidR="00A65FF4">
        <w:rPr>
          <w:lang w:val="en"/>
        </w:rPr>
        <w:t xml:space="preserve"> of total growth.</w:t>
      </w:r>
    </w:p>
    <w:p w:rsidR="005A7020" w:rsidRPr="00800855" w:rsidRDefault="005A7020" w:rsidP="00B03C5A">
      <w:pPr>
        <w:rPr>
          <w:lang w:val="en"/>
        </w:rPr>
      </w:pPr>
      <w:r>
        <w:rPr>
          <w:lang w:val="en"/>
        </w:rPr>
        <w:t>S</w:t>
      </w:r>
      <w:r w:rsidRPr="00800855">
        <w:rPr>
          <w:lang w:val="en"/>
        </w:rPr>
        <w:t xml:space="preserve">pending on housing </w:t>
      </w:r>
      <w:r>
        <w:rPr>
          <w:lang w:val="en"/>
        </w:rPr>
        <w:t>increase</w:t>
      </w:r>
      <w:r w:rsidR="00F31360">
        <w:rPr>
          <w:lang w:val="en"/>
        </w:rPr>
        <w:t>d</w:t>
      </w:r>
      <w:r>
        <w:rPr>
          <w:lang w:val="en"/>
        </w:rPr>
        <w:t xml:space="preserve"> by 3.2</w:t>
      </w:r>
      <w:r w:rsidR="00A65FF4">
        <w:rPr>
          <w:lang w:val="en"/>
        </w:rPr>
        <w:t> </w:t>
      </w:r>
      <w:r w:rsidRPr="00800855">
        <w:rPr>
          <w:lang w:val="en"/>
        </w:rPr>
        <w:t>per</w:t>
      </w:r>
      <w:r w:rsidR="00A65FF4">
        <w:rPr>
          <w:lang w:val="en"/>
        </w:rPr>
        <w:t> </w:t>
      </w:r>
      <w:r w:rsidRPr="00800855">
        <w:rPr>
          <w:lang w:val="en"/>
        </w:rPr>
        <w:t xml:space="preserve">cent </w:t>
      </w:r>
      <w:r w:rsidR="003D3808">
        <w:rPr>
          <w:lang w:val="en"/>
        </w:rPr>
        <w:t>annually</w:t>
      </w:r>
      <w:r w:rsidRPr="00800855">
        <w:rPr>
          <w:lang w:val="en"/>
        </w:rPr>
        <w:t xml:space="preserve"> over the period 2002</w:t>
      </w:r>
      <w:r w:rsidR="00290916" w:rsidRPr="006B456E">
        <w:noBreakHyphen/>
      </w:r>
      <w:r w:rsidRPr="00800855">
        <w:rPr>
          <w:lang w:val="en"/>
        </w:rPr>
        <w:t xml:space="preserve">03 to </w:t>
      </w:r>
      <w:r w:rsidR="00290916">
        <w:rPr>
          <w:lang w:val="en"/>
        </w:rPr>
        <w:t>2012</w:t>
      </w:r>
      <w:r w:rsidR="00290916" w:rsidRPr="006B456E">
        <w:noBreakHyphen/>
      </w:r>
      <w:r>
        <w:rPr>
          <w:lang w:val="en"/>
        </w:rPr>
        <w:t>13</w:t>
      </w:r>
      <w:r w:rsidR="00764CE5">
        <w:rPr>
          <w:lang w:val="en"/>
        </w:rPr>
        <w:t xml:space="preserve"> </w:t>
      </w:r>
      <w:r w:rsidR="00DB48D0">
        <w:rPr>
          <w:lang w:val="en"/>
        </w:rPr>
        <w:t>compared with</w:t>
      </w:r>
      <w:r w:rsidR="00764CE5">
        <w:rPr>
          <w:lang w:val="en"/>
        </w:rPr>
        <w:t xml:space="preserve"> </w:t>
      </w:r>
      <w:r w:rsidRPr="00800855">
        <w:rPr>
          <w:lang w:val="en"/>
        </w:rPr>
        <w:t xml:space="preserve">GDP </w:t>
      </w:r>
      <w:r w:rsidR="00B06DC3">
        <w:rPr>
          <w:lang w:val="en"/>
        </w:rPr>
        <w:t xml:space="preserve">growth </w:t>
      </w:r>
      <w:r w:rsidRPr="00800855">
        <w:rPr>
          <w:lang w:val="en"/>
        </w:rPr>
        <w:t>of 3.0</w:t>
      </w:r>
      <w:r w:rsidR="00A65FF4">
        <w:rPr>
          <w:lang w:val="en"/>
        </w:rPr>
        <w:t> </w:t>
      </w:r>
      <w:r w:rsidRPr="00800855">
        <w:rPr>
          <w:lang w:val="en"/>
        </w:rPr>
        <w:t>per</w:t>
      </w:r>
      <w:r w:rsidR="00A65FF4">
        <w:rPr>
          <w:lang w:val="en"/>
        </w:rPr>
        <w:t> </w:t>
      </w:r>
      <w:r w:rsidRPr="00800855">
        <w:rPr>
          <w:lang w:val="en"/>
        </w:rPr>
        <w:t xml:space="preserve">cent </w:t>
      </w:r>
      <w:r w:rsidR="00425D64">
        <w:rPr>
          <w:lang w:val="en"/>
        </w:rPr>
        <w:t>annually</w:t>
      </w:r>
      <w:r w:rsidR="00A65FF4">
        <w:rPr>
          <w:lang w:val="en"/>
        </w:rPr>
        <w:t>.</w:t>
      </w:r>
    </w:p>
    <w:p w:rsidR="005A7020" w:rsidRPr="002D4893" w:rsidRDefault="005A7020" w:rsidP="00B03C5A">
      <w:pPr>
        <w:rPr>
          <w:lang w:val="en"/>
        </w:rPr>
      </w:pPr>
      <w:r>
        <w:rPr>
          <w:lang w:val="en"/>
        </w:rPr>
        <w:t>S</w:t>
      </w:r>
      <w:r w:rsidRPr="00800855">
        <w:rPr>
          <w:lang w:val="en"/>
        </w:rPr>
        <w:t>pending</w:t>
      </w:r>
      <w:r w:rsidRPr="002D4893">
        <w:rPr>
          <w:lang w:val="en"/>
        </w:rPr>
        <w:t xml:space="preserve"> on housing was relatively flat over the period 2002</w:t>
      </w:r>
      <w:r w:rsidR="005969AC" w:rsidRPr="006B456E">
        <w:noBreakHyphen/>
      </w:r>
      <w:r w:rsidRPr="002D4893">
        <w:rPr>
          <w:lang w:val="en"/>
        </w:rPr>
        <w:t xml:space="preserve">03 to </w:t>
      </w:r>
      <w:r>
        <w:rPr>
          <w:lang w:val="en"/>
        </w:rPr>
        <w:t>2007</w:t>
      </w:r>
      <w:r w:rsidR="005969AC" w:rsidRPr="006B456E">
        <w:noBreakHyphen/>
      </w:r>
      <w:r>
        <w:rPr>
          <w:lang w:val="en"/>
        </w:rPr>
        <w:t>08 before doubling in</w:t>
      </w:r>
      <w:r w:rsidR="00290916">
        <w:rPr>
          <w:lang w:val="en"/>
        </w:rPr>
        <w:t xml:space="preserve"> </w:t>
      </w:r>
      <w:r>
        <w:rPr>
          <w:lang w:val="en"/>
        </w:rPr>
        <w:t>2008</w:t>
      </w:r>
      <w:r w:rsidR="00290916" w:rsidRPr="006B456E">
        <w:noBreakHyphen/>
      </w:r>
      <w:r w:rsidRPr="002D4893">
        <w:rPr>
          <w:lang w:val="en"/>
        </w:rPr>
        <w:t xml:space="preserve">09. </w:t>
      </w:r>
      <w:r w:rsidR="00F31360">
        <w:rPr>
          <w:lang w:val="en"/>
        </w:rPr>
        <w:t xml:space="preserve"> </w:t>
      </w:r>
      <w:r w:rsidRPr="002D4893">
        <w:rPr>
          <w:lang w:val="en"/>
        </w:rPr>
        <w:t xml:space="preserve">This was largely due to the temporary increase in the First Home Owners Boost as part of the fiscal stimulus package which increased housing </w:t>
      </w:r>
      <w:r w:rsidR="00981027">
        <w:rPr>
          <w:lang w:val="en"/>
        </w:rPr>
        <w:t>spending</w:t>
      </w:r>
      <w:r w:rsidR="005969AC">
        <w:rPr>
          <w:lang w:val="en"/>
        </w:rPr>
        <w:t xml:space="preserve"> in 2008</w:t>
      </w:r>
      <w:r w:rsidR="005969AC" w:rsidRPr="006B456E">
        <w:noBreakHyphen/>
      </w:r>
      <w:r>
        <w:rPr>
          <w:lang w:val="en"/>
        </w:rPr>
        <w:t>09 and 2009</w:t>
      </w:r>
      <w:r w:rsidR="005969AC" w:rsidRPr="006B456E">
        <w:noBreakHyphen/>
      </w:r>
      <w:r>
        <w:rPr>
          <w:lang w:val="en"/>
        </w:rPr>
        <w:t>10 by $2.1 </w:t>
      </w:r>
      <w:r w:rsidR="00A65FF4">
        <w:rPr>
          <w:lang w:val="en"/>
        </w:rPr>
        <w:t>billion.</w:t>
      </w:r>
    </w:p>
    <w:p w:rsidR="00842A6D" w:rsidRDefault="00842A6D">
      <w:pPr>
        <w:spacing w:before="0" w:after="200" w:line="252" w:lineRule="auto"/>
        <w:rPr>
          <w:lang w:val="en"/>
        </w:rPr>
      </w:pPr>
      <w:r>
        <w:rPr>
          <w:lang w:val="en"/>
        </w:rPr>
        <w:br w:type="page"/>
      </w:r>
    </w:p>
    <w:p w:rsidR="005A7020" w:rsidRDefault="005A7020" w:rsidP="00B03C5A">
      <w:pPr>
        <w:rPr>
          <w:lang w:val="en"/>
        </w:rPr>
      </w:pPr>
      <w:r>
        <w:rPr>
          <w:lang w:val="en"/>
        </w:rPr>
        <w:lastRenderedPageBreak/>
        <w:t>Spending</w:t>
      </w:r>
      <w:r w:rsidRPr="002D4893">
        <w:rPr>
          <w:lang w:val="en"/>
        </w:rPr>
        <w:t xml:space="preserve"> on housing more than doubled again in 2009-10 as a result of the implementation of the Social Housing Initiative as par</w:t>
      </w:r>
      <w:r w:rsidR="00AE0658">
        <w:rPr>
          <w:lang w:val="en"/>
        </w:rPr>
        <w:t>t of the fiscal stimulus</w:t>
      </w:r>
      <w:r w:rsidRPr="002D4893">
        <w:rPr>
          <w:lang w:val="en"/>
        </w:rPr>
        <w:t>.  The Social H</w:t>
      </w:r>
      <w:r w:rsidR="00A65FF4">
        <w:rPr>
          <w:lang w:val="en"/>
        </w:rPr>
        <w:t>ousing Initiative provided $5.6 </w:t>
      </w:r>
      <w:r w:rsidRPr="002D4893">
        <w:rPr>
          <w:lang w:val="en"/>
        </w:rPr>
        <w:t xml:space="preserve">billion over four </w:t>
      </w:r>
      <w:r w:rsidRPr="00FC044B">
        <w:rPr>
          <w:lang w:val="en"/>
        </w:rPr>
        <w:t>years from 2008</w:t>
      </w:r>
      <w:r w:rsidR="005969AC" w:rsidRPr="00FC044B">
        <w:noBreakHyphen/>
      </w:r>
      <w:r w:rsidRPr="00FC044B">
        <w:rPr>
          <w:lang w:val="en"/>
        </w:rPr>
        <w:t xml:space="preserve">09 to the States to build new </w:t>
      </w:r>
      <w:r w:rsidR="00AE0658" w:rsidRPr="00FC044B">
        <w:rPr>
          <w:lang w:val="en"/>
        </w:rPr>
        <w:t>dwellings</w:t>
      </w:r>
      <w:r w:rsidRPr="00FC044B">
        <w:rPr>
          <w:lang w:val="en"/>
        </w:rPr>
        <w:t xml:space="preserve"> and </w:t>
      </w:r>
      <w:r w:rsidR="00AE0658" w:rsidRPr="00FC044B">
        <w:rPr>
          <w:lang w:val="en"/>
        </w:rPr>
        <w:t>for repairs and maintenance.</w:t>
      </w:r>
      <w:r w:rsidRPr="00FC044B">
        <w:rPr>
          <w:lang w:val="en"/>
        </w:rPr>
        <w:t xml:space="preserve"> </w:t>
      </w:r>
      <w:r w:rsidR="00AE0658" w:rsidRPr="00FC044B">
        <w:rPr>
          <w:lang w:val="en"/>
        </w:rPr>
        <w:t xml:space="preserve"> S</w:t>
      </w:r>
      <w:r w:rsidR="00981027" w:rsidRPr="00FC044B">
        <w:rPr>
          <w:lang w:val="en"/>
        </w:rPr>
        <w:t>pending</w:t>
      </w:r>
      <w:r w:rsidRPr="00FC044B">
        <w:rPr>
          <w:lang w:val="en"/>
        </w:rPr>
        <w:t xml:space="preserve"> </w:t>
      </w:r>
      <w:r w:rsidR="00AE0658" w:rsidRPr="00FC044B">
        <w:rPr>
          <w:lang w:val="en"/>
        </w:rPr>
        <w:t>under this initiative peaked</w:t>
      </w:r>
      <w:r w:rsidRPr="00FC044B">
        <w:rPr>
          <w:lang w:val="en"/>
        </w:rPr>
        <w:t xml:space="preserve"> at $3.8</w:t>
      </w:r>
      <w:r w:rsidR="00A65FF4" w:rsidRPr="00FC044B">
        <w:rPr>
          <w:lang w:val="en"/>
        </w:rPr>
        <w:t> </w:t>
      </w:r>
      <w:r w:rsidRPr="00FC044B">
        <w:rPr>
          <w:lang w:val="en"/>
        </w:rPr>
        <w:t>billion in 2009</w:t>
      </w:r>
      <w:r w:rsidR="005969AC" w:rsidRPr="00FC044B">
        <w:noBreakHyphen/>
      </w:r>
      <w:r w:rsidRPr="00FC044B">
        <w:rPr>
          <w:lang w:val="en"/>
        </w:rPr>
        <w:t>10.</w:t>
      </w:r>
      <w:r w:rsidRPr="002D4893">
        <w:rPr>
          <w:lang w:val="en"/>
        </w:rPr>
        <w:t xml:space="preserve">  The Social Housing Initiative </w:t>
      </w:r>
      <w:r>
        <w:rPr>
          <w:lang w:val="en"/>
        </w:rPr>
        <w:t xml:space="preserve">and </w:t>
      </w:r>
      <w:r w:rsidRPr="002D4893">
        <w:rPr>
          <w:lang w:val="en"/>
        </w:rPr>
        <w:t>the First Home Owners Boost were also responsible for driving t</w:t>
      </w:r>
      <w:r>
        <w:rPr>
          <w:lang w:val="en"/>
        </w:rPr>
        <w:t xml:space="preserve">he peak in </w:t>
      </w:r>
      <w:r w:rsidRPr="002D4893">
        <w:rPr>
          <w:lang w:val="en"/>
        </w:rPr>
        <w:t>spending on community amenities and infrastructure as a whole in 2009</w:t>
      </w:r>
      <w:r w:rsidR="005969AC" w:rsidRPr="006B456E">
        <w:noBreakHyphen/>
      </w:r>
      <w:r w:rsidRPr="002D4893">
        <w:rPr>
          <w:lang w:val="en"/>
        </w:rPr>
        <w:t>10.</w:t>
      </w:r>
    </w:p>
    <w:p w:rsidR="00B06DC3" w:rsidRDefault="00B06DC3" w:rsidP="00B06DC3">
      <w:pPr>
        <w:pStyle w:val="PBOtext"/>
        <w:rPr>
          <w:lang w:val="en"/>
        </w:rPr>
      </w:pPr>
      <w:r w:rsidRPr="004236EB">
        <w:rPr>
          <w:lang w:val="en"/>
        </w:rPr>
        <w:t>Excluding fiscal stimulus spending, housing expenditure still grew strongly from 2008</w:t>
      </w:r>
      <w:r w:rsidR="005969AC" w:rsidRPr="006B456E">
        <w:noBreakHyphen/>
      </w:r>
      <w:r w:rsidRPr="004236EB">
        <w:rPr>
          <w:lang w:val="en"/>
        </w:rPr>
        <w:t xml:space="preserve">09.  Factors driving this growth include the commencement of the </w:t>
      </w:r>
      <w:r w:rsidRPr="004236EB">
        <w:rPr>
          <w:i/>
          <w:lang w:val="en"/>
        </w:rPr>
        <w:t xml:space="preserve">National Affordable Housing Agreement </w:t>
      </w:r>
      <w:r w:rsidRPr="004236EB">
        <w:rPr>
          <w:lang w:val="en"/>
        </w:rPr>
        <w:t>with the States, additional funding for remote Indigenous housing and the introduction of the National Rental A</w:t>
      </w:r>
      <w:r w:rsidR="005969AC">
        <w:rPr>
          <w:lang w:val="en"/>
        </w:rPr>
        <w:t>ffordability Scheme in the 2008</w:t>
      </w:r>
      <w:r w:rsidR="005969AC" w:rsidRPr="006B456E">
        <w:noBreakHyphen/>
      </w:r>
      <w:r w:rsidRPr="004236EB">
        <w:rPr>
          <w:lang w:val="en"/>
        </w:rPr>
        <w:t>09</w:t>
      </w:r>
      <w:r w:rsidR="00A65FF4">
        <w:rPr>
          <w:lang w:val="en"/>
        </w:rPr>
        <w:t> </w:t>
      </w:r>
      <w:r w:rsidRPr="004236EB">
        <w:rPr>
          <w:lang w:val="en"/>
        </w:rPr>
        <w:t>Budget.</w:t>
      </w:r>
    </w:p>
    <w:p w:rsidR="005A7020" w:rsidRPr="002D4893" w:rsidRDefault="005A7020" w:rsidP="00B03C5A">
      <w:pPr>
        <w:pStyle w:val="Heading30"/>
      </w:pPr>
      <w:r w:rsidRPr="002D4893">
        <w:t>Contribution from other community amenit</w:t>
      </w:r>
      <w:r w:rsidR="003D2864">
        <w:t>ies and infrastructure spending</w:t>
      </w:r>
    </w:p>
    <w:p w:rsidR="005A7020" w:rsidRPr="00FC044B" w:rsidRDefault="005A7020" w:rsidP="00B03C5A">
      <w:pPr>
        <w:rPr>
          <w:lang w:val="en"/>
        </w:rPr>
      </w:pPr>
      <w:r w:rsidRPr="002D4893">
        <w:rPr>
          <w:lang w:val="en"/>
        </w:rPr>
        <w:t xml:space="preserve">The </w:t>
      </w:r>
      <w:r w:rsidRPr="00AE0658">
        <w:rPr>
          <w:lang w:val="en"/>
        </w:rPr>
        <w:t>remaining 5.</w:t>
      </w:r>
      <w:r w:rsidR="00AD4CBF" w:rsidRPr="00AE0658">
        <w:rPr>
          <w:lang w:val="en"/>
        </w:rPr>
        <w:t>2</w:t>
      </w:r>
      <w:r w:rsidR="00A65FF4">
        <w:rPr>
          <w:lang w:val="en"/>
        </w:rPr>
        <w:t> </w:t>
      </w:r>
      <w:r w:rsidR="00AE0658">
        <w:rPr>
          <w:lang w:val="en"/>
        </w:rPr>
        <w:t xml:space="preserve">percentage points of </w:t>
      </w:r>
      <w:r w:rsidR="00AE0658" w:rsidRPr="00FC044B">
        <w:rPr>
          <w:lang w:val="en"/>
        </w:rPr>
        <w:t>the 83.5</w:t>
      </w:r>
      <w:r w:rsidR="00A65FF4" w:rsidRPr="00FC044B">
        <w:rPr>
          <w:lang w:val="en"/>
        </w:rPr>
        <w:t> </w:t>
      </w:r>
      <w:r w:rsidRPr="00FC044B">
        <w:rPr>
          <w:lang w:val="en"/>
        </w:rPr>
        <w:t>per</w:t>
      </w:r>
      <w:r w:rsidR="00A65FF4" w:rsidRPr="00FC044B">
        <w:rPr>
          <w:lang w:val="en"/>
        </w:rPr>
        <w:t> </w:t>
      </w:r>
      <w:r w:rsidRPr="00FC044B">
        <w:rPr>
          <w:lang w:val="en"/>
        </w:rPr>
        <w:t xml:space="preserve">cent growth in spending on community amenities and infrastructure over the period </w:t>
      </w:r>
      <w:r w:rsidR="005969AC" w:rsidRPr="00FC044B">
        <w:rPr>
          <w:lang w:val="en"/>
        </w:rPr>
        <w:t>2002</w:t>
      </w:r>
      <w:r w:rsidR="005969AC" w:rsidRPr="00FC044B">
        <w:noBreakHyphen/>
      </w:r>
      <w:r w:rsidRPr="00FC044B">
        <w:rPr>
          <w:lang w:val="en"/>
        </w:rPr>
        <w:t>03 to 2012-</w:t>
      </w:r>
      <w:r w:rsidR="00FC044B" w:rsidRPr="00FC044B">
        <w:t>1</w:t>
      </w:r>
      <w:r w:rsidRPr="00FC044B">
        <w:rPr>
          <w:lang w:val="en"/>
        </w:rPr>
        <w:t xml:space="preserve">3 were contributed by a variety of other related programs such as urban and regional development and communication.  Over this period, spending on other community amenities and infrastructure programs grew </w:t>
      </w:r>
      <w:r w:rsidR="00B06DC3" w:rsidRPr="00FC044B">
        <w:rPr>
          <w:lang w:val="en"/>
        </w:rPr>
        <w:t>by</w:t>
      </w:r>
      <w:r w:rsidRPr="00FC044B">
        <w:rPr>
          <w:lang w:val="en"/>
        </w:rPr>
        <w:t xml:space="preserve"> </w:t>
      </w:r>
      <w:r w:rsidR="00AD4CBF" w:rsidRPr="00FC044B">
        <w:rPr>
          <w:lang w:val="en"/>
        </w:rPr>
        <w:t>2.5</w:t>
      </w:r>
      <w:r w:rsidR="00A65FF4" w:rsidRPr="00FC044B">
        <w:rPr>
          <w:lang w:val="en"/>
        </w:rPr>
        <w:t> </w:t>
      </w:r>
      <w:r w:rsidRPr="00FC044B">
        <w:rPr>
          <w:lang w:val="en"/>
        </w:rPr>
        <w:t>per</w:t>
      </w:r>
      <w:r w:rsidR="00A65FF4" w:rsidRPr="00FC044B">
        <w:rPr>
          <w:lang w:val="en"/>
        </w:rPr>
        <w:t> </w:t>
      </w:r>
      <w:r w:rsidRPr="00FC044B">
        <w:rPr>
          <w:lang w:val="en"/>
        </w:rPr>
        <w:t xml:space="preserve">cent </w:t>
      </w:r>
      <w:r w:rsidR="00425D64" w:rsidRPr="00FC044B">
        <w:rPr>
          <w:lang w:val="en"/>
        </w:rPr>
        <w:t>annually</w:t>
      </w:r>
      <w:r w:rsidRPr="00FC044B">
        <w:rPr>
          <w:lang w:val="en"/>
        </w:rPr>
        <w:t>.</w:t>
      </w:r>
    </w:p>
    <w:p w:rsidR="005A7020" w:rsidRPr="00FC044B" w:rsidRDefault="005A7020" w:rsidP="00B03C5A">
      <w:pPr>
        <w:rPr>
          <w:lang w:val="en"/>
        </w:rPr>
      </w:pPr>
      <w:r w:rsidRPr="00FC044B">
        <w:rPr>
          <w:lang w:val="en"/>
        </w:rPr>
        <w:t>Spending on other community amenities and infrastructure programs was relatively flat from 2002</w:t>
      </w:r>
      <w:r w:rsidR="005969AC" w:rsidRPr="00FC044B">
        <w:noBreakHyphen/>
      </w:r>
      <w:r w:rsidRPr="00FC044B">
        <w:rPr>
          <w:lang w:val="en"/>
        </w:rPr>
        <w:t>03 to 2010</w:t>
      </w:r>
      <w:r w:rsidR="005969AC" w:rsidRPr="00FC044B">
        <w:noBreakHyphen/>
      </w:r>
      <w:r w:rsidRPr="00FC044B">
        <w:rPr>
          <w:lang w:val="en"/>
        </w:rPr>
        <w:t>11 before jumping by around 50 per cent</w:t>
      </w:r>
      <w:r w:rsidR="005969AC" w:rsidRPr="00FC044B">
        <w:rPr>
          <w:lang w:val="en"/>
        </w:rPr>
        <w:t xml:space="preserve"> in 2011</w:t>
      </w:r>
      <w:r w:rsidR="005969AC" w:rsidRPr="00FC044B">
        <w:noBreakHyphen/>
      </w:r>
      <w:r w:rsidRPr="00FC044B">
        <w:rPr>
          <w:lang w:val="en"/>
        </w:rPr>
        <w:t xml:space="preserve">12. </w:t>
      </w:r>
      <w:r w:rsidR="00A65FF4" w:rsidRPr="00FC044B">
        <w:rPr>
          <w:lang w:val="en"/>
        </w:rPr>
        <w:t xml:space="preserve"> </w:t>
      </w:r>
      <w:r w:rsidRPr="00FC044B">
        <w:rPr>
          <w:lang w:val="en"/>
        </w:rPr>
        <w:t>This was mainly associated with payments made to Telstra in relation to the roll-out of the National Broadband Network (NBN).</w:t>
      </w:r>
      <w:r w:rsidR="00A65FF4" w:rsidRPr="00FC044B">
        <w:rPr>
          <w:lang w:val="en"/>
        </w:rPr>
        <w:t xml:space="preserve"> </w:t>
      </w:r>
      <w:r w:rsidRPr="00FC044B">
        <w:rPr>
          <w:lang w:val="en"/>
        </w:rPr>
        <w:t xml:space="preserve"> These included </w:t>
      </w:r>
      <w:r w:rsidR="00A65FF4" w:rsidRPr="00FC044B">
        <w:rPr>
          <w:lang w:val="en"/>
        </w:rPr>
        <w:t>$321.6 </w:t>
      </w:r>
      <w:r w:rsidRPr="00FC044B">
        <w:rPr>
          <w:lang w:val="en"/>
        </w:rPr>
        <w:t>million to support the agreements made regarding the use of Telstra’s infrastructure and the progressive migration of Telstra’s customers to the NBN, and a further $100</w:t>
      </w:r>
      <w:r w:rsidR="00A65FF4" w:rsidRPr="00FC044B">
        <w:rPr>
          <w:lang w:val="en"/>
        </w:rPr>
        <w:t> </w:t>
      </w:r>
      <w:r w:rsidRPr="00FC044B">
        <w:rPr>
          <w:lang w:val="en"/>
        </w:rPr>
        <w:t>million to retrain employees following the implementation of the N</w:t>
      </w:r>
      <w:r w:rsidR="0069052C" w:rsidRPr="00FC044B">
        <w:rPr>
          <w:lang w:val="en"/>
        </w:rPr>
        <w:t xml:space="preserve">ational </w:t>
      </w:r>
      <w:r w:rsidRPr="00FC044B">
        <w:rPr>
          <w:lang w:val="en"/>
        </w:rPr>
        <w:t>B</w:t>
      </w:r>
      <w:r w:rsidR="0069052C" w:rsidRPr="00FC044B">
        <w:rPr>
          <w:lang w:val="en"/>
        </w:rPr>
        <w:t xml:space="preserve">roadband </w:t>
      </w:r>
      <w:r w:rsidRPr="00FC044B">
        <w:rPr>
          <w:lang w:val="en"/>
        </w:rPr>
        <w:t>N</w:t>
      </w:r>
      <w:r w:rsidR="0069052C" w:rsidRPr="00FC044B">
        <w:rPr>
          <w:lang w:val="en"/>
        </w:rPr>
        <w:t>etwork</w:t>
      </w:r>
      <w:r w:rsidR="003D2864">
        <w:rPr>
          <w:lang w:val="en"/>
        </w:rPr>
        <w:t>.</w:t>
      </w:r>
    </w:p>
    <w:p w:rsidR="005A7020" w:rsidRDefault="005A7020" w:rsidP="00B03C5A">
      <w:pPr>
        <w:rPr>
          <w:lang w:val="en"/>
        </w:rPr>
      </w:pPr>
      <w:r w:rsidRPr="00FC044B">
        <w:rPr>
          <w:lang w:val="en"/>
        </w:rPr>
        <w:t xml:space="preserve">Also contributing to growth in this area </w:t>
      </w:r>
      <w:r w:rsidR="00CB6AFC" w:rsidRPr="00FC044B">
        <w:rPr>
          <w:lang w:val="en"/>
        </w:rPr>
        <w:t>through to 2012</w:t>
      </w:r>
      <w:r w:rsidR="005969AC" w:rsidRPr="00FC044B">
        <w:noBreakHyphen/>
      </w:r>
      <w:r w:rsidR="00CB6AFC" w:rsidRPr="00FC044B">
        <w:rPr>
          <w:lang w:val="en"/>
        </w:rPr>
        <w:t xml:space="preserve">13 was the introduction of </w:t>
      </w:r>
      <w:r w:rsidRPr="00FC044B">
        <w:rPr>
          <w:lang w:val="en"/>
        </w:rPr>
        <w:t>the Regional Infrastructure Fund and the Regional Development Australia Fund.  The Regional Infrastructure</w:t>
      </w:r>
      <w:r w:rsidR="005969AC" w:rsidRPr="00FC044B">
        <w:rPr>
          <w:lang w:val="en"/>
        </w:rPr>
        <w:t xml:space="preserve"> Fund was announced in the 2010</w:t>
      </w:r>
      <w:r w:rsidR="005969AC" w:rsidRPr="00FC044B">
        <w:noBreakHyphen/>
        <w:t>1</w:t>
      </w:r>
      <w:r w:rsidRPr="00FC044B">
        <w:rPr>
          <w:lang w:val="en"/>
        </w:rPr>
        <w:t>1</w:t>
      </w:r>
      <w:r w:rsidR="00A65FF4" w:rsidRPr="00FC044B">
        <w:rPr>
          <w:lang w:val="en"/>
        </w:rPr>
        <w:t> </w:t>
      </w:r>
      <w:r w:rsidRPr="00FC044B">
        <w:rPr>
          <w:lang w:val="en"/>
        </w:rPr>
        <w:t>Budget to invest in urgent infrastructure needs, particularly in relation to the mining sector.  The Regional Development Australia Fund was launched in 2010</w:t>
      </w:r>
      <w:r w:rsidR="005969AC" w:rsidRPr="00FC044B">
        <w:noBreakHyphen/>
      </w:r>
      <w:r w:rsidRPr="00FC044B">
        <w:rPr>
          <w:lang w:val="en"/>
        </w:rPr>
        <w:t>11 to support</w:t>
      </w:r>
      <w:r w:rsidR="00AE0658" w:rsidRPr="00FC044B">
        <w:rPr>
          <w:lang w:val="en"/>
        </w:rPr>
        <w:t xml:space="preserve"> projects to meet the infrastructure need</w:t>
      </w:r>
      <w:r w:rsidR="00FC044B">
        <w:rPr>
          <w:lang w:val="en"/>
        </w:rPr>
        <w:t>s</w:t>
      </w:r>
      <w:r w:rsidR="00AE0658" w:rsidRPr="00FC044B">
        <w:rPr>
          <w:lang w:val="en"/>
        </w:rPr>
        <w:t xml:space="preserve"> of </w:t>
      </w:r>
      <w:r w:rsidRPr="00FC044B">
        <w:rPr>
          <w:lang w:val="en"/>
        </w:rPr>
        <w:t>regional Australia</w:t>
      </w:r>
      <w:r w:rsidR="00A65FF4" w:rsidRPr="00FC044B">
        <w:rPr>
          <w:lang w:val="en"/>
        </w:rPr>
        <w:t>.</w:t>
      </w:r>
    </w:p>
    <w:p w:rsidR="005A7020" w:rsidRPr="00974506" w:rsidRDefault="005A7020" w:rsidP="005A7020">
      <w:pPr>
        <w:pStyle w:val="PBOtext"/>
        <w:rPr>
          <w:i/>
          <w:lang w:val="en"/>
        </w:rPr>
      </w:pPr>
    </w:p>
    <w:p w:rsidR="00B03C5A" w:rsidRPr="00974506" w:rsidRDefault="00B03C5A" w:rsidP="005A7020">
      <w:pPr>
        <w:rPr>
          <w:i/>
        </w:rPr>
        <w:sectPr w:rsidR="00B03C5A" w:rsidRPr="00974506" w:rsidSect="0099638E">
          <w:footerReference w:type="default" r:id="rId53"/>
          <w:pgSz w:w="11900" w:h="16840"/>
          <w:pgMar w:top="1440" w:right="1797" w:bottom="1440" w:left="1797" w:header="709" w:footer="709" w:gutter="0"/>
          <w:cols w:space="708"/>
          <w:titlePg/>
          <w:docGrid w:linePitch="326"/>
        </w:sectPr>
      </w:pPr>
    </w:p>
    <w:p w:rsidR="008A1BDB" w:rsidRDefault="006671CA" w:rsidP="003D676E">
      <w:pPr>
        <w:pStyle w:val="Heading1"/>
        <w:numPr>
          <w:ilvl w:val="0"/>
          <w:numId w:val="44"/>
        </w:numPr>
        <w:tabs>
          <w:tab w:val="left" w:pos="709"/>
        </w:tabs>
        <w:ind w:left="567" w:hanging="567"/>
      </w:pPr>
      <w:bookmarkStart w:id="231" w:name="_Toc373778498"/>
      <w:bookmarkStart w:id="232" w:name="_Toc374182872"/>
      <w:bookmarkStart w:id="233" w:name="_Toc374349468"/>
      <w:r>
        <w:lastRenderedPageBreak/>
        <w:t>Net c</w:t>
      </w:r>
      <w:r w:rsidR="008A1BDB">
        <w:t xml:space="preserve">apital </w:t>
      </w:r>
      <w:r>
        <w:t>i</w:t>
      </w:r>
      <w:r w:rsidR="008A1BDB">
        <w:t>nvestment</w:t>
      </w:r>
      <w:bookmarkEnd w:id="231"/>
      <w:bookmarkEnd w:id="232"/>
      <w:bookmarkEnd w:id="233"/>
    </w:p>
    <w:p w:rsidR="00727A3E" w:rsidRPr="006F4B24" w:rsidRDefault="008A1BDB" w:rsidP="008A1BDB">
      <w:r>
        <w:t xml:space="preserve">Net capital investment provides a measure of the overall growth in assets owned by the Commonwealth after taking account of </w:t>
      </w:r>
      <w:r w:rsidR="00727A3E">
        <w:t xml:space="preserve">the acquisition </w:t>
      </w:r>
      <w:r w:rsidR="003F71D1">
        <w:t xml:space="preserve">and disposal </w:t>
      </w:r>
      <w:r w:rsidR="00727A3E">
        <w:t>of non-financial assets by the Commonwealth</w:t>
      </w:r>
      <w:r w:rsidR="00727A3E" w:rsidRPr="006F4B24">
        <w:t xml:space="preserve"> and depreciation </w:t>
      </w:r>
      <w:r w:rsidRPr="006F4B24">
        <w:t xml:space="preserve">in </w:t>
      </w:r>
      <w:r w:rsidR="009C6879">
        <w:t xml:space="preserve">the </w:t>
      </w:r>
      <w:r w:rsidRPr="006F4B24">
        <w:t>value of these assets as they age.</w:t>
      </w:r>
    </w:p>
    <w:p w:rsidR="008A1BDB" w:rsidRPr="006F4B24" w:rsidRDefault="005969AC" w:rsidP="008A1BDB">
      <w:r>
        <w:t>In 2012</w:t>
      </w:r>
      <w:r w:rsidRPr="006B456E">
        <w:noBreakHyphen/>
      </w:r>
      <w:r w:rsidR="008A1BDB" w:rsidRPr="006F4B24">
        <w:t xml:space="preserve">13, Commonwealth net capital investment </w:t>
      </w:r>
      <w:r w:rsidR="0066257B" w:rsidRPr="006F4B24">
        <w:t>was</w:t>
      </w:r>
      <w:r w:rsidR="008A1BDB" w:rsidRPr="006F4B24">
        <w:t xml:space="preserve"> $987</w:t>
      </w:r>
      <w:r w:rsidR="00883EF4">
        <w:t> </w:t>
      </w:r>
      <w:r w:rsidR="008A1BDB" w:rsidRPr="006F4B24">
        <w:t>million, or 0.3</w:t>
      </w:r>
      <w:r w:rsidR="00883EF4">
        <w:t> </w:t>
      </w:r>
      <w:r w:rsidR="008A1BDB" w:rsidRPr="006F4B24">
        <w:t>per</w:t>
      </w:r>
      <w:r w:rsidR="00883EF4">
        <w:t> </w:t>
      </w:r>
      <w:r w:rsidR="008A1BDB" w:rsidRPr="006F4B24">
        <w:t>cent of total government spending.</w:t>
      </w:r>
      <w:r w:rsidR="007C5A0F" w:rsidRPr="006F4B24">
        <w:t xml:space="preserve">  This </w:t>
      </w:r>
      <w:r w:rsidR="007C5A0F" w:rsidRPr="009C158F">
        <w:t>consisted of $8.0 billion of purchases, less $1.7 billion of sales, less $6.4</w:t>
      </w:r>
      <w:r w:rsidR="006552FA" w:rsidRPr="009C158F">
        <w:t> billion depreciation, plus $1.1</w:t>
      </w:r>
      <w:r w:rsidR="007C5A0F" w:rsidRPr="009C158F">
        <w:t> billion</w:t>
      </w:r>
      <w:r w:rsidR="007C5A0F" w:rsidRPr="006F4B24">
        <w:t xml:space="preserve"> of changes in inventories and other movements in </w:t>
      </w:r>
      <w:r w:rsidR="00883EF4">
        <w:br/>
      </w:r>
      <w:r w:rsidR="007C5A0F" w:rsidRPr="006F4B24">
        <w:t>non-financial assets.</w:t>
      </w:r>
    </w:p>
    <w:p w:rsidR="008A1BDB" w:rsidRDefault="008A1BDB" w:rsidP="008A1BDB">
      <w:r w:rsidRPr="006F4B24">
        <w:t>Usually, the largest component of capital investment is in the defence portfolio and includes the acquisition of aircraft and ships and the construction of support facilities.  Other smaller components</w:t>
      </w:r>
      <w:r>
        <w:t xml:space="preserve"> of investment include buildings, infrastructure and intangibles such as computer software.  In recent years, significant funds have also been invested in the purchase of water entitlements for the environment</w:t>
      </w:r>
      <w:r w:rsidR="003F71D1">
        <w:t>.</w:t>
      </w:r>
    </w:p>
    <w:p w:rsidR="008A1BDB" w:rsidRDefault="008A1BDB" w:rsidP="008A1BDB">
      <w:r>
        <w:t xml:space="preserve">Subtracting from this investment is the disposal of assets owned by the Commonwealth, such as the sale of radio spectrum licences.  </w:t>
      </w:r>
      <w:r w:rsidR="0066257B">
        <w:t>N</w:t>
      </w:r>
      <w:r>
        <w:t xml:space="preserve">et </w:t>
      </w:r>
      <w:r w:rsidR="0066257B">
        <w:t xml:space="preserve">capital </w:t>
      </w:r>
      <w:r>
        <w:t>investment can be very volatile, and can be negative when asset sales outweigh purchases.</w:t>
      </w:r>
    </w:p>
    <w:p w:rsidR="00D1268A" w:rsidRDefault="008A1BDB" w:rsidP="008A1BDB">
      <w:r>
        <w:t xml:space="preserve">The funding provided by the Commonwealth to States and local government for capital investment (such as for building roads) is not counted in this measure because the </w:t>
      </w:r>
      <w:r w:rsidR="00A8161B">
        <w:t>resultant assets are</w:t>
      </w:r>
      <w:r>
        <w:t xml:space="preserve"> </w:t>
      </w:r>
      <w:r w:rsidR="003D2864">
        <w:t>not owned by the Commonwealth.</w:t>
      </w:r>
    </w:p>
    <w:p w:rsidR="008A1BDB" w:rsidRDefault="008A1BDB" w:rsidP="008A1BDB">
      <w:r>
        <w:t xml:space="preserve">Net capital investment does not include equity injections into public corporations, such as the </w:t>
      </w:r>
      <w:r w:rsidRPr="00444883">
        <w:t>injection of $</w:t>
      </w:r>
      <w:r w:rsidR="006552FA" w:rsidRPr="00444883">
        <w:t>2</w:t>
      </w:r>
      <w:r w:rsidR="00917437" w:rsidRPr="00444883">
        <w:t>7.5</w:t>
      </w:r>
      <w:r w:rsidR="00883EF4">
        <w:t> </w:t>
      </w:r>
      <w:r w:rsidRPr="00444883">
        <w:t xml:space="preserve">billion to </w:t>
      </w:r>
      <w:r w:rsidRPr="00161B39">
        <w:t>the National Broadband Network</w:t>
      </w:r>
      <w:r w:rsidR="00883EF4" w:rsidRPr="00161B39">
        <w:t xml:space="preserve"> announced in the 2011</w:t>
      </w:r>
      <w:r w:rsidR="005969AC" w:rsidRPr="00161B39">
        <w:noBreakHyphen/>
      </w:r>
      <w:r w:rsidR="00883EF4" w:rsidRPr="00161B39">
        <w:t>12 </w:t>
      </w:r>
      <w:r w:rsidRPr="00161B39">
        <w:t>Budget.  These transactions generally do not impact on the fiscal balance</w:t>
      </w:r>
      <w:r>
        <w:t>, cash balance or net capital investment, because they are the exchange of one type of Commonwealth financial asset for another.</w:t>
      </w:r>
    </w:p>
    <w:p w:rsidR="008A1BDB" w:rsidRDefault="008A1BDB" w:rsidP="008A1BDB">
      <w:pPr>
        <w:pStyle w:val="Heading20"/>
      </w:pPr>
      <w:r>
        <w:t>Trends in net capital investment</w:t>
      </w:r>
    </w:p>
    <w:p w:rsidR="008A1BDB" w:rsidRDefault="008A1BDB" w:rsidP="008A1BDB">
      <w:r w:rsidRPr="0041748B">
        <w:t>Over the period 2002</w:t>
      </w:r>
      <w:r w:rsidR="005969AC" w:rsidRPr="006B456E">
        <w:noBreakHyphen/>
      </w:r>
      <w:r w:rsidRPr="0041748B">
        <w:t>03 to</w:t>
      </w:r>
      <w:r>
        <w:t xml:space="preserve"> 2012</w:t>
      </w:r>
      <w:r w:rsidR="005969AC" w:rsidRPr="006B456E">
        <w:noBreakHyphen/>
      </w:r>
      <w:r>
        <w:t>13, net capi</w:t>
      </w:r>
      <w:r w:rsidR="0066257B">
        <w:t xml:space="preserve">tal investment grew </w:t>
      </w:r>
      <w:r w:rsidR="00214FB8">
        <w:t>10.</w:t>
      </w:r>
      <w:r w:rsidR="002D5948">
        <w:t>1</w:t>
      </w:r>
      <w:r>
        <w:t> per cent</w:t>
      </w:r>
      <w:r w:rsidR="0066257B">
        <w:t xml:space="preserve"> annually</w:t>
      </w:r>
      <w:r>
        <w:t xml:space="preserve">, while </w:t>
      </w:r>
      <w:r w:rsidR="0066257B">
        <w:t xml:space="preserve">GDP </w:t>
      </w:r>
      <w:r>
        <w:t>grew 3</w:t>
      </w:r>
      <w:r w:rsidR="00A8161B">
        <w:t>.0</w:t>
      </w:r>
      <w:r w:rsidR="00883EF4">
        <w:t> </w:t>
      </w:r>
      <w:r>
        <w:t>per</w:t>
      </w:r>
      <w:r w:rsidR="00883EF4">
        <w:t> </w:t>
      </w:r>
      <w:r>
        <w:t xml:space="preserve">cent annually.  There was a rapid increase in net </w:t>
      </w:r>
      <w:r w:rsidR="00A8161B">
        <w:t xml:space="preserve">capital </w:t>
      </w:r>
      <w:r>
        <w:t>investment from 2002</w:t>
      </w:r>
      <w:r w:rsidR="005969AC" w:rsidRPr="006B456E">
        <w:noBreakHyphen/>
      </w:r>
      <w:r>
        <w:t>03 to a peak in 2009</w:t>
      </w:r>
      <w:r w:rsidR="005969AC" w:rsidRPr="006B456E">
        <w:noBreakHyphen/>
      </w:r>
      <w:r>
        <w:t xml:space="preserve">10, with growth </w:t>
      </w:r>
      <w:r w:rsidRPr="009C158F">
        <w:t>of 5</w:t>
      </w:r>
      <w:r w:rsidR="00FE6B92" w:rsidRPr="009C158F">
        <w:t>1.6</w:t>
      </w:r>
      <w:r w:rsidR="00883EF4">
        <w:t> </w:t>
      </w:r>
      <w:r w:rsidRPr="009C158F">
        <w:t>per</w:t>
      </w:r>
      <w:r w:rsidR="00883EF4">
        <w:t> </w:t>
      </w:r>
      <w:r w:rsidRPr="009C158F">
        <w:t>cent</w:t>
      </w:r>
      <w:r>
        <w:t xml:space="preserve"> </w:t>
      </w:r>
      <w:r w:rsidR="00442FDF">
        <w:t>annually</w:t>
      </w:r>
      <w:r>
        <w:t>.</w:t>
      </w:r>
      <w:r w:rsidR="00883EF4">
        <w:t xml:space="preserve"> </w:t>
      </w:r>
      <w:r>
        <w:t xml:space="preserve"> This was followed by a large </w:t>
      </w:r>
      <w:r w:rsidR="00883EF4">
        <w:t>fall in net capital investment.</w:t>
      </w:r>
    </w:p>
    <w:p w:rsidR="00842A6D" w:rsidRDefault="008A1BDB" w:rsidP="008A1BDB">
      <w:r>
        <w:t>The volatility in t</w:t>
      </w:r>
      <w:r w:rsidR="006703CD">
        <w:t xml:space="preserve">he series, </w:t>
      </w:r>
      <w:r w:rsidR="002B32F2">
        <w:t xml:space="preserve">as shown in </w:t>
      </w:r>
      <w:r w:rsidR="006703CD">
        <w:t>F</w:t>
      </w:r>
      <w:r w:rsidR="00883EF4">
        <w:t>igure </w:t>
      </w:r>
      <w:r w:rsidR="00A8161B">
        <w:t xml:space="preserve">10.1 </w:t>
      </w:r>
      <w:r>
        <w:t>below, is mainly due to variations in the number and size of large purchase</w:t>
      </w:r>
      <w:r w:rsidR="007C5A0F">
        <w:t>s of</w:t>
      </w:r>
      <w:r>
        <w:t xml:space="preserve"> non-financial assets, as well as major disposals of assets.</w:t>
      </w:r>
    </w:p>
    <w:p w:rsidR="00842A6D" w:rsidRDefault="00842A6D" w:rsidP="00842A6D">
      <w:r>
        <w:br w:type="page"/>
      </w:r>
    </w:p>
    <w:p w:rsidR="008A1BDB" w:rsidRDefault="008A1BDB" w:rsidP="007A4A40">
      <w:pPr>
        <w:pStyle w:val="Caption"/>
      </w:pPr>
      <w:bookmarkStart w:id="234" w:name="_Toc373422192"/>
      <w:bookmarkStart w:id="235" w:name="_Toc373873672"/>
      <w:bookmarkStart w:id="236" w:name="_Toc373955576"/>
      <w:bookmarkStart w:id="237" w:name="_Toc374088512"/>
      <w:bookmarkStart w:id="238" w:name="_Toc374102227"/>
      <w:bookmarkStart w:id="239" w:name="_Toc374350008"/>
      <w:proofErr w:type="gramStart"/>
      <w:r>
        <w:lastRenderedPageBreak/>
        <w:t xml:space="preserve">Figure </w:t>
      </w:r>
      <w:fldSimple w:instr=" STYLEREF 1 \s ">
        <w:r w:rsidR="00E862AC">
          <w:rPr>
            <w:noProof/>
          </w:rPr>
          <w:t>10</w:t>
        </w:r>
      </w:fldSimple>
      <w:r>
        <w:t>.</w:t>
      </w:r>
      <w:proofErr w:type="gramEnd"/>
      <w:r w:rsidR="00143AAD">
        <w:fldChar w:fldCharType="begin"/>
      </w:r>
      <w:r w:rsidR="00143AAD">
        <w:instrText xml:space="preserve"> SEQ Figure \* ARABIC \s 1 </w:instrText>
      </w:r>
      <w:r w:rsidR="00143AAD">
        <w:fldChar w:fldCharType="separate"/>
      </w:r>
      <w:r w:rsidR="00E862AC">
        <w:rPr>
          <w:noProof/>
        </w:rPr>
        <w:t>1</w:t>
      </w:r>
      <w:r w:rsidR="00143AAD">
        <w:rPr>
          <w:noProof/>
        </w:rPr>
        <w:fldChar w:fldCharType="end"/>
      </w:r>
      <w:r>
        <w:t>:</w:t>
      </w:r>
      <w:r w:rsidR="00773778">
        <w:tab/>
      </w:r>
      <w:r>
        <w:t>Net capital investment (2012-13 dollars)</w:t>
      </w:r>
      <w:bookmarkEnd w:id="234"/>
      <w:bookmarkEnd w:id="235"/>
      <w:bookmarkEnd w:id="236"/>
      <w:bookmarkEnd w:id="237"/>
      <w:bookmarkEnd w:id="238"/>
      <w:bookmarkEnd w:id="239"/>
    </w:p>
    <w:p w:rsidR="008A1BDB" w:rsidRDefault="00046F40" w:rsidP="001618F6">
      <w:pPr>
        <w:spacing w:before="0" w:after="0"/>
        <w:jc w:val="center"/>
        <w:rPr>
          <w:rFonts w:ascii="Arial" w:hAnsi="Arial" w:cs="Arial"/>
          <w:sz w:val="16"/>
        </w:rPr>
      </w:pPr>
      <w:r>
        <w:rPr>
          <w:rFonts w:ascii="Arial" w:hAnsi="Arial" w:cs="Arial"/>
          <w:noProof/>
          <w:sz w:val="16"/>
        </w:rPr>
        <w:drawing>
          <wp:inline distT="0" distB="0" distL="0" distR="0" wp14:anchorId="705B70B3" wp14:editId="7EFF701F">
            <wp:extent cx="5408593" cy="3556000"/>
            <wp:effectExtent l="0" t="0" r="1905" b="6350"/>
            <wp:docPr id="91" name="Picture 91" descr="This chart shows the real level of government net capital investment from 2002–03 to 2012–13.  It shows the amount spent rose to a peak in 2009–10 before declining to 2012–13 and that defence net capital investment is a significant contributor to total net capital investment." title="Fig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4">
                      <a:extLst>
                        <a:ext uri="{28A0092B-C50C-407E-A947-70E740481C1C}">
                          <a14:useLocalDpi xmlns:a14="http://schemas.microsoft.com/office/drawing/2010/main" val="0"/>
                        </a:ext>
                      </a:extLst>
                    </a:blip>
                    <a:srcRect t="2070" b="1380"/>
                    <a:stretch/>
                  </pic:blipFill>
                  <pic:spPr bwMode="auto">
                    <a:xfrm>
                      <a:off x="0" y="0"/>
                      <a:ext cx="5407660" cy="3555387"/>
                    </a:xfrm>
                    <a:prstGeom prst="rect">
                      <a:avLst/>
                    </a:prstGeom>
                    <a:noFill/>
                    <a:ln>
                      <a:noFill/>
                    </a:ln>
                    <a:extLst>
                      <a:ext uri="{53640926-AAD7-44D8-BBD7-CCE9431645EC}">
                        <a14:shadowObscured xmlns:a14="http://schemas.microsoft.com/office/drawing/2010/main"/>
                      </a:ext>
                    </a:extLst>
                  </pic:spPr>
                </pic:pic>
              </a:graphicData>
            </a:graphic>
          </wp:inline>
        </w:drawing>
      </w:r>
    </w:p>
    <w:p w:rsidR="008A1BDB" w:rsidRDefault="008A1BDB" w:rsidP="008A1BDB">
      <w:pPr>
        <w:pStyle w:val="FigureCaption"/>
      </w:pPr>
      <w:r>
        <w:t xml:space="preserve">Source: </w:t>
      </w:r>
      <w:r>
        <w:rPr>
          <w:rFonts w:eastAsia="MS PGothic"/>
        </w:rPr>
        <w:t xml:space="preserve">Australian </w:t>
      </w:r>
      <w:r w:rsidRPr="0041748B">
        <w:rPr>
          <w:rFonts w:eastAsia="MS PGothic"/>
        </w:rPr>
        <w:t xml:space="preserve">Government </w:t>
      </w:r>
      <w:r>
        <w:rPr>
          <w:rFonts w:eastAsia="MS PGothic"/>
        </w:rPr>
        <w:t xml:space="preserve">Final Budget Outcomes </w:t>
      </w:r>
    </w:p>
    <w:p w:rsidR="008A1BDB" w:rsidRDefault="008A1BDB" w:rsidP="008A1BDB">
      <w:r>
        <w:t>Over the period 2002</w:t>
      </w:r>
      <w:r w:rsidR="00883EF4">
        <w:t>-</w:t>
      </w:r>
      <w:r w:rsidRPr="0041748B">
        <w:t>03 to 201</w:t>
      </w:r>
      <w:r>
        <w:t>2</w:t>
      </w:r>
      <w:r w:rsidR="005969AC" w:rsidRPr="006B456E">
        <w:noBreakHyphen/>
      </w:r>
      <w:r>
        <w:t>13, capital purchases grew by 6.7 per cent annually.</w:t>
      </w:r>
      <w:r w:rsidR="009C6879">
        <w:t xml:space="preserve"> </w:t>
      </w:r>
      <w:r>
        <w:t xml:space="preserve"> The trends in capital purchases broadly follow the net capital invest</w:t>
      </w:r>
      <w:r w:rsidR="006F4B24">
        <w:t>ment trends shown in Figure 10.1</w:t>
      </w:r>
      <w:r>
        <w:t xml:space="preserve">. </w:t>
      </w:r>
      <w:r w:rsidR="006F4B24">
        <w:t xml:space="preserve"> </w:t>
      </w:r>
      <w:r>
        <w:t>There was a very rapid increase in purchases from 2002-03 to the peak year in 2009</w:t>
      </w:r>
      <w:r w:rsidR="005969AC" w:rsidRPr="006B456E">
        <w:noBreakHyphen/>
      </w:r>
      <w:r>
        <w:t>10 (when purchases were $11.6</w:t>
      </w:r>
      <w:r w:rsidR="00883EF4">
        <w:t> </w:t>
      </w:r>
      <w:r>
        <w:t>billion).</w:t>
      </w:r>
      <w:r w:rsidR="00883EF4">
        <w:t xml:space="preserve"> </w:t>
      </w:r>
      <w:r>
        <w:t xml:space="preserve"> </w:t>
      </w:r>
      <w:r w:rsidR="00A8161B">
        <w:t>T</w:t>
      </w:r>
      <w:r>
        <w:t>here was subsequently a decline in purchases from 2009</w:t>
      </w:r>
      <w:r w:rsidR="005969AC" w:rsidRPr="006B456E">
        <w:noBreakHyphen/>
      </w:r>
      <w:r>
        <w:t>10 to 201</w:t>
      </w:r>
      <w:r w:rsidR="00883EF4">
        <w:t>2</w:t>
      </w:r>
      <w:r w:rsidR="005969AC" w:rsidRPr="006B456E">
        <w:noBreakHyphen/>
      </w:r>
      <w:r w:rsidR="00883EF4">
        <w:t>13.</w:t>
      </w:r>
    </w:p>
    <w:p w:rsidR="008A1BDB" w:rsidRDefault="008A1BDB" w:rsidP="008A1BDB">
      <w:pPr>
        <w:pStyle w:val="Heading30"/>
      </w:pPr>
      <w:r>
        <w:t>Defence capital purchases</w:t>
      </w:r>
    </w:p>
    <w:p w:rsidR="008A1BDB" w:rsidRDefault="008A1BDB" w:rsidP="008A1BDB">
      <w:r>
        <w:t>Of all government agencies, the Department of Defence is consistently the largest contributor to the acquisition of non-financial assets by the general government sector.</w:t>
      </w:r>
      <w:r w:rsidR="00883EF4">
        <w:t xml:space="preserve"> </w:t>
      </w:r>
      <w:r w:rsidRPr="00615E65">
        <w:t xml:space="preserve"> </w:t>
      </w:r>
      <w:r>
        <w:t>Expansion of military capability by the Department of Defence made a significant contribution to the surge in net capital investment in the period 2007</w:t>
      </w:r>
      <w:r w:rsidR="005969AC" w:rsidRPr="006B456E">
        <w:noBreakHyphen/>
      </w:r>
      <w:r w:rsidR="005969AC">
        <w:t>08 to 2009</w:t>
      </w:r>
      <w:r w:rsidR="005969AC" w:rsidRPr="006B456E">
        <w:noBreakHyphen/>
      </w:r>
      <w:r>
        <w:t>10.  The peak in net capital investment in 2009</w:t>
      </w:r>
      <w:r w:rsidR="005969AC" w:rsidRPr="006B456E">
        <w:noBreakHyphen/>
      </w:r>
      <w:r>
        <w:t>10 was predominately related to additional military equipment and construction of defence support facilities.</w:t>
      </w:r>
    </w:p>
    <w:p w:rsidR="008A1BDB" w:rsidRPr="00444883" w:rsidRDefault="008A1BDB" w:rsidP="008A1BDB">
      <w:r>
        <w:t>Specialist military equipment consistently takes a dominant share of total acquisition of new infrastructure plant and equipment by the general government sector.</w:t>
      </w:r>
      <w:r w:rsidR="00883EF4">
        <w:t xml:space="preserve"> </w:t>
      </w:r>
      <w:r w:rsidR="005969AC">
        <w:t xml:space="preserve"> From 2002</w:t>
      </w:r>
      <w:r w:rsidR="005969AC" w:rsidRPr="006B456E">
        <w:noBreakHyphen/>
      </w:r>
      <w:r>
        <w:t>03 to 2009</w:t>
      </w:r>
      <w:r w:rsidR="005969AC" w:rsidRPr="006B456E">
        <w:noBreakHyphen/>
      </w:r>
      <w:r>
        <w:t>10, purchase of specialist milit</w:t>
      </w:r>
      <w:r w:rsidR="00623C2D">
        <w:t xml:space="preserve">ary equipment </w:t>
      </w:r>
      <w:r w:rsidR="00623C2D" w:rsidRPr="00444883">
        <w:t>increased by 65.6</w:t>
      </w:r>
      <w:r w:rsidR="00883EF4">
        <w:t> </w:t>
      </w:r>
      <w:r w:rsidRPr="00444883">
        <w:t>per</w:t>
      </w:r>
      <w:r w:rsidR="00883EF4">
        <w:t> cent.</w:t>
      </w:r>
    </w:p>
    <w:p w:rsidR="008A1BDB" w:rsidRPr="00444883" w:rsidRDefault="008A1BDB" w:rsidP="008A1BDB">
      <w:r w:rsidRPr="00444883">
        <w:t>At the peak in 2009</w:t>
      </w:r>
      <w:r w:rsidR="005969AC" w:rsidRPr="006B456E">
        <w:noBreakHyphen/>
      </w:r>
      <w:r w:rsidRPr="00444883">
        <w:t>10, purchase of specialist military equipment was $5.5 billion, or almost half of total purchases of non</w:t>
      </w:r>
      <w:r w:rsidR="00883EF4">
        <w:t>-</w:t>
      </w:r>
      <w:r w:rsidRPr="00444883">
        <w:t xml:space="preserve">financial assets by the general government sector. </w:t>
      </w:r>
      <w:r w:rsidR="00883EF4">
        <w:t xml:space="preserve"> </w:t>
      </w:r>
      <w:r w:rsidRPr="00444883">
        <w:t>Significant defence purchases included the Bridging Air Combat Capability Super Hornets, the Air Warfare destroyer</w:t>
      </w:r>
      <w:r w:rsidR="003D2864">
        <w:t xml:space="preserve"> and the Multi Role Helicopter.</w:t>
      </w:r>
    </w:p>
    <w:p w:rsidR="008A1BDB" w:rsidRDefault="008A1BDB" w:rsidP="008A1BDB">
      <w:r w:rsidRPr="00444883">
        <w:t>Apart from specialist military equipment, Defence is also the largest purchaser of other infrastructure and buildings in the general government sector.</w:t>
      </w:r>
      <w:r w:rsidR="00883EF4">
        <w:t xml:space="preserve"> </w:t>
      </w:r>
      <w:r w:rsidRPr="00444883">
        <w:t xml:space="preserve"> Defence acquisition of buildings rose s</w:t>
      </w:r>
      <w:r w:rsidR="005969AC">
        <w:t>harply between 2002</w:t>
      </w:r>
      <w:r w:rsidR="005969AC" w:rsidRPr="006B456E">
        <w:noBreakHyphen/>
      </w:r>
      <w:r w:rsidR="005969AC">
        <w:t>03 and 2009</w:t>
      </w:r>
      <w:r w:rsidR="005969AC" w:rsidRPr="006B456E">
        <w:noBreakHyphen/>
      </w:r>
      <w:r w:rsidRPr="00444883">
        <w:t>10, increasing by 315</w:t>
      </w:r>
      <w:r w:rsidR="00623C2D" w:rsidRPr="00444883">
        <w:t>.1</w:t>
      </w:r>
      <w:r w:rsidR="00883EF4">
        <w:t> </w:t>
      </w:r>
      <w:r w:rsidRPr="00444883">
        <w:t>per</w:t>
      </w:r>
      <w:r w:rsidR="00883EF4">
        <w:t> </w:t>
      </w:r>
      <w:r w:rsidRPr="00444883">
        <w:t>cent.</w:t>
      </w:r>
    </w:p>
    <w:p w:rsidR="00842A6D" w:rsidRDefault="00842A6D">
      <w:pPr>
        <w:spacing w:before="0" w:after="200" w:line="252" w:lineRule="auto"/>
      </w:pPr>
      <w:r>
        <w:br w:type="page"/>
      </w:r>
    </w:p>
    <w:p w:rsidR="008A1BDB" w:rsidRPr="00D33282" w:rsidRDefault="008A1BDB" w:rsidP="008A1BDB">
      <w:r>
        <w:lastRenderedPageBreak/>
        <w:t>Significant acquisition of buildings and infrastructure by Defence included the Heavy Airlift Capability Permanent Facilities and Multi</w:t>
      </w:r>
      <w:r w:rsidR="00883EF4">
        <w:t> </w:t>
      </w:r>
      <w:r>
        <w:t>Role Helicopter facilities.</w:t>
      </w:r>
      <w:r w:rsidR="00883EF4">
        <w:t xml:space="preserve"> </w:t>
      </w:r>
      <w:r>
        <w:t xml:space="preserve"> There were also capital works funding for the Army, through The </w:t>
      </w:r>
      <w:r>
        <w:rPr>
          <w:i/>
        </w:rPr>
        <w:t>Hardened and Networked Army – Phase 2</w:t>
      </w:r>
      <w:r w:rsidR="00883EF4">
        <w:t xml:space="preserve"> measure in the 2006-07 </w:t>
      </w:r>
      <w:r>
        <w:t>Budget.</w:t>
      </w:r>
      <w:r w:rsidR="00883EF4">
        <w:t xml:space="preserve"> </w:t>
      </w:r>
      <w:r>
        <w:t xml:space="preserve"> This provided funding of $1.5 billion over ten years to enhance the Army's protection and capabilities, upgrade facilities and relocate a battalion to Adelaide.</w:t>
      </w:r>
    </w:p>
    <w:p w:rsidR="008A1BDB" w:rsidRPr="00444883" w:rsidRDefault="008A1BDB" w:rsidP="008A1BDB">
      <w:r>
        <w:t>In 2009</w:t>
      </w:r>
      <w:r w:rsidR="005969AC" w:rsidRPr="006B456E">
        <w:noBreakHyphen/>
      </w:r>
      <w:r>
        <w:t xml:space="preserve">10, Defence acquisition of </w:t>
      </w:r>
      <w:r w:rsidRPr="00444883">
        <w:t>buildings was $1.4 billion or 5</w:t>
      </w:r>
      <w:r w:rsidR="00623C2D" w:rsidRPr="00444883">
        <w:t>6.5</w:t>
      </w:r>
      <w:r w:rsidRPr="00444883">
        <w:t> per cent of total acquisition of buildings by the general government sector.  Defence acquisition of infrastructure plant and equipment, other than specialist equipment, was $420 million, or 27</w:t>
      </w:r>
      <w:r w:rsidR="00623C2D" w:rsidRPr="00444883">
        <w:t>.2</w:t>
      </w:r>
      <w:r w:rsidRPr="00444883">
        <w:t> per cent of total acquisition of these assets by</w:t>
      </w:r>
      <w:r w:rsidR="00883EF4">
        <w:t xml:space="preserve"> the general government sector.</w:t>
      </w:r>
    </w:p>
    <w:p w:rsidR="008A1BDB" w:rsidRPr="00444883" w:rsidRDefault="008A1BDB" w:rsidP="008A1BDB">
      <w:r w:rsidRPr="00444883">
        <w:t>For a comparison of defence net capital investment with defence expenses, refer to C</w:t>
      </w:r>
      <w:r w:rsidR="00623C2D" w:rsidRPr="00444883">
        <w:t>hapter</w:t>
      </w:r>
      <w:r w:rsidR="00883EF4">
        <w:t> </w:t>
      </w:r>
      <w:r w:rsidR="00623C2D" w:rsidRPr="00444883">
        <w:t>7</w:t>
      </w:r>
      <w:r w:rsidR="00BF46DF" w:rsidRPr="00444883">
        <w:rPr>
          <w:b/>
        </w:rPr>
        <w:t>.</w:t>
      </w:r>
    </w:p>
    <w:p w:rsidR="008A1BDB" w:rsidRPr="00444883" w:rsidRDefault="008A1BDB" w:rsidP="008A1BDB">
      <w:pPr>
        <w:pStyle w:val="Heading30"/>
      </w:pPr>
      <w:r w:rsidRPr="00444883">
        <w:t>Non-defence capital purchases</w:t>
      </w:r>
    </w:p>
    <w:p w:rsidR="008A1BDB" w:rsidRDefault="008A1BDB" w:rsidP="008A1BDB">
      <w:r w:rsidRPr="00444883">
        <w:t>Purchases of buildings and infrastructure plant and equipment by government agencies other than Defence are smaller and tend to be lumpy, such as new offices and buildings.  The most significant of these was the construction and fit-out of a new ASIO central o</w:t>
      </w:r>
      <w:r w:rsidR="0066257B" w:rsidRPr="00444883">
        <w:t>ffice building at a cost of $633</w:t>
      </w:r>
      <w:r w:rsidRPr="00444883">
        <w:t> million</w:t>
      </w:r>
      <w:r>
        <w:t xml:space="preserve"> between 2008</w:t>
      </w:r>
      <w:r w:rsidR="005969AC" w:rsidRPr="006B456E">
        <w:noBreakHyphen/>
      </w:r>
      <w:r>
        <w:t>09 and 2012</w:t>
      </w:r>
      <w:r w:rsidR="005969AC" w:rsidRPr="006B456E">
        <w:noBreakHyphen/>
      </w:r>
      <w:r>
        <w:t>13</w:t>
      </w:r>
      <w:r w:rsidR="00883EF4">
        <w:t>.  Another example was the $300 </w:t>
      </w:r>
      <w:r>
        <w:t>million purchase of the Ayers Rock Resort at Yulara by the Indigenous Land Corporation in 2010</w:t>
      </w:r>
      <w:r w:rsidR="005969AC" w:rsidRPr="006B456E">
        <w:noBreakHyphen/>
      </w:r>
      <w:r>
        <w:t>11.</w:t>
      </w:r>
    </w:p>
    <w:p w:rsidR="008A1BDB" w:rsidRDefault="008A1BDB" w:rsidP="008A1BDB">
      <w:r>
        <w:t>There w</w:t>
      </w:r>
      <w:r w:rsidR="003F71D1">
        <w:t>ere</w:t>
      </w:r>
      <w:r>
        <w:t xml:space="preserve"> also significant </w:t>
      </w:r>
      <w:r w:rsidR="003F71D1">
        <w:t xml:space="preserve">acquisitions </w:t>
      </w:r>
      <w:r>
        <w:t>of buildings by the</w:t>
      </w:r>
      <w:r w:rsidR="00971294">
        <w:t xml:space="preserve"> former</w:t>
      </w:r>
      <w:r>
        <w:t xml:space="preserve"> </w:t>
      </w:r>
      <w:r w:rsidRPr="00971294">
        <w:t>Department of Im</w:t>
      </w:r>
      <w:r w:rsidR="00510B9C" w:rsidRPr="00971294">
        <w:t>migration and Citizenship (DIAC)</w:t>
      </w:r>
      <w:r w:rsidRPr="00971294">
        <w:t>, relating to immigration processing and detention facilities</w:t>
      </w:r>
      <w:r w:rsidR="00510B9C" w:rsidRPr="00971294">
        <w:t>.</w:t>
      </w:r>
      <w:r w:rsidR="0066257B" w:rsidRPr="00971294">
        <w:t xml:space="preserve">  </w:t>
      </w:r>
      <w:r w:rsidR="005969AC" w:rsidRPr="00971294">
        <w:t>From 2008</w:t>
      </w:r>
      <w:r w:rsidR="005969AC" w:rsidRPr="00971294">
        <w:noBreakHyphen/>
      </w:r>
      <w:r w:rsidRPr="00971294">
        <w:t>09 to 2012</w:t>
      </w:r>
      <w:r w:rsidR="005969AC" w:rsidRPr="00971294">
        <w:noBreakHyphen/>
      </w:r>
      <w:r w:rsidRPr="00971294">
        <w:t>13, DIAC</w:t>
      </w:r>
      <w:r>
        <w:t xml:space="preserve"> spent $626 million on </w:t>
      </w:r>
      <w:r w:rsidR="003F71D1">
        <w:t>the acquisition</w:t>
      </w:r>
      <w:r>
        <w:t xml:space="preserve"> of new buildings, or around 6.5 per</w:t>
      </w:r>
      <w:r w:rsidR="00883EF4">
        <w:t> </w:t>
      </w:r>
      <w:r>
        <w:t>cent of the total spent on new buildings by</w:t>
      </w:r>
      <w:r w:rsidR="00883EF4">
        <w:t xml:space="preserve"> the general government sector.</w:t>
      </w:r>
    </w:p>
    <w:p w:rsidR="006552FA" w:rsidRDefault="008A1BDB" w:rsidP="008A1BDB">
      <w:r>
        <w:t>Purchases of plant and equipment, other than specialist military equipment, also make an important contribution to net capital investment growth.  The agency with the largest recurrent purchases is the Commonwealth Scientific and Industri</w:t>
      </w:r>
      <w:r w:rsidR="00510B9C">
        <w:t>al Research Organisation</w:t>
      </w:r>
      <w:r>
        <w:t>, which spent $720</w:t>
      </w:r>
      <w:r w:rsidR="00883EF4">
        <w:t> </w:t>
      </w:r>
      <w:r>
        <w:t>million on plant and equipment between 2002</w:t>
      </w:r>
      <w:r w:rsidR="005969AC" w:rsidRPr="006B456E">
        <w:noBreakHyphen/>
      </w:r>
      <w:r>
        <w:t>03 and 2012</w:t>
      </w:r>
      <w:r w:rsidR="005969AC" w:rsidRPr="006B456E">
        <w:noBreakHyphen/>
      </w:r>
      <w:r>
        <w:t>13.  Another major purchaser of plant and equipment is the Bureau of Meteorology which spent $598</w:t>
      </w:r>
      <w:r w:rsidR="00883EF4">
        <w:t> </w:t>
      </w:r>
      <w:r>
        <w:t>million between 2002</w:t>
      </w:r>
      <w:r w:rsidR="005969AC" w:rsidRPr="006B456E">
        <w:noBreakHyphen/>
      </w:r>
      <w:r>
        <w:t>03 and 2012</w:t>
      </w:r>
      <w:r w:rsidR="005969AC" w:rsidRPr="006B456E">
        <w:noBreakHyphen/>
      </w:r>
      <w:r>
        <w:t xml:space="preserve">13. </w:t>
      </w:r>
      <w:r w:rsidR="00883EF4">
        <w:t xml:space="preserve"> </w:t>
      </w:r>
      <w:r w:rsidRPr="00623C2D">
        <w:t xml:space="preserve">This included </w:t>
      </w:r>
      <w:r w:rsidR="006552FA" w:rsidRPr="00623C2D">
        <w:t>measures announced in the 2009-10</w:t>
      </w:r>
      <w:r w:rsidR="00883EF4">
        <w:t> </w:t>
      </w:r>
      <w:r w:rsidR="006552FA" w:rsidRPr="00623C2D">
        <w:t xml:space="preserve">Budget for </w:t>
      </w:r>
      <w:r w:rsidRPr="00623C2D">
        <w:t xml:space="preserve">the installation of new </w:t>
      </w:r>
      <w:r w:rsidR="006552FA" w:rsidRPr="00623C2D">
        <w:t xml:space="preserve">weather </w:t>
      </w:r>
      <w:r w:rsidRPr="00623C2D">
        <w:t xml:space="preserve">radars and a roll-out of </w:t>
      </w:r>
      <w:r w:rsidR="006552FA" w:rsidRPr="00623C2D">
        <w:t>advanced</w:t>
      </w:r>
      <w:r w:rsidRPr="00623C2D">
        <w:t xml:space="preserve"> weather forecast</w:t>
      </w:r>
      <w:r w:rsidR="006552FA" w:rsidRPr="00623C2D">
        <w:t xml:space="preserve">ing </w:t>
      </w:r>
      <w:r w:rsidRPr="00623C2D">
        <w:t xml:space="preserve">and warning </w:t>
      </w:r>
      <w:r w:rsidR="006552FA" w:rsidRPr="00623C2D">
        <w:t>technology</w:t>
      </w:r>
      <w:r w:rsidRPr="00623C2D">
        <w:t>.</w:t>
      </w:r>
    </w:p>
    <w:p w:rsidR="008A1BDB" w:rsidRDefault="008A1BDB" w:rsidP="008A1BDB">
      <w:pPr>
        <w:pStyle w:val="Heading30"/>
      </w:pPr>
      <w:r>
        <w:t>Intangible assets</w:t>
      </w:r>
    </w:p>
    <w:p w:rsidR="008A1BDB" w:rsidRDefault="008A1BDB" w:rsidP="008A1BDB">
      <w:r>
        <w:t>While trends in the acquisition of buildings and of infrastructure plant and equipment are largely consistent with the ne</w:t>
      </w:r>
      <w:r w:rsidR="00CF37F8">
        <w:t>t capital investment trends in Figure</w:t>
      </w:r>
      <w:r w:rsidR="00883EF4">
        <w:t> </w:t>
      </w:r>
      <w:r w:rsidR="00CF37F8">
        <w:t>10.1</w:t>
      </w:r>
      <w:r>
        <w:t>, in particular years, acquisition or disposal of intangible assets ha</w:t>
      </w:r>
      <w:r w:rsidR="003C672E">
        <w:t>s</w:t>
      </w:r>
      <w:r>
        <w:t xml:space="preserve"> contributed</w:t>
      </w:r>
      <w:r w:rsidRPr="002828FA">
        <w:t xml:space="preserve"> </w:t>
      </w:r>
      <w:r>
        <w:t>to volatility in non-</w:t>
      </w:r>
      <w:r w:rsidR="00883EF4">
        <w:t>defence net capital investment.</w:t>
      </w:r>
    </w:p>
    <w:p w:rsidR="008A1BDB" w:rsidRDefault="008A1BDB" w:rsidP="008A1BDB">
      <w:r>
        <w:t>The purchase of water entitlements by the</w:t>
      </w:r>
      <w:r w:rsidR="002D46B0">
        <w:t xml:space="preserve"> former</w:t>
      </w:r>
      <w:r>
        <w:t xml:space="preserve"> Department of the Environment, Water, Heritage and the Arts under the </w:t>
      </w:r>
      <w:r>
        <w:rPr>
          <w:i/>
        </w:rPr>
        <w:t xml:space="preserve">Water for the Future Initiative </w:t>
      </w:r>
      <w:r>
        <w:t xml:space="preserve">made a significant contribution to net capital investment growth. </w:t>
      </w:r>
      <w:r w:rsidR="00883EF4">
        <w:t xml:space="preserve"> </w:t>
      </w:r>
      <w:r>
        <w:t>From 2008</w:t>
      </w:r>
      <w:r w:rsidR="005969AC" w:rsidRPr="006B456E">
        <w:noBreakHyphen/>
      </w:r>
      <w:r>
        <w:t>09 to 2012</w:t>
      </w:r>
      <w:r w:rsidR="005969AC" w:rsidRPr="006B456E">
        <w:noBreakHyphen/>
      </w:r>
      <w:r>
        <w:t>13, purchase of water entitlements amounte</w:t>
      </w:r>
      <w:r w:rsidR="002D46B0">
        <w:t>d to $2.5 billion.</w:t>
      </w:r>
    </w:p>
    <w:p w:rsidR="008A1BDB" w:rsidRDefault="008A1BDB" w:rsidP="008A1BDB">
      <w:r w:rsidRPr="00627ADA">
        <w:t>In 2012</w:t>
      </w:r>
      <w:r w:rsidR="005969AC" w:rsidRPr="006B456E">
        <w:noBreakHyphen/>
      </w:r>
      <w:r w:rsidRPr="00627ADA">
        <w:t xml:space="preserve">13, the sales of spectrum </w:t>
      </w:r>
      <w:r w:rsidR="005B4578">
        <w:t xml:space="preserve">licences </w:t>
      </w:r>
      <w:r w:rsidRPr="00627ADA">
        <w:t>had a significant impact on decreasing net capital investment as shown in</w:t>
      </w:r>
      <w:r w:rsidR="00883EF4">
        <w:t xml:space="preserve"> Figure </w:t>
      </w:r>
      <w:r w:rsidR="00F90AF6">
        <w:t>10.1</w:t>
      </w:r>
      <w:r w:rsidR="005B4578">
        <w:t xml:space="preserve">. </w:t>
      </w:r>
      <w:r w:rsidR="00883EF4">
        <w:t xml:space="preserve"> </w:t>
      </w:r>
      <w:r w:rsidR="005B4578">
        <w:t>T</w:t>
      </w:r>
      <w:r w:rsidRPr="00627ADA">
        <w:t>his offset the total acquisition of non-financial assets by agencies other than Defence.</w:t>
      </w:r>
      <w:r w:rsidR="005B4578">
        <w:t xml:space="preserve"> </w:t>
      </w:r>
      <w:r>
        <w:t xml:space="preserve"> Almost $</w:t>
      </w:r>
      <w:r w:rsidR="002C2B96">
        <w:t>1.5</w:t>
      </w:r>
      <w:r w:rsidR="00883EF4">
        <w:t> </w:t>
      </w:r>
      <w:r w:rsidR="002C2B96">
        <w:t xml:space="preserve">billion </w:t>
      </w:r>
      <w:r>
        <w:t xml:space="preserve">was generated through the </w:t>
      </w:r>
      <w:r w:rsidR="002C2B96">
        <w:t xml:space="preserve">renewal of the telecommunications carriers’ licences </w:t>
      </w:r>
      <w:r>
        <w:t>by the Australian Communications and Media</w:t>
      </w:r>
      <w:r w:rsidR="00510B9C">
        <w:t xml:space="preserve"> Authority</w:t>
      </w:r>
      <w:r w:rsidR="005969AC">
        <w:t xml:space="preserve"> in 2012</w:t>
      </w:r>
      <w:r w:rsidR="005969AC" w:rsidRPr="006B456E">
        <w:noBreakHyphen/>
      </w:r>
      <w:r>
        <w:t>13</w:t>
      </w:r>
      <w:r w:rsidR="002C2B96">
        <w:t>.</w:t>
      </w:r>
    </w:p>
    <w:p w:rsidR="003D676E" w:rsidRPr="003921F7" w:rsidRDefault="003D676E" w:rsidP="008A1BDB"/>
    <w:p w:rsidR="008A1BDB" w:rsidRDefault="008A1BDB" w:rsidP="008A1BDB">
      <w:pPr>
        <w:sectPr w:rsidR="008A1BDB" w:rsidSect="0099638E">
          <w:footerReference w:type="default" r:id="rId55"/>
          <w:pgSz w:w="11900" w:h="16840"/>
          <w:pgMar w:top="1440" w:right="1797" w:bottom="1440" w:left="1797" w:header="709" w:footer="709" w:gutter="0"/>
          <w:cols w:space="708"/>
          <w:titlePg/>
          <w:docGrid w:linePitch="326"/>
        </w:sectPr>
      </w:pPr>
    </w:p>
    <w:p w:rsidR="00267515" w:rsidRDefault="000717F1" w:rsidP="003D676E">
      <w:pPr>
        <w:pStyle w:val="Heading1"/>
        <w:numPr>
          <w:ilvl w:val="0"/>
          <w:numId w:val="43"/>
        </w:numPr>
        <w:ind w:left="709" w:hanging="709"/>
      </w:pPr>
      <w:bookmarkStart w:id="240" w:name="_Toc373778499"/>
      <w:bookmarkStart w:id="241" w:name="_Toc374182873"/>
      <w:bookmarkStart w:id="242" w:name="_Toc374349469"/>
      <w:r>
        <w:lastRenderedPageBreak/>
        <w:t>States and Territories</w:t>
      </w:r>
      <w:bookmarkEnd w:id="240"/>
      <w:bookmarkEnd w:id="241"/>
      <w:bookmarkEnd w:id="242"/>
    </w:p>
    <w:p w:rsidR="00E95002" w:rsidRPr="00B1123E" w:rsidRDefault="00E95002" w:rsidP="00E95002">
      <w:pPr>
        <w:pStyle w:val="PBOtext"/>
      </w:pPr>
      <w:r w:rsidRPr="00B1123E">
        <w:t>Chapters</w:t>
      </w:r>
      <w:r w:rsidR="00D6428F">
        <w:t> </w:t>
      </w:r>
      <w:r w:rsidRPr="00B1123E">
        <w:t>2 to 9 of this report explore trends in government spending by functions, such as health or education</w:t>
      </w:r>
      <w:r w:rsidR="00D6428F">
        <w:t>.</w:t>
      </w:r>
      <w:r w:rsidRPr="00B1123E">
        <w:rPr>
          <w:rStyle w:val="FootnoteReference"/>
        </w:rPr>
        <w:footnoteReference w:id="14"/>
      </w:r>
      <w:r w:rsidRPr="00B1123E">
        <w:t xml:space="preserve">  Most of these functions comprise both Commonwealth own</w:t>
      </w:r>
      <w:r w:rsidRPr="00B1123E">
        <w:noBreakHyphen/>
        <w:t>purpose spending</w:t>
      </w:r>
      <w:r w:rsidRPr="00B1123E">
        <w:rPr>
          <w:rStyle w:val="FootnoteReference"/>
        </w:rPr>
        <w:footnoteReference w:id="15"/>
      </w:r>
      <w:r w:rsidRPr="00B1123E">
        <w:t xml:space="preserve"> for Australian </w:t>
      </w:r>
      <w:r w:rsidR="00706358">
        <w:t>G</w:t>
      </w:r>
      <w:r w:rsidRPr="00B1123E">
        <w:t>overnment programs and funding provided to States and Territories</w:t>
      </w:r>
      <w:r w:rsidR="00D6428F">
        <w:t>.</w:t>
      </w:r>
      <w:r w:rsidRPr="00B1123E">
        <w:rPr>
          <w:rStyle w:val="FootnoteReference"/>
        </w:rPr>
        <w:footnoteReference w:id="16"/>
      </w:r>
    </w:p>
    <w:p w:rsidR="00E95002" w:rsidRPr="00B1123E" w:rsidRDefault="00E95002" w:rsidP="00E95002">
      <w:pPr>
        <w:pStyle w:val="PBOtext"/>
      </w:pPr>
      <w:r w:rsidRPr="00B1123E">
        <w:t>This chapter briefly discusses trends in funding provided to States under the Federal Financia</w:t>
      </w:r>
      <w:r w:rsidR="005969AC">
        <w:t>l Relations framework from 2002</w:t>
      </w:r>
      <w:r w:rsidR="005969AC" w:rsidRPr="006B456E">
        <w:noBreakHyphen/>
      </w:r>
      <w:r w:rsidRPr="00B1123E">
        <w:t>03 to 2012</w:t>
      </w:r>
      <w:r w:rsidR="005969AC" w:rsidRPr="006B456E">
        <w:noBreakHyphen/>
      </w:r>
      <w:r w:rsidRPr="00B1123E">
        <w:t>13.</w:t>
      </w:r>
    </w:p>
    <w:p w:rsidR="00E95002" w:rsidRPr="00B1123E" w:rsidRDefault="00A52933" w:rsidP="00E95002">
      <w:pPr>
        <w:pStyle w:val="PBOtext"/>
      </w:pPr>
      <w:r w:rsidRPr="00DC5600">
        <w:t>In 2012</w:t>
      </w:r>
      <w:r w:rsidR="005969AC" w:rsidRPr="00DC5600">
        <w:noBreakHyphen/>
      </w:r>
      <w:r w:rsidRPr="00DC5600">
        <w:t>13, $9</w:t>
      </w:r>
      <w:r w:rsidR="00094DB5" w:rsidRPr="00DC5600">
        <w:t>2.3</w:t>
      </w:r>
      <w:r w:rsidR="00D6428F" w:rsidRPr="00DC5600">
        <w:t> </w:t>
      </w:r>
      <w:r w:rsidR="00E95002" w:rsidRPr="00DC5600">
        <w:t>billion or 24</w:t>
      </w:r>
      <w:r w:rsidR="00D6428F" w:rsidRPr="00DC5600">
        <w:t> </w:t>
      </w:r>
      <w:r w:rsidR="00E95002" w:rsidRPr="00DC5600">
        <w:t>per</w:t>
      </w:r>
      <w:r w:rsidR="00D6428F" w:rsidRPr="00DC5600">
        <w:t> </w:t>
      </w:r>
      <w:r w:rsidR="00E95002" w:rsidRPr="00DC5600">
        <w:t xml:space="preserve">cent </w:t>
      </w:r>
      <w:r w:rsidR="009E4429" w:rsidRPr="00DC5600">
        <w:t xml:space="preserve">of </w:t>
      </w:r>
      <w:r w:rsidR="00706358">
        <w:t>all Australian G</w:t>
      </w:r>
      <w:r w:rsidR="00E95002" w:rsidRPr="00DC5600">
        <w:t xml:space="preserve">overnment spending was provided to </w:t>
      </w:r>
      <w:r w:rsidR="00865B5C">
        <w:t xml:space="preserve">the </w:t>
      </w:r>
      <w:r w:rsidR="00E95002" w:rsidRPr="00DC5600">
        <w:t>States.</w:t>
      </w:r>
      <w:r w:rsidR="00E95002" w:rsidRPr="00B1123E">
        <w:t xml:space="preserve">  This comprised general revenue assistance for use at the discretion of recipient States and funding to be used in specific sectors or to deliver programs agreed in partnership bet</w:t>
      </w:r>
      <w:r w:rsidR="00706358">
        <w:t>ween States and the Australian G</w:t>
      </w:r>
      <w:r w:rsidR="00E95002" w:rsidRPr="00B1123E">
        <w:t>overnment.</w:t>
      </w:r>
    </w:p>
    <w:p w:rsidR="00E95002" w:rsidRDefault="00E95002" w:rsidP="00E95002">
      <w:pPr>
        <w:pStyle w:val="PBOtext"/>
      </w:pPr>
      <w:r w:rsidRPr="00B1123E">
        <w:t xml:space="preserve">Trends in funding to </w:t>
      </w:r>
      <w:r w:rsidR="00FB352F">
        <w:t xml:space="preserve">the </w:t>
      </w:r>
      <w:r w:rsidRPr="00B1123E">
        <w:t xml:space="preserve">States </w:t>
      </w:r>
      <w:r w:rsidR="004653C3">
        <w:t xml:space="preserve">are compared to </w:t>
      </w:r>
      <w:r w:rsidRPr="00B1123E">
        <w:t>Commonwealth own-purpose spending</w:t>
      </w:r>
      <w:r w:rsidR="004653C3">
        <w:t xml:space="preserve"> </w:t>
      </w:r>
      <w:r w:rsidRPr="00B1123E">
        <w:t xml:space="preserve">to provide an indication of the scale of </w:t>
      </w:r>
      <w:r w:rsidR="009E4429">
        <w:t xml:space="preserve">this </w:t>
      </w:r>
      <w:r w:rsidRPr="00B1123E">
        <w:t xml:space="preserve">spending relative to the overall Australian </w:t>
      </w:r>
      <w:r w:rsidR="00706358">
        <w:t>g</w:t>
      </w:r>
      <w:r w:rsidRPr="00B1123E">
        <w:t>overnment budget.</w:t>
      </w:r>
    </w:p>
    <w:p w:rsidR="00E95002" w:rsidRPr="00EE4119" w:rsidRDefault="00E95002" w:rsidP="007A4A40">
      <w:pPr>
        <w:pStyle w:val="Caption"/>
      </w:pPr>
      <w:bookmarkStart w:id="243" w:name="_Ref370128865"/>
      <w:bookmarkStart w:id="244" w:name="_Toc373873673"/>
      <w:bookmarkStart w:id="245" w:name="_Toc373955577"/>
      <w:bookmarkStart w:id="246" w:name="_Toc374088513"/>
      <w:bookmarkStart w:id="247" w:name="_Toc374102228"/>
      <w:bookmarkStart w:id="248" w:name="_Toc374350009"/>
      <w:r w:rsidRPr="00EE4119">
        <w:t xml:space="preserve">Figure </w:t>
      </w:r>
      <w:bookmarkEnd w:id="243"/>
      <w:r w:rsidRPr="00EE4119">
        <w:t>11.1:</w:t>
      </w:r>
      <w:r w:rsidR="00773778">
        <w:tab/>
      </w:r>
      <w:r w:rsidRPr="00EE4119">
        <w:t>Composition of funding to States in 2012-13</w:t>
      </w:r>
      <w:bookmarkEnd w:id="244"/>
      <w:bookmarkEnd w:id="245"/>
      <w:bookmarkEnd w:id="246"/>
      <w:bookmarkEnd w:id="247"/>
      <w:bookmarkEnd w:id="248"/>
    </w:p>
    <w:p w:rsidR="00E95002" w:rsidRPr="00221C0E" w:rsidRDefault="00841010" w:rsidP="0039784F">
      <w:pPr>
        <w:pStyle w:val="PBOtext"/>
        <w:spacing w:before="0" w:after="0"/>
        <w:jc w:val="center"/>
        <w:rPr>
          <w:sz w:val="16"/>
          <w:szCs w:val="16"/>
        </w:rPr>
      </w:pPr>
      <w:r>
        <w:rPr>
          <w:noProof/>
          <w:sz w:val="16"/>
          <w:szCs w:val="16"/>
        </w:rPr>
        <w:drawing>
          <wp:inline distT="0" distB="0" distL="0" distR="0" wp14:anchorId="287D4116" wp14:editId="6836AB27">
            <wp:extent cx="4678078" cy="3187700"/>
            <wp:effectExtent l="0" t="0" r="8255" b="0"/>
            <wp:docPr id="10" name="Picture 10" descr="This chart shows the composition of Australian government spending composed of commonwealth own-purpose spending, general revenue assistance (largely the transfer of the GST) and specific purpose payments in 2012–13.  Spending on general revenue assistance was 13 per cent and specific purpose payments was 11 per cent of Australian government spending." title="Fig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t="10208" b="9652"/>
                    <a:stretch/>
                  </pic:blipFill>
                  <pic:spPr bwMode="auto">
                    <a:xfrm>
                      <a:off x="0" y="0"/>
                      <a:ext cx="4681855" cy="3190274"/>
                    </a:xfrm>
                    <a:prstGeom prst="rect">
                      <a:avLst/>
                    </a:prstGeom>
                    <a:noFill/>
                    <a:ln>
                      <a:noFill/>
                    </a:ln>
                    <a:extLst>
                      <a:ext uri="{53640926-AAD7-44D8-BBD7-CCE9431645EC}">
                        <a14:shadowObscured xmlns:a14="http://schemas.microsoft.com/office/drawing/2010/main"/>
                      </a:ext>
                    </a:extLst>
                  </pic:spPr>
                </pic:pic>
              </a:graphicData>
            </a:graphic>
          </wp:inline>
        </w:drawing>
      </w:r>
    </w:p>
    <w:p w:rsidR="00E95002" w:rsidRDefault="00E95002" w:rsidP="001618F6">
      <w:pPr>
        <w:pStyle w:val="FigureCaption"/>
      </w:pPr>
      <w:r w:rsidRPr="00221C0E">
        <w:t xml:space="preserve">Source: </w:t>
      </w:r>
      <w:r>
        <w:t>Australian Government Final Budget Outcome</w:t>
      </w:r>
      <w:r w:rsidR="004653C3">
        <w:t xml:space="preserve"> 2012-13</w:t>
      </w:r>
    </w:p>
    <w:p w:rsidR="00706358" w:rsidRDefault="00706358">
      <w:pPr>
        <w:spacing w:before="0" w:after="200" w:line="252" w:lineRule="auto"/>
        <w:rPr>
          <w:b/>
        </w:rPr>
      </w:pPr>
      <w:r>
        <w:rPr>
          <w:b/>
        </w:rPr>
        <w:br w:type="page"/>
      </w:r>
    </w:p>
    <w:p w:rsidR="00E95002" w:rsidRDefault="00E95002" w:rsidP="00E95002">
      <w:pPr>
        <w:pStyle w:val="PBOtext"/>
      </w:pPr>
      <w:r w:rsidRPr="00863A38">
        <w:rPr>
          <w:b/>
        </w:rPr>
        <w:lastRenderedPageBreak/>
        <w:t>G</w:t>
      </w:r>
      <w:r>
        <w:rPr>
          <w:b/>
        </w:rPr>
        <w:t>eneral revenue assistance</w:t>
      </w:r>
      <w:r w:rsidR="009E4429">
        <w:rPr>
          <w:b/>
        </w:rPr>
        <w:t>,</w:t>
      </w:r>
      <w:r>
        <w:rPr>
          <w:b/>
        </w:rPr>
        <w:t xml:space="preserve"> </w:t>
      </w:r>
      <w:r>
        <w:t>which is largely revenue from the Goods and Services Tax (GST)</w:t>
      </w:r>
      <w:r w:rsidR="003C672E">
        <w:t xml:space="preserve"> and </w:t>
      </w:r>
      <w:r>
        <w:t xml:space="preserve">is provided to States for use </w:t>
      </w:r>
      <w:r w:rsidR="003C672E">
        <w:t xml:space="preserve">for </w:t>
      </w:r>
      <w:r w:rsidR="009E4429">
        <w:t xml:space="preserve">any purpose, </w:t>
      </w:r>
      <w:r w:rsidR="009E4429" w:rsidRPr="00214FB8">
        <w:t>totalled</w:t>
      </w:r>
      <w:r w:rsidR="00A52933" w:rsidRPr="00214FB8">
        <w:t xml:space="preserve"> $51.5</w:t>
      </w:r>
      <w:r w:rsidR="00D6428F">
        <w:t> </w:t>
      </w:r>
      <w:r w:rsidR="00A52933" w:rsidRPr="00214FB8">
        <w:t>billion or 13</w:t>
      </w:r>
      <w:r w:rsidR="00D6428F">
        <w:t> </w:t>
      </w:r>
      <w:r w:rsidRPr="00214FB8">
        <w:t>per</w:t>
      </w:r>
      <w:r w:rsidR="00D6428F">
        <w:t> </w:t>
      </w:r>
      <w:r>
        <w:t>cent of the Australian</w:t>
      </w:r>
      <w:r w:rsidR="00706358">
        <w:t> G</w:t>
      </w:r>
      <w:r>
        <w:t>overnment spending in 2012</w:t>
      </w:r>
      <w:r w:rsidR="005969AC" w:rsidRPr="006B456E">
        <w:noBreakHyphen/>
      </w:r>
      <w:r>
        <w:t>13.</w:t>
      </w:r>
      <w:r w:rsidRPr="003158C4">
        <w:t xml:space="preserve"> </w:t>
      </w:r>
      <w:r w:rsidR="00A52933">
        <w:t xml:space="preserve"> This also included</w:t>
      </w:r>
      <w:r>
        <w:t xml:space="preserve"> $2.2</w:t>
      </w:r>
      <w:r w:rsidR="00D6428F">
        <w:t> </w:t>
      </w:r>
      <w:r>
        <w:t>billion in local government assistance.</w:t>
      </w:r>
    </w:p>
    <w:p w:rsidR="00E95002" w:rsidRPr="00DC5600" w:rsidRDefault="00E95002" w:rsidP="00E95002">
      <w:pPr>
        <w:pStyle w:val="PBOtext"/>
      </w:pPr>
      <w:r>
        <w:rPr>
          <w:b/>
        </w:rPr>
        <w:t xml:space="preserve">Specific purpose </w:t>
      </w:r>
      <w:r w:rsidRPr="00DC5600">
        <w:rPr>
          <w:b/>
        </w:rPr>
        <w:t xml:space="preserve">payments </w:t>
      </w:r>
      <w:r w:rsidR="00A52933" w:rsidRPr="00DC5600">
        <w:t>totalled $</w:t>
      </w:r>
      <w:r w:rsidR="00214FB8" w:rsidRPr="00DC5600">
        <w:t>40.8</w:t>
      </w:r>
      <w:r w:rsidR="00D6428F" w:rsidRPr="00DC5600">
        <w:t> </w:t>
      </w:r>
      <w:r w:rsidR="00A52933" w:rsidRPr="00DC5600">
        <w:t>billion or 11</w:t>
      </w:r>
      <w:r w:rsidR="00D6428F" w:rsidRPr="00DC5600">
        <w:t> </w:t>
      </w:r>
      <w:r w:rsidRPr="00DC5600">
        <w:t>per</w:t>
      </w:r>
      <w:r w:rsidR="00D6428F" w:rsidRPr="00DC5600">
        <w:t> </w:t>
      </w:r>
      <w:r w:rsidR="00706358">
        <w:t>cent of total Australian G</w:t>
      </w:r>
      <w:r w:rsidRPr="00DC5600">
        <w:t>overnment spending in 2012</w:t>
      </w:r>
      <w:r w:rsidR="005969AC" w:rsidRPr="00DC5600">
        <w:noBreakHyphen/>
      </w:r>
      <w:r w:rsidRPr="00DC5600">
        <w:t>13.  These included National Specific Purpose Payments (National SPPs) in the disability, health, education and housing sectors and Natio</w:t>
      </w:r>
      <w:r w:rsidR="00DC5600" w:rsidRPr="00DC5600">
        <w:t xml:space="preserve">nal Partnership Payments </w:t>
      </w:r>
      <w:r w:rsidRPr="00DC5600">
        <w:t>for programs agreed in partnership bet</w:t>
      </w:r>
      <w:r w:rsidR="00706358">
        <w:t>ween States and the Australian G</w:t>
      </w:r>
      <w:r w:rsidRPr="00DC5600">
        <w:t>overnment.</w:t>
      </w:r>
    </w:p>
    <w:p w:rsidR="00E95002" w:rsidRPr="00DC5600" w:rsidRDefault="00E95002" w:rsidP="00E95002">
      <w:pPr>
        <w:pStyle w:val="PBOheading2"/>
      </w:pPr>
      <w:r w:rsidRPr="00DC5600">
        <w:t>Trends in funding to States</w:t>
      </w:r>
    </w:p>
    <w:p w:rsidR="00E95002" w:rsidRDefault="005969AC" w:rsidP="00E95002">
      <w:pPr>
        <w:pStyle w:val="PBOtext"/>
      </w:pPr>
      <w:bookmarkStart w:id="249" w:name="_Ref370131787"/>
      <w:r w:rsidRPr="00DC5600">
        <w:t>From 2002</w:t>
      </w:r>
      <w:r w:rsidRPr="00DC5600">
        <w:noBreakHyphen/>
      </w:r>
      <w:r w:rsidR="00E95002" w:rsidRPr="00DC5600">
        <w:t>03 to 2012</w:t>
      </w:r>
      <w:r w:rsidRPr="00DC5600">
        <w:noBreakHyphen/>
      </w:r>
      <w:r w:rsidR="00E95002" w:rsidRPr="00DC5600">
        <w:t>13</w:t>
      </w:r>
      <w:r w:rsidR="00A52933" w:rsidRPr="00DC5600">
        <w:t xml:space="preserve">, funding to States grew by </w:t>
      </w:r>
      <w:r w:rsidR="005A5026" w:rsidRPr="00DC5600">
        <w:t>32</w:t>
      </w:r>
      <w:r w:rsidR="00C04DB7" w:rsidRPr="00DC5600">
        <w:t>.3</w:t>
      </w:r>
      <w:r w:rsidR="00D6428F" w:rsidRPr="00DC5600">
        <w:t> </w:t>
      </w:r>
      <w:r w:rsidR="00E95002" w:rsidRPr="00DC5600">
        <w:t>per</w:t>
      </w:r>
      <w:r w:rsidR="00D6428F" w:rsidRPr="00DC5600">
        <w:t> </w:t>
      </w:r>
      <w:r w:rsidR="004E31A2">
        <w:t>cent</w:t>
      </w:r>
      <w:r w:rsidR="00ED4FCA">
        <w:t>, or 2.8 per cent annually</w:t>
      </w:r>
      <w:r w:rsidR="004E31A2">
        <w:t xml:space="preserve">.  This was </w:t>
      </w:r>
      <w:r w:rsidR="00E95002" w:rsidRPr="00DC5600">
        <w:t>slower than GDP growth of 34.3</w:t>
      </w:r>
      <w:r w:rsidR="00D6428F" w:rsidRPr="00DC5600">
        <w:t> </w:t>
      </w:r>
      <w:r w:rsidR="00E95002" w:rsidRPr="00DC5600">
        <w:t>per</w:t>
      </w:r>
      <w:r w:rsidR="00D6428F" w:rsidRPr="00DC5600">
        <w:t> </w:t>
      </w:r>
      <w:r w:rsidR="004E31A2">
        <w:t>cent</w:t>
      </w:r>
      <w:r w:rsidR="00D1268A">
        <w:t xml:space="preserve">, </w:t>
      </w:r>
      <w:proofErr w:type="gramStart"/>
      <w:r w:rsidR="00D1268A">
        <w:t>or</w:t>
      </w:r>
      <w:r w:rsidR="00ED4FCA">
        <w:t>(</w:t>
      </w:r>
      <w:proofErr w:type="gramEnd"/>
      <w:r w:rsidR="00ED4FCA">
        <w:t>3.0 per cent annually</w:t>
      </w:r>
      <w:r w:rsidR="004E31A2">
        <w:t xml:space="preserve"> and </w:t>
      </w:r>
      <w:r w:rsidR="00E95002" w:rsidRPr="00DC5600">
        <w:t xml:space="preserve">markedly slower than Commonwealth own-purpose spending of </w:t>
      </w:r>
      <w:r w:rsidR="00C04DB7" w:rsidRPr="00DC5600">
        <w:t>49.8</w:t>
      </w:r>
      <w:r w:rsidR="00E95002" w:rsidRPr="00DC5600">
        <w:t> per cent</w:t>
      </w:r>
      <w:r w:rsidR="00D1268A">
        <w:t xml:space="preserve">, or </w:t>
      </w:r>
      <w:r w:rsidR="00ED4FCA">
        <w:t>4.1 per cent annually</w:t>
      </w:r>
      <w:r w:rsidR="002C2B96" w:rsidRPr="00DC5600">
        <w:t>.</w:t>
      </w:r>
    </w:p>
    <w:p w:rsidR="00E95002" w:rsidRDefault="00E95002" w:rsidP="00E95002">
      <w:pPr>
        <w:pStyle w:val="PBOtext"/>
      </w:pPr>
      <w:r>
        <w:t>Growth in funding to States compared with Commonwealth own-</w:t>
      </w:r>
      <w:r w:rsidR="009E4429">
        <w:t>purpose spending is shown in</w:t>
      </w:r>
      <w:r>
        <w:t xml:space="preserve"> Figure</w:t>
      </w:r>
      <w:r w:rsidR="009E4429">
        <w:t> </w:t>
      </w:r>
      <w:r>
        <w:t>11.2.</w:t>
      </w:r>
    </w:p>
    <w:p w:rsidR="00E95002" w:rsidRPr="00EE4119" w:rsidRDefault="00E95002" w:rsidP="00BF2C64">
      <w:pPr>
        <w:pStyle w:val="Caption"/>
        <w:ind w:left="1134" w:hanging="1134"/>
      </w:pPr>
      <w:bookmarkStart w:id="250" w:name="_Toc373873674"/>
      <w:bookmarkStart w:id="251" w:name="_Toc373955578"/>
      <w:bookmarkStart w:id="252" w:name="_Toc374088514"/>
      <w:bookmarkStart w:id="253" w:name="_Toc374102229"/>
      <w:bookmarkStart w:id="254" w:name="_Toc374350010"/>
      <w:r w:rsidRPr="00EE4119">
        <w:t>Figure 11.2:</w:t>
      </w:r>
      <w:r w:rsidR="00773778">
        <w:tab/>
      </w:r>
      <w:r w:rsidRPr="00EE4119">
        <w:t>Growth in funding to States compared to Commonwealth own-purpose</w:t>
      </w:r>
      <w:r w:rsidR="00BF2C64">
        <w:br/>
      </w:r>
      <w:r w:rsidRPr="00EE4119">
        <w:t>spending</w:t>
      </w:r>
      <w:bookmarkEnd w:id="250"/>
      <w:bookmarkEnd w:id="251"/>
      <w:bookmarkEnd w:id="252"/>
      <w:bookmarkEnd w:id="253"/>
      <w:bookmarkEnd w:id="254"/>
    </w:p>
    <w:p w:rsidR="00E95002" w:rsidRDefault="00BF2C64" w:rsidP="00AF1AF4">
      <w:pPr>
        <w:pStyle w:val="PBOtext"/>
        <w:spacing w:before="0" w:after="0"/>
        <w:jc w:val="center"/>
        <w:rPr>
          <w:noProof/>
        </w:rPr>
      </w:pPr>
      <w:r>
        <w:rPr>
          <w:noProof/>
        </w:rPr>
        <w:drawing>
          <wp:inline distT="0" distB="0" distL="0" distR="0" wp14:anchorId="1450DFEC" wp14:editId="7DAB11A9">
            <wp:extent cx="5391097" cy="3663950"/>
            <wp:effectExtent l="0" t="0" r="635" b="0"/>
            <wp:docPr id="104" name="Picture 104" descr="This chart shows that real funding to the states and territories has grown in line with real GDP over the period 2002–03 to 2012–13.  In contrast, real commonwealth own-purpose spending has grown faster than real GDP. " title="Fig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7">
                      <a:extLst>
                        <a:ext uri="{28A0092B-C50C-407E-A947-70E740481C1C}">
                          <a14:useLocalDpi xmlns:a14="http://schemas.microsoft.com/office/drawing/2010/main" val="0"/>
                        </a:ext>
                      </a:extLst>
                    </a:blip>
                    <a:srcRect b="859"/>
                    <a:stretch/>
                  </pic:blipFill>
                  <pic:spPr bwMode="auto">
                    <a:xfrm>
                      <a:off x="0" y="0"/>
                      <a:ext cx="5389245" cy="3662691"/>
                    </a:xfrm>
                    <a:prstGeom prst="rect">
                      <a:avLst/>
                    </a:prstGeom>
                    <a:noFill/>
                    <a:ln>
                      <a:noFill/>
                    </a:ln>
                    <a:extLst>
                      <a:ext uri="{53640926-AAD7-44D8-BBD7-CCE9431645EC}">
                        <a14:shadowObscured xmlns:a14="http://schemas.microsoft.com/office/drawing/2010/main"/>
                      </a:ext>
                    </a:extLst>
                  </pic:spPr>
                </pic:pic>
              </a:graphicData>
            </a:graphic>
          </wp:inline>
        </w:drawing>
      </w:r>
    </w:p>
    <w:p w:rsidR="00E95002" w:rsidRPr="002B1AED" w:rsidRDefault="00E95002" w:rsidP="00AF1AF4">
      <w:pPr>
        <w:pStyle w:val="PBOtext"/>
        <w:spacing w:before="0"/>
        <w:rPr>
          <w:rFonts w:ascii="Arial" w:hAnsi="Arial" w:cs="Arial"/>
          <w:sz w:val="16"/>
        </w:rPr>
      </w:pPr>
      <w:r w:rsidRPr="007A397D">
        <w:rPr>
          <w:rFonts w:ascii="Arial" w:hAnsi="Arial" w:cs="Arial"/>
          <w:sz w:val="16"/>
        </w:rPr>
        <w:t>Source</w:t>
      </w:r>
      <w:r w:rsidR="00B132DA">
        <w:rPr>
          <w:rFonts w:ascii="Arial" w:hAnsi="Arial" w:cs="Arial"/>
          <w:sz w:val="16"/>
        </w:rPr>
        <w:t>s</w:t>
      </w:r>
      <w:r w:rsidRPr="007A397D">
        <w:rPr>
          <w:rFonts w:ascii="Arial" w:hAnsi="Arial" w:cs="Arial"/>
          <w:sz w:val="16"/>
        </w:rPr>
        <w:t xml:space="preserve">: </w:t>
      </w:r>
      <w:r w:rsidRPr="00733FC5">
        <w:rPr>
          <w:rFonts w:ascii="Arial" w:hAnsi="Arial" w:cs="Arial"/>
          <w:sz w:val="16"/>
        </w:rPr>
        <w:t>Australian Government Final Budget Outcomes, Australian Government Budgets and ABS</w:t>
      </w:r>
    </w:p>
    <w:p w:rsidR="00E95002" w:rsidRDefault="00E95002" w:rsidP="00E95002">
      <w:pPr>
        <w:pStyle w:val="PBOtext"/>
      </w:pPr>
      <w:r>
        <w:t xml:space="preserve">The comparatively </w:t>
      </w:r>
      <w:r w:rsidR="009E4429">
        <w:t>s</w:t>
      </w:r>
      <w:r>
        <w:t>lower growth in funding to States was</w:t>
      </w:r>
      <w:r w:rsidRPr="005702C6">
        <w:t xml:space="preserve"> </w:t>
      </w:r>
      <w:r>
        <w:t xml:space="preserve">primarily driven by </w:t>
      </w:r>
      <w:r w:rsidR="00CF37F8">
        <w:t>slowing growth</w:t>
      </w:r>
      <w:r>
        <w:t xml:space="preserve"> in general revenue assistance reflecting reduced growth in GST receipts</w:t>
      </w:r>
      <w:r w:rsidR="00D6428F">
        <w:t>.</w:t>
      </w:r>
      <w:r>
        <w:rPr>
          <w:rStyle w:val="FootnoteReference"/>
        </w:rPr>
        <w:footnoteReference w:id="17"/>
      </w:r>
    </w:p>
    <w:p w:rsidR="00E95002" w:rsidRDefault="00E95002" w:rsidP="00E95002">
      <w:pPr>
        <w:pStyle w:val="PBOtext"/>
      </w:pPr>
      <w:r>
        <w:lastRenderedPageBreak/>
        <w:t xml:space="preserve">The transfer </w:t>
      </w:r>
      <w:r w:rsidR="00953F79">
        <w:t xml:space="preserve">to the Commonwealth </w:t>
      </w:r>
      <w:r>
        <w:t>of responsibilities for</w:t>
      </w:r>
      <w:r w:rsidRPr="00E95116">
        <w:t xml:space="preserve"> certain health and hospital costs from 2008</w:t>
      </w:r>
      <w:r w:rsidR="005969AC" w:rsidRPr="006B456E">
        <w:noBreakHyphen/>
      </w:r>
      <w:r w:rsidRPr="00E95116">
        <w:t>09</w:t>
      </w:r>
      <w:r>
        <w:t>,</w:t>
      </w:r>
      <w:r w:rsidRPr="00E95116">
        <w:t xml:space="preserve"> and </w:t>
      </w:r>
      <w:r>
        <w:t>aged care services from 2010</w:t>
      </w:r>
      <w:r w:rsidR="005969AC" w:rsidRPr="006B456E">
        <w:noBreakHyphen/>
      </w:r>
      <w:r w:rsidRPr="00E95116">
        <w:t xml:space="preserve">11 </w:t>
      </w:r>
      <w:r>
        <w:t>also</w:t>
      </w:r>
      <w:r w:rsidRPr="00E95116">
        <w:t xml:space="preserve"> resulted in reduction</w:t>
      </w:r>
      <w:r>
        <w:t>s</w:t>
      </w:r>
      <w:r w:rsidRPr="00E95116">
        <w:t xml:space="preserve"> in specific purpose funding to States</w:t>
      </w:r>
      <w:r>
        <w:t xml:space="preserve"> and corresponding increases in </w:t>
      </w:r>
      <w:r w:rsidR="003C672E">
        <w:t xml:space="preserve">Commonwealth </w:t>
      </w:r>
      <w:r>
        <w:t>own-purpose spending</w:t>
      </w:r>
      <w:r w:rsidRPr="00E95116">
        <w:t>.</w:t>
      </w:r>
    </w:p>
    <w:p w:rsidR="009E4429" w:rsidRDefault="002C2B96" w:rsidP="009E4429">
      <w:pPr>
        <w:pStyle w:val="PBOtext"/>
      </w:pPr>
      <w:r>
        <w:t xml:space="preserve">Within funding to </w:t>
      </w:r>
      <w:r w:rsidRPr="00DC5600">
        <w:t xml:space="preserve">the States, </w:t>
      </w:r>
      <w:r w:rsidR="00C04DB7" w:rsidRPr="00DC5600">
        <w:t>g</w:t>
      </w:r>
      <w:r w:rsidR="009E4429" w:rsidRPr="00DC5600">
        <w:t>eneral revenue</w:t>
      </w:r>
      <w:r w:rsidR="009E4429">
        <w:t xml:space="preserve"> assistance</w:t>
      </w:r>
      <w:r>
        <w:t xml:space="preserve"> </w:t>
      </w:r>
      <w:r w:rsidR="009E4429">
        <w:t>grew at a significantly slower rate than specific purpose payments from 20</w:t>
      </w:r>
      <w:r w:rsidR="005969AC">
        <w:t>02</w:t>
      </w:r>
      <w:r w:rsidR="005969AC" w:rsidRPr="006B456E">
        <w:noBreakHyphen/>
      </w:r>
      <w:r w:rsidR="009E4429">
        <w:t>03 to 2012</w:t>
      </w:r>
      <w:r w:rsidR="005969AC" w:rsidRPr="006B456E">
        <w:noBreakHyphen/>
      </w:r>
      <w:r w:rsidR="009E4429">
        <w:t>13.  The difference in growth is shown in Figure 11.3.</w:t>
      </w:r>
    </w:p>
    <w:p w:rsidR="00E95002" w:rsidRPr="00EB4FB1" w:rsidRDefault="00773778" w:rsidP="007A4A40">
      <w:pPr>
        <w:pStyle w:val="Caption"/>
      </w:pPr>
      <w:bookmarkStart w:id="255" w:name="_Toc373873675"/>
      <w:bookmarkStart w:id="256" w:name="_Toc373955579"/>
      <w:bookmarkStart w:id="257" w:name="_Toc374088515"/>
      <w:bookmarkStart w:id="258" w:name="_Toc374102230"/>
      <w:bookmarkStart w:id="259" w:name="_Toc374350011"/>
      <w:r w:rsidRPr="00EB4FB1">
        <w:t>Figure 11.3:</w:t>
      </w:r>
      <w:r w:rsidRPr="00EB4FB1">
        <w:tab/>
      </w:r>
      <w:r w:rsidR="00E95002" w:rsidRPr="00EB4FB1">
        <w:t>Growth in funding to States</w:t>
      </w:r>
      <w:bookmarkEnd w:id="255"/>
      <w:bookmarkEnd w:id="256"/>
      <w:bookmarkEnd w:id="257"/>
      <w:bookmarkEnd w:id="258"/>
      <w:bookmarkEnd w:id="259"/>
    </w:p>
    <w:p w:rsidR="00E95002" w:rsidRPr="00E95116" w:rsidRDefault="00BF2C64" w:rsidP="00AF1AF4">
      <w:pPr>
        <w:pStyle w:val="PBOtext"/>
        <w:spacing w:before="0" w:after="0"/>
        <w:jc w:val="center"/>
      </w:pPr>
      <w:r>
        <w:rPr>
          <w:noProof/>
        </w:rPr>
        <w:drawing>
          <wp:inline distT="0" distB="0" distL="0" distR="0" wp14:anchorId="26D171B0" wp14:editId="4C0338FD">
            <wp:extent cx="5402241" cy="3549650"/>
            <wp:effectExtent l="0" t="0" r="8255" b="0"/>
            <wp:docPr id="106" name="Picture 106" descr="This chart shows that, of the funding to the states and territories, growth in real specific purpose payments exceeded real GDP growth over the period 2002–03 to 2012–13.  In contrast, real general revenue assistance funding grew at a slower rate than real GDP." title="Fig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8">
                      <a:extLst>
                        <a:ext uri="{28A0092B-C50C-407E-A947-70E740481C1C}">
                          <a14:useLocalDpi xmlns:a14="http://schemas.microsoft.com/office/drawing/2010/main" val="0"/>
                        </a:ext>
                      </a:extLst>
                    </a:blip>
                    <a:srcRect t="1207" b="2414"/>
                    <a:stretch/>
                  </pic:blipFill>
                  <pic:spPr bwMode="auto">
                    <a:xfrm>
                      <a:off x="0" y="0"/>
                      <a:ext cx="5401310" cy="3549038"/>
                    </a:xfrm>
                    <a:prstGeom prst="rect">
                      <a:avLst/>
                    </a:prstGeom>
                    <a:noFill/>
                    <a:ln>
                      <a:noFill/>
                    </a:ln>
                    <a:extLst>
                      <a:ext uri="{53640926-AAD7-44D8-BBD7-CCE9431645EC}">
                        <a14:shadowObscured xmlns:a14="http://schemas.microsoft.com/office/drawing/2010/main"/>
                      </a:ext>
                    </a:extLst>
                  </pic:spPr>
                </pic:pic>
              </a:graphicData>
            </a:graphic>
          </wp:inline>
        </w:drawing>
      </w:r>
    </w:p>
    <w:p w:rsidR="00E95002" w:rsidRPr="002B1AED" w:rsidRDefault="00E95002" w:rsidP="00EB4FB1">
      <w:pPr>
        <w:pStyle w:val="FigureCaption"/>
      </w:pPr>
      <w:r w:rsidRPr="007A397D">
        <w:t>Source</w:t>
      </w:r>
      <w:r w:rsidR="00B132DA">
        <w:t>s</w:t>
      </w:r>
      <w:r w:rsidRPr="007A397D">
        <w:t xml:space="preserve">: </w:t>
      </w:r>
      <w:r w:rsidRPr="00733FC5">
        <w:t>Australian Government Final Budget Outcomes, Australian Government Budgets and ABS</w:t>
      </w:r>
    </w:p>
    <w:p w:rsidR="00E95002" w:rsidRDefault="00E95002" w:rsidP="00E95002">
      <w:pPr>
        <w:pStyle w:val="PBOtext"/>
      </w:pPr>
      <w:r>
        <w:t>Over the period, spec</w:t>
      </w:r>
      <w:r w:rsidR="00A52933">
        <w:t xml:space="preserve">ific purpose payments grew </w:t>
      </w:r>
      <w:r w:rsidR="00A52933" w:rsidRPr="00C04DB7">
        <w:t>by 64.</w:t>
      </w:r>
      <w:r w:rsidR="005A5026" w:rsidRPr="00C04DB7">
        <w:t>8</w:t>
      </w:r>
      <w:r w:rsidR="00D6428F">
        <w:t> </w:t>
      </w:r>
      <w:r w:rsidRPr="00C04DB7">
        <w:t>per</w:t>
      </w:r>
      <w:r w:rsidR="00D6428F">
        <w:t> </w:t>
      </w:r>
      <w:r>
        <w:t>cent while gener</w:t>
      </w:r>
      <w:r w:rsidR="00A52933">
        <w:t xml:space="preserve">al revenue assistance grew </w:t>
      </w:r>
      <w:r w:rsidR="00A52933" w:rsidRPr="00DC5600">
        <w:t>by 14</w:t>
      </w:r>
      <w:r w:rsidRPr="00DC5600">
        <w:t>.</w:t>
      </w:r>
      <w:r w:rsidR="00C04DB7" w:rsidRPr="00DC5600">
        <w:t>4</w:t>
      </w:r>
      <w:r w:rsidR="00D6428F" w:rsidRPr="00DC5600">
        <w:t> </w:t>
      </w:r>
      <w:r w:rsidRPr="00DC5600">
        <w:t>per</w:t>
      </w:r>
      <w:r w:rsidR="00D6428F">
        <w:t> </w:t>
      </w:r>
      <w:r>
        <w:t>cent.  This compares with GDP growth of 34.3 per cent.</w:t>
      </w:r>
    </w:p>
    <w:p w:rsidR="00E95002" w:rsidRDefault="00E95002" w:rsidP="00E95002">
      <w:pPr>
        <w:pStyle w:val="PBOtext"/>
      </w:pPr>
      <w:r>
        <w:t>Funding to States has decreased from 26</w:t>
      </w:r>
      <w:r w:rsidR="00D6428F">
        <w:t> </w:t>
      </w:r>
      <w:r>
        <w:t>per</w:t>
      </w:r>
      <w:r w:rsidR="00D6428F">
        <w:t> </w:t>
      </w:r>
      <w:r w:rsidR="00706358">
        <w:t>cent of total Australian G</w:t>
      </w:r>
      <w:r>
        <w:t>overnment spending in 2002</w:t>
      </w:r>
      <w:r w:rsidR="005969AC" w:rsidRPr="006B456E">
        <w:noBreakHyphen/>
      </w:r>
      <w:r>
        <w:t>03 to 24</w:t>
      </w:r>
      <w:r w:rsidR="00D6428F">
        <w:t> </w:t>
      </w:r>
      <w:r>
        <w:t>per</w:t>
      </w:r>
      <w:r w:rsidR="00D6428F">
        <w:t> </w:t>
      </w:r>
      <w:r w:rsidR="005969AC">
        <w:t>cent in 2012</w:t>
      </w:r>
      <w:r w:rsidR="005969AC" w:rsidRPr="006B456E">
        <w:noBreakHyphen/>
      </w:r>
      <w:r>
        <w:t>13.</w:t>
      </w:r>
    </w:p>
    <w:p w:rsidR="00E95002" w:rsidRDefault="00E95002" w:rsidP="00E95002">
      <w:pPr>
        <w:pStyle w:val="PBOtext"/>
      </w:pPr>
      <w:r>
        <w:t xml:space="preserve">As a result of slowing growth, </w:t>
      </w:r>
      <w:r w:rsidRPr="00C04DB7">
        <w:t xml:space="preserve">general revenue assistance decreased </w:t>
      </w:r>
      <w:r w:rsidR="00A52933" w:rsidRPr="00C04DB7">
        <w:t>from 17</w:t>
      </w:r>
      <w:r w:rsidRPr="00C04DB7">
        <w:t>.0</w:t>
      </w:r>
      <w:r w:rsidR="00D6428F">
        <w:t> </w:t>
      </w:r>
      <w:r w:rsidRPr="00C04DB7">
        <w:t>per</w:t>
      </w:r>
      <w:r w:rsidR="00D6428F">
        <w:t> </w:t>
      </w:r>
      <w:r w:rsidRPr="00C04DB7">
        <w:t>cent of Australian</w:t>
      </w:r>
      <w:r w:rsidR="00706358">
        <w:t> G</w:t>
      </w:r>
      <w:r w:rsidRPr="00C04DB7">
        <w:t>overn</w:t>
      </w:r>
      <w:r w:rsidR="00A52933" w:rsidRPr="00C04DB7">
        <w:t>ment spending in 2002</w:t>
      </w:r>
      <w:r w:rsidR="005969AC" w:rsidRPr="006B456E">
        <w:noBreakHyphen/>
      </w:r>
      <w:r w:rsidR="00A52933" w:rsidRPr="00C04DB7">
        <w:t>03 to 13.4</w:t>
      </w:r>
      <w:r w:rsidR="00D6428F">
        <w:t> </w:t>
      </w:r>
      <w:r w:rsidRPr="00C04DB7">
        <w:t>per</w:t>
      </w:r>
      <w:r w:rsidR="00D6428F">
        <w:t> </w:t>
      </w:r>
      <w:r w:rsidRPr="00C04DB7">
        <w:t>cent in 2012</w:t>
      </w:r>
      <w:r w:rsidR="005969AC" w:rsidRPr="006B456E">
        <w:noBreakHyphen/>
      </w:r>
      <w:r w:rsidRPr="00C04DB7">
        <w:t>13.  Over the period, the proportion of specific purpose funding incr</w:t>
      </w:r>
      <w:r w:rsidR="00A52933" w:rsidRPr="00C04DB7">
        <w:t xml:space="preserve">eased slightly </w:t>
      </w:r>
      <w:r w:rsidR="00A52933" w:rsidRPr="00DC5600">
        <w:t xml:space="preserve">from </w:t>
      </w:r>
      <w:r w:rsidR="00C04DB7" w:rsidRPr="00DC5600">
        <w:t>9.4</w:t>
      </w:r>
      <w:r w:rsidR="00D6428F" w:rsidRPr="00DC5600">
        <w:t> </w:t>
      </w:r>
      <w:r w:rsidR="00A52933" w:rsidRPr="00DC5600">
        <w:t>per</w:t>
      </w:r>
      <w:r w:rsidR="00D6428F" w:rsidRPr="00DC5600">
        <w:t> </w:t>
      </w:r>
      <w:r w:rsidR="00A52933" w:rsidRPr="00DC5600">
        <w:t xml:space="preserve">cent </w:t>
      </w:r>
      <w:r w:rsidR="00ED4FCA">
        <w:t xml:space="preserve">of Australian </w:t>
      </w:r>
      <w:r w:rsidR="00ED4FCA" w:rsidRPr="00290916">
        <w:t>Government</w:t>
      </w:r>
      <w:r w:rsidR="00ED4FCA">
        <w:t xml:space="preserve"> spending </w:t>
      </w:r>
      <w:r w:rsidR="00A52933" w:rsidRPr="00DC5600">
        <w:t>in 2002</w:t>
      </w:r>
      <w:r w:rsidR="005969AC" w:rsidRPr="00DC5600">
        <w:noBreakHyphen/>
      </w:r>
      <w:r w:rsidR="00A52933" w:rsidRPr="00DC5600">
        <w:t xml:space="preserve">03 to </w:t>
      </w:r>
      <w:r w:rsidR="00C04DB7" w:rsidRPr="00DC5600">
        <w:t>10.6</w:t>
      </w:r>
      <w:r w:rsidRPr="00DC5600">
        <w:t> per</w:t>
      </w:r>
      <w:r w:rsidR="00D6428F" w:rsidRPr="00DC5600">
        <w:t> </w:t>
      </w:r>
      <w:r w:rsidRPr="00DC5600">
        <w:t>cent</w:t>
      </w:r>
      <w:r w:rsidRPr="00C04DB7">
        <w:t xml:space="preserve"> in 2012</w:t>
      </w:r>
      <w:r w:rsidR="005969AC" w:rsidRPr="006B456E">
        <w:noBreakHyphen/>
      </w:r>
      <w:r w:rsidRPr="00E95116">
        <w:t>13.</w:t>
      </w:r>
    </w:p>
    <w:p w:rsidR="004653C3" w:rsidRPr="0019702A" w:rsidRDefault="00E95002" w:rsidP="0019702A">
      <w:pPr>
        <w:pStyle w:val="PBOtext"/>
      </w:pPr>
      <w:r>
        <w:t>Collectively, the reduction in the proportion of general revenue assistance funding and the moderate increase in specific purpose funding reduced the proportion</w:t>
      </w:r>
      <w:r w:rsidRPr="00E95116">
        <w:t xml:space="preserve"> of more flexible funding available to States</w:t>
      </w:r>
      <w:r w:rsidR="00ED4FCA">
        <w:t>, as</w:t>
      </w:r>
      <w:r w:rsidR="002C2B96">
        <w:t xml:space="preserve"> shown in Figure</w:t>
      </w:r>
      <w:r w:rsidR="00D6428F">
        <w:t> </w:t>
      </w:r>
      <w:r w:rsidR="002C2B96">
        <w:t>11.4.</w:t>
      </w:r>
      <w:r w:rsidR="004653C3" w:rsidRPr="0019702A">
        <w:br w:type="page"/>
      </w:r>
    </w:p>
    <w:p w:rsidR="004653C3" w:rsidRPr="00EE4119" w:rsidRDefault="00773778" w:rsidP="007A4A40">
      <w:pPr>
        <w:pStyle w:val="Caption"/>
      </w:pPr>
      <w:bookmarkStart w:id="260" w:name="_Toc373873676"/>
      <w:bookmarkStart w:id="261" w:name="_Toc373955580"/>
      <w:bookmarkStart w:id="262" w:name="_Toc374088516"/>
      <w:bookmarkStart w:id="263" w:name="_Toc374102231"/>
      <w:bookmarkStart w:id="264" w:name="_Toc374350012"/>
      <w:r>
        <w:lastRenderedPageBreak/>
        <w:t>Figure 11.4:</w:t>
      </w:r>
      <w:r>
        <w:tab/>
      </w:r>
      <w:r w:rsidR="004653C3" w:rsidRPr="00EE4119">
        <w:t>Composition of funding to States</w:t>
      </w:r>
      <w:bookmarkEnd w:id="260"/>
      <w:bookmarkEnd w:id="261"/>
      <w:bookmarkEnd w:id="262"/>
      <w:bookmarkEnd w:id="263"/>
      <w:bookmarkEnd w:id="264"/>
    </w:p>
    <w:p w:rsidR="004653C3" w:rsidRDefault="00BF2C64" w:rsidP="00AF1AF4">
      <w:pPr>
        <w:pStyle w:val="PBOtext"/>
        <w:spacing w:before="0" w:after="0"/>
        <w:jc w:val="center"/>
      </w:pPr>
      <w:r>
        <w:rPr>
          <w:noProof/>
        </w:rPr>
        <w:drawing>
          <wp:inline distT="0" distB="0" distL="0" distR="0" wp14:anchorId="32AE29C3" wp14:editId="5E84EE3D">
            <wp:extent cx="5414942" cy="3530600"/>
            <wp:effectExtent l="0" t="0" r="0" b="0"/>
            <wp:docPr id="107" name="Picture 107" descr="This chart shows the changing composition of funding to the states and territories from 2002–03 to 2012–13 with the proportion of specific purpose payments increasing from 36 per cent to 44 per cent of total funding." title="Fig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9">
                      <a:extLst>
                        <a:ext uri="{28A0092B-C50C-407E-A947-70E740481C1C}">
                          <a14:useLocalDpi xmlns:a14="http://schemas.microsoft.com/office/drawing/2010/main" val="0"/>
                        </a:ext>
                      </a:extLst>
                    </a:blip>
                    <a:srcRect t="2065" b="2237"/>
                    <a:stretch/>
                  </pic:blipFill>
                  <pic:spPr bwMode="auto">
                    <a:xfrm>
                      <a:off x="0" y="0"/>
                      <a:ext cx="5414010" cy="3529992"/>
                    </a:xfrm>
                    <a:prstGeom prst="rect">
                      <a:avLst/>
                    </a:prstGeom>
                    <a:noFill/>
                    <a:ln>
                      <a:noFill/>
                    </a:ln>
                    <a:extLst>
                      <a:ext uri="{53640926-AAD7-44D8-BBD7-CCE9431645EC}">
                        <a14:shadowObscured xmlns:a14="http://schemas.microsoft.com/office/drawing/2010/main"/>
                      </a:ext>
                    </a:extLst>
                  </pic:spPr>
                </pic:pic>
              </a:graphicData>
            </a:graphic>
          </wp:inline>
        </w:drawing>
      </w:r>
    </w:p>
    <w:p w:rsidR="004653C3" w:rsidRDefault="004653C3" w:rsidP="00911602">
      <w:pPr>
        <w:pStyle w:val="FigureCaption"/>
      </w:pPr>
      <w:r w:rsidRPr="007A397D">
        <w:t xml:space="preserve">Source: </w:t>
      </w:r>
      <w:r w:rsidRPr="00733FC5">
        <w:t>Australian Government Final Budget Outcomes</w:t>
      </w:r>
    </w:p>
    <w:p w:rsidR="00A85C52" w:rsidRPr="00DC5600" w:rsidRDefault="00A85C52" w:rsidP="004653C3">
      <w:pPr>
        <w:pStyle w:val="PBOtext"/>
        <w:rPr>
          <w:rFonts w:ascii="Arial" w:hAnsi="Arial" w:cs="Arial"/>
          <w:sz w:val="16"/>
        </w:rPr>
      </w:pPr>
      <w:r>
        <w:t xml:space="preserve">The </w:t>
      </w:r>
      <w:r w:rsidRPr="00DC5600">
        <w:t xml:space="preserve">proportion of </w:t>
      </w:r>
      <w:r w:rsidR="00801368">
        <w:t xml:space="preserve">funding provided to the States as </w:t>
      </w:r>
      <w:r w:rsidRPr="00DC5600">
        <w:t xml:space="preserve">general </w:t>
      </w:r>
      <w:r w:rsidR="00801368">
        <w:t>revenue assistance</w:t>
      </w:r>
      <w:r w:rsidRPr="00DC5600">
        <w:t xml:space="preserve"> declined from 64</w:t>
      </w:r>
      <w:r w:rsidR="00D6428F" w:rsidRPr="00DC5600">
        <w:t> </w:t>
      </w:r>
      <w:r w:rsidRPr="00DC5600">
        <w:t>per</w:t>
      </w:r>
      <w:r w:rsidR="00D6428F" w:rsidRPr="00DC5600">
        <w:t> </w:t>
      </w:r>
      <w:r w:rsidRPr="00DC5600">
        <w:t xml:space="preserve">cent in 2002-03 to </w:t>
      </w:r>
      <w:r w:rsidR="00C04DB7" w:rsidRPr="00DC5600">
        <w:t>56</w:t>
      </w:r>
      <w:r w:rsidR="00D6428F" w:rsidRPr="00DC5600">
        <w:t> </w:t>
      </w:r>
      <w:r w:rsidRPr="00DC5600">
        <w:t>per</w:t>
      </w:r>
      <w:r w:rsidR="00D6428F" w:rsidRPr="00DC5600">
        <w:t> </w:t>
      </w:r>
      <w:r w:rsidRPr="00DC5600">
        <w:t>cent in 2012</w:t>
      </w:r>
      <w:r w:rsidR="005969AC" w:rsidRPr="00DC5600">
        <w:noBreakHyphen/>
      </w:r>
      <w:r w:rsidRPr="00DC5600">
        <w:t>13.  Over the same period the proportion of specific purpose payments increased from 36</w:t>
      </w:r>
      <w:r w:rsidR="00D6428F" w:rsidRPr="00DC5600">
        <w:t> </w:t>
      </w:r>
      <w:r w:rsidRPr="00DC5600">
        <w:t>pe</w:t>
      </w:r>
      <w:r w:rsidR="00D6428F" w:rsidRPr="00DC5600">
        <w:t>r c</w:t>
      </w:r>
      <w:r w:rsidRPr="00DC5600">
        <w:t xml:space="preserve">ent to </w:t>
      </w:r>
      <w:r w:rsidR="00C04DB7" w:rsidRPr="00DC5600">
        <w:t>44</w:t>
      </w:r>
      <w:r w:rsidR="00D6428F" w:rsidRPr="00DC5600">
        <w:t> </w:t>
      </w:r>
      <w:r w:rsidRPr="00DC5600">
        <w:t>per</w:t>
      </w:r>
      <w:r w:rsidR="00D6428F" w:rsidRPr="00DC5600">
        <w:t> </w:t>
      </w:r>
      <w:r w:rsidRPr="00DC5600">
        <w:t>cent of total payments to the States.</w:t>
      </w:r>
      <w:r w:rsidR="00D6428F" w:rsidRPr="00DC5600">
        <w:t xml:space="preserve"> </w:t>
      </w:r>
      <w:r w:rsidRPr="00DC5600">
        <w:t xml:space="preserve"> This reflected a reduction in the proportion of flexible funding and an increase in the amount provided under specific agreements to deliver services in areas or programs determined in p</w:t>
      </w:r>
      <w:r w:rsidR="00706358">
        <w:t>artnership with the Australian G</w:t>
      </w:r>
      <w:r w:rsidRPr="00DC5600">
        <w:t>overnment</w:t>
      </w:r>
      <w:r w:rsidR="00D6428F" w:rsidRPr="00DC5600">
        <w:t>.</w:t>
      </w:r>
    </w:p>
    <w:bookmarkEnd w:id="249"/>
    <w:p w:rsidR="00E95002" w:rsidRPr="00DC5600" w:rsidRDefault="00E95002" w:rsidP="00E95002">
      <w:pPr>
        <w:pStyle w:val="PBOheading3"/>
        <w:rPr>
          <w:rFonts w:asciiTheme="minorHAnsi" w:hAnsiTheme="minorHAnsi"/>
        </w:rPr>
      </w:pPr>
      <w:r w:rsidRPr="00DC5600">
        <w:rPr>
          <w:rFonts w:asciiTheme="minorHAnsi" w:hAnsiTheme="minorHAnsi"/>
        </w:rPr>
        <w:t>Specific purpose funding to States</w:t>
      </w:r>
    </w:p>
    <w:p w:rsidR="00E95002" w:rsidRPr="00DC5600" w:rsidRDefault="00E95002" w:rsidP="00E95002">
      <w:pPr>
        <w:pStyle w:val="PBOtext"/>
      </w:pPr>
      <w:r w:rsidRPr="00DC5600">
        <w:t>Specific purpose payments have driven growth in funding to States from 2002</w:t>
      </w:r>
      <w:r w:rsidR="005969AC" w:rsidRPr="00DC5600">
        <w:noBreakHyphen/>
      </w:r>
      <w:r w:rsidRPr="00DC5600">
        <w:t>03 to 2012</w:t>
      </w:r>
      <w:r w:rsidR="005969AC" w:rsidRPr="00DC5600">
        <w:noBreakHyphen/>
      </w:r>
      <w:r w:rsidRPr="00DC5600">
        <w:t>13.  These are provided to States on the condition that the funds are used in particular sectors or to deliver specific programs agreed between the States</w:t>
      </w:r>
      <w:r w:rsidR="00D6428F" w:rsidRPr="00DC5600">
        <w:t xml:space="preserve"> and the Australian</w:t>
      </w:r>
      <w:r w:rsidR="00706358">
        <w:t xml:space="preserve"> G</w:t>
      </w:r>
      <w:r w:rsidR="00D6428F" w:rsidRPr="00DC5600">
        <w:t>overnment.</w:t>
      </w:r>
    </w:p>
    <w:p w:rsidR="00E95002" w:rsidRPr="00DC5600" w:rsidRDefault="00E95002" w:rsidP="00E95002">
      <w:pPr>
        <w:pStyle w:val="PBOtext"/>
      </w:pPr>
      <w:r w:rsidRPr="00DC5600">
        <w:t>Funding to sectors is provided under National SPPs in health, education, housing and disability services providing States with some flexibility on how this is spent.  In addition, funding is provided through National Partnership Payments which are linked to particular program</w:t>
      </w:r>
      <w:r w:rsidR="00953F79">
        <w:t>s</w:t>
      </w:r>
      <w:r w:rsidRPr="00DC5600">
        <w:t xml:space="preserve"> or outcomes agreed in partnership between States</w:t>
      </w:r>
      <w:r w:rsidR="00706358">
        <w:t xml:space="preserve"> and the Australian G</w:t>
      </w:r>
      <w:r w:rsidR="00D6428F" w:rsidRPr="00DC5600">
        <w:t>overnment.</w:t>
      </w:r>
    </w:p>
    <w:p w:rsidR="00E95002" w:rsidRPr="00DC5600" w:rsidRDefault="00E95002" w:rsidP="00E95002">
      <w:pPr>
        <w:pStyle w:val="PBOtext"/>
      </w:pPr>
      <w:r w:rsidRPr="00DC5600">
        <w:t xml:space="preserve">National partnership payments to States were used to deliver over </w:t>
      </w:r>
      <w:r w:rsidR="005A5026" w:rsidRPr="00DC5600">
        <w:t>$</w:t>
      </w:r>
      <w:r w:rsidR="00C04DB7" w:rsidRPr="00DC5600">
        <w:t>33.2</w:t>
      </w:r>
      <w:r w:rsidRPr="00DC5600">
        <w:t> billion in fis</w:t>
      </w:r>
      <w:r w:rsidR="005969AC" w:rsidRPr="00DC5600">
        <w:t>cal stimulus spending from 2008</w:t>
      </w:r>
      <w:r w:rsidR="005969AC" w:rsidRPr="00DC5600">
        <w:noBreakHyphen/>
      </w:r>
      <w:r w:rsidRPr="00DC5600">
        <w:t>09 to 2011</w:t>
      </w:r>
      <w:r w:rsidR="005969AC" w:rsidRPr="00DC5600">
        <w:noBreakHyphen/>
      </w:r>
      <w:r w:rsidRPr="00DC5600">
        <w:t>12.  This comprised</w:t>
      </w:r>
      <w:r w:rsidR="005A5026" w:rsidRPr="00DC5600">
        <w:t xml:space="preserve"> $5</w:t>
      </w:r>
      <w:r w:rsidR="00D6428F" w:rsidRPr="00DC5600">
        <w:t>.3 </w:t>
      </w:r>
      <w:r w:rsidRPr="00DC5600">
        <w:t>billion for roads and rail infrastructure, $</w:t>
      </w:r>
      <w:r w:rsidR="005A5026" w:rsidRPr="00DC5600">
        <w:t>8</w:t>
      </w:r>
      <w:r w:rsidR="00C04DB7" w:rsidRPr="00DC5600">
        <w:t>.3</w:t>
      </w:r>
      <w:r w:rsidR="009E4429" w:rsidRPr="00DC5600">
        <w:t> </w:t>
      </w:r>
      <w:r w:rsidRPr="00DC5600">
        <w:t>billion for housing, $16.</w:t>
      </w:r>
      <w:r w:rsidR="00C04DB7" w:rsidRPr="00DC5600">
        <w:t>4</w:t>
      </w:r>
      <w:r w:rsidRPr="00DC5600">
        <w:t> billion for education and $3.</w:t>
      </w:r>
      <w:r w:rsidR="005A5026" w:rsidRPr="00DC5600">
        <w:t>2</w:t>
      </w:r>
      <w:r w:rsidRPr="00DC5600">
        <w:t> billion for</w:t>
      </w:r>
      <w:r w:rsidR="00D6428F" w:rsidRPr="00DC5600">
        <w:t xml:space="preserve"> health.</w:t>
      </w:r>
    </w:p>
    <w:p w:rsidR="00E95002" w:rsidRPr="007245E6" w:rsidRDefault="00E95002" w:rsidP="00E95002">
      <w:pPr>
        <w:pStyle w:val="PBOtext"/>
      </w:pPr>
      <w:r w:rsidRPr="00DC5600">
        <w:t xml:space="preserve">Noticeable temporary increases in funding to States in addition to </w:t>
      </w:r>
      <w:r w:rsidR="00FB2A0A" w:rsidRPr="00DC5600">
        <w:t xml:space="preserve">the </w:t>
      </w:r>
      <w:r w:rsidRPr="00DC5600">
        <w:t>fiscal stimulus al</w:t>
      </w:r>
      <w:r w:rsidR="005969AC" w:rsidRPr="00DC5600">
        <w:t>so occurred in 2010</w:t>
      </w:r>
      <w:r w:rsidR="005969AC" w:rsidRPr="00DC5600">
        <w:noBreakHyphen/>
        <w:t>11 and 2011</w:t>
      </w:r>
      <w:r w:rsidR="005969AC" w:rsidRPr="00DC5600">
        <w:noBreakHyphen/>
      </w:r>
      <w:r w:rsidRPr="00DC5600">
        <w:t>12.  I</w:t>
      </w:r>
      <w:r w:rsidR="005969AC" w:rsidRPr="00DC5600">
        <w:t>n 2010</w:t>
      </w:r>
      <w:r w:rsidR="005969AC" w:rsidRPr="00DC5600">
        <w:noBreakHyphen/>
      </w:r>
      <w:r w:rsidRPr="00DC5600">
        <w:t>11, an additional $6.1</w:t>
      </w:r>
      <w:r w:rsidR="00D6428F" w:rsidRPr="00DC5600">
        <w:t> </w:t>
      </w:r>
      <w:r w:rsidRPr="00DC5600">
        <w:t xml:space="preserve">billion </w:t>
      </w:r>
      <w:r w:rsidR="009E4429" w:rsidRPr="00DC5600">
        <w:t xml:space="preserve">was </w:t>
      </w:r>
      <w:r w:rsidRPr="00DC5600">
        <w:t>spent on a</w:t>
      </w:r>
      <w:r w:rsidRPr="007245E6">
        <w:t xml:space="preserve"> one-off payment for natural disaster relief.  </w:t>
      </w:r>
      <w:r>
        <w:t>I</w:t>
      </w:r>
      <w:r w:rsidRPr="007245E6">
        <w:t>n 2011</w:t>
      </w:r>
      <w:r w:rsidR="005969AC" w:rsidRPr="006B456E">
        <w:noBreakHyphen/>
      </w:r>
      <w:r w:rsidRPr="007245E6">
        <w:t>12</w:t>
      </w:r>
      <w:r>
        <w:t>,</w:t>
      </w:r>
      <w:r w:rsidRPr="007245E6">
        <w:t xml:space="preserve"> </w:t>
      </w:r>
      <w:r>
        <w:t>$1.4</w:t>
      </w:r>
      <w:r w:rsidR="00D6428F">
        <w:t> </w:t>
      </w:r>
      <w:r>
        <w:t xml:space="preserve">billion in </w:t>
      </w:r>
      <w:r w:rsidRPr="007245E6">
        <w:t xml:space="preserve">roads </w:t>
      </w:r>
      <w:r>
        <w:t xml:space="preserve">funding was brought forward with </w:t>
      </w:r>
      <w:r w:rsidRPr="007245E6">
        <w:t xml:space="preserve">a </w:t>
      </w:r>
      <w:r>
        <w:t>corresponding decrease in 2012</w:t>
      </w:r>
      <w:r w:rsidR="005969AC" w:rsidRPr="006B456E">
        <w:noBreakHyphen/>
      </w:r>
      <w:r>
        <w:t>13</w:t>
      </w:r>
      <w:r w:rsidRPr="007245E6">
        <w:t>.</w:t>
      </w:r>
    </w:p>
    <w:p w:rsidR="00E95002" w:rsidRPr="00DC5600" w:rsidRDefault="00E95002" w:rsidP="00E95002">
      <w:pPr>
        <w:pStyle w:val="PBOtext"/>
      </w:pPr>
      <w:r>
        <w:lastRenderedPageBreak/>
        <w:t xml:space="preserve">Funding to States for education, health and community amenities and infrastructure have driven underlying </w:t>
      </w:r>
      <w:r w:rsidRPr="00DC5600">
        <w:t>growth in specific purpose payments from 2002</w:t>
      </w:r>
      <w:r w:rsidR="005969AC" w:rsidRPr="00DC5600">
        <w:noBreakHyphen/>
      </w:r>
      <w:r w:rsidRPr="00DC5600">
        <w:t>03 to 2012</w:t>
      </w:r>
      <w:r w:rsidR="005969AC" w:rsidRPr="00DC5600">
        <w:noBreakHyphen/>
      </w:r>
      <w:r w:rsidRPr="00DC5600">
        <w:t xml:space="preserve">13.  Together, payments in these areas account for </w:t>
      </w:r>
      <w:r w:rsidR="00C04DB7" w:rsidRPr="00DC5600">
        <w:t>around three quarters</w:t>
      </w:r>
      <w:r w:rsidRPr="00DC5600">
        <w:t xml:space="preserve"> of total growth in specific purpose funding to States.</w:t>
      </w:r>
    </w:p>
    <w:p w:rsidR="00E95002" w:rsidRDefault="00E95002" w:rsidP="00E95002">
      <w:pPr>
        <w:pStyle w:val="PBOtext"/>
      </w:pPr>
      <w:r w:rsidRPr="00DC5600">
        <w:t>Growth in education funding to States has</w:t>
      </w:r>
      <w:r>
        <w:t xml:space="preserve"> been driven by the National SPP for the sector and an increase in the number of N</w:t>
      </w:r>
      <w:r w:rsidR="00801368">
        <w:t xml:space="preserve">ational </w:t>
      </w:r>
      <w:r>
        <w:t>P</w:t>
      </w:r>
      <w:r w:rsidR="00801368">
        <w:t xml:space="preserve">artnership </w:t>
      </w:r>
      <w:r>
        <w:t>P</w:t>
      </w:r>
      <w:r w:rsidR="00801368">
        <w:t>ayments</w:t>
      </w:r>
      <w:r>
        <w:t xml:space="preserve"> from 2008</w:t>
      </w:r>
      <w:r w:rsidR="005969AC" w:rsidRPr="006B456E">
        <w:noBreakHyphen/>
      </w:r>
      <w:r>
        <w:t>09</w:t>
      </w:r>
      <w:r w:rsidRPr="00D83C54">
        <w:t>.</w:t>
      </w:r>
      <w:r>
        <w:t xml:space="preserve">  The latter include the Digital Education Revolution and reward payments for achieving targets in literacy and numeracy</w:t>
      </w:r>
      <w:r w:rsidRPr="00C703C0">
        <w:t xml:space="preserve"> </w:t>
      </w:r>
      <w:r w:rsidRPr="00D83C54">
        <w:t>that are now drawing to a conclusion</w:t>
      </w:r>
      <w:r>
        <w:t>.</w:t>
      </w:r>
      <w:r>
        <w:rPr>
          <w:rStyle w:val="FootnoteReference"/>
        </w:rPr>
        <w:footnoteReference w:id="18"/>
      </w:r>
    </w:p>
    <w:p w:rsidR="00E95002" w:rsidRDefault="00E95002" w:rsidP="00E95002">
      <w:pPr>
        <w:pStyle w:val="PBOtext"/>
      </w:pPr>
      <w:r>
        <w:t>Health funding to States grew largely as a result of the Commonwealth assuming</w:t>
      </w:r>
      <w:r w:rsidRPr="00085398">
        <w:t xml:space="preserve"> greater responsibility for </w:t>
      </w:r>
      <w:r>
        <w:t xml:space="preserve">funding the </w:t>
      </w:r>
      <w:r w:rsidRPr="00085398">
        <w:t xml:space="preserve">health and </w:t>
      </w:r>
      <w:r>
        <w:t>hospitals system from 2008</w:t>
      </w:r>
      <w:r w:rsidR="005969AC" w:rsidRPr="006B456E">
        <w:noBreakHyphen/>
      </w:r>
      <w:r>
        <w:t>09 through the National Health Reform Agreement and associated reward funding.</w:t>
      </w:r>
      <w:r>
        <w:rPr>
          <w:rStyle w:val="FootnoteReference"/>
        </w:rPr>
        <w:footnoteReference w:id="19"/>
      </w:r>
    </w:p>
    <w:p w:rsidR="003D676E" w:rsidRDefault="003D676E" w:rsidP="00E95002">
      <w:pPr>
        <w:pStyle w:val="PBOtext"/>
      </w:pPr>
    </w:p>
    <w:p w:rsidR="00C34B45" w:rsidRDefault="00C34B45" w:rsidP="00F90856">
      <w:pPr>
        <w:pStyle w:val="Heading1"/>
        <w:sectPr w:rsidR="00C34B45" w:rsidSect="0099638E">
          <w:footerReference w:type="default" r:id="rId60"/>
          <w:pgSz w:w="11900" w:h="16840"/>
          <w:pgMar w:top="1440" w:right="1797" w:bottom="1440" w:left="1797" w:header="709" w:footer="709" w:gutter="0"/>
          <w:cols w:space="708"/>
          <w:titlePg/>
          <w:docGrid w:linePitch="326"/>
        </w:sectPr>
      </w:pPr>
      <w:bookmarkStart w:id="265" w:name="_Toc372697988"/>
    </w:p>
    <w:p w:rsidR="00897ED9" w:rsidRDefault="00897ED9" w:rsidP="003D676E">
      <w:pPr>
        <w:pStyle w:val="Heading1"/>
      </w:pPr>
      <w:bookmarkStart w:id="266" w:name="_Toc374182874"/>
      <w:bookmarkStart w:id="267" w:name="_Toc374349470"/>
      <w:bookmarkEnd w:id="265"/>
      <w:r>
        <w:lastRenderedPageBreak/>
        <w:t>Lists of data sources and re</w:t>
      </w:r>
      <w:bookmarkEnd w:id="266"/>
      <w:r w:rsidR="00161B39">
        <w:t>ferences</w:t>
      </w:r>
      <w:bookmarkEnd w:id="267"/>
    </w:p>
    <w:p w:rsidR="002D5619" w:rsidRPr="006671CA" w:rsidRDefault="002D5619" w:rsidP="002D5619">
      <w:pPr>
        <w:pStyle w:val="Heading20"/>
      </w:pPr>
      <w:r>
        <w:t>Data sources</w:t>
      </w:r>
    </w:p>
    <w:p w:rsidR="008A7C50" w:rsidRPr="0088093A" w:rsidRDefault="008A7C50" w:rsidP="008A7C50">
      <w:r w:rsidRPr="0088093A">
        <w:t>Austral</w:t>
      </w:r>
      <w:r>
        <w:t>ian Bureau of Statistics</w:t>
      </w:r>
      <w:r w:rsidRPr="0088093A">
        <w:t>,</w:t>
      </w:r>
      <w:r>
        <w:t xml:space="preserve"> 2013,</w:t>
      </w:r>
      <w:r w:rsidRPr="0088093A">
        <w:t xml:space="preserve"> </w:t>
      </w:r>
      <w:r w:rsidRPr="0088093A">
        <w:rPr>
          <w:i/>
        </w:rPr>
        <w:t>Australian</w:t>
      </w:r>
      <w:r>
        <w:rPr>
          <w:i/>
        </w:rPr>
        <w:t xml:space="preserve"> Demographic Statistics</w:t>
      </w:r>
      <w:r w:rsidRPr="0088093A">
        <w:t>,</w:t>
      </w:r>
      <w:r>
        <w:t xml:space="preserve"> 2013,</w:t>
      </w:r>
      <w:r w:rsidRPr="0088093A">
        <w:t xml:space="preserve"> Cat</w:t>
      </w:r>
      <w:r>
        <w:t>.</w:t>
      </w:r>
      <w:r w:rsidRPr="0088093A">
        <w:t xml:space="preserve"> </w:t>
      </w:r>
      <w:proofErr w:type="gramStart"/>
      <w:r w:rsidRPr="0088093A">
        <w:t>No</w:t>
      </w:r>
      <w:r>
        <w:t>. 3101.0, Canberra.</w:t>
      </w:r>
      <w:proofErr w:type="gramEnd"/>
    </w:p>
    <w:p w:rsidR="008A7C50" w:rsidRPr="0088093A" w:rsidRDefault="008A7C50" w:rsidP="008A7C50">
      <w:r w:rsidRPr="0088093A">
        <w:t>Austr</w:t>
      </w:r>
      <w:r>
        <w:t>alian Bureau of Statistics</w:t>
      </w:r>
      <w:r w:rsidRPr="0088093A">
        <w:t>,</w:t>
      </w:r>
      <w:r>
        <w:t xml:space="preserve"> 2013,</w:t>
      </w:r>
      <w:r w:rsidRPr="0088093A">
        <w:t xml:space="preserve"> </w:t>
      </w:r>
      <w:r w:rsidRPr="0088093A">
        <w:rPr>
          <w:i/>
        </w:rPr>
        <w:t>Australian National Acc</w:t>
      </w:r>
      <w:r>
        <w:rPr>
          <w:i/>
        </w:rPr>
        <w:t>ounts: National Income, Expenditure</w:t>
      </w:r>
      <w:r w:rsidRPr="0088093A">
        <w:rPr>
          <w:i/>
        </w:rPr>
        <w:t xml:space="preserve"> and Product</w:t>
      </w:r>
      <w:r w:rsidRPr="0088093A">
        <w:t>,</w:t>
      </w:r>
      <w:r>
        <w:t xml:space="preserve"> </w:t>
      </w:r>
      <w:r w:rsidRPr="0088093A">
        <w:t>Cat</w:t>
      </w:r>
      <w:r>
        <w:t>.</w:t>
      </w:r>
      <w:r w:rsidRPr="0088093A">
        <w:t xml:space="preserve"> </w:t>
      </w:r>
      <w:proofErr w:type="gramStart"/>
      <w:r w:rsidRPr="0088093A">
        <w:t>No</w:t>
      </w:r>
      <w:r>
        <w:t>.</w:t>
      </w:r>
      <w:r w:rsidRPr="0088093A">
        <w:t xml:space="preserve"> 5206.0, </w:t>
      </w:r>
      <w:r>
        <w:t>Canberra.</w:t>
      </w:r>
      <w:proofErr w:type="gramEnd"/>
    </w:p>
    <w:p w:rsidR="008A7C50" w:rsidRPr="0088093A" w:rsidRDefault="008A7C50" w:rsidP="008A7C50">
      <w:r w:rsidRPr="0088093A">
        <w:t>Austr</w:t>
      </w:r>
      <w:r>
        <w:t>alian Bureau of Statistics</w:t>
      </w:r>
      <w:r w:rsidRPr="0088093A">
        <w:t xml:space="preserve">, </w:t>
      </w:r>
      <w:r>
        <w:t xml:space="preserve">2013, </w:t>
      </w:r>
      <w:r w:rsidRPr="0088093A">
        <w:rPr>
          <w:i/>
        </w:rPr>
        <w:t>Consumer Price Index</w:t>
      </w:r>
      <w:r>
        <w:rPr>
          <w:i/>
        </w:rPr>
        <w:t>,</w:t>
      </w:r>
      <w:r w:rsidRPr="0088093A">
        <w:rPr>
          <w:i/>
        </w:rPr>
        <w:t xml:space="preserve"> Australia</w:t>
      </w:r>
      <w:r w:rsidRPr="0088093A">
        <w:t>,</w:t>
      </w:r>
      <w:r>
        <w:t xml:space="preserve"> </w:t>
      </w:r>
      <w:r w:rsidRPr="0088093A">
        <w:t>Cat</w:t>
      </w:r>
      <w:r>
        <w:t xml:space="preserve">. </w:t>
      </w:r>
      <w:proofErr w:type="gramStart"/>
      <w:r>
        <w:t>No. 6401.0, Canberra.</w:t>
      </w:r>
      <w:proofErr w:type="gramEnd"/>
    </w:p>
    <w:p w:rsidR="008A7C50" w:rsidRPr="0088093A" w:rsidRDefault="008A7C50" w:rsidP="008A7C50">
      <w:r w:rsidRPr="0088093A">
        <w:t>Austr</w:t>
      </w:r>
      <w:r>
        <w:t>alian Bureau of Statistics</w:t>
      </w:r>
      <w:r w:rsidRPr="0088093A">
        <w:t>,</w:t>
      </w:r>
      <w:r w:rsidRPr="00931D44">
        <w:t xml:space="preserve"> </w:t>
      </w:r>
      <w:r>
        <w:t>2013,</w:t>
      </w:r>
      <w:r w:rsidRPr="0088093A">
        <w:t xml:space="preserve"> </w:t>
      </w:r>
      <w:r>
        <w:rPr>
          <w:i/>
        </w:rPr>
        <w:t>Labour Force, Australia</w:t>
      </w:r>
      <w:r w:rsidRPr="0088093A">
        <w:t>,</w:t>
      </w:r>
      <w:r>
        <w:t xml:space="preserve"> </w:t>
      </w:r>
      <w:r w:rsidRPr="0088093A">
        <w:t>Cat</w:t>
      </w:r>
      <w:r>
        <w:t>.</w:t>
      </w:r>
      <w:r w:rsidRPr="0088093A">
        <w:t xml:space="preserve"> </w:t>
      </w:r>
      <w:proofErr w:type="gramStart"/>
      <w:r w:rsidRPr="0088093A">
        <w:t>No</w:t>
      </w:r>
      <w:r>
        <w:t>. 6202.0, Canberra.</w:t>
      </w:r>
      <w:proofErr w:type="gramEnd"/>
    </w:p>
    <w:p w:rsidR="008A7C50" w:rsidRPr="00136C25" w:rsidRDefault="008A7C50" w:rsidP="008A7C50">
      <w:r w:rsidRPr="00136C25">
        <w:t>Austr</w:t>
      </w:r>
      <w:r>
        <w:t xml:space="preserve">alian Bureau of Statistics, </w:t>
      </w:r>
      <w:r w:rsidRPr="0028413F">
        <w:rPr>
          <w:i/>
        </w:rPr>
        <w:t>Year Book Australia</w:t>
      </w:r>
      <w:r w:rsidRPr="00136C25">
        <w:t>,</w:t>
      </w:r>
      <w:r>
        <w:t xml:space="preserve"> 2007, 2008, 2012, 2013, </w:t>
      </w:r>
      <w:r w:rsidRPr="00136C25">
        <w:t xml:space="preserve">Cat. </w:t>
      </w:r>
      <w:proofErr w:type="gramStart"/>
      <w:r w:rsidRPr="00136C25">
        <w:t>No. 1301.0, Canberra</w:t>
      </w:r>
      <w:r>
        <w:t>.</w:t>
      </w:r>
      <w:proofErr w:type="gramEnd"/>
    </w:p>
    <w:p w:rsidR="008A7C50" w:rsidRPr="00F634DE" w:rsidRDefault="008A7C50" w:rsidP="008A7C50">
      <w:proofErr w:type="gramStart"/>
      <w:r>
        <w:t xml:space="preserve">Australian Government </w:t>
      </w:r>
      <w:r w:rsidRPr="0088093A">
        <w:t xml:space="preserve">Agencies, </w:t>
      </w:r>
      <w:r w:rsidRPr="0088093A">
        <w:rPr>
          <w:i/>
        </w:rPr>
        <w:t>Annual Reports</w:t>
      </w:r>
      <w:r>
        <w:rPr>
          <w:i/>
        </w:rPr>
        <w:t>,</w:t>
      </w:r>
      <w:r w:rsidRPr="0088093A">
        <w:rPr>
          <w:i/>
        </w:rPr>
        <w:t xml:space="preserve"> </w:t>
      </w:r>
      <w:r w:rsidRPr="00800780">
        <w:t>2002-03 to 2012-13</w:t>
      </w:r>
      <w:r w:rsidRPr="0088093A">
        <w:rPr>
          <w:i/>
        </w:rPr>
        <w:t xml:space="preserve">, </w:t>
      </w:r>
      <w:r>
        <w:t>Canberra.</w:t>
      </w:r>
      <w:proofErr w:type="gramEnd"/>
    </w:p>
    <w:p w:rsidR="008A7C50" w:rsidRPr="00F634DE" w:rsidRDefault="008A7C50" w:rsidP="008A7C50">
      <w:proofErr w:type="gramStart"/>
      <w:r w:rsidRPr="0088093A">
        <w:t xml:space="preserve">Australian Government </w:t>
      </w:r>
      <w:r>
        <w:t xml:space="preserve">Departments, </w:t>
      </w:r>
      <w:r w:rsidRPr="0088093A">
        <w:rPr>
          <w:i/>
        </w:rPr>
        <w:t>Annual Reports</w:t>
      </w:r>
      <w:r>
        <w:rPr>
          <w:i/>
        </w:rPr>
        <w:t>,</w:t>
      </w:r>
      <w:r w:rsidRPr="0088093A">
        <w:rPr>
          <w:i/>
        </w:rPr>
        <w:t xml:space="preserve"> </w:t>
      </w:r>
      <w:r w:rsidRPr="00800780">
        <w:t>2002-03 to 2012-13</w:t>
      </w:r>
      <w:r w:rsidRPr="0088093A">
        <w:rPr>
          <w:i/>
        </w:rPr>
        <w:t xml:space="preserve">, </w:t>
      </w:r>
      <w:r>
        <w:t>Canberra.</w:t>
      </w:r>
      <w:proofErr w:type="gramEnd"/>
    </w:p>
    <w:p w:rsidR="008A7C50" w:rsidRPr="0088093A" w:rsidRDefault="008A7C50" w:rsidP="008A7C50">
      <w:proofErr w:type="gramStart"/>
      <w:r w:rsidRPr="0088093A">
        <w:t xml:space="preserve">Australian Government, </w:t>
      </w:r>
      <w:r>
        <w:rPr>
          <w:i/>
        </w:rPr>
        <w:t xml:space="preserve">Budget Papers, </w:t>
      </w:r>
      <w:r w:rsidRPr="00800780">
        <w:t>2002-03 to 2013-14</w:t>
      </w:r>
      <w:r>
        <w:t>, Canberra.</w:t>
      </w:r>
      <w:proofErr w:type="gramEnd"/>
    </w:p>
    <w:p w:rsidR="008A7C50" w:rsidRPr="0088093A" w:rsidRDefault="008A7C50" w:rsidP="008A7C50">
      <w:r w:rsidRPr="0088093A">
        <w:t xml:space="preserve">Australian Government, </w:t>
      </w:r>
      <w:r w:rsidRPr="0088093A">
        <w:rPr>
          <w:i/>
        </w:rPr>
        <w:t>Final Budget Outcome</w:t>
      </w:r>
      <w:r>
        <w:rPr>
          <w:i/>
        </w:rPr>
        <w:t>,</w:t>
      </w:r>
      <w:r w:rsidRPr="0088093A">
        <w:rPr>
          <w:i/>
        </w:rPr>
        <w:t xml:space="preserve"> </w:t>
      </w:r>
      <w:r w:rsidRPr="00800780">
        <w:t>2002-03 to 2012-13</w:t>
      </w:r>
      <w:r>
        <w:t>, Canberra.</w:t>
      </w:r>
    </w:p>
    <w:p w:rsidR="008A7C50" w:rsidRPr="0088093A" w:rsidRDefault="008A7C50" w:rsidP="008A7C50">
      <w:r w:rsidRPr="0088093A">
        <w:t>Australian Government,</w:t>
      </w:r>
      <w:r>
        <w:t xml:space="preserve"> 2010,</w:t>
      </w:r>
      <w:r w:rsidRPr="0088093A">
        <w:t xml:space="preserve"> </w:t>
      </w:r>
      <w:r w:rsidRPr="0088093A">
        <w:rPr>
          <w:i/>
        </w:rPr>
        <w:t>Intergenerational Report 2010: Australia to 2050: future challenges</w:t>
      </w:r>
      <w:r>
        <w:t>, Canberra.</w:t>
      </w:r>
    </w:p>
    <w:p w:rsidR="008A7C50" w:rsidRPr="0088093A" w:rsidRDefault="008A7C50" w:rsidP="008A7C50">
      <w:r w:rsidRPr="0088093A">
        <w:t xml:space="preserve">Australian Government, </w:t>
      </w:r>
      <w:r w:rsidRPr="0088093A">
        <w:rPr>
          <w:i/>
        </w:rPr>
        <w:t>Mid-Year Economic and Fiscal Outlook</w:t>
      </w:r>
      <w:r>
        <w:rPr>
          <w:i/>
        </w:rPr>
        <w:t>,</w:t>
      </w:r>
      <w:r w:rsidRPr="0088093A">
        <w:rPr>
          <w:i/>
        </w:rPr>
        <w:t xml:space="preserve"> </w:t>
      </w:r>
      <w:r w:rsidRPr="00800780">
        <w:t>2002-03 to 2012-13</w:t>
      </w:r>
      <w:r>
        <w:t>, Canberra.</w:t>
      </w:r>
    </w:p>
    <w:p w:rsidR="008A7C50" w:rsidRPr="00136C25" w:rsidRDefault="008A7C50" w:rsidP="008A7C50">
      <w:r w:rsidRPr="00136C25">
        <w:t xml:space="preserve">Australian Government, </w:t>
      </w:r>
      <w:r>
        <w:t>2008,</w:t>
      </w:r>
      <w:r w:rsidRPr="00136C25">
        <w:t xml:space="preserve"> </w:t>
      </w:r>
      <w:r w:rsidRPr="00136C25">
        <w:rPr>
          <w:i/>
        </w:rPr>
        <w:t>Nation Building: Rail, Road, Education &amp; Research and Business</w:t>
      </w:r>
      <w:r w:rsidRPr="00136C25">
        <w:t>, Canberra</w:t>
      </w:r>
      <w:r>
        <w:t>.</w:t>
      </w:r>
    </w:p>
    <w:p w:rsidR="008A7C50" w:rsidRPr="0088093A" w:rsidRDefault="008A7C50" w:rsidP="008A7C50">
      <w:proofErr w:type="gramStart"/>
      <w:r w:rsidRPr="0088093A">
        <w:t xml:space="preserve">Australian Government, </w:t>
      </w:r>
      <w:r w:rsidRPr="0088093A">
        <w:rPr>
          <w:i/>
        </w:rPr>
        <w:t>Portfolio Additional Estimates Statements</w:t>
      </w:r>
      <w:r>
        <w:rPr>
          <w:i/>
        </w:rPr>
        <w:t>,</w:t>
      </w:r>
      <w:r w:rsidRPr="0088093A">
        <w:rPr>
          <w:i/>
        </w:rPr>
        <w:t xml:space="preserve"> </w:t>
      </w:r>
      <w:r w:rsidRPr="00800780">
        <w:t>2002-03 to 2012-13</w:t>
      </w:r>
      <w:r w:rsidRPr="0088093A">
        <w:rPr>
          <w:i/>
        </w:rPr>
        <w:t xml:space="preserve">, </w:t>
      </w:r>
      <w:r>
        <w:t>Canberra.</w:t>
      </w:r>
      <w:proofErr w:type="gramEnd"/>
    </w:p>
    <w:p w:rsidR="008A7C50" w:rsidRPr="0088093A" w:rsidRDefault="008A7C50" w:rsidP="008A7C50">
      <w:proofErr w:type="gramStart"/>
      <w:r w:rsidRPr="0088093A">
        <w:t xml:space="preserve">Australian Government, </w:t>
      </w:r>
      <w:r w:rsidRPr="0088093A">
        <w:rPr>
          <w:i/>
        </w:rPr>
        <w:t>Portfolio Budget Statements</w:t>
      </w:r>
      <w:r>
        <w:rPr>
          <w:i/>
        </w:rPr>
        <w:t>,</w:t>
      </w:r>
      <w:r w:rsidRPr="0088093A">
        <w:rPr>
          <w:i/>
        </w:rPr>
        <w:t xml:space="preserve"> </w:t>
      </w:r>
      <w:r w:rsidRPr="00800780">
        <w:t>2002-03 to 2012-13</w:t>
      </w:r>
      <w:r w:rsidRPr="0088093A">
        <w:rPr>
          <w:i/>
        </w:rPr>
        <w:t xml:space="preserve">, </w:t>
      </w:r>
      <w:r>
        <w:t>Canberra.</w:t>
      </w:r>
      <w:proofErr w:type="gramEnd"/>
    </w:p>
    <w:p w:rsidR="008A7C50" w:rsidRPr="0088093A" w:rsidRDefault="008A7C50" w:rsidP="008A7C50">
      <w:r w:rsidRPr="0088093A">
        <w:t>Australian Government,</w:t>
      </w:r>
      <w:r w:rsidRPr="00931D44">
        <w:t xml:space="preserve"> </w:t>
      </w:r>
      <w:r>
        <w:t>2011,</w:t>
      </w:r>
      <w:r w:rsidRPr="0088093A">
        <w:t xml:space="preserve"> </w:t>
      </w:r>
      <w:r w:rsidRPr="0088093A">
        <w:rPr>
          <w:i/>
        </w:rPr>
        <w:t>Review of Funding for Schooling: Final Report</w:t>
      </w:r>
      <w:r w:rsidRPr="0088093A">
        <w:t>,</w:t>
      </w:r>
      <w:r>
        <w:t xml:space="preserve"> Canberra.</w:t>
      </w:r>
    </w:p>
    <w:p w:rsidR="008A7C50" w:rsidRPr="0088093A" w:rsidRDefault="008A7C50" w:rsidP="008A7C50">
      <w:r w:rsidRPr="0088093A">
        <w:t xml:space="preserve">Australian Government, </w:t>
      </w:r>
      <w:r>
        <w:t xml:space="preserve">2009, </w:t>
      </w:r>
      <w:r w:rsidRPr="0088093A">
        <w:rPr>
          <w:i/>
        </w:rPr>
        <w:t>Updated Economic and Fiscal Outlook</w:t>
      </w:r>
      <w:r w:rsidRPr="0088093A">
        <w:t>,</w:t>
      </w:r>
      <w:r>
        <w:t xml:space="preserve"> Canberra.</w:t>
      </w:r>
    </w:p>
    <w:p w:rsidR="008A7C50" w:rsidRDefault="008A7C50" w:rsidP="008A7C50">
      <w:pPr>
        <w:pStyle w:val="PBOtext"/>
      </w:pPr>
      <w:r>
        <w:t xml:space="preserve">Australian Institute of Health and Welfare, 2013, </w:t>
      </w:r>
      <w:r>
        <w:rPr>
          <w:i/>
          <w:iCs/>
        </w:rPr>
        <w:t>Health Expenditure 2011-12</w:t>
      </w:r>
      <w:r>
        <w:t>, Canberra.  Available at</w:t>
      </w:r>
      <w:r>
        <w:br/>
      </w:r>
      <w:hyperlink r:id="rId61" w:history="1">
        <w:r>
          <w:rPr>
            <w:rStyle w:val="Hyperlink"/>
          </w:rPr>
          <w:t>https://www.aihw.gov.au/WorkArea/DownloadAsset.aspx?id=60129544656</w:t>
        </w:r>
      </w:hyperlink>
    </w:p>
    <w:p w:rsidR="008A7C50" w:rsidRDefault="008A7C50" w:rsidP="008A7C50">
      <w:proofErr w:type="gramStart"/>
      <w:r>
        <w:t>Australian Institute of Health and Welfare,</w:t>
      </w:r>
      <w:r w:rsidRPr="00931D44">
        <w:t xml:space="preserve"> </w:t>
      </w:r>
      <w:r>
        <w:t xml:space="preserve">2013, </w:t>
      </w:r>
      <w:r>
        <w:rPr>
          <w:i/>
          <w:iCs/>
        </w:rPr>
        <w:t>Medical workforce 2011</w:t>
      </w:r>
      <w:r>
        <w:t>, Canberra.</w:t>
      </w:r>
      <w:proofErr w:type="gramEnd"/>
      <w:r>
        <w:t xml:space="preserve">  Available at</w:t>
      </w:r>
      <w:r>
        <w:br/>
      </w:r>
      <w:hyperlink r:id="rId62" w:history="1">
        <w:r>
          <w:rPr>
            <w:rStyle w:val="Hyperlink"/>
          </w:rPr>
          <w:t>http://www.aihw.gov.au/WorkArea/DownloadAsset.aspx?id=60129542629</w:t>
        </w:r>
      </w:hyperlink>
      <w:r>
        <w:t xml:space="preserve"> </w:t>
      </w:r>
    </w:p>
    <w:p w:rsidR="008A7C50" w:rsidRDefault="008A7C50" w:rsidP="008A7C50">
      <w:pPr>
        <w:pStyle w:val="PBOtext"/>
      </w:pPr>
      <w:r>
        <w:t xml:space="preserve">Australian Security Intelligence Organisation, </w:t>
      </w:r>
      <w:r>
        <w:rPr>
          <w:i/>
          <w:iCs/>
        </w:rPr>
        <w:t xml:space="preserve">ASIO Report to Parliament, </w:t>
      </w:r>
      <w:r w:rsidRPr="00931D44">
        <w:rPr>
          <w:iCs/>
        </w:rPr>
        <w:t>2002-03 to 2012-13</w:t>
      </w:r>
      <w:r>
        <w:rPr>
          <w:i/>
          <w:iCs/>
        </w:rPr>
        <w:t>,</w:t>
      </w:r>
      <w:r>
        <w:t xml:space="preserve"> Canberra.</w:t>
      </w:r>
    </w:p>
    <w:p w:rsidR="008A7C50" w:rsidRDefault="008A7C50" w:rsidP="008A7C50">
      <w:pPr>
        <w:pStyle w:val="PBOtext"/>
      </w:pPr>
      <w:r>
        <w:t xml:space="preserve">Centre for Health Economics Research and Evaluation, 2011, </w:t>
      </w:r>
      <w:r>
        <w:rPr>
          <w:i/>
          <w:iCs/>
        </w:rPr>
        <w:t>Extended Medicare Safety Net – Review of Capping Arrangements Report 2011</w:t>
      </w:r>
      <w:r>
        <w:t>, Sydney.  Available at</w:t>
      </w:r>
      <w:r>
        <w:br/>
      </w:r>
      <w:hyperlink r:id="rId63" w:history="1">
        <w:r>
          <w:rPr>
            <w:rStyle w:val="Hyperlink"/>
          </w:rPr>
          <w:t>http://www.health.gov.au/internet/main/publishing.nsf/Content/2011_Review_Extended_Medicare_Safety_Net/$File/Final%20Report%20-%20Review%20of%20EMSN%20benefit%20capping%20June%202011.pdf</w:t>
        </w:r>
      </w:hyperlink>
    </w:p>
    <w:p w:rsidR="008A7C50" w:rsidRDefault="008A7C50" w:rsidP="008A7C50">
      <w:proofErr w:type="gramStart"/>
      <w:r>
        <w:t xml:space="preserve">Council of Australian Governments, 2008, </w:t>
      </w:r>
      <w:r>
        <w:rPr>
          <w:i/>
          <w:iCs/>
        </w:rPr>
        <w:t>Communique 29 November 2008</w:t>
      </w:r>
      <w:r>
        <w:t>, Canberra.</w:t>
      </w:r>
      <w:proofErr w:type="gramEnd"/>
    </w:p>
    <w:p w:rsidR="008A7C50" w:rsidRPr="00136C25" w:rsidRDefault="008A7C50" w:rsidP="008A7C50">
      <w:proofErr w:type="gramStart"/>
      <w:r w:rsidRPr="00136C25">
        <w:t>Council of Australian Governments,</w:t>
      </w:r>
      <w:r w:rsidRPr="00F819A9">
        <w:t xml:space="preserve"> </w:t>
      </w:r>
      <w:r>
        <w:t>2012,</w:t>
      </w:r>
      <w:r w:rsidRPr="00136C25">
        <w:t xml:space="preserve"> </w:t>
      </w:r>
      <w:r w:rsidRPr="00136C25">
        <w:rPr>
          <w:i/>
        </w:rPr>
        <w:t>National Education Agreement</w:t>
      </w:r>
      <w:r w:rsidRPr="00136C25">
        <w:t>, Canberra</w:t>
      </w:r>
      <w:r>
        <w:t>.</w:t>
      </w:r>
      <w:proofErr w:type="gramEnd"/>
    </w:p>
    <w:p w:rsidR="008A7C50" w:rsidRDefault="008A7C50" w:rsidP="008A7C50">
      <w:proofErr w:type="gramStart"/>
      <w:r>
        <w:lastRenderedPageBreak/>
        <w:t xml:space="preserve">Council of Australian Governments, 2011, </w:t>
      </w:r>
      <w:r>
        <w:rPr>
          <w:i/>
          <w:iCs/>
        </w:rPr>
        <w:t xml:space="preserve">National Health Reform Agreement, </w:t>
      </w:r>
      <w:r>
        <w:t>Canberra.</w:t>
      </w:r>
      <w:proofErr w:type="gramEnd"/>
    </w:p>
    <w:p w:rsidR="008A7C50" w:rsidRPr="00136C25" w:rsidRDefault="008A7C50" w:rsidP="008A7C50">
      <w:proofErr w:type="gramStart"/>
      <w:r w:rsidRPr="00136C25">
        <w:t xml:space="preserve">Council of Australian Governments, </w:t>
      </w:r>
      <w:r>
        <w:t xml:space="preserve">2009, </w:t>
      </w:r>
      <w:r w:rsidRPr="00931D44">
        <w:rPr>
          <w:i/>
        </w:rPr>
        <w:t>National Partnership Agreement on Hospital and Health Workforce Reform</w:t>
      </w:r>
      <w:r w:rsidRPr="00136C25">
        <w:t>, 5 February 2009, Canberra</w:t>
      </w:r>
      <w:r>
        <w:t>.</w:t>
      </w:r>
      <w:proofErr w:type="gramEnd"/>
    </w:p>
    <w:p w:rsidR="008A7C50" w:rsidRPr="00136C25" w:rsidRDefault="008A7C50" w:rsidP="008A7C50">
      <w:proofErr w:type="gramStart"/>
      <w:r w:rsidRPr="00136C25">
        <w:t>Council of Australian Governments,</w:t>
      </w:r>
      <w:r>
        <w:t xml:space="preserve"> 2009,</w:t>
      </w:r>
      <w:r w:rsidRPr="00136C25">
        <w:t xml:space="preserve"> </w:t>
      </w:r>
      <w:r w:rsidRPr="00931D44">
        <w:rPr>
          <w:i/>
        </w:rPr>
        <w:t>National Partnership Agreement on the Nation Building and Jobs Plan</w:t>
      </w:r>
      <w:r>
        <w:t>, 5 </w:t>
      </w:r>
      <w:r w:rsidRPr="00136C25">
        <w:t>February 2009, Canberra</w:t>
      </w:r>
      <w:r>
        <w:t>.</w:t>
      </w:r>
      <w:proofErr w:type="gramEnd"/>
    </w:p>
    <w:p w:rsidR="008A7C50" w:rsidRDefault="008A7C50" w:rsidP="008A7C50">
      <w:proofErr w:type="gramStart"/>
      <w:r>
        <w:t xml:space="preserve">Department of Defence, 2000, </w:t>
      </w:r>
      <w:r>
        <w:rPr>
          <w:i/>
          <w:iCs/>
        </w:rPr>
        <w:t>Defence 2000 Our Future Defence Force</w:t>
      </w:r>
      <w:r>
        <w:t>, Canberra</w:t>
      </w:r>
      <w:r w:rsidR="00644114">
        <w:t>.</w:t>
      </w:r>
      <w:proofErr w:type="gramEnd"/>
      <w:r w:rsidR="00644114">
        <w:t xml:space="preserve">  A</w:t>
      </w:r>
      <w:r>
        <w:t>vailable at</w:t>
      </w:r>
      <w:r>
        <w:br/>
      </w:r>
      <w:hyperlink r:id="rId64" w:history="1">
        <w:r>
          <w:rPr>
            <w:rStyle w:val="Hyperlink"/>
          </w:rPr>
          <w:t>http://www.defence.gov.au/publications/wpaper2000.PDF</w:t>
        </w:r>
      </w:hyperlink>
    </w:p>
    <w:p w:rsidR="008A7C50" w:rsidRDefault="008A7C50" w:rsidP="008A7C50">
      <w:r>
        <w:t>Department of Families, Housing, Community Services and Indigenous Affairs</w:t>
      </w:r>
      <w:r w:rsidRPr="0041748B">
        <w:t xml:space="preserve">, </w:t>
      </w:r>
      <w:r>
        <w:t xml:space="preserve">2013, </w:t>
      </w:r>
      <w:r>
        <w:rPr>
          <w:i/>
        </w:rPr>
        <w:t>Income Support Customers: A Statistical O</w:t>
      </w:r>
      <w:r w:rsidRPr="00513B6C">
        <w:rPr>
          <w:i/>
        </w:rPr>
        <w:t>verview</w:t>
      </w:r>
      <w:r>
        <w:rPr>
          <w:i/>
        </w:rPr>
        <w:t xml:space="preserve"> 2011</w:t>
      </w:r>
      <w:r>
        <w:t>,</w:t>
      </w:r>
      <w:r w:rsidRPr="00513B6C">
        <w:t xml:space="preserve"> </w:t>
      </w:r>
      <w:r>
        <w:t>Statistical Paper N</w:t>
      </w:r>
      <w:r w:rsidRPr="0041748B">
        <w:t>o. 10</w:t>
      </w:r>
      <w:r>
        <w:t>, Canberra</w:t>
      </w:r>
      <w:r w:rsidR="00644114">
        <w:t>.  A</w:t>
      </w:r>
      <w:r>
        <w:t>vailable at</w:t>
      </w:r>
      <w:r>
        <w:br/>
      </w:r>
      <w:hyperlink r:id="rId65" w:history="1">
        <w:r w:rsidRPr="004C432E">
          <w:rPr>
            <w:rStyle w:val="Hyperlink"/>
          </w:rPr>
          <w:t>http://www.dss.gov.au/about-fahcsia/publications-articles/research-publications/social-policy-research-paper-series/statistical-paper-no-10</w:t>
        </w:r>
      </w:hyperlink>
    </w:p>
    <w:p w:rsidR="008A7C50" w:rsidRDefault="008A7C50" w:rsidP="008A7C50">
      <w:r>
        <w:t xml:space="preserve">Department of Foreign Affairs and Trade, 2006, </w:t>
      </w:r>
      <w:r>
        <w:rPr>
          <w:i/>
          <w:iCs/>
        </w:rPr>
        <w:t>Australian Aid: Promoting Growth and Stability</w:t>
      </w:r>
      <w:r>
        <w:t>, Canberra</w:t>
      </w:r>
      <w:r w:rsidR="00644114">
        <w:t>.  A</w:t>
      </w:r>
      <w:r>
        <w:t xml:space="preserve">vailable at </w:t>
      </w:r>
      <w:hyperlink r:id="rId66" w:history="1">
        <w:r>
          <w:rPr>
            <w:rStyle w:val="Hyperlink"/>
          </w:rPr>
          <w:t>http://aid.dfat.gov.au/Publications/Documents/whitepaper.pdf</w:t>
        </w:r>
      </w:hyperlink>
    </w:p>
    <w:p w:rsidR="008A7C50" w:rsidRDefault="008A7C50" w:rsidP="008A7C50">
      <w:pPr>
        <w:pStyle w:val="PBOtext"/>
      </w:pPr>
      <w:proofErr w:type="gramStart"/>
      <w:r>
        <w:t xml:space="preserve">Department of Health, 2003, </w:t>
      </w:r>
      <w:r>
        <w:rPr>
          <w:i/>
          <w:iCs/>
        </w:rPr>
        <w:t>Health Fact Sheet 2 – Australian Health Care Agreements 2003-2008</w:t>
      </w:r>
      <w:r>
        <w:t>, Canberra</w:t>
      </w:r>
      <w:r w:rsidR="00644114">
        <w:t>.</w:t>
      </w:r>
      <w:proofErr w:type="gramEnd"/>
      <w:r w:rsidR="00644114">
        <w:t xml:space="preserve">  A</w:t>
      </w:r>
      <w:r>
        <w:t>vailable at</w:t>
      </w:r>
      <w:r>
        <w:br/>
      </w:r>
      <w:hyperlink r:id="rId67" w:history="1">
        <w:r>
          <w:rPr>
            <w:rStyle w:val="Hyperlink"/>
          </w:rPr>
          <w:t>http://www.health.gov.au/internet/main/publishing.nsf/Content/health-budget2003-fact-hfact2.htm</w:t>
        </w:r>
      </w:hyperlink>
    </w:p>
    <w:p w:rsidR="008A7C50" w:rsidRDefault="008A7C50" w:rsidP="008A7C50">
      <w:proofErr w:type="gramStart"/>
      <w:r>
        <w:t xml:space="preserve">Department of Human Services, 2013, </w:t>
      </w:r>
      <w:r>
        <w:rPr>
          <w:i/>
          <w:iCs/>
        </w:rPr>
        <w:t>Medicare Australia Statistics – Medicare Group Reports</w:t>
      </w:r>
      <w:r>
        <w:t>, Canberra</w:t>
      </w:r>
      <w:r w:rsidR="00644114">
        <w:t>.</w:t>
      </w:r>
      <w:proofErr w:type="gramEnd"/>
      <w:r w:rsidR="00644114">
        <w:t xml:space="preserve">  A</w:t>
      </w:r>
      <w:r>
        <w:t xml:space="preserve">vailable at </w:t>
      </w:r>
      <w:hyperlink r:id="rId68" w:history="1">
        <w:r>
          <w:rPr>
            <w:rStyle w:val="Hyperlink"/>
          </w:rPr>
          <w:t>https://www.medicareaustralia.gov.au/statistics/mbs_group.shtml</w:t>
        </w:r>
      </w:hyperlink>
    </w:p>
    <w:p w:rsidR="008A7C50" w:rsidRDefault="008A7C50" w:rsidP="008A7C50">
      <w:pPr>
        <w:pStyle w:val="ListParagraph"/>
        <w:ind w:left="0"/>
        <w:rPr>
          <w:rStyle w:val="Hyperlink"/>
        </w:rPr>
      </w:pPr>
      <w:proofErr w:type="gramStart"/>
      <w:r>
        <w:t xml:space="preserve">Department of Human Services, 2013, </w:t>
      </w:r>
      <w:r>
        <w:rPr>
          <w:i/>
          <w:iCs/>
        </w:rPr>
        <w:t>Medicare Australia Statistics - Pharmaceutical Benefits Schedule Group Reports</w:t>
      </w:r>
      <w:r>
        <w:t>, Canberra</w:t>
      </w:r>
      <w:r w:rsidR="00644114">
        <w:t>.</w:t>
      </w:r>
      <w:proofErr w:type="gramEnd"/>
      <w:r w:rsidR="00644114">
        <w:t xml:space="preserve">  A</w:t>
      </w:r>
      <w:r>
        <w:t>vailable at</w:t>
      </w:r>
      <w:r>
        <w:br/>
      </w:r>
      <w:hyperlink r:id="rId69" w:history="1">
        <w:r>
          <w:rPr>
            <w:rStyle w:val="Hyperlink"/>
          </w:rPr>
          <w:t>https://www.medicareaustralia.gov.au/statistics/pbs_group.shtml</w:t>
        </w:r>
      </w:hyperlink>
    </w:p>
    <w:p w:rsidR="008A7C50" w:rsidRPr="0088093A" w:rsidRDefault="008A7C50" w:rsidP="008A7C50">
      <w:proofErr w:type="gramStart"/>
      <w:r w:rsidRPr="0088093A">
        <w:t>Department of Social Services</w:t>
      </w:r>
      <w:r>
        <w:t xml:space="preserve">, 2013, </w:t>
      </w:r>
      <w:r w:rsidRPr="0088093A">
        <w:t>Age Pension Forward Estimates Model,</w:t>
      </w:r>
      <w:r>
        <w:t xml:space="preserve"> Canberra</w:t>
      </w:r>
      <w:r w:rsidR="00644114">
        <w:t>.</w:t>
      </w:r>
      <w:proofErr w:type="gramEnd"/>
    </w:p>
    <w:p w:rsidR="008A7C50" w:rsidRDefault="008A7C50" w:rsidP="008A7C50">
      <w:pPr>
        <w:rPr>
          <w:i/>
          <w:iCs/>
        </w:rPr>
      </w:pPr>
      <w:r>
        <w:t xml:space="preserve">Minister for Foreign Affairs and Parliamentary Secretary for International Development Assistance, 2008, </w:t>
      </w:r>
      <w:r>
        <w:rPr>
          <w:i/>
          <w:iCs/>
        </w:rPr>
        <w:t>‘</w:t>
      </w:r>
      <w:r>
        <w:t xml:space="preserve">Australia’s International Development Assistance Program 2008-09’, </w:t>
      </w:r>
      <w:proofErr w:type="gramStart"/>
      <w:r>
        <w:rPr>
          <w:i/>
          <w:iCs/>
        </w:rPr>
        <w:t xml:space="preserve">2008-09 Ministerial Statement, </w:t>
      </w:r>
      <w:r>
        <w:t>13 May 2008,</w:t>
      </w:r>
      <w:proofErr w:type="gramEnd"/>
      <w:r>
        <w:t xml:space="preserve"> Canberra</w:t>
      </w:r>
      <w:r w:rsidR="00644114">
        <w:t>.  A</w:t>
      </w:r>
      <w:r>
        <w:t>vailable at</w:t>
      </w:r>
      <w:r>
        <w:br/>
      </w:r>
      <w:hyperlink r:id="rId70" w:history="1">
        <w:r>
          <w:rPr>
            <w:rStyle w:val="Hyperlink"/>
          </w:rPr>
          <w:t>http://www.budget.gov.au/2008-09/content/ministerial_statements/download/ausaid.pdf</w:t>
        </w:r>
      </w:hyperlink>
    </w:p>
    <w:p w:rsidR="008A7C50" w:rsidRDefault="008A7C50" w:rsidP="008A7C50">
      <w:pPr>
        <w:rPr>
          <w:i/>
          <w:iCs/>
        </w:rPr>
      </w:pPr>
      <w:proofErr w:type="gramStart"/>
      <w:r>
        <w:rPr>
          <w:i/>
          <w:iCs/>
        </w:rPr>
        <w:t>National Health Amendment (Pharmaceutical Benefits – Budget Measures) Act 20</w:t>
      </w:r>
      <w:r w:rsidR="00644114">
        <w:rPr>
          <w:i/>
          <w:iCs/>
        </w:rPr>
        <w:t>04.</w:t>
      </w:r>
      <w:proofErr w:type="gramEnd"/>
    </w:p>
    <w:p w:rsidR="008A7C50" w:rsidRPr="00136C25" w:rsidRDefault="008A7C50" w:rsidP="008A7C50">
      <w:r w:rsidRPr="00136C25">
        <w:t>The Auditor-General,</w:t>
      </w:r>
      <w:r>
        <w:t xml:space="preserve"> 2010,</w:t>
      </w:r>
      <w:r w:rsidRPr="00136C25">
        <w:t xml:space="preserve"> </w:t>
      </w:r>
      <w:r w:rsidRPr="00136C25">
        <w:rPr>
          <w:i/>
        </w:rPr>
        <w:t xml:space="preserve">Performance Audit: Home Insulation Program, </w:t>
      </w:r>
      <w:r w:rsidRPr="00136C25">
        <w:t>Audit Report No. 12 2010</w:t>
      </w:r>
      <w:r w:rsidRPr="00136C25">
        <w:noBreakHyphen/>
        <w:t>11, Australian National Audit Office, Canberra</w:t>
      </w:r>
      <w:r w:rsidR="00644114">
        <w:t>.</w:t>
      </w:r>
    </w:p>
    <w:p w:rsidR="008A7C50" w:rsidRPr="00136C25" w:rsidRDefault="008A7C50" w:rsidP="008A7C50">
      <w:proofErr w:type="gramStart"/>
      <w:r>
        <w:t>The Treasury</w:t>
      </w:r>
      <w:r w:rsidRPr="00136C25">
        <w:t>,</w:t>
      </w:r>
      <w:r>
        <w:t xml:space="preserve"> 2012, </w:t>
      </w:r>
      <w:r>
        <w:rPr>
          <w:i/>
        </w:rPr>
        <w:t>Tax Expenditures Statement</w:t>
      </w:r>
      <w:r>
        <w:t xml:space="preserve">, </w:t>
      </w:r>
      <w:r w:rsidRPr="00136C25">
        <w:t>Canberra</w:t>
      </w:r>
      <w:r w:rsidR="00644114">
        <w:t>.</w:t>
      </w:r>
      <w:proofErr w:type="gramEnd"/>
    </w:p>
    <w:p w:rsidR="008A7C50" w:rsidRDefault="008A7C50" w:rsidP="008A7C50">
      <w:r>
        <w:t xml:space="preserve">The Treasury and Department of Finance and Administration, </w:t>
      </w:r>
      <w:r>
        <w:rPr>
          <w:i/>
        </w:rPr>
        <w:t xml:space="preserve">Pre-Election Economic and Fiscal Outlook, </w:t>
      </w:r>
      <w:r w:rsidRPr="00800780">
        <w:t>2007, 2010 and 2013</w:t>
      </w:r>
      <w:r>
        <w:t>, Canberra</w:t>
      </w:r>
      <w:r w:rsidR="00644114">
        <w:t>.</w:t>
      </w:r>
    </w:p>
    <w:p w:rsidR="003D676E" w:rsidRDefault="003D676E">
      <w:pPr>
        <w:spacing w:before="0" w:after="200" w:line="252" w:lineRule="auto"/>
      </w:pPr>
      <w:r>
        <w:br w:type="page"/>
      </w:r>
    </w:p>
    <w:p w:rsidR="004004FE" w:rsidRDefault="00161B39" w:rsidP="004004FE">
      <w:pPr>
        <w:pStyle w:val="Heading20"/>
        <w:rPr>
          <w:lang w:eastAsia="en-US"/>
        </w:rPr>
      </w:pPr>
      <w:r>
        <w:rPr>
          <w:lang w:eastAsia="en-US"/>
        </w:rPr>
        <w:lastRenderedPageBreak/>
        <w:t>References</w:t>
      </w:r>
    </w:p>
    <w:p w:rsidR="008A7C50" w:rsidRPr="00F634DE" w:rsidRDefault="008A7C50" w:rsidP="008A7C50">
      <w:proofErr w:type="gramStart"/>
      <w:r>
        <w:t xml:space="preserve">Australian Government </w:t>
      </w:r>
      <w:r w:rsidRPr="0088093A">
        <w:t xml:space="preserve">Agencies, </w:t>
      </w:r>
      <w:r w:rsidRPr="0088093A">
        <w:rPr>
          <w:i/>
        </w:rPr>
        <w:t>Annual Reports</w:t>
      </w:r>
      <w:r>
        <w:rPr>
          <w:i/>
        </w:rPr>
        <w:t>,</w:t>
      </w:r>
      <w:r w:rsidRPr="0088093A">
        <w:rPr>
          <w:i/>
        </w:rPr>
        <w:t xml:space="preserve"> </w:t>
      </w:r>
      <w:r w:rsidRPr="00800780">
        <w:t>2002-03 to 2012-13</w:t>
      </w:r>
      <w:r w:rsidRPr="0088093A">
        <w:rPr>
          <w:i/>
        </w:rPr>
        <w:t xml:space="preserve">, </w:t>
      </w:r>
      <w:r>
        <w:t>Canberra</w:t>
      </w:r>
      <w:r w:rsidR="00644114">
        <w:t>.</w:t>
      </w:r>
      <w:proofErr w:type="gramEnd"/>
    </w:p>
    <w:p w:rsidR="008A7C50" w:rsidRPr="00F634DE" w:rsidRDefault="008A7C50" w:rsidP="008A7C50">
      <w:proofErr w:type="gramStart"/>
      <w:r w:rsidRPr="0088093A">
        <w:t xml:space="preserve">Australian Government </w:t>
      </w:r>
      <w:r>
        <w:t xml:space="preserve">Departments, </w:t>
      </w:r>
      <w:r w:rsidRPr="0088093A">
        <w:rPr>
          <w:i/>
        </w:rPr>
        <w:t>Annual Reports</w:t>
      </w:r>
      <w:r>
        <w:rPr>
          <w:i/>
        </w:rPr>
        <w:t>,</w:t>
      </w:r>
      <w:r w:rsidRPr="0088093A">
        <w:rPr>
          <w:i/>
        </w:rPr>
        <w:t xml:space="preserve"> </w:t>
      </w:r>
      <w:r w:rsidRPr="00800780">
        <w:t>2002-03 to 2012-13</w:t>
      </w:r>
      <w:r w:rsidRPr="0088093A">
        <w:rPr>
          <w:i/>
        </w:rPr>
        <w:t xml:space="preserve">, </w:t>
      </w:r>
      <w:r>
        <w:t>Canberra</w:t>
      </w:r>
      <w:r w:rsidR="00644114">
        <w:t>.</w:t>
      </w:r>
      <w:proofErr w:type="gramEnd"/>
    </w:p>
    <w:p w:rsidR="008A7C50" w:rsidRPr="0088093A" w:rsidRDefault="008A7C50" w:rsidP="008A7C50">
      <w:proofErr w:type="gramStart"/>
      <w:r w:rsidRPr="0088093A">
        <w:t xml:space="preserve">Australian Government, </w:t>
      </w:r>
      <w:r w:rsidRPr="0088093A">
        <w:rPr>
          <w:i/>
        </w:rPr>
        <w:t>Budget Papers</w:t>
      </w:r>
      <w:r>
        <w:rPr>
          <w:i/>
        </w:rPr>
        <w:t>,</w:t>
      </w:r>
      <w:r w:rsidRPr="0088093A">
        <w:rPr>
          <w:i/>
        </w:rPr>
        <w:t xml:space="preserve"> </w:t>
      </w:r>
      <w:r w:rsidRPr="00800780">
        <w:t>2002-03 to 2012-13</w:t>
      </w:r>
      <w:r>
        <w:t>, Canberra</w:t>
      </w:r>
      <w:r w:rsidR="00644114">
        <w:t>.</w:t>
      </w:r>
      <w:proofErr w:type="gramEnd"/>
    </w:p>
    <w:p w:rsidR="008A7C50" w:rsidRPr="0088093A" w:rsidRDefault="008A7C50" w:rsidP="008A7C50">
      <w:r w:rsidRPr="0088093A">
        <w:t xml:space="preserve">Australian Government, </w:t>
      </w:r>
      <w:r w:rsidRPr="0088093A">
        <w:rPr>
          <w:i/>
        </w:rPr>
        <w:t>Mid-Year Economic and Fiscal Outlook</w:t>
      </w:r>
      <w:r>
        <w:rPr>
          <w:i/>
        </w:rPr>
        <w:t>,</w:t>
      </w:r>
      <w:r w:rsidRPr="0088093A">
        <w:rPr>
          <w:i/>
        </w:rPr>
        <w:t xml:space="preserve"> </w:t>
      </w:r>
      <w:r w:rsidRPr="00800780">
        <w:t>2002-03 to 2012-13</w:t>
      </w:r>
      <w:r>
        <w:t>, Canberra</w:t>
      </w:r>
      <w:r w:rsidR="00644114">
        <w:t>.</w:t>
      </w:r>
    </w:p>
    <w:p w:rsidR="008A7C50" w:rsidRPr="0088093A" w:rsidRDefault="008A7C50" w:rsidP="008A7C50">
      <w:r w:rsidRPr="0088093A">
        <w:t xml:space="preserve">Australian Government, </w:t>
      </w:r>
      <w:r w:rsidRPr="0088093A">
        <w:rPr>
          <w:i/>
        </w:rPr>
        <w:t>Final Budget Outcome</w:t>
      </w:r>
      <w:r>
        <w:rPr>
          <w:i/>
        </w:rPr>
        <w:t>,</w:t>
      </w:r>
      <w:r w:rsidRPr="0088093A">
        <w:rPr>
          <w:i/>
        </w:rPr>
        <w:t xml:space="preserve"> </w:t>
      </w:r>
      <w:r w:rsidRPr="00800780">
        <w:t>2002-03 to 2012-13</w:t>
      </w:r>
      <w:r>
        <w:t>, Canberra</w:t>
      </w:r>
      <w:r w:rsidR="00644114">
        <w:t>.</w:t>
      </w:r>
    </w:p>
    <w:p w:rsidR="008A7C50" w:rsidRDefault="008A7C50" w:rsidP="008A7C50">
      <w:r>
        <w:t xml:space="preserve">Daley, J., 2013. </w:t>
      </w:r>
      <w:r w:rsidRPr="00572AF1">
        <w:t>'Is there still a budget emergency?'</w:t>
      </w:r>
      <w:r>
        <w:t xml:space="preserve"> Speech to National Press Club of Australia, 9 October 2013</w:t>
      </w:r>
      <w:r w:rsidR="00644114">
        <w:t>.  A</w:t>
      </w:r>
      <w:r>
        <w:t xml:space="preserve">vailable at </w:t>
      </w:r>
      <w:hyperlink r:id="rId71" w:history="1">
        <w:r w:rsidRPr="004C432E">
          <w:rPr>
            <w:rStyle w:val="Hyperlink"/>
          </w:rPr>
          <w:t>http://grattan.edu.au/events/event/is-there-still-a-budget-emergency/</w:t>
        </w:r>
      </w:hyperlink>
    </w:p>
    <w:p w:rsidR="008A7C50" w:rsidRDefault="008A7C50" w:rsidP="008A7C50">
      <w:r>
        <w:t xml:space="preserve">Department of Finance and Deregulation, 2010, </w:t>
      </w:r>
      <w:r>
        <w:rPr>
          <w:i/>
        </w:rPr>
        <w:t>Finance Circular No. 2010/02: Classification of Payments to the States and Territories and Commonwealth Own-Purpose Expenses</w:t>
      </w:r>
      <w:r>
        <w:t>, Financial Reporting Branch, Canberra, 14 October 2010</w:t>
      </w:r>
      <w:r w:rsidR="00644114">
        <w:t>.</w:t>
      </w:r>
    </w:p>
    <w:p w:rsidR="008A7C50" w:rsidRDefault="008A7C50" w:rsidP="008A7C50">
      <w:r w:rsidRPr="00467EAE">
        <w:t>Lau</w:t>
      </w:r>
      <w:r>
        <w:t>rie, K., and McDonald, J., 2008,</w:t>
      </w:r>
      <w:r w:rsidRPr="00467EAE">
        <w:t xml:space="preserve"> </w:t>
      </w:r>
      <w:r>
        <w:t>'</w:t>
      </w:r>
      <w:r w:rsidRPr="00467EAE">
        <w:t xml:space="preserve">A Perspective on Trends in </w:t>
      </w:r>
      <w:r>
        <w:t xml:space="preserve">Australian Government Spending', </w:t>
      </w:r>
      <w:r w:rsidRPr="00716E3D">
        <w:rPr>
          <w:i/>
        </w:rPr>
        <w:t>Economic Roundup</w:t>
      </w:r>
      <w:r>
        <w:t>, Summer 2008</w:t>
      </w:r>
      <w:r w:rsidR="00644114">
        <w:t>.  A</w:t>
      </w:r>
      <w:r>
        <w:t>vailable at</w:t>
      </w:r>
      <w:r>
        <w:br/>
      </w:r>
      <w:hyperlink r:id="rId72" w:history="1">
        <w:r w:rsidRPr="007F13BE">
          <w:rPr>
            <w:rStyle w:val="Hyperlink"/>
          </w:rPr>
          <w:t>http://archive.treasury.gov.au/documents/1352/HTML/docshell.asp?URL=03_spending_growth.asp</w:t>
        </w:r>
      </w:hyperlink>
    </w:p>
    <w:p w:rsidR="008A7C50" w:rsidRDefault="008A7C50" w:rsidP="008A7C50">
      <w:proofErr w:type="gramStart"/>
      <w:r>
        <w:t xml:space="preserve">Parliamentary Budget Office, 2012, </w:t>
      </w:r>
      <w:r w:rsidRPr="00AA1D17">
        <w:rPr>
          <w:i/>
        </w:rPr>
        <w:t>Work Plan 2012-13</w:t>
      </w:r>
      <w:r>
        <w:t>, Canberra</w:t>
      </w:r>
      <w:r w:rsidR="00644114">
        <w:t>.</w:t>
      </w:r>
      <w:proofErr w:type="gramEnd"/>
      <w:r w:rsidR="00644114">
        <w:t xml:space="preserve">  A</w:t>
      </w:r>
      <w:r>
        <w:t>vailable at</w:t>
      </w:r>
      <w:r>
        <w:br/>
      </w:r>
      <w:hyperlink r:id="rId73" w:history="1">
        <w:r w:rsidRPr="007F13BE">
          <w:rPr>
            <w:rStyle w:val="Hyperlink"/>
          </w:rPr>
          <w:t>http://www.aph.gov.au/~/media/05%20About%20Parliament/54%20Parliamentary%20Depts/548%20Parliamentary%20Budget%20Office/PBO_WorkPlan2012_13.ashx</w:t>
        </w:r>
      </w:hyperlink>
    </w:p>
    <w:p w:rsidR="008A7C50" w:rsidRDefault="008A7C50" w:rsidP="008A7C50">
      <w:proofErr w:type="gramStart"/>
      <w:r>
        <w:t xml:space="preserve">Parliamentary Budget Office, 2013, </w:t>
      </w:r>
      <w:r w:rsidRPr="00572AF1">
        <w:rPr>
          <w:i/>
        </w:rPr>
        <w:t>Estimate</w:t>
      </w:r>
      <w:r>
        <w:rPr>
          <w:i/>
        </w:rPr>
        <w:t>s</w:t>
      </w:r>
      <w:r w:rsidRPr="00572AF1">
        <w:rPr>
          <w:i/>
        </w:rPr>
        <w:t xml:space="preserve"> of the Structural Budget Balance of the Australian Government 2001</w:t>
      </w:r>
      <w:r w:rsidRPr="00572AF1">
        <w:rPr>
          <w:i/>
        </w:rPr>
        <w:noBreakHyphen/>
        <w:t>02 to 2016-17</w:t>
      </w:r>
      <w:r>
        <w:t>, Canberra</w:t>
      </w:r>
      <w:r w:rsidR="00644114">
        <w:t>.</w:t>
      </w:r>
      <w:proofErr w:type="gramEnd"/>
      <w:r w:rsidR="00644114">
        <w:t xml:space="preserve">  A</w:t>
      </w:r>
      <w:r>
        <w:t>vailable at</w:t>
      </w:r>
      <w:r>
        <w:br/>
      </w:r>
      <w:hyperlink r:id="rId74" w:history="1">
        <w:r w:rsidRPr="007F13BE">
          <w:rPr>
            <w:rStyle w:val="Hyperlink"/>
          </w:rPr>
          <w:t>http://www.aph.gov.au/~/media/05%20About%20Parliament/54%20Parliamentary%20Depts/548%20Parliamentary%20Budget%20Office/Parliamentary%20Budget%20Office%20Stuctural%20Budget%20Balance.ashx</w:t>
        </w:r>
      </w:hyperlink>
    </w:p>
    <w:p w:rsidR="008A7C50" w:rsidRDefault="008A7C50" w:rsidP="008A7C50">
      <w:proofErr w:type="gramStart"/>
      <w:r>
        <w:t>Parliamentary Budget Office, 2013,</w:t>
      </w:r>
      <w:r>
        <w:rPr>
          <w:i/>
        </w:rPr>
        <w:t xml:space="preserve"> Post-election Report of Election Commitments</w:t>
      </w:r>
      <w:r>
        <w:t xml:space="preserve"> </w:t>
      </w:r>
      <w:r w:rsidRPr="00280A36">
        <w:rPr>
          <w:i/>
        </w:rPr>
        <w:t>2013 General Election</w:t>
      </w:r>
      <w:r>
        <w:t>, Canberra</w:t>
      </w:r>
      <w:r w:rsidR="00644114">
        <w:t>.</w:t>
      </w:r>
      <w:proofErr w:type="gramEnd"/>
      <w:r w:rsidR="00644114">
        <w:t xml:space="preserve">  A</w:t>
      </w:r>
      <w:r>
        <w:t>vailable at</w:t>
      </w:r>
      <w:r>
        <w:br/>
      </w:r>
      <w:hyperlink r:id="rId75" w:history="1">
        <w:r w:rsidRPr="007F13BE">
          <w:rPr>
            <w:rStyle w:val="Hyperlink"/>
          </w:rPr>
          <w:t>http://www.aph.gov.au/About_Parliament/Parliamentary_Departments/Parliamentary_Budget_Office/2013_Election</w:t>
        </w:r>
      </w:hyperlink>
    </w:p>
    <w:p w:rsidR="008A7C50" w:rsidRDefault="008A7C50" w:rsidP="008A7C50">
      <w:proofErr w:type="gramStart"/>
      <w:r>
        <w:t xml:space="preserve">The Treasury, 2009, </w:t>
      </w:r>
      <w:r w:rsidRPr="008036E6">
        <w:rPr>
          <w:i/>
        </w:rPr>
        <w:t>Treasury Briefing Paper for the Senate Inquiry into the Economic Stimulus Package</w:t>
      </w:r>
      <w:r>
        <w:t>, Canberra</w:t>
      </w:r>
      <w:r w:rsidR="00644114">
        <w:t>.</w:t>
      </w:r>
      <w:proofErr w:type="gramEnd"/>
    </w:p>
    <w:p w:rsidR="00912CBA" w:rsidRDefault="00912CBA" w:rsidP="00E14DAC"/>
    <w:p w:rsidR="002D5619" w:rsidRDefault="002D5619" w:rsidP="00E14DAC">
      <w:pPr>
        <w:sectPr w:rsidR="002D5619" w:rsidSect="0099638E">
          <w:footerReference w:type="default" r:id="rId76"/>
          <w:pgSz w:w="11900" w:h="16840"/>
          <w:pgMar w:top="1440" w:right="1797" w:bottom="1440" w:left="1797" w:header="709" w:footer="709" w:gutter="0"/>
          <w:cols w:space="708"/>
          <w:titlePg/>
          <w:docGrid w:linePitch="326"/>
        </w:sectPr>
      </w:pPr>
    </w:p>
    <w:p w:rsidR="00912CBA" w:rsidRDefault="006671CA" w:rsidP="003D676E">
      <w:pPr>
        <w:pStyle w:val="Heading1"/>
      </w:pPr>
      <w:bookmarkStart w:id="268" w:name="_Toc373778501"/>
      <w:bookmarkStart w:id="269" w:name="_Toc374182875"/>
      <w:bookmarkStart w:id="270" w:name="_Toc374349471"/>
      <w:r>
        <w:lastRenderedPageBreak/>
        <w:t>Lists of f</w:t>
      </w:r>
      <w:r w:rsidR="00912CBA">
        <w:t>igures</w:t>
      </w:r>
      <w:bookmarkEnd w:id="268"/>
      <w:r>
        <w:t xml:space="preserve"> and tables</w:t>
      </w:r>
      <w:bookmarkEnd w:id="269"/>
      <w:bookmarkEnd w:id="270"/>
    </w:p>
    <w:p w:rsidR="006671CA" w:rsidRDefault="006671CA" w:rsidP="006671CA">
      <w:pPr>
        <w:pStyle w:val="Heading20"/>
      </w:pPr>
      <w:r>
        <w:t>Figures</w:t>
      </w:r>
    </w:p>
    <w:p w:rsidR="00462F41" w:rsidRDefault="00F60F7A" w:rsidP="001B2F44">
      <w:pPr>
        <w:pStyle w:val="TOC1"/>
        <w:rPr>
          <w:rFonts w:asciiTheme="minorHAnsi" w:eastAsiaTheme="minorEastAsia" w:hAnsiTheme="minorHAnsi" w:cstheme="minorBidi"/>
          <w:noProof/>
          <w:sz w:val="22"/>
          <w:szCs w:val="22"/>
        </w:rPr>
      </w:pPr>
      <w:r>
        <w:fldChar w:fldCharType="begin"/>
      </w:r>
      <w:r>
        <w:instrText xml:space="preserve"> TOC \t "Caption,1" </w:instrText>
      </w:r>
      <w:r>
        <w:fldChar w:fldCharType="separate"/>
      </w:r>
      <w:r w:rsidR="00462F41">
        <w:rPr>
          <w:noProof/>
        </w:rPr>
        <w:t>Figure 1.1:</w:t>
      </w:r>
      <w:r w:rsidR="009F5F1B">
        <w:rPr>
          <w:noProof/>
        </w:rPr>
        <w:t xml:space="preserve"> </w:t>
      </w:r>
      <w:r w:rsidR="00462F41">
        <w:rPr>
          <w:noProof/>
        </w:rPr>
        <w:t>Composition of government spending in 2012-13</w:t>
      </w:r>
      <w:r w:rsidR="00462F41">
        <w:rPr>
          <w:noProof/>
        </w:rPr>
        <w:tab/>
      </w:r>
      <w:r w:rsidR="00462F41">
        <w:rPr>
          <w:noProof/>
        </w:rPr>
        <w:fldChar w:fldCharType="begin"/>
      </w:r>
      <w:r w:rsidR="00462F41">
        <w:rPr>
          <w:noProof/>
        </w:rPr>
        <w:instrText xml:space="preserve"> PAGEREF _Toc374349984 \h </w:instrText>
      </w:r>
      <w:r w:rsidR="00462F41">
        <w:rPr>
          <w:noProof/>
        </w:rPr>
      </w:r>
      <w:r w:rsidR="00462F41">
        <w:rPr>
          <w:noProof/>
        </w:rPr>
        <w:fldChar w:fldCharType="separate"/>
      </w:r>
      <w:r w:rsidR="00E862AC">
        <w:rPr>
          <w:noProof/>
        </w:rPr>
        <w:t>4</w:t>
      </w:r>
      <w:r w:rsidR="00462F41">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1.2:</w:t>
      </w:r>
      <w:r w:rsidR="009F5F1B">
        <w:rPr>
          <w:noProof/>
        </w:rPr>
        <w:t xml:space="preserve"> </w:t>
      </w:r>
      <w:r>
        <w:rPr>
          <w:noProof/>
        </w:rPr>
        <w:t>Growth in government spending and GDP</w:t>
      </w:r>
      <w:r>
        <w:rPr>
          <w:noProof/>
        </w:rPr>
        <w:tab/>
      </w:r>
      <w:r>
        <w:rPr>
          <w:noProof/>
        </w:rPr>
        <w:fldChar w:fldCharType="begin"/>
      </w:r>
      <w:r>
        <w:rPr>
          <w:noProof/>
        </w:rPr>
        <w:instrText xml:space="preserve"> PAGEREF _Toc374349985 \h </w:instrText>
      </w:r>
      <w:r>
        <w:rPr>
          <w:noProof/>
        </w:rPr>
      </w:r>
      <w:r>
        <w:rPr>
          <w:noProof/>
        </w:rPr>
        <w:fldChar w:fldCharType="separate"/>
      </w:r>
      <w:r w:rsidR="00E862AC">
        <w:rPr>
          <w:noProof/>
        </w:rPr>
        <w:t>5</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1.3:</w:t>
      </w:r>
      <w:r w:rsidR="009F5F1B">
        <w:rPr>
          <w:noProof/>
        </w:rPr>
        <w:t xml:space="preserve"> </w:t>
      </w:r>
      <w:r>
        <w:rPr>
          <w:noProof/>
        </w:rPr>
        <w:t>Contributions to growth in government spending</w:t>
      </w:r>
      <w:r>
        <w:rPr>
          <w:noProof/>
        </w:rPr>
        <w:tab/>
      </w:r>
      <w:r>
        <w:rPr>
          <w:noProof/>
        </w:rPr>
        <w:fldChar w:fldCharType="begin"/>
      </w:r>
      <w:r>
        <w:rPr>
          <w:noProof/>
        </w:rPr>
        <w:instrText xml:space="preserve"> PAGEREF _Toc374349986 \h </w:instrText>
      </w:r>
      <w:r>
        <w:rPr>
          <w:noProof/>
        </w:rPr>
      </w:r>
      <w:r>
        <w:rPr>
          <w:noProof/>
        </w:rPr>
        <w:fldChar w:fldCharType="separate"/>
      </w:r>
      <w:r w:rsidR="00E862AC">
        <w:rPr>
          <w:noProof/>
        </w:rPr>
        <w:t>6</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2.1:</w:t>
      </w:r>
      <w:r w:rsidR="009F5F1B">
        <w:rPr>
          <w:noProof/>
        </w:rPr>
        <w:t xml:space="preserve"> </w:t>
      </w:r>
      <w:r>
        <w:rPr>
          <w:noProof/>
        </w:rPr>
        <w:t>Composition of social security and welfare expenses in 2012-13</w:t>
      </w:r>
      <w:r>
        <w:rPr>
          <w:noProof/>
        </w:rPr>
        <w:tab/>
      </w:r>
      <w:r>
        <w:rPr>
          <w:noProof/>
        </w:rPr>
        <w:fldChar w:fldCharType="begin"/>
      </w:r>
      <w:r>
        <w:rPr>
          <w:noProof/>
        </w:rPr>
        <w:instrText xml:space="preserve"> PAGEREF _Toc374349988 \h </w:instrText>
      </w:r>
      <w:r>
        <w:rPr>
          <w:noProof/>
        </w:rPr>
      </w:r>
      <w:r>
        <w:rPr>
          <w:noProof/>
        </w:rPr>
        <w:fldChar w:fldCharType="separate"/>
      </w:r>
      <w:r w:rsidR="00E862AC">
        <w:rPr>
          <w:noProof/>
        </w:rPr>
        <w:t>10</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2.2:</w:t>
      </w:r>
      <w:r w:rsidR="009F5F1B">
        <w:rPr>
          <w:noProof/>
        </w:rPr>
        <w:t xml:space="preserve"> </w:t>
      </w:r>
      <w:r>
        <w:rPr>
          <w:noProof/>
        </w:rPr>
        <w:t>Contributions to growth in social security and welfare expenses</w:t>
      </w:r>
      <w:r>
        <w:rPr>
          <w:noProof/>
        </w:rPr>
        <w:tab/>
      </w:r>
      <w:r>
        <w:rPr>
          <w:noProof/>
        </w:rPr>
        <w:fldChar w:fldCharType="begin"/>
      </w:r>
      <w:r>
        <w:rPr>
          <w:noProof/>
        </w:rPr>
        <w:instrText xml:space="preserve"> PAGEREF _Toc374349989 \h </w:instrText>
      </w:r>
      <w:r>
        <w:rPr>
          <w:noProof/>
        </w:rPr>
      </w:r>
      <w:r>
        <w:rPr>
          <w:noProof/>
        </w:rPr>
        <w:fldChar w:fldCharType="separate"/>
      </w:r>
      <w:r w:rsidR="00E862AC">
        <w:rPr>
          <w:noProof/>
        </w:rPr>
        <w:t>11</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3.1:</w:t>
      </w:r>
      <w:r w:rsidR="009F5F1B">
        <w:rPr>
          <w:noProof/>
        </w:rPr>
        <w:t xml:space="preserve"> </w:t>
      </w:r>
      <w:r>
        <w:rPr>
          <w:noProof/>
        </w:rPr>
        <w:t>Composition of other purposes expenses in 2012-13</w:t>
      </w:r>
      <w:r>
        <w:rPr>
          <w:noProof/>
        </w:rPr>
        <w:tab/>
      </w:r>
      <w:r>
        <w:rPr>
          <w:noProof/>
        </w:rPr>
        <w:fldChar w:fldCharType="begin"/>
      </w:r>
      <w:r>
        <w:rPr>
          <w:noProof/>
        </w:rPr>
        <w:instrText xml:space="preserve"> PAGEREF _Toc374349990 \h </w:instrText>
      </w:r>
      <w:r>
        <w:rPr>
          <w:noProof/>
        </w:rPr>
      </w:r>
      <w:r>
        <w:rPr>
          <w:noProof/>
        </w:rPr>
        <w:fldChar w:fldCharType="separate"/>
      </w:r>
      <w:r w:rsidR="00E862AC">
        <w:rPr>
          <w:noProof/>
        </w:rPr>
        <w:t>16</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3.2:</w:t>
      </w:r>
      <w:r w:rsidR="009F5F1B">
        <w:rPr>
          <w:noProof/>
        </w:rPr>
        <w:t xml:space="preserve"> </w:t>
      </w:r>
      <w:r>
        <w:rPr>
          <w:noProof/>
        </w:rPr>
        <w:t>Contributions to growth in other purposes expenses</w:t>
      </w:r>
      <w:r>
        <w:rPr>
          <w:noProof/>
        </w:rPr>
        <w:tab/>
      </w:r>
      <w:r>
        <w:rPr>
          <w:noProof/>
        </w:rPr>
        <w:fldChar w:fldCharType="begin"/>
      </w:r>
      <w:r>
        <w:rPr>
          <w:noProof/>
        </w:rPr>
        <w:instrText xml:space="preserve"> PAGEREF _Toc374349991 \h </w:instrText>
      </w:r>
      <w:r>
        <w:rPr>
          <w:noProof/>
        </w:rPr>
      </w:r>
      <w:r>
        <w:rPr>
          <w:noProof/>
        </w:rPr>
        <w:fldChar w:fldCharType="separate"/>
      </w:r>
      <w:r w:rsidR="00E862AC">
        <w:rPr>
          <w:noProof/>
        </w:rPr>
        <w:t>17</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3.3:</w:t>
      </w:r>
      <w:r w:rsidR="009F5F1B">
        <w:rPr>
          <w:noProof/>
        </w:rPr>
        <w:t xml:space="preserve"> </w:t>
      </w:r>
      <w:r>
        <w:rPr>
          <w:noProof/>
        </w:rPr>
        <w:t>Consumption subject to GST</w:t>
      </w:r>
      <w:r>
        <w:rPr>
          <w:noProof/>
        </w:rPr>
        <w:tab/>
      </w:r>
      <w:r>
        <w:rPr>
          <w:noProof/>
        </w:rPr>
        <w:fldChar w:fldCharType="begin"/>
      </w:r>
      <w:r>
        <w:rPr>
          <w:noProof/>
        </w:rPr>
        <w:instrText xml:space="preserve"> PAGEREF _Toc374349992 \h </w:instrText>
      </w:r>
      <w:r>
        <w:rPr>
          <w:noProof/>
        </w:rPr>
      </w:r>
      <w:r>
        <w:rPr>
          <w:noProof/>
        </w:rPr>
        <w:fldChar w:fldCharType="separate"/>
      </w:r>
      <w:r w:rsidR="00E862AC">
        <w:rPr>
          <w:noProof/>
        </w:rPr>
        <w:t>19</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3.4</w:t>
      </w:r>
      <w:r w:rsidR="009F5F1B">
        <w:rPr>
          <w:noProof/>
        </w:rPr>
        <w:t xml:space="preserve"> </w:t>
      </w:r>
      <w:r>
        <w:rPr>
          <w:noProof/>
        </w:rPr>
        <w:t>Household consumption prices</w:t>
      </w:r>
      <w:r>
        <w:rPr>
          <w:noProof/>
        </w:rPr>
        <w:tab/>
      </w:r>
      <w:r>
        <w:rPr>
          <w:noProof/>
        </w:rPr>
        <w:fldChar w:fldCharType="begin"/>
      </w:r>
      <w:r>
        <w:rPr>
          <w:noProof/>
        </w:rPr>
        <w:instrText xml:space="preserve"> PAGEREF _Toc374349993 \h </w:instrText>
      </w:r>
      <w:r>
        <w:rPr>
          <w:noProof/>
        </w:rPr>
      </w:r>
      <w:r>
        <w:rPr>
          <w:noProof/>
        </w:rPr>
        <w:fldChar w:fldCharType="separate"/>
      </w:r>
      <w:r w:rsidR="00E862AC">
        <w:rPr>
          <w:noProof/>
        </w:rPr>
        <w:t>19</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4.1:</w:t>
      </w:r>
      <w:r w:rsidR="009F5F1B">
        <w:rPr>
          <w:noProof/>
        </w:rPr>
        <w:t xml:space="preserve"> </w:t>
      </w:r>
      <w:r>
        <w:rPr>
          <w:noProof/>
        </w:rPr>
        <w:t>Composition of health expenses in 2012-13</w:t>
      </w:r>
      <w:r>
        <w:rPr>
          <w:noProof/>
        </w:rPr>
        <w:tab/>
      </w:r>
      <w:r>
        <w:rPr>
          <w:noProof/>
        </w:rPr>
        <w:fldChar w:fldCharType="begin"/>
      </w:r>
      <w:r>
        <w:rPr>
          <w:noProof/>
        </w:rPr>
        <w:instrText xml:space="preserve"> PAGEREF _Toc374349994 \h </w:instrText>
      </w:r>
      <w:r>
        <w:rPr>
          <w:noProof/>
        </w:rPr>
      </w:r>
      <w:r>
        <w:rPr>
          <w:noProof/>
        </w:rPr>
        <w:fldChar w:fldCharType="separate"/>
      </w:r>
      <w:r w:rsidR="00E862AC">
        <w:rPr>
          <w:noProof/>
        </w:rPr>
        <w:t>20</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4.2:</w:t>
      </w:r>
      <w:r w:rsidR="009F5F1B">
        <w:rPr>
          <w:noProof/>
        </w:rPr>
        <w:t xml:space="preserve"> </w:t>
      </w:r>
      <w:r>
        <w:rPr>
          <w:noProof/>
        </w:rPr>
        <w:t>Contributions to growth in health expenses</w:t>
      </w:r>
      <w:r>
        <w:rPr>
          <w:noProof/>
        </w:rPr>
        <w:tab/>
      </w:r>
      <w:r>
        <w:rPr>
          <w:noProof/>
        </w:rPr>
        <w:fldChar w:fldCharType="begin"/>
      </w:r>
      <w:r>
        <w:rPr>
          <w:noProof/>
        </w:rPr>
        <w:instrText xml:space="preserve"> PAGEREF _Toc374349995 \h </w:instrText>
      </w:r>
      <w:r>
        <w:rPr>
          <w:noProof/>
        </w:rPr>
      </w:r>
      <w:r>
        <w:rPr>
          <w:noProof/>
        </w:rPr>
        <w:fldChar w:fldCharType="separate"/>
      </w:r>
      <w:r w:rsidR="00E862AC">
        <w:rPr>
          <w:noProof/>
        </w:rPr>
        <w:t>21</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5.1:</w:t>
      </w:r>
      <w:r w:rsidR="009F5F1B">
        <w:rPr>
          <w:noProof/>
        </w:rPr>
        <w:t xml:space="preserve"> </w:t>
      </w:r>
      <w:r>
        <w:rPr>
          <w:noProof/>
        </w:rPr>
        <w:t>Composition of education expenses in 2012-13</w:t>
      </w:r>
      <w:r>
        <w:rPr>
          <w:noProof/>
        </w:rPr>
        <w:tab/>
      </w:r>
      <w:r>
        <w:rPr>
          <w:noProof/>
        </w:rPr>
        <w:fldChar w:fldCharType="begin"/>
      </w:r>
      <w:r>
        <w:rPr>
          <w:noProof/>
        </w:rPr>
        <w:instrText xml:space="preserve"> PAGEREF _Toc374349996 \h </w:instrText>
      </w:r>
      <w:r>
        <w:rPr>
          <w:noProof/>
        </w:rPr>
      </w:r>
      <w:r>
        <w:rPr>
          <w:noProof/>
        </w:rPr>
        <w:fldChar w:fldCharType="separate"/>
      </w:r>
      <w:r w:rsidR="00E862AC">
        <w:rPr>
          <w:noProof/>
        </w:rPr>
        <w:t>25</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5.2:</w:t>
      </w:r>
      <w:r w:rsidR="009F5F1B">
        <w:rPr>
          <w:noProof/>
        </w:rPr>
        <w:t xml:space="preserve"> </w:t>
      </w:r>
      <w:r>
        <w:rPr>
          <w:noProof/>
        </w:rPr>
        <w:t>Contributions to growth in education expenses</w:t>
      </w:r>
      <w:r>
        <w:rPr>
          <w:noProof/>
        </w:rPr>
        <w:tab/>
      </w:r>
      <w:r>
        <w:rPr>
          <w:noProof/>
        </w:rPr>
        <w:fldChar w:fldCharType="begin"/>
      </w:r>
      <w:r>
        <w:rPr>
          <w:noProof/>
        </w:rPr>
        <w:instrText xml:space="preserve"> PAGEREF _Toc374349997 \h </w:instrText>
      </w:r>
      <w:r>
        <w:rPr>
          <w:noProof/>
        </w:rPr>
      </w:r>
      <w:r>
        <w:rPr>
          <w:noProof/>
        </w:rPr>
        <w:fldChar w:fldCharType="separate"/>
      </w:r>
      <w:r w:rsidR="00E862AC">
        <w:rPr>
          <w:noProof/>
        </w:rPr>
        <w:t>26</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6.1:</w:t>
      </w:r>
      <w:r w:rsidR="009F5F1B">
        <w:rPr>
          <w:noProof/>
        </w:rPr>
        <w:t xml:space="preserve"> </w:t>
      </w:r>
      <w:r>
        <w:rPr>
          <w:noProof/>
        </w:rPr>
        <w:t>Composition of general public services expenses in 2012-13</w:t>
      </w:r>
      <w:r>
        <w:rPr>
          <w:noProof/>
        </w:rPr>
        <w:tab/>
      </w:r>
      <w:r>
        <w:rPr>
          <w:noProof/>
        </w:rPr>
        <w:fldChar w:fldCharType="begin"/>
      </w:r>
      <w:r>
        <w:rPr>
          <w:noProof/>
        </w:rPr>
        <w:instrText xml:space="preserve"> PAGEREF _Toc374349998 \h </w:instrText>
      </w:r>
      <w:r>
        <w:rPr>
          <w:noProof/>
        </w:rPr>
      </w:r>
      <w:r>
        <w:rPr>
          <w:noProof/>
        </w:rPr>
        <w:fldChar w:fldCharType="separate"/>
      </w:r>
      <w:r w:rsidR="00E862AC">
        <w:rPr>
          <w:noProof/>
        </w:rPr>
        <w:t>30</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6.2:</w:t>
      </w:r>
      <w:r w:rsidR="009F5F1B">
        <w:rPr>
          <w:noProof/>
        </w:rPr>
        <w:t xml:space="preserve"> </w:t>
      </w:r>
      <w:r>
        <w:rPr>
          <w:noProof/>
        </w:rPr>
        <w:t>Contributions to growth in general public services expenses</w:t>
      </w:r>
      <w:r>
        <w:rPr>
          <w:noProof/>
        </w:rPr>
        <w:tab/>
      </w:r>
      <w:r>
        <w:rPr>
          <w:noProof/>
        </w:rPr>
        <w:fldChar w:fldCharType="begin"/>
      </w:r>
      <w:r>
        <w:rPr>
          <w:noProof/>
        </w:rPr>
        <w:instrText xml:space="preserve"> PAGEREF _Toc374349999 \h </w:instrText>
      </w:r>
      <w:r>
        <w:rPr>
          <w:noProof/>
        </w:rPr>
      </w:r>
      <w:r>
        <w:rPr>
          <w:noProof/>
        </w:rPr>
        <w:fldChar w:fldCharType="separate"/>
      </w:r>
      <w:r w:rsidR="00E862AC">
        <w:rPr>
          <w:noProof/>
        </w:rPr>
        <w:t>31</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6.3:</w:t>
      </w:r>
      <w:r w:rsidR="009F5F1B">
        <w:rPr>
          <w:noProof/>
        </w:rPr>
        <w:t xml:space="preserve"> </w:t>
      </w:r>
      <w:r>
        <w:rPr>
          <w:noProof/>
        </w:rPr>
        <w:t>Growth in foreign affairs and economic aid expenses</w:t>
      </w:r>
      <w:r>
        <w:rPr>
          <w:noProof/>
        </w:rPr>
        <w:tab/>
      </w:r>
      <w:r>
        <w:rPr>
          <w:noProof/>
        </w:rPr>
        <w:fldChar w:fldCharType="begin"/>
      </w:r>
      <w:r>
        <w:rPr>
          <w:noProof/>
        </w:rPr>
        <w:instrText xml:space="preserve"> PAGEREF _Toc374350000 \h </w:instrText>
      </w:r>
      <w:r>
        <w:rPr>
          <w:noProof/>
        </w:rPr>
      </w:r>
      <w:r>
        <w:rPr>
          <w:noProof/>
        </w:rPr>
        <w:fldChar w:fldCharType="separate"/>
      </w:r>
      <w:r w:rsidR="00E862AC">
        <w:rPr>
          <w:noProof/>
        </w:rPr>
        <w:t>33</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7.1:</w:t>
      </w:r>
      <w:r w:rsidR="009F5F1B">
        <w:rPr>
          <w:noProof/>
        </w:rPr>
        <w:t xml:space="preserve"> </w:t>
      </w:r>
      <w:r>
        <w:rPr>
          <w:noProof/>
        </w:rPr>
        <w:t>Composition of defence and public order and safety expenses in 2012-13</w:t>
      </w:r>
      <w:r>
        <w:rPr>
          <w:noProof/>
        </w:rPr>
        <w:tab/>
      </w:r>
      <w:r>
        <w:rPr>
          <w:noProof/>
        </w:rPr>
        <w:fldChar w:fldCharType="begin"/>
      </w:r>
      <w:r>
        <w:rPr>
          <w:noProof/>
        </w:rPr>
        <w:instrText xml:space="preserve"> PAGEREF _Toc374350001 \h </w:instrText>
      </w:r>
      <w:r>
        <w:rPr>
          <w:noProof/>
        </w:rPr>
      </w:r>
      <w:r>
        <w:rPr>
          <w:noProof/>
        </w:rPr>
        <w:fldChar w:fldCharType="separate"/>
      </w:r>
      <w:r w:rsidR="00E862AC">
        <w:rPr>
          <w:noProof/>
        </w:rPr>
        <w:t>35</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7.2:</w:t>
      </w:r>
      <w:r w:rsidR="009F5F1B">
        <w:rPr>
          <w:noProof/>
        </w:rPr>
        <w:t xml:space="preserve"> </w:t>
      </w:r>
      <w:r>
        <w:rPr>
          <w:noProof/>
        </w:rPr>
        <w:t>Contributions to growth in defence and public order and safety expenses</w:t>
      </w:r>
      <w:r>
        <w:rPr>
          <w:noProof/>
        </w:rPr>
        <w:tab/>
      </w:r>
      <w:r>
        <w:rPr>
          <w:noProof/>
        </w:rPr>
        <w:fldChar w:fldCharType="begin"/>
      </w:r>
      <w:r>
        <w:rPr>
          <w:noProof/>
        </w:rPr>
        <w:instrText xml:space="preserve"> PAGEREF _Toc374350002 \h </w:instrText>
      </w:r>
      <w:r>
        <w:rPr>
          <w:noProof/>
        </w:rPr>
      </w:r>
      <w:r>
        <w:rPr>
          <w:noProof/>
        </w:rPr>
        <w:fldChar w:fldCharType="separate"/>
      </w:r>
      <w:r w:rsidR="00E862AC">
        <w:rPr>
          <w:noProof/>
        </w:rPr>
        <w:t>36</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7.3:</w:t>
      </w:r>
      <w:r w:rsidR="009F5F1B">
        <w:rPr>
          <w:noProof/>
        </w:rPr>
        <w:t xml:space="preserve"> </w:t>
      </w:r>
      <w:r>
        <w:rPr>
          <w:noProof/>
        </w:rPr>
        <w:t>Cumulative growth in total defence spending</w:t>
      </w:r>
      <w:r>
        <w:rPr>
          <w:noProof/>
        </w:rPr>
        <w:tab/>
      </w:r>
      <w:r>
        <w:rPr>
          <w:noProof/>
        </w:rPr>
        <w:fldChar w:fldCharType="begin"/>
      </w:r>
      <w:r>
        <w:rPr>
          <w:noProof/>
        </w:rPr>
        <w:instrText xml:space="preserve"> PAGEREF _Toc374350003 \h </w:instrText>
      </w:r>
      <w:r>
        <w:rPr>
          <w:noProof/>
        </w:rPr>
      </w:r>
      <w:r>
        <w:rPr>
          <w:noProof/>
        </w:rPr>
        <w:fldChar w:fldCharType="separate"/>
      </w:r>
      <w:r w:rsidR="00E862AC">
        <w:rPr>
          <w:noProof/>
        </w:rPr>
        <w:t>38</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8.1:</w:t>
      </w:r>
      <w:r w:rsidR="009F5F1B">
        <w:rPr>
          <w:noProof/>
        </w:rPr>
        <w:t xml:space="preserve"> </w:t>
      </w:r>
      <w:r>
        <w:rPr>
          <w:noProof/>
        </w:rPr>
        <w:t>Composition of industry and economic affairs expenses in 2012-13</w:t>
      </w:r>
      <w:r>
        <w:rPr>
          <w:noProof/>
        </w:rPr>
        <w:tab/>
      </w:r>
      <w:r>
        <w:rPr>
          <w:noProof/>
        </w:rPr>
        <w:fldChar w:fldCharType="begin"/>
      </w:r>
      <w:r>
        <w:rPr>
          <w:noProof/>
        </w:rPr>
        <w:instrText xml:space="preserve"> PAGEREF _Toc374350004 \h </w:instrText>
      </w:r>
      <w:r>
        <w:rPr>
          <w:noProof/>
        </w:rPr>
      </w:r>
      <w:r>
        <w:rPr>
          <w:noProof/>
        </w:rPr>
        <w:fldChar w:fldCharType="separate"/>
      </w:r>
      <w:r w:rsidR="00E862AC">
        <w:rPr>
          <w:noProof/>
        </w:rPr>
        <w:t>40</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lastRenderedPageBreak/>
        <w:t>Figure 8.2:</w:t>
      </w:r>
      <w:r w:rsidR="009F5F1B">
        <w:rPr>
          <w:noProof/>
        </w:rPr>
        <w:t xml:space="preserve"> </w:t>
      </w:r>
      <w:r>
        <w:rPr>
          <w:noProof/>
        </w:rPr>
        <w:t>Contributions to growth in industry and economic affairs expenses</w:t>
      </w:r>
      <w:r>
        <w:rPr>
          <w:noProof/>
        </w:rPr>
        <w:tab/>
      </w:r>
      <w:r>
        <w:rPr>
          <w:noProof/>
        </w:rPr>
        <w:fldChar w:fldCharType="begin"/>
      </w:r>
      <w:r>
        <w:rPr>
          <w:noProof/>
        </w:rPr>
        <w:instrText xml:space="preserve"> PAGEREF _Toc374350005 \h </w:instrText>
      </w:r>
      <w:r>
        <w:rPr>
          <w:noProof/>
        </w:rPr>
      </w:r>
      <w:r>
        <w:rPr>
          <w:noProof/>
        </w:rPr>
        <w:fldChar w:fldCharType="separate"/>
      </w:r>
      <w:r w:rsidR="00E862AC">
        <w:rPr>
          <w:noProof/>
        </w:rPr>
        <w:t>42</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9.1:</w:t>
      </w:r>
      <w:r w:rsidR="009F5F1B">
        <w:rPr>
          <w:noProof/>
        </w:rPr>
        <w:t xml:space="preserve"> </w:t>
      </w:r>
      <w:r>
        <w:rPr>
          <w:noProof/>
        </w:rPr>
        <w:t>Composition of community amenities and infrastructure expenses in 2012-13</w:t>
      </w:r>
      <w:r>
        <w:rPr>
          <w:noProof/>
        </w:rPr>
        <w:tab/>
      </w:r>
      <w:r>
        <w:rPr>
          <w:noProof/>
        </w:rPr>
        <w:fldChar w:fldCharType="begin"/>
      </w:r>
      <w:r>
        <w:rPr>
          <w:noProof/>
        </w:rPr>
        <w:instrText xml:space="preserve"> PAGEREF _Toc374350006 \h </w:instrText>
      </w:r>
      <w:r>
        <w:rPr>
          <w:noProof/>
        </w:rPr>
      </w:r>
      <w:r>
        <w:rPr>
          <w:noProof/>
        </w:rPr>
        <w:fldChar w:fldCharType="separate"/>
      </w:r>
      <w:r w:rsidR="00E862AC">
        <w:rPr>
          <w:noProof/>
        </w:rPr>
        <w:t>45</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9.2:</w:t>
      </w:r>
      <w:r w:rsidR="009F5F1B">
        <w:rPr>
          <w:noProof/>
        </w:rPr>
        <w:t xml:space="preserve"> </w:t>
      </w:r>
      <w:r>
        <w:rPr>
          <w:noProof/>
        </w:rPr>
        <w:t>Contributions to growth in community amenities and infrastructure expenses</w:t>
      </w:r>
      <w:r>
        <w:rPr>
          <w:noProof/>
        </w:rPr>
        <w:tab/>
      </w:r>
      <w:r>
        <w:rPr>
          <w:noProof/>
        </w:rPr>
        <w:fldChar w:fldCharType="begin"/>
      </w:r>
      <w:r>
        <w:rPr>
          <w:noProof/>
        </w:rPr>
        <w:instrText xml:space="preserve"> PAGEREF _Toc374350007 \h </w:instrText>
      </w:r>
      <w:r>
        <w:rPr>
          <w:noProof/>
        </w:rPr>
      </w:r>
      <w:r>
        <w:rPr>
          <w:noProof/>
        </w:rPr>
        <w:fldChar w:fldCharType="separate"/>
      </w:r>
      <w:r w:rsidR="00E862AC">
        <w:rPr>
          <w:noProof/>
        </w:rPr>
        <w:t>46</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10.1</w:t>
      </w:r>
      <w:r w:rsidR="009F5F1B">
        <w:rPr>
          <w:noProof/>
        </w:rPr>
        <w:t xml:space="preserve"> </w:t>
      </w:r>
      <w:r>
        <w:rPr>
          <w:noProof/>
        </w:rPr>
        <w:t>Net capital investment (2012-13 dollars)</w:t>
      </w:r>
      <w:r>
        <w:rPr>
          <w:noProof/>
        </w:rPr>
        <w:tab/>
      </w:r>
      <w:r>
        <w:rPr>
          <w:noProof/>
        </w:rPr>
        <w:fldChar w:fldCharType="begin"/>
      </w:r>
      <w:r>
        <w:rPr>
          <w:noProof/>
        </w:rPr>
        <w:instrText xml:space="preserve"> PAGEREF _Toc374350008 \h </w:instrText>
      </w:r>
      <w:r>
        <w:rPr>
          <w:noProof/>
        </w:rPr>
      </w:r>
      <w:r>
        <w:rPr>
          <w:noProof/>
        </w:rPr>
        <w:fldChar w:fldCharType="separate"/>
      </w:r>
      <w:r w:rsidR="00E862AC">
        <w:rPr>
          <w:noProof/>
        </w:rPr>
        <w:t>51</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11.1:</w:t>
      </w:r>
      <w:r w:rsidR="009F5F1B">
        <w:rPr>
          <w:noProof/>
        </w:rPr>
        <w:t xml:space="preserve"> </w:t>
      </w:r>
      <w:r>
        <w:rPr>
          <w:noProof/>
        </w:rPr>
        <w:t>Composition of funding to States in 2012-13</w:t>
      </w:r>
      <w:r>
        <w:rPr>
          <w:noProof/>
        </w:rPr>
        <w:tab/>
      </w:r>
      <w:r>
        <w:rPr>
          <w:noProof/>
        </w:rPr>
        <w:fldChar w:fldCharType="begin"/>
      </w:r>
      <w:r>
        <w:rPr>
          <w:noProof/>
        </w:rPr>
        <w:instrText xml:space="preserve"> PAGEREF _Toc374350009 \h </w:instrText>
      </w:r>
      <w:r>
        <w:rPr>
          <w:noProof/>
        </w:rPr>
      </w:r>
      <w:r>
        <w:rPr>
          <w:noProof/>
        </w:rPr>
        <w:fldChar w:fldCharType="separate"/>
      </w:r>
      <w:r w:rsidR="00E862AC">
        <w:rPr>
          <w:noProof/>
        </w:rPr>
        <w:t>53</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11.2:</w:t>
      </w:r>
      <w:r w:rsidR="009F5F1B">
        <w:rPr>
          <w:noProof/>
        </w:rPr>
        <w:t xml:space="preserve"> </w:t>
      </w:r>
      <w:r>
        <w:rPr>
          <w:noProof/>
        </w:rPr>
        <w:t>Growth in funding to States compared to Commonwealth own-purpose spending</w:t>
      </w:r>
      <w:r>
        <w:rPr>
          <w:noProof/>
        </w:rPr>
        <w:tab/>
      </w:r>
      <w:r>
        <w:rPr>
          <w:noProof/>
        </w:rPr>
        <w:fldChar w:fldCharType="begin"/>
      </w:r>
      <w:r>
        <w:rPr>
          <w:noProof/>
        </w:rPr>
        <w:instrText xml:space="preserve"> PAGEREF _Toc374350010 \h </w:instrText>
      </w:r>
      <w:r>
        <w:rPr>
          <w:noProof/>
        </w:rPr>
      </w:r>
      <w:r>
        <w:rPr>
          <w:noProof/>
        </w:rPr>
        <w:fldChar w:fldCharType="separate"/>
      </w:r>
      <w:r w:rsidR="00E862AC">
        <w:rPr>
          <w:noProof/>
        </w:rPr>
        <w:t>54</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11.3:</w:t>
      </w:r>
      <w:r w:rsidR="009F5F1B">
        <w:rPr>
          <w:noProof/>
        </w:rPr>
        <w:t xml:space="preserve"> </w:t>
      </w:r>
      <w:r>
        <w:rPr>
          <w:noProof/>
        </w:rPr>
        <w:t>Growth in funding to States</w:t>
      </w:r>
      <w:r>
        <w:rPr>
          <w:noProof/>
        </w:rPr>
        <w:tab/>
      </w:r>
      <w:r>
        <w:rPr>
          <w:noProof/>
        </w:rPr>
        <w:fldChar w:fldCharType="begin"/>
      </w:r>
      <w:r>
        <w:rPr>
          <w:noProof/>
        </w:rPr>
        <w:instrText xml:space="preserve"> PAGEREF _Toc374350011 \h </w:instrText>
      </w:r>
      <w:r>
        <w:rPr>
          <w:noProof/>
        </w:rPr>
      </w:r>
      <w:r>
        <w:rPr>
          <w:noProof/>
        </w:rPr>
        <w:fldChar w:fldCharType="separate"/>
      </w:r>
      <w:r w:rsidR="00E862AC">
        <w:rPr>
          <w:noProof/>
        </w:rPr>
        <w:t>55</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Figure 11.4:</w:t>
      </w:r>
      <w:r w:rsidR="009F5F1B">
        <w:rPr>
          <w:noProof/>
        </w:rPr>
        <w:t xml:space="preserve"> </w:t>
      </w:r>
      <w:r>
        <w:rPr>
          <w:noProof/>
        </w:rPr>
        <w:t>Composition of funding to States</w:t>
      </w:r>
      <w:r>
        <w:rPr>
          <w:noProof/>
        </w:rPr>
        <w:tab/>
      </w:r>
      <w:r>
        <w:rPr>
          <w:noProof/>
        </w:rPr>
        <w:fldChar w:fldCharType="begin"/>
      </w:r>
      <w:r>
        <w:rPr>
          <w:noProof/>
        </w:rPr>
        <w:instrText xml:space="preserve"> PAGEREF _Toc374350012 \h </w:instrText>
      </w:r>
      <w:r>
        <w:rPr>
          <w:noProof/>
        </w:rPr>
      </w:r>
      <w:r>
        <w:rPr>
          <w:noProof/>
        </w:rPr>
        <w:fldChar w:fldCharType="separate"/>
      </w:r>
      <w:r w:rsidR="00E862AC">
        <w:rPr>
          <w:noProof/>
        </w:rPr>
        <w:t>56</w:t>
      </w:r>
      <w:r>
        <w:rPr>
          <w:noProof/>
        </w:rPr>
        <w:fldChar w:fldCharType="end"/>
      </w:r>
    </w:p>
    <w:p w:rsidR="00B40632" w:rsidRDefault="00F60F7A" w:rsidP="00462F41">
      <w:pPr>
        <w:pStyle w:val="Heading20"/>
      </w:pPr>
      <w:r>
        <w:fldChar w:fldCharType="end"/>
      </w:r>
      <w:r w:rsidR="00B40632">
        <w:t>Tables</w:t>
      </w:r>
      <w:bookmarkStart w:id="271" w:name="_GoBack"/>
      <w:bookmarkEnd w:id="271"/>
    </w:p>
    <w:p w:rsidR="00462F41" w:rsidRDefault="00462F41" w:rsidP="001B2F44">
      <w:pPr>
        <w:pStyle w:val="TOC1"/>
        <w:rPr>
          <w:rFonts w:asciiTheme="minorHAnsi" w:eastAsiaTheme="minorEastAsia" w:hAnsiTheme="minorHAnsi" w:cstheme="minorBidi"/>
          <w:noProof/>
          <w:sz w:val="22"/>
          <w:szCs w:val="22"/>
        </w:rPr>
      </w:pPr>
      <w:r>
        <w:fldChar w:fldCharType="begin"/>
      </w:r>
      <w:r>
        <w:instrText xml:space="preserve"> TOC \t "PBO figure/table heading,1" </w:instrText>
      </w:r>
      <w:r>
        <w:fldChar w:fldCharType="separate"/>
      </w:r>
      <w:r>
        <w:rPr>
          <w:noProof/>
        </w:rPr>
        <w:t>Table 1.1:</w:t>
      </w:r>
      <w:r w:rsidR="009F5F1B">
        <w:rPr>
          <w:noProof/>
        </w:rPr>
        <w:t xml:space="preserve"> </w:t>
      </w:r>
      <w:r>
        <w:rPr>
          <w:noProof/>
        </w:rPr>
        <w:t>Summary of drivers of government spending</w:t>
      </w:r>
      <w:r>
        <w:rPr>
          <w:noProof/>
        </w:rPr>
        <w:tab/>
      </w:r>
      <w:r>
        <w:rPr>
          <w:noProof/>
        </w:rPr>
        <w:fldChar w:fldCharType="begin"/>
      </w:r>
      <w:r>
        <w:rPr>
          <w:noProof/>
        </w:rPr>
        <w:instrText xml:space="preserve"> PAGEREF _Toc374350034 \h </w:instrText>
      </w:r>
      <w:r>
        <w:rPr>
          <w:noProof/>
        </w:rPr>
      </w:r>
      <w:r>
        <w:rPr>
          <w:noProof/>
        </w:rPr>
        <w:fldChar w:fldCharType="separate"/>
      </w:r>
      <w:r w:rsidR="00E862AC">
        <w:rPr>
          <w:noProof/>
        </w:rPr>
        <w:t>7</w:t>
      </w:r>
      <w:r>
        <w:rPr>
          <w:noProof/>
        </w:rPr>
        <w:fldChar w:fldCharType="end"/>
      </w:r>
    </w:p>
    <w:p w:rsidR="0096545F" w:rsidRDefault="0096545F" w:rsidP="001B2F44">
      <w:pPr>
        <w:pStyle w:val="TOC1"/>
        <w:rPr>
          <w:rFonts w:asciiTheme="minorHAnsi" w:eastAsiaTheme="minorEastAsia" w:hAnsiTheme="minorHAnsi" w:cstheme="minorBidi"/>
          <w:noProof/>
          <w:sz w:val="22"/>
          <w:szCs w:val="22"/>
        </w:rPr>
      </w:pPr>
      <w:r>
        <w:rPr>
          <w:noProof/>
        </w:rPr>
        <w:t>Table 1.2:</w:t>
      </w:r>
      <w:r w:rsidR="009F5F1B">
        <w:rPr>
          <w:noProof/>
        </w:rPr>
        <w:t xml:space="preserve"> </w:t>
      </w:r>
      <w:r>
        <w:rPr>
          <w:noProof/>
        </w:rPr>
        <w:t>Major contributors to government spending, by program</w:t>
      </w:r>
      <w:r>
        <w:rPr>
          <w:noProof/>
        </w:rPr>
        <w:tab/>
      </w:r>
      <w:r>
        <w:rPr>
          <w:noProof/>
        </w:rPr>
        <w:fldChar w:fldCharType="begin"/>
      </w:r>
      <w:r>
        <w:rPr>
          <w:noProof/>
        </w:rPr>
        <w:instrText xml:space="preserve"> PAGEREF _Toc374349987 \h </w:instrText>
      </w:r>
      <w:r>
        <w:rPr>
          <w:noProof/>
        </w:rPr>
      </w:r>
      <w:r>
        <w:rPr>
          <w:noProof/>
        </w:rPr>
        <w:fldChar w:fldCharType="separate"/>
      </w:r>
      <w:r w:rsidR="00E862AC">
        <w:rPr>
          <w:noProof/>
        </w:rPr>
        <w:t>8</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Table 2.1:</w:t>
      </w:r>
      <w:r w:rsidR="009F5F1B">
        <w:rPr>
          <w:noProof/>
        </w:rPr>
        <w:t xml:space="preserve"> </w:t>
      </w:r>
      <w:r>
        <w:rPr>
          <w:noProof/>
        </w:rPr>
        <w:t>Summary of social security and welfare expenses trends</w:t>
      </w:r>
      <w:r>
        <w:rPr>
          <w:noProof/>
        </w:rPr>
        <w:tab/>
      </w:r>
      <w:r>
        <w:rPr>
          <w:noProof/>
        </w:rPr>
        <w:fldChar w:fldCharType="begin"/>
      </w:r>
      <w:r>
        <w:rPr>
          <w:noProof/>
        </w:rPr>
        <w:instrText xml:space="preserve"> PAGEREF _Toc374350035 \h </w:instrText>
      </w:r>
      <w:r>
        <w:rPr>
          <w:noProof/>
        </w:rPr>
      </w:r>
      <w:r>
        <w:rPr>
          <w:noProof/>
        </w:rPr>
        <w:fldChar w:fldCharType="separate"/>
      </w:r>
      <w:r w:rsidR="00E862AC">
        <w:rPr>
          <w:noProof/>
        </w:rPr>
        <w:t>12</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Table 3.1:</w:t>
      </w:r>
      <w:r w:rsidR="009F5F1B">
        <w:rPr>
          <w:noProof/>
        </w:rPr>
        <w:t xml:space="preserve"> </w:t>
      </w:r>
      <w:r>
        <w:rPr>
          <w:noProof/>
        </w:rPr>
        <w:t>Summary of other purposes expenses trends</w:t>
      </w:r>
      <w:r>
        <w:rPr>
          <w:noProof/>
        </w:rPr>
        <w:tab/>
      </w:r>
      <w:r>
        <w:rPr>
          <w:noProof/>
        </w:rPr>
        <w:fldChar w:fldCharType="begin"/>
      </w:r>
      <w:r>
        <w:rPr>
          <w:noProof/>
        </w:rPr>
        <w:instrText xml:space="preserve"> PAGEREF _Toc374350036 \h </w:instrText>
      </w:r>
      <w:r>
        <w:rPr>
          <w:noProof/>
        </w:rPr>
      </w:r>
      <w:r>
        <w:rPr>
          <w:noProof/>
        </w:rPr>
        <w:fldChar w:fldCharType="separate"/>
      </w:r>
      <w:r w:rsidR="00E862AC">
        <w:rPr>
          <w:noProof/>
        </w:rPr>
        <w:t>18</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Table 4.1:</w:t>
      </w:r>
      <w:r w:rsidR="009F5F1B">
        <w:rPr>
          <w:noProof/>
        </w:rPr>
        <w:t xml:space="preserve"> </w:t>
      </w:r>
      <w:r>
        <w:rPr>
          <w:noProof/>
        </w:rPr>
        <w:t>Summary of health expenses trends</w:t>
      </w:r>
      <w:r>
        <w:rPr>
          <w:noProof/>
        </w:rPr>
        <w:tab/>
      </w:r>
      <w:r>
        <w:rPr>
          <w:noProof/>
        </w:rPr>
        <w:fldChar w:fldCharType="begin"/>
      </w:r>
      <w:r>
        <w:rPr>
          <w:noProof/>
        </w:rPr>
        <w:instrText xml:space="preserve"> PAGEREF _Toc374350037 \h </w:instrText>
      </w:r>
      <w:r>
        <w:rPr>
          <w:noProof/>
        </w:rPr>
      </w:r>
      <w:r>
        <w:rPr>
          <w:noProof/>
        </w:rPr>
        <w:fldChar w:fldCharType="separate"/>
      </w:r>
      <w:r w:rsidR="00E862AC">
        <w:rPr>
          <w:noProof/>
        </w:rPr>
        <w:t>22</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Table 5.1:</w:t>
      </w:r>
      <w:r w:rsidR="009F5F1B">
        <w:rPr>
          <w:noProof/>
        </w:rPr>
        <w:t xml:space="preserve"> </w:t>
      </w:r>
      <w:r>
        <w:rPr>
          <w:noProof/>
        </w:rPr>
        <w:t>Summary of education expenses trends</w:t>
      </w:r>
      <w:r>
        <w:rPr>
          <w:noProof/>
        </w:rPr>
        <w:tab/>
      </w:r>
      <w:r>
        <w:rPr>
          <w:noProof/>
        </w:rPr>
        <w:fldChar w:fldCharType="begin"/>
      </w:r>
      <w:r>
        <w:rPr>
          <w:noProof/>
        </w:rPr>
        <w:instrText xml:space="preserve"> PAGEREF _Toc374350038 \h </w:instrText>
      </w:r>
      <w:r>
        <w:rPr>
          <w:noProof/>
        </w:rPr>
      </w:r>
      <w:r>
        <w:rPr>
          <w:noProof/>
        </w:rPr>
        <w:fldChar w:fldCharType="separate"/>
      </w:r>
      <w:r w:rsidR="00E862AC">
        <w:rPr>
          <w:noProof/>
        </w:rPr>
        <w:t>27</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Table 6.1:</w:t>
      </w:r>
      <w:r w:rsidR="009F5F1B">
        <w:rPr>
          <w:noProof/>
        </w:rPr>
        <w:t xml:space="preserve"> </w:t>
      </w:r>
      <w:r>
        <w:rPr>
          <w:noProof/>
        </w:rPr>
        <w:t>Summary of general public services expenses trends</w:t>
      </w:r>
      <w:r>
        <w:rPr>
          <w:noProof/>
        </w:rPr>
        <w:tab/>
      </w:r>
      <w:r>
        <w:rPr>
          <w:noProof/>
        </w:rPr>
        <w:fldChar w:fldCharType="begin"/>
      </w:r>
      <w:r>
        <w:rPr>
          <w:noProof/>
        </w:rPr>
        <w:instrText xml:space="preserve"> PAGEREF _Toc374350039 \h </w:instrText>
      </w:r>
      <w:r>
        <w:rPr>
          <w:noProof/>
        </w:rPr>
      </w:r>
      <w:r>
        <w:rPr>
          <w:noProof/>
        </w:rPr>
        <w:fldChar w:fldCharType="separate"/>
      </w:r>
      <w:r w:rsidR="00E862AC">
        <w:rPr>
          <w:noProof/>
        </w:rPr>
        <w:t>32</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Table 7.1:</w:t>
      </w:r>
      <w:r w:rsidR="009F5F1B">
        <w:rPr>
          <w:noProof/>
        </w:rPr>
        <w:t xml:space="preserve"> </w:t>
      </w:r>
      <w:r>
        <w:rPr>
          <w:noProof/>
        </w:rPr>
        <w:t>Summary of defence and public order and safety expenses trends</w:t>
      </w:r>
      <w:r>
        <w:rPr>
          <w:noProof/>
        </w:rPr>
        <w:tab/>
      </w:r>
      <w:r>
        <w:rPr>
          <w:noProof/>
        </w:rPr>
        <w:fldChar w:fldCharType="begin"/>
      </w:r>
      <w:r>
        <w:rPr>
          <w:noProof/>
        </w:rPr>
        <w:instrText xml:space="preserve"> PAGEREF _Toc374350040 \h </w:instrText>
      </w:r>
      <w:r>
        <w:rPr>
          <w:noProof/>
        </w:rPr>
      </w:r>
      <w:r>
        <w:rPr>
          <w:noProof/>
        </w:rPr>
        <w:fldChar w:fldCharType="separate"/>
      </w:r>
      <w:r w:rsidR="00E862AC">
        <w:rPr>
          <w:noProof/>
        </w:rPr>
        <w:t>36</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Table 8.1:</w:t>
      </w:r>
      <w:r w:rsidR="009F5F1B">
        <w:rPr>
          <w:noProof/>
        </w:rPr>
        <w:t xml:space="preserve"> </w:t>
      </w:r>
      <w:r>
        <w:rPr>
          <w:noProof/>
        </w:rPr>
        <w:t>Summary of industry and economic affairs expenses trends</w:t>
      </w:r>
      <w:r>
        <w:rPr>
          <w:noProof/>
        </w:rPr>
        <w:tab/>
      </w:r>
      <w:r>
        <w:rPr>
          <w:noProof/>
        </w:rPr>
        <w:fldChar w:fldCharType="begin"/>
      </w:r>
      <w:r>
        <w:rPr>
          <w:noProof/>
        </w:rPr>
        <w:instrText xml:space="preserve"> PAGEREF _Toc374350041 \h </w:instrText>
      </w:r>
      <w:r>
        <w:rPr>
          <w:noProof/>
        </w:rPr>
      </w:r>
      <w:r>
        <w:rPr>
          <w:noProof/>
        </w:rPr>
        <w:fldChar w:fldCharType="separate"/>
      </w:r>
      <w:r w:rsidR="00E862AC">
        <w:rPr>
          <w:noProof/>
        </w:rPr>
        <w:t>42</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Table 9.1:</w:t>
      </w:r>
      <w:r w:rsidR="009F5F1B">
        <w:rPr>
          <w:noProof/>
        </w:rPr>
        <w:t xml:space="preserve"> </w:t>
      </w:r>
      <w:r>
        <w:rPr>
          <w:noProof/>
        </w:rPr>
        <w:t>Summary of community amenities and infrastructure expenses trends</w:t>
      </w:r>
      <w:r>
        <w:rPr>
          <w:noProof/>
        </w:rPr>
        <w:tab/>
      </w:r>
      <w:r>
        <w:rPr>
          <w:noProof/>
        </w:rPr>
        <w:fldChar w:fldCharType="begin"/>
      </w:r>
      <w:r>
        <w:rPr>
          <w:noProof/>
        </w:rPr>
        <w:instrText xml:space="preserve"> PAGEREF _Toc374350042 \h </w:instrText>
      </w:r>
      <w:r>
        <w:rPr>
          <w:noProof/>
        </w:rPr>
      </w:r>
      <w:r>
        <w:rPr>
          <w:noProof/>
        </w:rPr>
        <w:fldChar w:fldCharType="separate"/>
      </w:r>
      <w:r w:rsidR="00E862AC">
        <w:rPr>
          <w:noProof/>
        </w:rPr>
        <w:t>47</w:t>
      </w:r>
      <w:r>
        <w:rPr>
          <w:noProof/>
        </w:rPr>
        <w:fldChar w:fldCharType="end"/>
      </w:r>
    </w:p>
    <w:p w:rsidR="00462F41" w:rsidRDefault="00462F41" w:rsidP="001B2F44">
      <w:pPr>
        <w:pStyle w:val="TOC1"/>
        <w:rPr>
          <w:rFonts w:asciiTheme="minorHAnsi" w:eastAsiaTheme="minorEastAsia" w:hAnsiTheme="minorHAnsi" w:cstheme="minorBidi"/>
          <w:noProof/>
          <w:sz w:val="22"/>
          <w:szCs w:val="22"/>
        </w:rPr>
      </w:pPr>
      <w:r>
        <w:rPr>
          <w:noProof/>
        </w:rPr>
        <w:t>Table C.1:</w:t>
      </w:r>
      <w:r w:rsidR="009F5F1B">
        <w:rPr>
          <w:noProof/>
        </w:rPr>
        <w:t xml:space="preserve"> </w:t>
      </w:r>
      <w:r>
        <w:rPr>
          <w:noProof/>
        </w:rPr>
        <w:t>Summary of fiscal stimulus spending</w:t>
      </w:r>
      <w:r>
        <w:rPr>
          <w:noProof/>
        </w:rPr>
        <w:tab/>
      </w:r>
      <w:r>
        <w:rPr>
          <w:noProof/>
        </w:rPr>
        <w:fldChar w:fldCharType="begin"/>
      </w:r>
      <w:r>
        <w:rPr>
          <w:noProof/>
        </w:rPr>
        <w:instrText xml:space="preserve"> PAGEREF _Toc374350043 \h </w:instrText>
      </w:r>
      <w:r>
        <w:rPr>
          <w:noProof/>
        </w:rPr>
      </w:r>
      <w:r>
        <w:rPr>
          <w:noProof/>
        </w:rPr>
        <w:fldChar w:fldCharType="separate"/>
      </w:r>
      <w:r w:rsidR="00E862AC">
        <w:rPr>
          <w:noProof/>
        </w:rPr>
        <w:t>69</w:t>
      </w:r>
      <w:r>
        <w:rPr>
          <w:noProof/>
        </w:rPr>
        <w:fldChar w:fldCharType="end"/>
      </w:r>
    </w:p>
    <w:p w:rsidR="00462F41" w:rsidRDefault="00462F41" w:rsidP="00F66A91">
      <w:pPr>
        <w:spacing w:line="360" w:lineRule="auto"/>
      </w:pPr>
      <w:r>
        <w:fldChar w:fldCharType="end"/>
      </w:r>
    </w:p>
    <w:p w:rsidR="00CD3FCD" w:rsidRDefault="00CD3FCD" w:rsidP="00CD3FCD">
      <w:pPr>
        <w:pStyle w:val="PBOtext"/>
        <w:sectPr w:rsidR="00CD3FCD" w:rsidSect="0099638E">
          <w:footerReference w:type="default" r:id="rId77"/>
          <w:footerReference w:type="first" r:id="rId78"/>
          <w:pgSz w:w="11900" w:h="16840"/>
          <w:pgMar w:top="1440" w:right="1797" w:bottom="1440" w:left="1797" w:header="709" w:footer="709" w:gutter="0"/>
          <w:cols w:space="708"/>
          <w:titlePg/>
          <w:docGrid w:linePitch="326"/>
        </w:sectPr>
      </w:pPr>
    </w:p>
    <w:p w:rsidR="00E14DAC" w:rsidRDefault="00E14DAC" w:rsidP="003D676E">
      <w:pPr>
        <w:pStyle w:val="Heading1"/>
        <w:numPr>
          <w:ilvl w:val="0"/>
          <w:numId w:val="45"/>
        </w:numPr>
        <w:ind w:left="709" w:hanging="709"/>
      </w:pPr>
      <w:bookmarkStart w:id="272" w:name="_Attachment_A_Technical"/>
      <w:bookmarkStart w:id="273" w:name="_Toc372697989"/>
      <w:bookmarkStart w:id="274" w:name="_Toc373778502"/>
      <w:bookmarkStart w:id="275" w:name="_Toc374182876"/>
      <w:bookmarkStart w:id="276" w:name="_Toc374349472"/>
      <w:bookmarkEnd w:id="272"/>
      <w:r>
        <w:lastRenderedPageBreak/>
        <w:t>Technical notes</w:t>
      </w:r>
      <w:bookmarkEnd w:id="273"/>
      <w:bookmarkEnd w:id="274"/>
      <w:bookmarkEnd w:id="275"/>
      <w:bookmarkEnd w:id="276"/>
    </w:p>
    <w:p w:rsidR="00E14DAC" w:rsidRDefault="00E14DAC" w:rsidP="00E14DAC">
      <w:pPr>
        <w:pStyle w:val="Heading20"/>
      </w:pPr>
      <w:bookmarkStart w:id="277" w:name="_Toc372697990"/>
      <w:r>
        <w:t>Growth rates versus proportion of GDP</w:t>
      </w:r>
      <w:bookmarkEnd w:id="277"/>
    </w:p>
    <w:p w:rsidR="00E14DAC" w:rsidRPr="004E31A2" w:rsidRDefault="00E14DAC" w:rsidP="00E14DAC">
      <w:r>
        <w:t xml:space="preserve">Government spending trends are sometimes presented as a proportion of nominal GDP to show the </w:t>
      </w:r>
      <w:r w:rsidRPr="004E31A2">
        <w:t xml:space="preserve">change in government involvement in economic activity.  </w:t>
      </w:r>
      <w:r w:rsidR="006F3548" w:rsidRPr="004E31A2">
        <w:t xml:space="preserve">On this basis, </w:t>
      </w:r>
      <w:r w:rsidR="008E30DB" w:rsidRPr="004E31A2">
        <w:t xml:space="preserve">nominal </w:t>
      </w:r>
      <w:r w:rsidR="006F3548" w:rsidRPr="004E31A2">
        <w:t xml:space="preserve">spending as a proportion of </w:t>
      </w:r>
      <w:r w:rsidR="008E30DB" w:rsidRPr="004E31A2">
        <w:t xml:space="preserve">nominal </w:t>
      </w:r>
      <w:r w:rsidR="006F3548" w:rsidRPr="004E31A2">
        <w:t>GDP fell from 25.2</w:t>
      </w:r>
      <w:r w:rsidR="00674688" w:rsidRPr="004E31A2">
        <w:t> </w:t>
      </w:r>
      <w:r w:rsidR="006F3548" w:rsidRPr="004E31A2">
        <w:t>per</w:t>
      </w:r>
      <w:r w:rsidR="00674688" w:rsidRPr="004E31A2">
        <w:t> </w:t>
      </w:r>
      <w:r w:rsidR="006F3548" w:rsidRPr="004E31A2">
        <w:t>cent in 2002-03 to 24.0</w:t>
      </w:r>
      <w:r w:rsidR="00674688" w:rsidRPr="004E31A2">
        <w:t> </w:t>
      </w:r>
      <w:r w:rsidR="006F3548" w:rsidRPr="004E31A2">
        <w:t>per</w:t>
      </w:r>
      <w:r w:rsidR="00674688" w:rsidRPr="004E31A2">
        <w:t> </w:t>
      </w:r>
      <w:r w:rsidR="006F3548" w:rsidRPr="004E31A2">
        <w:t>cent in 2007</w:t>
      </w:r>
      <w:r w:rsidR="005969AC" w:rsidRPr="004E31A2">
        <w:noBreakHyphen/>
      </w:r>
      <w:r w:rsidR="006F3548" w:rsidRPr="004E31A2">
        <w:t>08 before peaking at 26.7</w:t>
      </w:r>
      <w:r w:rsidR="00674688" w:rsidRPr="004E31A2">
        <w:t> </w:t>
      </w:r>
      <w:r w:rsidR="006F3548" w:rsidRPr="004E31A2">
        <w:t>per</w:t>
      </w:r>
      <w:r w:rsidR="00674688" w:rsidRPr="004E31A2">
        <w:t> </w:t>
      </w:r>
      <w:r w:rsidR="006F3548" w:rsidRPr="004E31A2">
        <w:t>cent in 2009</w:t>
      </w:r>
      <w:r w:rsidR="005969AC" w:rsidRPr="004E31A2">
        <w:noBreakHyphen/>
      </w:r>
      <w:r w:rsidR="006F3548" w:rsidRPr="004E31A2">
        <w:t>10 and subsequently declining back to 25.2</w:t>
      </w:r>
      <w:r w:rsidR="00674688" w:rsidRPr="004E31A2">
        <w:t> </w:t>
      </w:r>
      <w:r w:rsidR="006F3548" w:rsidRPr="004E31A2">
        <w:t>per</w:t>
      </w:r>
      <w:r w:rsidR="00674688" w:rsidRPr="004E31A2">
        <w:t> </w:t>
      </w:r>
      <w:r w:rsidR="006F3548" w:rsidRPr="004E31A2">
        <w:t>cent in 2012</w:t>
      </w:r>
      <w:r w:rsidR="00674688" w:rsidRPr="004E31A2">
        <w:t>-</w:t>
      </w:r>
      <w:r w:rsidR="006F3548" w:rsidRPr="004E31A2">
        <w:t>13.</w:t>
      </w:r>
    </w:p>
    <w:p w:rsidR="00E14DAC" w:rsidRPr="004E31A2" w:rsidRDefault="00C862C5" w:rsidP="00E14DAC">
      <w:r w:rsidRPr="004E31A2">
        <w:t>The l</w:t>
      </w:r>
      <w:r w:rsidR="00E14DAC" w:rsidRPr="004E31A2">
        <w:t xml:space="preserve">arge increase in </w:t>
      </w:r>
      <w:r w:rsidR="008E30DB" w:rsidRPr="004E31A2">
        <w:t xml:space="preserve">the </w:t>
      </w:r>
      <w:r w:rsidR="005969AC" w:rsidRPr="004E31A2">
        <w:t>terms of trade from 2001</w:t>
      </w:r>
      <w:r w:rsidR="005969AC" w:rsidRPr="004E31A2">
        <w:noBreakHyphen/>
      </w:r>
      <w:r w:rsidR="00E14DAC" w:rsidRPr="004E31A2">
        <w:t>02 to 2011</w:t>
      </w:r>
      <w:r w:rsidR="005969AC" w:rsidRPr="004E31A2">
        <w:noBreakHyphen/>
      </w:r>
      <w:r w:rsidR="00E14DAC" w:rsidRPr="004E31A2">
        <w:t xml:space="preserve">12 significantly boosted nominal GDP.  As discussed in the </w:t>
      </w:r>
      <w:r w:rsidR="00E14DAC" w:rsidRPr="004E31A2">
        <w:rPr>
          <w:i/>
        </w:rPr>
        <w:t>Estimates of the Structural Budget Balance of the Australian Government 2001</w:t>
      </w:r>
      <w:r w:rsidR="005969AC" w:rsidRPr="004E31A2">
        <w:noBreakHyphen/>
      </w:r>
      <w:r w:rsidR="00E14DAC" w:rsidRPr="004E31A2">
        <w:rPr>
          <w:i/>
        </w:rPr>
        <w:t>02 to 2016</w:t>
      </w:r>
      <w:r w:rsidR="005969AC" w:rsidRPr="004E31A2">
        <w:noBreakHyphen/>
      </w:r>
      <w:r w:rsidR="00E14DAC" w:rsidRPr="004E31A2">
        <w:rPr>
          <w:i/>
        </w:rPr>
        <w:t>17</w:t>
      </w:r>
      <w:r w:rsidR="00E14DAC" w:rsidRPr="004E31A2">
        <w:t xml:space="preserve"> (PBO 2013) this strong rise in the terms of trade is expected to be temporary.  It has declined from its peak and is projected to continue to decline over the medium term.  Therefore, examining spending as a ratio of nominal GDP over the period when the terms of trade rose strongly has the effect of masking</w:t>
      </w:r>
      <w:r w:rsidR="00674688" w:rsidRPr="004E31A2">
        <w:t xml:space="preserve"> underlying trends in spending.</w:t>
      </w:r>
    </w:p>
    <w:p w:rsidR="00B11C9D" w:rsidRPr="004E31A2" w:rsidRDefault="00B11C9D" w:rsidP="00B11C9D">
      <w:pPr>
        <w:pStyle w:val="PBOtext"/>
      </w:pPr>
      <w:r w:rsidRPr="004E31A2">
        <w:t>This point has been made by Daley (2013) and Laurie and McDonald (2008) who note that substantial changes in the terms of trade have eroded the effectiveness of the spending to GDP ratio as a measure of government resource use.  The analysis in these separate reports examines growth in real spending compared with growth in real GDP.  Indeed, Laurie and McDonald argue that using real rather than nominal GDP as a comparator may be a better indicator of the sustainability of government finances in the long-run.</w:t>
      </w:r>
    </w:p>
    <w:p w:rsidR="00E14DAC" w:rsidRPr="004E31A2" w:rsidRDefault="00B11C9D" w:rsidP="00E14DAC">
      <w:r w:rsidRPr="004E31A2">
        <w:t xml:space="preserve">Due to this </w:t>
      </w:r>
      <w:r w:rsidR="00E14DAC" w:rsidRPr="004E31A2">
        <w:t>distortionary effect of the strong temporary increase in the terms of trade over the period of anal</w:t>
      </w:r>
      <w:r w:rsidR="00B14C66" w:rsidRPr="004E31A2">
        <w:t xml:space="preserve">ysis, this report compares </w:t>
      </w:r>
      <w:r w:rsidR="00E14DAC" w:rsidRPr="004E31A2">
        <w:t xml:space="preserve">growth in </w:t>
      </w:r>
      <w:r w:rsidR="00B14C66" w:rsidRPr="004E31A2">
        <w:t>real</w:t>
      </w:r>
      <w:r w:rsidR="00E14DAC" w:rsidRPr="004E31A2">
        <w:t xml:space="preserve"> government spending</w:t>
      </w:r>
      <w:r w:rsidR="00B14C66" w:rsidRPr="004E31A2">
        <w:t xml:space="preserve">, which is nominal spending deflated using the </w:t>
      </w:r>
      <w:r w:rsidR="00E14DAC" w:rsidRPr="004E31A2">
        <w:t>Consumer Price Index (CPI)</w:t>
      </w:r>
      <w:r w:rsidR="00C862C5" w:rsidRPr="004E31A2">
        <w:t xml:space="preserve">.  Real government spending is compared </w:t>
      </w:r>
      <w:r w:rsidR="00E14DAC" w:rsidRPr="004E31A2">
        <w:t xml:space="preserve">with </w:t>
      </w:r>
      <w:r w:rsidR="00B14C66" w:rsidRPr="004E31A2">
        <w:t xml:space="preserve">growth in </w:t>
      </w:r>
      <w:r w:rsidR="00E14DAC" w:rsidRPr="004E31A2">
        <w:t>real GDP to examine trends in spending over time.</w:t>
      </w:r>
    </w:p>
    <w:p w:rsidR="00E14DAC" w:rsidRDefault="00E14DAC" w:rsidP="00E14DAC">
      <w:r w:rsidRPr="004E31A2">
        <w:t xml:space="preserve">Deflating government spending by the CPI is also consistent with </w:t>
      </w:r>
      <w:r w:rsidR="00C862C5" w:rsidRPr="004E31A2">
        <w:t>the b</w:t>
      </w:r>
      <w:r w:rsidRPr="004E31A2">
        <w:t>udget</w:t>
      </w:r>
      <w:r w:rsidR="00C862C5" w:rsidRPr="004E31A2">
        <w:t>’s</w:t>
      </w:r>
      <w:r w:rsidRPr="004E31A2">
        <w:t xml:space="preserve"> presentation which</w:t>
      </w:r>
      <w:r>
        <w:t xml:space="preserve"> generally uses CPI to determine real spending, rather than a measure of GDP price changes (the non</w:t>
      </w:r>
      <w:r w:rsidR="005969AC" w:rsidRPr="006B456E">
        <w:noBreakHyphen/>
      </w:r>
      <w:r>
        <w:t xml:space="preserve">farm GDP deflator).  This “provides a more accurate depiction of real government spending growth…the non-farm GDP deflator incorporates fluctuations in global commodity prices which are not relevant for Government </w:t>
      </w:r>
      <w:r w:rsidR="00981027">
        <w:t>expenditures</w:t>
      </w:r>
      <w:r>
        <w:t>…[and]…distorts trends in real spending growth”</w:t>
      </w:r>
      <w:r w:rsidR="00674688">
        <w:t xml:space="preserve"> </w:t>
      </w:r>
      <w:r>
        <w:t>(2013</w:t>
      </w:r>
      <w:r w:rsidR="00510B9C">
        <w:noBreakHyphen/>
        <w:t>14 Budget</w:t>
      </w:r>
      <w:r>
        <w:t>).</w:t>
      </w:r>
    </w:p>
    <w:p w:rsidR="00E14DAC" w:rsidRDefault="00E14DAC" w:rsidP="00A5516B">
      <w:pPr>
        <w:pStyle w:val="Heading20"/>
      </w:pPr>
      <w:r>
        <w:t>Period of analysis</w:t>
      </w:r>
    </w:p>
    <w:p w:rsidR="00E14DAC" w:rsidRDefault="00E14DAC" w:rsidP="00E14DAC">
      <w:r>
        <w:t>The period of analysis for this report is from 2002</w:t>
      </w:r>
      <w:r w:rsidR="005969AC" w:rsidRPr="006B456E">
        <w:noBreakHyphen/>
      </w:r>
      <w:r>
        <w:t>03 to 2012</w:t>
      </w:r>
      <w:r w:rsidR="005969AC" w:rsidRPr="006B456E">
        <w:noBreakHyphen/>
      </w:r>
      <w:r>
        <w:t>13.  It commences in 2002</w:t>
      </w:r>
      <w:r w:rsidR="005969AC" w:rsidRPr="006B456E">
        <w:noBreakHyphen/>
      </w:r>
      <w:r>
        <w:t>03 because there is greater consistency in spending data from t</w:t>
      </w:r>
      <w:r w:rsidR="005969AC">
        <w:t>his point and concludes in 2012</w:t>
      </w:r>
      <w:r w:rsidR="005969AC" w:rsidRPr="006B456E">
        <w:noBreakHyphen/>
      </w:r>
      <w:r>
        <w:t>13.  The latter is the latest year for which actual spending d</w:t>
      </w:r>
      <w:r w:rsidR="00674688">
        <w:t>ata is available.</w:t>
      </w:r>
    </w:p>
    <w:p w:rsidR="00E14DAC" w:rsidRDefault="00E14DAC" w:rsidP="00A5516B">
      <w:pPr>
        <w:pStyle w:val="Heading20"/>
      </w:pPr>
      <w:r>
        <w:t>Spending data</w:t>
      </w:r>
    </w:p>
    <w:p w:rsidR="00E14DAC" w:rsidRDefault="00E14DAC" w:rsidP="00E14DAC">
      <w:r>
        <w:t>This report uses the accrual accounting approach for consistency with the Budget.  It measures spending as expenses and net capital investment at the aggregate level.  Spending by functions refer to expenses except where explicitly identified as including net capital investment.</w:t>
      </w:r>
    </w:p>
    <w:p w:rsidR="00E14DAC" w:rsidRDefault="00E14DAC" w:rsidP="00E14DAC">
      <w:r>
        <w:lastRenderedPageBreak/>
        <w:t>The alternative approach, cash accounting, reports on payments.  Differences between cash and accrual accounting relate to timing, changes in ec</w:t>
      </w:r>
      <w:r w:rsidR="00674688">
        <w:t>onomic value, and depreciation.</w:t>
      </w:r>
    </w:p>
    <w:p w:rsidR="00E14DAC" w:rsidRDefault="00E14DAC" w:rsidP="00E14DAC">
      <w:pPr>
        <w:pStyle w:val="Heading20"/>
      </w:pPr>
      <w:bookmarkStart w:id="278" w:name="_Toc372697991"/>
      <w:r>
        <w:t>Data sources and adjustments</w:t>
      </w:r>
      <w:bookmarkEnd w:id="278"/>
    </w:p>
    <w:p w:rsidR="00E14DAC" w:rsidRDefault="00B14C66" w:rsidP="00E14DAC">
      <w:r>
        <w:t>Historical expenses data are</w:t>
      </w:r>
      <w:r w:rsidR="00E14DAC">
        <w:t xml:space="preserve"> sourced from Australian Government Final Budget Outcomes.</w:t>
      </w:r>
    </w:p>
    <w:p w:rsidR="00E14DAC" w:rsidRDefault="00E14DAC" w:rsidP="00E14DAC">
      <w:r>
        <w:t>Where possible, adjustments have been made to historical expenses data to ensure that spending is classified consistently over the period of analysis.  In some instances, it has not been possible to make adjustments because the necessary information has been either incomplete or unavailable.</w:t>
      </w:r>
    </w:p>
    <w:p w:rsidR="00E14DAC" w:rsidRDefault="00E14DAC" w:rsidP="00E14DAC">
      <w:r>
        <w:t>Adjustments have been made to the historical series of expenses data used in this report to ensure that where possible programs are reported in a single function from 2002</w:t>
      </w:r>
      <w:r w:rsidR="005969AC" w:rsidRPr="006B456E">
        <w:noBreakHyphen/>
      </w:r>
      <w:r w:rsidR="005969AC">
        <w:t>03 to 2012</w:t>
      </w:r>
      <w:r w:rsidR="005969AC" w:rsidRPr="006B456E">
        <w:noBreakHyphen/>
      </w:r>
      <w:r>
        <w:t xml:space="preserve">13.  </w:t>
      </w:r>
      <w:r w:rsidR="005C4F61">
        <w:t>Therefore, where a program has moved between functions</w:t>
      </w:r>
      <w:r>
        <w:t xml:space="preserve"> </w:t>
      </w:r>
      <w:r w:rsidR="00B14C66">
        <w:t>that program is back</w:t>
      </w:r>
      <w:r w:rsidR="00B14C66">
        <w:noBreakHyphen/>
      </w:r>
      <w:r w:rsidR="005C4F61">
        <w:t xml:space="preserve">cast </w:t>
      </w:r>
      <w:r w:rsidR="00B14C66">
        <w:t>to reflect the current classification as at the 2012</w:t>
      </w:r>
      <w:r w:rsidR="005969AC" w:rsidRPr="006B456E">
        <w:noBreakHyphen/>
      </w:r>
      <w:r w:rsidR="00B14C66">
        <w:t>13 Final Budget Outcome.</w:t>
      </w:r>
    </w:p>
    <w:p w:rsidR="00E14DAC" w:rsidRDefault="00E14DAC" w:rsidP="00E14DAC">
      <w:r>
        <w:t xml:space="preserve">Where possible, adjustments have also been made to ensure that the accounting treatment of program expenses is consistent over the historical series. </w:t>
      </w:r>
      <w:r w:rsidR="00674688">
        <w:t xml:space="preserve"> </w:t>
      </w:r>
      <w:r>
        <w:t>This allows for real trends and movements to be captured in the analysis.  It also ensures that each year is reporting the amount spent on the same or comparable government programs calculated in a consistent way from 2002</w:t>
      </w:r>
      <w:r w:rsidR="005969AC" w:rsidRPr="006B456E">
        <w:noBreakHyphen/>
      </w:r>
      <w:r>
        <w:t>03 to 2012</w:t>
      </w:r>
      <w:r w:rsidR="005969AC" w:rsidRPr="006B456E">
        <w:noBreakHyphen/>
      </w:r>
      <w:r>
        <w:t>13.</w:t>
      </w:r>
    </w:p>
    <w:p w:rsidR="00E14DAC" w:rsidRDefault="00E14DAC" w:rsidP="00E14DAC">
      <w:r>
        <w:t xml:space="preserve">Additional information has been sourced from departments to make relevant adjustments or clarify spending data.  However, as noted above, in some cases it has not been possible to make adjustments </w:t>
      </w:r>
      <w:r w:rsidRPr="004E31A2">
        <w:t xml:space="preserve">as </w:t>
      </w:r>
      <w:r w:rsidR="00B14C66" w:rsidRPr="004E31A2">
        <w:t xml:space="preserve">the required </w:t>
      </w:r>
      <w:r w:rsidRPr="004E31A2">
        <w:t>information</w:t>
      </w:r>
      <w:r w:rsidR="00C862C5" w:rsidRPr="004E31A2">
        <w:t xml:space="preserve"> is not available</w:t>
      </w:r>
      <w:r w:rsidRPr="004E31A2">
        <w:t>.</w:t>
      </w:r>
      <w:r w:rsidR="001B3098" w:rsidRPr="004E31A2">
        <w:t xml:space="preserve">  This includes details of some functional classification changes and consistent expenses series for programs such as HELP.</w:t>
      </w:r>
    </w:p>
    <w:p w:rsidR="00E14DAC" w:rsidRPr="00151F65" w:rsidRDefault="00E14DAC" w:rsidP="00E14DAC">
      <w:r>
        <w:t xml:space="preserve">More detailed discussion on adjustments made to spending reported in Final Budget Outcomes is at </w:t>
      </w:r>
      <w:r w:rsidRPr="00935C60">
        <w:rPr>
          <w:b/>
        </w:rPr>
        <w:t>Attachment</w:t>
      </w:r>
      <w:r w:rsidR="005969AC">
        <w:rPr>
          <w:b/>
        </w:rPr>
        <w:t> </w:t>
      </w:r>
      <w:r w:rsidRPr="00935C60">
        <w:rPr>
          <w:b/>
        </w:rPr>
        <w:t>B</w:t>
      </w:r>
      <w:r>
        <w:t>.</w:t>
      </w:r>
    </w:p>
    <w:p w:rsidR="00E14DAC" w:rsidRDefault="00E14DAC" w:rsidP="00E14DAC">
      <w:pPr>
        <w:pStyle w:val="FigureCaption"/>
        <w:tabs>
          <w:tab w:val="left" w:pos="3363"/>
        </w:tabs>
      </w:pPr>
    </w:p>
    <w:p w:rsidR="00E14DAC" w:rsidRDefault="00E14DAC" w:rsidP="00E14DAC">
      <w:pPr>
        <w:sectPr w:rsidR="00E14DAC" w:rsidSect="0099638E">
          <w:footerReference w:type="default" r:id="rId79"/>
          <w:footerReference w:type="first" r:id="rId80"/>
          <w:pgSz w:w="11900" w:h="16840"/>
          <w:pgMar w:top="1440" w:right="1797" w:bottom="1440" w:left="1797" w:header="709" w:footer="709" w:gutter="0"/>
          <w:cols w:space="708"/>
          <w:titlePg/>
          <w:docGrid w:linePitch="326"/>
        </w:sectPr>
      </w:pPr>
    </w:p>
    <w:p w:rsidR="00E14DAC" w:rsidRDefault="00E14DAC" w:rsidP="003D676E">
      <w:pPr>
        <w:pStyle w:val="Heading1"/>
        <w:numPr>
          <w:ilvl w:val="0"/>
          <w:numId w:val="45"/>
        </w:numPr>
        <w:ind w:left="709" w:hanging="709"/>
      </w:pPr>
      <w:bookmarkStart w:id="279" w:name="_Attachment_B_Variations"/>
      <w:bookmarkStart w:id="280" w:name="_Toc372697992"/>
      <w:bookmarkStart w:id="281" w:name="_Toc373778503"/>
      <w:bookmarkStart w:id="282" w:name="_Toc374182877"/>
      <w:bookmarkStart w:id="283" w:name="_Toc374349473"/>
      <w:bookmarkEnd w:id="279"/>
      <w:r>
        <w:lastRenderedPageBreak/>
        <w:t>Variations to expenses</w:t>
      </w:r>
      <w:bookmarkEnd w:id="280"/>
      <w:bookmarkEnd w:id="281"/>
      <w:bookmarkEnd w:id="282"/>
      <w:bookmarkEnd w:id="283"/>
    </w:p>
    <w:p w:rsidR="00256EE3" w:rsidRPr="006B456E" w:rsidRDefault="00256EE3" w:rsidP="00256EE3">
      <w:r w:rsidRPr="006B456E">
        <w:t>This attachment details the construction of a historical expenses data</w:t>
      </w:r>
      <w:r>
        <w:t xml:space="preserve"> </w:t>
      </w:r>
      <w:r w:rsidRPr="006B456E">
        <w:t xml:space="preserve">set by sub-function for the Australian </w:t>
      </w:r>
      <w:r w:rsidRPr="00706358">
        <w:t>Government</w:t>
      </w:r>
      <w:r w:rsidRPr="006B456E">
        <w:t xml:space="preserve"> general government sector for the period</w:t>
      </w:r>
      <w:r w:rsidR="005969AC">
        <w:t xml:space="preserve"> 2002</w:t>
      </w:r>
      <w:r w:rsidR="005969AC" w:rsidRPr="006B456E">
        <w:noBreakHyphen/>
      </w:r>
      <w:r w:rsidRPr="006B456E">
        <w:t>03 to 2012</w:t>
      </w:r>
      <w:r w:rsidR="005969AC" w:rsidRPr="006B456E">
        <w:noBreakHyphen/>
      </w:r>
      <w:r w:rsidR="00316EA7">
        <w:t>13.</w:t>
      </w:r>
    </w:p>
    <w:p w:rsidR="00256EE3" w:rsidRPr="006B456E" w:rsidRDefault="00256EE3" w:rsidP="00256EE3">
      <w:r w:rsidRPr="006B456E">
        <w:t>Expenses by sub-function are published in Australian Government Budget papers for the current financial year and the forward estimates period.  However, a consistent historical series is not published.</w:t>
      </w:r>
    </w:p>
    <w:p w:rsidR="00256EE3" w:rsidRPr="006B456E" w:rsidRDefault="00256EE3" w:rsidP="00256EE3">
      <w:r w:rsidRPr="006B456E">
        <w:t>The Australian Government Budget papers provide a historical series for total expenses.  These figures are typically not identical to those reported in the Final Budget Outcome reports because of revisions, variations to accounting treatments and reclassifications for each financial year.  The PBO has created a consistent data</w:t>
      </w:r>
      <w:r>
        <w:t xml:space="preserve"> </w:t>
      </w:r>
      <w:r w:rsidRPr="006B456E">
        <w:t>set that is broken down by sub</w:t>
      </w:r>
      <w:r w:rsidR="00316EA7">
        <w:t>-</w:t>
      </w:r>
      <w:r w:rsidRPr="006B456E">
        <w:t>function which accounts for these</w:t>
      </w:r>
      <w:r w:rsidR="00E80A32">
        <w:t xml:space="preserve"> changes in expenses over time.</w:t>
      </w:r>
    </w:p>
    <w:p w:rsidR="00256EE3" w:rsidRDefault="00256EE3" w:rsidP="00256EE3">
      <w:pPr>
        <w:pStyle w:val="PBOheading2"/>
      </w:pPr>
      <w:r>
        <w:t>Data Limitations</w:t>
      </w:r>
    </w:p>
    <w:p w:rsidR="00256EE3" w:rsidRPr="004E31A2" w:rsidRDefault="00256EE3" w:rsidP="00256EE3">
      <w:r w:rsidRPr="004E31A2">
        <w:t>The data set has a number of limitations that can affect the comparability of data across years.  Currently, underlying Government Finance Statistics (GFS) data are provided by agencies in accordance with Australian Equivalents to International Financial Reporting Standards (AEIFRS).  Prior to 2005-06, underlying GFS data was based on data provided by agencies in accordance with Australian Accounting Standards (AAS).</w:t>
      </w:r>
    </w:p>
    <w:p w:rsidR="00256EE3" w:rsidRPr="004E31A2" w:rsidRDefault="005411B8" w:rsidP="00256EE3">
      <w:r w:rsidRPr="004E31A2">
        <w:t xml:space="preserve">Adjustments have been made using information sourced from government departments.  However, information on all necessary adjustments, in particular functional reclassifications, is not available.  The necessary adjustments can only be determined once the underlying program data can be fully reconciled. </w:t>
      </w:r>
      <w:r w:rsidR="00316EA7" w:rsidRPr="004E31A2">
        <w:t xml:space="preserve"> </w:t>
      </w:r>
      <w:r w:rsidRPr="004E31A2">
        <w:t>The PBO will make further adjustments as program information becomes available</w:t>
      </w:r>
      <w:r w:rsidR="00256EE3" w:rsidRPr="004E31A2">
        <w:t>.</w:t>
      </w:r>
    </w:p>
    <w:p w:rsidR="00256EE3" w:rsidRPr="006B456E" w:rsidRDefault="005411B8" w:rsidP="00256EE3">
      <w:r w:rsidRPr="004E31A2">
        <w:t>There remains an inconsistency within the Higher Education Loan Program (HELP) concessional loan</w:t>
      </w:r>
      <w:r w:rsidRPr="006B456E">
        <w:t xml:space="preserve"> expenses because</w:t>
      </w:r>
      <w:r>
        <w:t xml:space="preserve"> </w:t>
      </w:r>
      <w:r w:rsidRPr="006B456E">
        <w:t>the</w:t>
      </w:r>
      <w:r>
        <w:t xml:space="preserve"> choice of</w:t>
      </w:r>
      <w:r w:rsidRPr="006B456E">
        <w:t xml:space="preserve"> discount rate that is used to value the liability has changed between years</w:t>
      </w:r>
      <w:r w:rsidRPr="00AD5E40">
        <w:t>.  The long</w:t>
      </w:r>
      <w:r w:rsidR="00316EA7">
        <w:t>-</w:t>
      </w:r>
      <w:r w:rsidRPr="00AD5E40">
        <w:t>term discount rate of 6</w:t>
      </w:r>
      <w:r w:rsidR="00316EA7">
        <w:t> </w:t>
      </w:r>
      <w:r w:rsidRPr="00AD5E40">
        <w:t>per</w:t>
      </w:r>
      <w:r w:rsidR="00316EA7">
        <w:t> </w:t>
      </w:r>
      <w:r w:rsidRPr="00AD5E40">
        <w:t>cent was used prior to 2010</w:t>
      </w:r>
      <w:r w:rsidR="005969AC" w:rsidRPr="006B456E">
        <w:noBreakHyphen/>
      </w:r>
      <w:r w:rsidRPr="00AD5E40">
        <w:t>11; the 10</w:t>
      </w:r>
      <w:r w:rsidR="005969AC" w:rsidRPr="006B456E">
        <w:noBreakHyphen/>
      </w:r>
      <w:r w:rsidRPr="00AD5E40">
        <w:t>year bond rate was used for the 20</w:t>
      </w:r>
      <w:r w:rsidR="00316EA7">
        <w:t>10</w:t>
      </w:r>
      <w:r w:rsidR="005969AC" w:rsidRPr="006B456E">
        <w:noBreakHyphen/>
      </w:r>
      <w:r w:rsidR="00316EA7">
        <w:t>1</w:t>
      </w:r>
      <w:r w:rsidR="005969AC">
        <w:t>1 and 2011</w:t>
      </w:r>
      <w:r w:rsidR="005969AC" w:rsidRPr="006B456E">
        <w:noBreakHyphen/>
      </w:r>
      <w:r w:rsidR="005969AC">
        <w:t>12 years; and the 2012</w:t>
      </w:r>
      <w:r w:rsidR="005969AC" w:rsidRPr="006B456E">
        <w:noBreakHyphen/>
      </w:r>
      <w:r w:rsidRPr="00AD5E40">
        <w:t>13 FBO used the yield curve to estimate a discount rate.  A consistent</w:t>
      </w:r>
      <w:r w:rsidRPr="006B456E">
        <w:t xml:space="preserve"> series for HELP concessional loan expenses using a consistent discount rate </w:t>
      </w:r>
      <w:r>
        <w:t>methodology was not available</w:t>
      </w:r>
      <w:r w:rsidR="00316EA7">
        <w:t>.</w:t>
      </w:r>
    </w:p>
    <w:p w:rsidR="00256EE3" w:rsidRDefault="00256EE3" w:rsidP="00256EE3">
      <w:pPr>
        <w:pStyle w:val="PBOheading2"/>
      </w:pPr>
      <w:r>
        <w:t>Data Changes to the Historical Series</w:t>
      </w:r>
    </w:p>
    <w:p w:rsidR="00256EE3" w:rsidRPr="006B456E" w:rsidRDefault="005411B8" w:rsidP="00256EE3">
      <w:r w:rsidRPr="006B456E">
        <w:t xml:space="preserve">The Australian </w:t>
      </w:r>
      <w:r w:rsidRPr="00706358">
        <w:t>Government budget</w:t>
      </w:r>
      <w:r w:rsidRPr="006B456E">
        <w:t xml:space="preserve"> papers are based on the Whole of Government and General Government Financial Reporting accounting standard, known as AASB 1049.  AASB 1049 harmonises the </w:t>
      </w:r>
      <w:r w:rsidRPr="00AD5E40">
        <w:t>accounting standards, the Australian Bureau of Statistics (ABS) accrual GFS and the AAS into</w:t>
      </w:r>
      <w:r w:rsidRPr="006B456E">
        <w:t xml:space="preserve"> a single set of financial statements with departures from each accounting standard</w:t>
      </w:r>
      <w:r>
        <w:t xml:space="preserve"> disclosed in the budget papers</w:t>
      </w:r>
      <w:r w:rsidR="00256EE3" w:rsidRPr="006B456E">
        <w:t>.</w:t>
      </w:r>
    </w:p>
    <w:p w:rsidR="00256EE3" w:rsidRPr="006B456E" w:rsidRDefault="00256EE3" w:rsidP="00256EE3">
      <w:r w:rsidRPr="006B456E">
        <w:t>The Treasury maintains a historical series for total expenses in accordance with AASB 1049 which starts from 1996</w:t>
      </w:r>
      <w:r w:rsidR="005969AC" w:rsidRPr="006B456E">
        <w:noBreakHyphen/>
      </w:r>
      <w:r w:rsidRPr="006B456E">
        <w:t xml:space="preserve">97.  </w:t>
      </w:r>
      <w:r>
        <w:t>When</w:t>
      </w:r>
      <w:r w:rsidRPr="006B456E">
        <w:t xml:space="preserve"> there is a change in accounting treatment that affects the measurement of total expenses, the Treasury adjusts the historical series to maintain a consistent time series to the</w:t>
      </w:r>
      <w:r w:rsidR="0041689A">
        <w:t xml:space="preserve"> extent that data is available.</w:t>
      </w:r>
    </w:p>
    <w:p w:rsidR="00256EE3" w:rsidRPr="00AD5E40" w:rsidRDefault="005411B8" w:rsidP="00256EE3">
      <w:r w:rsidRPr="006B456E">
        <w:lastRenderedPageBreak/>
        <w:t xml:space="preserve">Since the implementation of AEIFRS, some changes resulting from revisions in accounting treatments have only been revised back to </w:t>
      </w:r>
      <w:r w:rsidR="005969AC">
        <w:t>2005</w:t>
      </w:r>
      <w:r w:rsidR="005969AC" w:rsidRPr="006B456E">
        <w:noBreakHyphen/>
      </w:r>
      <w:r w:rsidRPr="00AD5E40">
        <w:t>06.  Prior to that time, underlying financial data is in accord</w:t>
      </w:r>
      <w:r w:rsidR="00510B9C">
        <w:t>ance with AAS</w:t>
      </w:r>
      <w:r w:rsidR="00256EE3" w:rsidRPr="00AD5E40">
        <w:t>.</w:t>
      </w:r>
    </w:p>
    <w:p w:rsidR="00256EE3" w:rsidRPr="00AD5E40" w:rsidRDefault="00256EE3" w:rsidP="00256EE3">
      <w:r w:rsidRPr="00AD5E40">
        <w:t>The PBO has allocated each revision to the expenses series to the relevant expense function for this report.</w:t>
      </w:r>
    </w:p>
    <w:p w:rsidR="00256EE3" w:rsidRPr="00AD5E40" w:rsidRDefault="00256EE3" w:rsidP="00256EE3">
      <w:r w:rsidRPr="00AD5E40">
        <w:t>The adjustments that have been made back to 2005-06 are as follows:</w:t>
      </w:r>
    </w:p>
    <w:p w:rsidR="00256EE3" w:rsidRPr="00AD5E40" w:rsidRDefault="005411B8" w:rsidP="00256EE3">
      <w:pPr>
        <w:pStyle w:val="ListParagraph"/>
        <w:numPr>
          <w:ilvl w:val="0"/>
          <w:numId w:val="22"/>
        </w:numPr>
        <w:ind w:left="284" w:hanging="284"/>
        <w:contextualSpacing w:val="0"/>
      </w:pPr>
      <w:r w:rsidRPr="00AD5E40">
        <w:t>In the 2013</w:t>
      </w:r>
      <w:r w:rsidR="005969AC" w:rsidRPr="006B456E">
        <w:noBreakHyphen/>
      </w:r>
      <w:r w:rsidRPr="00AD5E40">
        <w:t>14 Budget, the methodology to calculate superannuation interest expenses changed to using the government bond rate.  Prior to this, superannuation interest expenses were based on the expected return on superannuation defined benefit plan assets.  The Treasury adjusted total expenses back to 2005</w:t>
      </w:r>
      <w:r w:rsidR="005969AC" w:rsidRPr="006B456E">
        <w:noBreakHyphen/>
      </w:r>
      <w:r w:rsidRPr="00AD5E40">
        <w:t xml:space="preserve">06 to account for this change in accounting treatment.  The PBO adjusted the function </w:t>
      </w:r>
      <w:r w:rsidRPr="00AD5E40">
        <w:rPr>
          <w:i/>
        </w:rPr>
        <w:t xml:space="preserve">other purposes </w:t>
      </w:r>
      <w:r w:rsidRPr="00AD5E40">
        <w:t xml:space="preserve">and the sub-function </w:t>
      </w:r>
      <w:r w:rsidRPr="00AD5E40">
        <w:rPr>
          <w:i/>
        </w:rPr>
        <w:t>nominal superannuation interest</w:t>
      </w:r>
      <w:r w:rsidRPr="00AD5E40">
        <w:t xml:space="preserve"> from 2005</w:t>
      </w:r>
      <w:r w:rsidR="005969AC" w:rsidRPr="006B456E">
        <w:noBreakHyphen/>
      </w:r>
      <w:r w:rsidRPr="00AD5E40">
        <w:t>06 to 2011</w:t>
      </w:r>
      <w:r w:rsidR="005969AC" w:rsidRPr="006B456E">
        <w:noBreakHyphen/>
      </w:r>
      <w:r w:rsidRPr="00AD5E40">
        <w:t>12 for this change</w:t>
      </w:r>
      <w:r w:rsidR="0041689A">
        <w:t>.</w:t>
      </w:r>
    </w:p>
    <w:p w:rsidR="00256EE3" w:rsidRPr="00AD5E40" w:rsidRDefault="00256EE3" w:rsidP="00256EE3">
      <w:pPr>
        <w:pStyle w:val="ListParagraph"/>
        <w:numPr>
          <w:ilvl w:val="0"/>
          <w:numId w:val="22"/>
        </w:numPr>
        <w:ind w:left="284" w:hanging="284"/>
        <w:contextualSpacing w:val="0"/>
      </w:pPr>
      <w:r w:rsidRPr="00AD5E40">
        <w:t>In the 2007</w:t>
      </w:r>
      <w:r w:rsidR="005969AC" w:rsidRPr="006B456E">
        <w:noBreakHyphen/>
      </w:r>
      <w:r w:rsidRPr="00AD5E40">
        <w:t>08 FBO, the accounting treatment of the superannuation liability for current employees was changed to require the use of the government bond rate at balance date rather than using the long-term cost report discount rate of 6 per cent.  The Treasury adjusted total expenses back to 2005</w:t>
      </w:r>
      <w:r w:rsidR="005969AC" w:rsidRPr="006B456E">
        <w:noBreakHyphen/>
      </w:r>
      <w:r w:rsidRPr="00AD5E40">
        <w:t xml:space="preserve">06 to account for this change in the accounting treatment.  The PBO adjusted the function </w:t>
      </w:r>
      <w:r w:rsidRPr="00AD5E40">
        <w:rPr>
          <w:i/>
        </w:rPr>
        <w:t xml:space="preserve">general public services </w:t>
      </w:r>
      <w:r w:rsidRPr="00AD5E40">
        <w:t xml:space="preserve">and the sub-function </w:t>
      </w:r>
      <w:r w:rsidRPr="00AD5E40">
        <w:rPr>
          <w:i/>
        </w:rPr>
        <w:t>financial and fiscal affairs</w:t>
      </w:r>
      <w:r w:rsidRPr="00AD5E40">
        <w:t xml:space="preserve"> for </w:t>
      </w:r>
      <w:r w:rsidR="005969AC">
        <w:t>the years 2005</w:t>
      </w:r>
      <w:r w:rsidR="005969AC" w:rsidRPr="006B456E">
        <w:noBreakHyphen/>
      </w:r>
      <w:r w:rsidR="0041689A">
        <w:t>06 and 2006</w:t>
      </w:r>
      <w:r w:rsidR="005969AC" w:rsidRPr="006B456E">
        <w:noBreakHyphen/>
      </w:r>
      <w:r w:rsidR="0041689A">
        <w:t>07.</w:t>
      </w:r>
    </w:p>
    <w:p w:rsidR="00256EE3" w:rsidRPr="00B068C3" w:rsidRDefault="005411B8" w:rsidP="00256EE3">
      <w:pPr>
        <w:pStyle w:val="ListParagraph"/>
        <w:numPr>
          <w:ilvl w:val="0"/>
          <w:numId w:val="22"/>
        </w:numPr>
        <w:ind w:left="284" w:hanging="284"/>
        <w:contextualSpacing w:val="0"/>
      </w:pPr>
      <w:r w:rsidRPr="006B456E">
        <w:t>The accounting treatment for concessiona</w:t>
      </w:r>
      <w:r w:rsidR="005969AC">
        <w:t>l loans was changed in the 2007</w:t>
      </w:r>
      <w:r w:rsidR="005969AC" w:rsidRPr="006B456E">
        <w:noBreakHyphen/>
      </w:r>
      <w:r w:rsidRPr="006B456E">
        <w:t>08 FBO.  After a review that occurred at the time of the 2008</w:t>
      </w:r>
      <w:r w:rsidR="005969AC" w:rsidRPr="006B456E">
        <w:noBreakHyphen/>
      </w:r>
      <w:r w:rsidRPr="006B456E">
        <w:t>09</w:t>
      </w:r>
      <w:r w:rsidR="0041689A">
        <w:t> </w:t>
      </w:r>
      <w:r w:rsidRPr="006B456E">
        <w:t xml:space="preserve">Budget, it was determined that the AAS treatment of concessional loans at their fair value was a superior treatment to the ABS GFS treatment at their market value.  </w:t>
      </w:r>
      <w:r w:rsidRPr="00B068C3">
        <w:t>The Treasury adjus</w:t>
      </w:r>
      <w:r w:rsidR="00A14D3E">
        <w:t xml:space="preserve">ted total expenses back to </w:t>
      </w:r>
      <w:r w:rsidR="00A14D3E" w:rsidRPr="00A14D3E">
        <w:t>2005</w:t>
      </w:r>
      <w:r w:rsidR="00A14D3E" w:rsidRPr="006B456E">
        <w:noBreakHyphen/>
      </w:r>
      <w:r w:rsidRPr="00A14D3E">
        <w:t>06</w:t>
      </w:r>
      <w:r w:rsidRPr="00B068C3">
        <w:t xml:space="preserve"> for this change.  The PBO has reflected this adjustment for HELP </w:t>
      </w:r>
      <w:r w:rsidR="00AD5E40" w:rsidRPr="00B068C3">
        <w:t xml:space="preserve">concessional loans </w:t>
      </w:r>
      <w:r w:rsidRPr="00B068C3">
        <w:t xml:space="preserve">in the function </w:t>
      </w:r>
      <w:r w:rsidRPr="00B068C3">
        <w:rPr>
          <w:i/>
        </w:rPr>
        <w:t>education</w:t>
      </w:r>
      <w:r w:rsidRPr="00B068C3">
        <w:t xml:space="preserve"> and the sub</w:t>
      </w:r>
      <w:r w:rsidR="00A14D3E" w:rsidRPr="006B456E">
        <w:noBreakHyphen/>
      </w:r>
      <w:r w:rsidRPr="00B068C3">
        <w:t xml:space="preserve">function </w:t>
      </w:r>
      <w:r w:rsidRPr="00B068C3">
        <w:rPr>
          <w:i/>
        </w:rPr>
        <w:t xml:space="preserve">student assistance </w:t>
      </w:r>
      <w:r w:rsidR="00A14D3E">
        <w:t>for the years 2005</w:t>
      </w:r>
      <w:r w:rsidR="00A14D3E" w:rsidRPr="006B456E">
        <w:noBreakHyphen/>
      </w:r>
      <w:r w:rsidRPr="00B068C3">
        <w:t>06 and 2006</w:t>
      </w:r>
      <w:r w:rsidR="00A14D3E" w:rsidRPr="006B456E">
        <w:noBreakHyphen/>
      </w:r>
      <w:r w:rsidRPr="00B068C3">
        <w:t>07</w:t>
      </w:r>
      <w:r w:rsidR="0041689A">
        <w:t>.</w:t>
      </w:r>
    </w:p>
    <w:p w:rsidR="00256EE3" w:rsidRPr="00B068C3" w:rsidRDefault="00256EE3" w:rsidP="00256EE3">
      <w:r w:rsidRPr="00B068C3">
        <w:t>Other revisions to total expenses are as follows:</w:t>
      </w:r>
    </w:p>
    <w:p w:rsidR="00256EE3" w:rsidRPr="00B068C3" w:rsidRDefault="00256EE3" w:rsidP="00256EE3">
      <w:pPr>
        <w:pStyle w:val="ListParagraph"/>
        <w:numPr>
          <w:ilvl w:val="0"/>
          <w:numId w:val="23"/>
        </w:numPr>
        <w:ind w:left="284" w:hanging="284"/>
        <w:contextualSpacing w:val="0"/>
      </w:pPr>
      <w:r w:rsidRPr="00B068C3">
        <w:t>In the 2010</w:t>
      </w:r>
      <w:r w:rsidR="00A14D3E" w:rsidRPr="006B456E">
        <w:noBreakHyphen/>
      </w:r>
      <w:r w:rsidRPr="00B068C3">
        <w:t>11 Final Budget Outcome (FBO), the accounting treatment for the Natural Disaster Relief and Recovery Arrangements program was changed to recognise expenses in the financial year that the disaster occurs rather than when States and Territories lodge a claim for reimbursement following the completion of reconstruction works.  To reflect this change, the Treasury b</w:t>
      </w:r>
      <w:r w:rsidR="00A14D3E">
        <w:t>ack-cast total expenses to 1996</w:t>
      </w:r>
      <w:r w:rsidR="00A14D3E" w:rsidRPr="006B456E">
        <w:noBreakHyphen/>
      </w:r>
      <w:r w:rsidRPr="00B068C3">
        <w:t xml:space="preserve">97.  The PBO adjusted the function </w:t>
      </w:r>
      <w:r w:rsidRPr="00B068C3">
        <w:rPr>
          <w:i/>
        </w:rPr>
        <w:t xml:space="preserve">other purposes </w:t>
      </w:r>
      <w:r w:rsidRPr="00B068C3">
        <w:t xml:space="preserve">and the sub-function </w:t>
      </w:r>
      <w:r w:rsidRPr="00B068C3">
        <w:rPr>
          <w:i/>
        </w:rPr>
        <w:t>natural disaster relief</w:t>
      </w:r>
      <w:r w:rsidRPr="00B068C3">
        <w:t xml:space="preserve"> over the period 2002</w:t>
      </w:r>
      <w:r w:rsidR="00A14D3E" w:rsidRPr="006B456E">
        <w:noBreakHyphen/>
      </w:r>
      <w:r w:rsidRPr="00B068C3">
        <w:t>03 to 2009</w:t>
      </w:r>
      <w:r w:rsidR="00A14D3E" w:rsidRPr="006B456E">
        <w:noBreakHyphen/>
      </w:r>
      <w:r w:rsidR="00A14D3E">
        <w:t>1</w:t>
      </w:r>
      <w:r w:rsidRPr="00B068C3">
        <w:t>0.</w:t>
      </w:r>
    </w:p>
    <w:p w:rsidR="00256EE3" w:rsidRPr="006B456E" w:rsidRDefault="00A14D3E" w:rsidP="00256EE3">
      <w:pPr>
        <w:pStyle w:val="ListParagraph"/>
        <w:numPr>
          <w:ilvl w:val="0"/>
          <w:numId w:val="23"/>
        </w:numPr>
        <w:ind w:left="284" w:hanging="284"/>
        <w:contextualSpacing w:val="0"/>
      </w:pPr>
      <w:r>
        <w:t>In the 2009</w:t>
      </w:r>
      <w:r w:rsidRPr="006B456E">
        <w:noBreakHyphen/>
      </w:r>
      <w:r w:rsidR="005411B8" w:rsidRPr="00B068C3">
        <w:t>10 Budget, the Export Finance and Insurance Corporation National Interest Account was reclassified from the public financial sector to the general government sector.  The Treasury back-cast total expenses to 1998</w:t>
      </w:r>
      <w:r w:rsidRPr="006B456E">
        <w:noBreakHyphen/>
      </w:r>
      <w:r w:rsidR="005411B8" w:rsidRPr="00B068C3">
        <w:t>99</w:t>
      </w:r>
      <w:r w:rsidR="00AD5E40" w:rsidRPr="00B068C3">
        <w:t xml:space="preserve"> for this reclassification</w:t>
      </w:r>
      <w:r w:rsidR="005411B8" w:rsidRPr="00B068C3">
        <w:t xml:space="preserve">.  The PBO adjusted the function </w:t>
      </w:r>
      <w:r w:rsidR="005411B8" w:rsidRPr="00B068C3">
        <w:rPr>
          <w:i/>
        </w:rPr>
        <w:t xml:space="preserve">general public services </w:t>
      </w:r>
      <w:r w:rsidR="005411B8" w:rsidRPr="00B068C3">
        <w:t>and its sub</w:t>
      </w:r>
      <w:r w:rsidR="0041689A">
        <w:t>-</w:t>
      </w:r>
      <w:r w:rsidR="005411B8" w:rsidRPr="00B068C3">
        <w:t xml:space="preserve">function </w:t>
      </w:r>
      <w:r w:rsidR="005411B8" w:rsidRPr="00B068C3">
        <w:rPr>
          <w:i/>
        </w:rPr>
        <w:t xml:space="preserve">foreign affairs and economic aid </w:t>
      </w:r>
      <w:r w:rsidR="005411B8" w:rsidRPr="00B068C3">
        <w:t>ov</w:t>
      </w:r>
      <w:r w:rsidR="005411B8" w:rsidRPr="006B456E">
        <w:t xml:space="preserve">er the period </w:t>
      </w:r>
      <w:r>
        <w:t>2002</w:t>
      </w:r>
      <w:r w:rsidRPr="006B456E">
        <w:noBreakHyphen/>
      </w:r>
      <w:r w:rsidR="005411B8" w:rsidRPr="006B456E">
        <w:t>03 to 2006</w:t>
      </w:r>
      <w:r w:rsidRPr="006B456E">
        <w:noBreakHyphen/>
      </w:r>
      <w:r w:rsidR="005411B8" w:rsidRPr="006B456E">
        <w:t>07</w:t>
      </w:r>
      <w:r w:rsidR="00256EE3" w:rsidRPr="006B456E">
        <w:t>.</w:t>
      </w:r>
    </w:p>
    <w:p w:rsidR="003D676E" w:rsidRDefault="00256EE3" w:rsidP="00256EE3">
      <w:pPr>
        <w:pStyle w:val="ListParagraph"/>
        <w:numPr>
          <w:ilvl w:val="0"/>
          <w:numId w:val="23"/>
        </w:numPr>
        <w:ind w:left="284" w:hanging="284"/>
        <w:contextualSpacing w:val="0"/>
      </w:pPr>
      <w:r w:rsidRPr="006B456E">
        <w:t>In the 2008</w:t>
      </w:r>
      <w:r w:rsidR="00A14D3E" w:rsidRPr="006B456E">
        <w:noBreakHyphen/>
      </w:r>
      <w:r w:rsidRPr="006B456E">
        <w:t>09</w:t>
      </w:r>
      <w:r w:rsidR="00A14D3E">
        <w:t> </w:t>
      </w:r>
      <w:r w:rsidRPr="006B456E">
        <w:t>Budget, the reporting of the Goods and Services Tax (GST) was changed from a State tax to a Commonwealth tax and the payment of this revenue to the States was included as a Commonwealth expense.  The Treasury, adjusted total expenses from t</w:t>
      </w:r>
      <w:r w:rsidR="00A14D3E">
        <w:t>he inception of the GST in 2000</w:t>
      </w:r>
      <w:r w:rsidR="00A14D3E" w:rsidRPr="006B456E">
        <w:noBreakHyphen/>
      </w:r>
      <w:r w:rsidRPr="006B456E">
        <w:t xml:space="preserve">01.  The PBO adjusted the function </w:t>
      </w:r>
      <w:r w:rsidRPr="0074070D">
        <w:rPr>
          <w:i/>
        </w:rPr>
        <w:t>other purposes</w:t>
      </w:r>
      <w:r>
        <w:t xml:space="preserve"> and the sub</w:t>
      </w:r>
      <w:r w:rsidR="0041689A">
        <w:t>-</w:t>
      </w:r>
      <w:r w:rsidRPr="006B456E">
        <w:t xml:space="preserve">function </w:t>
      </w:r>
      <w:r w:rsidRPr="0074070D">
        <w:rPr>
          <w:i/>
        </w:rPr>
        <w:t>general revenue assistance</w:t>
      </w:r>
      <w:r w:rsidRPr="006B456E">
        <w:t xml:space="preserve"> over</w:t>
      </w:r>
      <w:r w:rsidR="00A14D3E">
        <w:t xml:space="preserve"> the period 2002</w:t>
      </w:r>
      <w:r w:rsidR="00A14D3E" w:rsidRPr="006B456E">
        <w:noBreakHyphen/>
      </w:r>
      <w:r w:rsidR="0041689A">
        <w:t>03 to 2006</w:t>
      </w:r>
      <w:r w:rsidR="00A14D3E" w:rsidRPr="006B456E">
        <w:noBreakHyphen/>
      </w:r>
      <w:r w:rsidR="0041689A">
        <w:t>07.</w:t>
      </w:r>
    </w:p>
    <w:p w:rsidR="003D676E" w:rsidRDefault="003D676E" w:rsidP="003D676E">
      <w:r>
        <w:br w:type="page"/>
      </w:r>
    </w:p>
    <w:p w:rsidR="00256EE3" w:rsidRPr="006B456E" w:rsidRDefault="00A14D3E" w:rsidP="00256EE3">
      <w:pPr>
        <w:pStyle w:val="ListParagraph"/>
        <w:numPr>
          <w:ilvl w:val="0"/>
          <w:numId w:val="23"/>
        </w:numPr>
        <w:ind w:left="284" w:hanging="284"/>
        <w:contextualSpacing w:val="0"/>
      </w:pPr>
      <w:r>
        <w:lastRenderedPageBreak/>
        <w:t>In the 2008</w:t>
      </w:r>
      <w:r w:rsidRPr="006B456E">
        <w:noBreakHyphen/>
      </w:r>
      <w:r w:rsidR="0041689A">
        <w:t>09 </w:t>
      </w:r>
      <w:r w:rsidR="00256EE3" w:rsidRPr="006B456E">
        <w:t>Budget, the accounting treatment of defence weapons was changed from an operating</w:t>
      </w:r>
      <w:r w:rsidR="0041689A">
        <w:t xml:space="preserve"> expense to a purchase of a non-</w:t>
      </w:r>
      <w:r w:rsidR="00256EE3" w:rsidRPr="006B456E">
        <w:t>financial asset.  The Treasury adjusted both net capital investme</w:t>
      </w:r>
      <w:r>
        <w:t>nt and total expenses from 1999</w:t>
      </w:r>
      <w:r w:rsidRPr="006B456E">
        <w:noBreakHyphen/>
      </w:r>
      <w:r w:rsidR="00256EE3" w:rsidRPr="006B456E">
        <w:t xml:space="preserve">2000 by removing defence weapons from total expenses and adding defence weapons to net capital investment.  The PBO adjusted the function </w:t>
      </w:r>
      <w:r w:rsidR="00256EE3" w:rsidRPr="0074070D">
        <w:rPr>
          <w:i/>
        </w:rPr>
        <w:t>defence</w:t>
      </w:r>
      <w:r w:rsidR="0041689A">
        <w:t xml:space="preserve"> over the period 2002</w:t>
      </w:r>
      <w:r w:rsidRPr="006B456E">
        <w:noBreakHyphen/>
      </w:r>
      <w:r>
        <w:t>03 to 2006</w:t>
      </w:r>
      <w:r w:rsidRPr="006B456E">
        <w:noBreakHyphen/>
      </w:r>
      <w:r w:rsidR="00256EE3" w:rsidRPr="006B456E">
        <w:t>07.</w:t>
      </w:r>
    </w:p>
    <w:p w:rsidR="00256EE3" w:rsidRPr="006B456E" w:rsidRDefault="00A14D3E" w:rsidP="00256EE3">
      <w:pPr>
        <w:pStyle w:val="ListParagraph"/>
        <w:numPr>
          <w:ilvl w:val="0"/>
          <w:numId w:val="23"/>
        </w:numPr>
        <w:ind w:left="284" w:hanging="284"/>
        <w:contextualSpacing w:val="0"/>
      </w:pPr>
      <w:r>
        <w:t>In the 2007</w:t>
      </w:r>
      <w:r w:rsidRPr="006B456E">
        <w:noBreakHyphen/>
      </w:r>
      <w:r>
        <w:t>08 </w:t>
      </w:r>
      <w:r w:rsidR="00256EE3" w:rsidRPr="006B456E">
        <w:t>Mid-Year Economic and Fiscal Outlook (MYEFO), the accounting treatment for education grants was changed to reflect the recognition</w:t>
      </w:r>
      <w:r w:rsidR="00510B9C">
        <w:t xml:space="preserve"> of</w:t>
      </w:r>
      <w:r w:rsidR="00256EE3" w:rsidRPr="006B456E">
        <w:t xml:space="preserve"> </w:t>
      </w:r>
      <w:r w:rsidR="00510B9C">
        <w:t>these</w:t>
      </w:r>
      <w:r w:rsidR="00256EE3">
        <w:t xml:space="preserve"> when they were</w:t>
      </w:r>
      <w:r w:rsidR="00256EE3" w:rsidRPr="006B456E">
        <w:t xml:space="preserve"> due to be paid rather than when </w:t>
      </w:r>
      <w:r w:rsidR="00256EE3">
        <w:t>the Ministerial determination was</w:t>
      </w:r>
      <w:r w:rsidR="00256EE3" w:rsidRPr="006B456E">
        <w:t xml:space="preserve"> signed.  The Treasury adjusted total expenses from 2000</w:t>
      </w:r>
      <w:r w:rsidRPr="006B456E">
        <w:noBreakHyphen/>
      </w:r>
      <w:r w:rsidR="00256EE3" w:rsidRPr="006B456E">
        <w:t xml:space="preserve">01 to reflect this change.  The PBO adjusted the function </w:t>
      </w:r>
      <w:r w:rsidR="00256EE3" w:rsidRPr="0074070D">
        <w:rPr>
          <w:i/>
        </w:rPr>
        <w:t>education</w:t>
      </w:r>
      <w:r w:rsidR="00256EE3" w:rsidRPr="006B456E">
        <w:t xml:space="preserve"> and its sub</w:t>
      </w:r>
      <w:r w:rsidR="0041689A">
        <w:t>-</w:t>
      </w:r>
      <w:r w:rsidR="00256EE3" w:rsidRPr="006B456E">
        <w:t xml:space="preserve">functions </w:t>
      </w:r>
      <w:r w:rsidR="00256EE3" w:rsidRPr="0074070D">
        <w:rPr>
          <w:i/>
        </w:rPr>
        <w:t xml:space="preserve">schools </w:t>
      </w:r>
      <w:r w:rsidR="00256EE3" w:rsidRPr="006B456E">
        <w:t xml:space="preserve">and </w:t>
      </w:r>
      <w:r w:rsidR="00256EE3" w:rsidRPr="0074070D">
        <w:rPr>
          <w:i/>
        </w:rPr>
        <w:t>higher education</w:t>
      </w:r>
      <w:r w:rsidR="00256EE3" w:rsidRPr="006B456E">
        <w:t xml:space="preserve"> over the period 2002</w:t>
      </w:r>
      <w:r w:rsidRPr="006B456E">
        <w:noBreakHyphen/>
      </w:r>
      <w:r w:rsidR="00256EE3" w:rsidRPr="006B456E">
        <w:t>03 to 2006</w:t>
      </w:r>
      <w:r w:rsidRPr="006B456E">
        <w:noBreakHyphen/>
      </w:r>
      <w:r w:rsidR="00256EE3" w:rsidRPr="006B456E">
        <w:t>07.</w:t>
      </w:r>
    </w:p>
    <w:p w:rsidR="00256EE3" w:rsidRPr="006B456E" w:rsidRDefault="00256EE3" w:rsidP="00256EE3">
      <w:pPr>
        <w:pStyle w:val="ListParagraph"/>
        <w:numPr>
          <w:ilvl w:val="0"/>
          <w:numId w:val="23"/>
        </w:numPr>
        <w:ind w:left="284" w:hanging="284"/>
        <w:contextualSpacing w:val="0"/>
      </w:pPr>
      <w:r w:rsidRPr="006B456E">
        <w:t>From the 2006</w:t>
      </w:r>
      <w:r w:rsidR="00A14D3E" w:rsidRPr="006B456E">
        <w:noBreakHyphen/>
      </w:r>
      <w:r w:rsidRPr="006B456E">
        <w:t>07</w:t>
      </w:r>
      <w:r w:rsidR="0041689A">
        <w:t> </w:t>
      </w:r>
      <w:r w:rsidRPr="006B456E">
        <w:t>Budget, Fringe Benefit Tax (FBT) paid by Australian government agencies was included in expenses.  The Treasury adjusted total expenses back to 1999</w:t>
      </w:r>
      <w:r w:rsidR="00A14D3E" w:rsidRPr="006B456E">
        <w:noBreakHyphen/>
      </w:r>
      <w:r w:rsidRPr="006B456E">
        <w:t>2000 to account for this change in accounting treatment.  The PBO accounted for this adjustment across</w:t>
      </w:r>
      <w:r w:rsidR="00A14D3E">
        <w:t xml:space="preserve"> functions over the period 2002</w:t>
      </w:r>
      <w:r w:rsidR="00A14D3E" w:rsidRPr="006B456E">
        <w:noBreakHyphen/>
      </w:r>
      <w:r w:rsidRPr="006B456E">
        <w:t>03 to 2004</w:t>
      </w:r>
      <w:r w:rsidR="00A14D3E" w:rsidRPr="006B456E">
        <w:noBreakHyphen/>
      </w:r>
      <w:r w:rsidRPr="006B456E">
        <w:t>05</w:t>
      </w:r>
      <w:r>
        <w:t xml:space="preserve"> using </w:t>
      </w:r>
      <w:r w:rsidRPr="006B456E">
        <w:t>available gov</w:t>
      </w:r>
      <w:r w:rsidR="0041689A">
        <w:t>ernment agency financial data.</w:t>
      </w:r>
    </w:p>
    <w:p w:rsidR="00256EE3" w:rsidRPr="006B456E" w:rsidRDefault="00256EE3" w:rsidP="00256EE3">
      <w:pPr>
        <w:pStyle w:val="ListParagraph"/>
        <w:numPr>
          <w:ilvl w:val="0"/>
          <w:numId w:val="23"/>
        </w:numPr>
        <w:ind w:left="284" w:hanging="284"/>
        <w:contextualSpacing w:val="0"/>
      </w:pPr>
      <w:r w:rsidRPr="006B456E">
        <w:t>In the 2006</w:t>
      </w:r>
      <w:r w:rsidR="00A14D3E" w:rsidRPr="006B456E">
        <w:noBreakHyphen/>
      </w:r>
      <w:r w:rsidRPr="006B456E">
        <w:t>07</w:t>
      </w:r>
      <w:r w:rsidR="0041689A">
        <w:t> </w:t>
      </w:r>
      <w:r w:rsidRPr="006B456E">
        <w:t xml:space="preserve">Budget, the accounting treatment of when the </w:t>
      </w:r>
      <w:r w:rsidRPr="00DB5AD8">
        <w:t>Australian Taxation Office</w:t>
      </w:r>
      <w:r>
        <w:t xml:space="preserve"> used the </w:t>
      </w:r>
      <w:r w:rsidRPr="006B456E">
        <w:t>Tax Liability M</w:t>
      </w:r>
      <w:r w:rsidR="00510B9C">
        <w:t>ethod</w:t>
      </w:r>
      <w:r w:rsidRPr="006B456E">
        <w:t xml:space="preserve"> or Economic Tr</w:t>
      </w:r>
      <w:r w:rsidR="00510B9C">
        <w:t>ansactions Method</w:t>
      </w:r>
      <w:r>
        <w:t xml:space="preserve"> </w:t>
      </w:r>
      <w:r w:rsidRPr="006B456E">
        <w:t>was changed.  This change in accounting treatment affected the rep</w:t>
      </w:r>
      <w:r w:rsidR="005411B8">
        <w:t xml:space="preserve">orting of fuel tax credits </w:t>
      </w:r>
      <w:r w:rsidR="005411B8" w:rsidRPr="00AD5E40">
        <w:t>and F</w:t>
      </w:r>
      <w:r w:rsidRPr="00AD5E40">
        <w:t>a</w:t>
      </w:r>
      <w:r w:rsidR="005411B8" w:rsidRPr="00AD5E40">
        <w:t>mily Tax B</w:t>
      </w:r>
      <w:r w:rsidRPr="00AD5E40">
        <w:t>enefit</w:t>
      </w:r>
      <w:r w:rsidRPr="006B456E">
        <w:t xml:space="preserve"> arrangements.  The Treasury adjusted total expenses back to 2000</w:t>
      </w:r>
      <w:r w:rsidR="00A14D3E" w:rsidRPr="006B456E">
        <w:noBreakHyphen/>
      </w:r>
      <w:r w:rsidRPr="006B456E">
        <w:t>01</w:t>
      </w:r>
      <w:r>
        <w:t xml:space="preserve"> to reflect this change</w:t>
      </w:r>
      <w:r w:rsidRPr="006B456E">
        <w:t xml:space="preserve">.  The PBO adjusted the function </w:t>
      </w:r>
      <w:r w:rsidRPr="0074070D">
        <w:rPr>
          <w:i/>
        </w:rPr>
        <w:t xml:space="preserve">social security and welfare </w:t>
      </w:r>
      <w:r w:rsidR="00A14D3E">
        <w:t>and the sub</w:t>
      </w:r>
      <w:r w:rsidR="00A14D3E" w:rsidRPr="006B456E">
        <w:noBreakHyphen/>
      </w:r>
      <w:r w:rsidRPr="006B456E">
        <w:t>function</w:t>
      </w:r>
      <w:r w:rsidRPr="0074070D">
        <w:rPr>
          <w:i/>
        </w:rPr>
        <w:t xml:space="preserve"> assistance to families with children </w:t>
      </w:r>
      <w:r w:rsidRPr="006B456E">
        <w:t xml:space="preserve">and the function </w:t>
      </w:r>
      <w:r w:rsidRPr="0074070D">
        <w:rPr>
          <w:i/>
        </w:rPr>
        <w:t>fuel and energy</w:t>
      </w:r>
      <w:r w:rsidR="00A14D3E">
        <w:t xml:space="preserve"> for the years 2002</w:t>
      </w:r>
      <w:r w:rsidR="00A14D3E" w:rsidRPr="006B456E">
        <w:noBreakHyphen/>
      </w:r>
      <w:r w:rsidRPr="006B456E">
        <w:t>03 and 2003</w:t>
      </w:r>
      <w:r w:rsidR="00A14D3E" w:rsidRPr="006B456E">
        <w:noBreakHyphen/>
      </w:r>
      <w:r w:rsidRPr="006B456E">
        <w:t>04.</w:t>
      </w:r>
    </w:p>
    <w:p w:rsidR="00256EE3" w:rsidRPr="006B456E" w:rsidRDefault="005411B8" w:rsidP="00256EE3">
      <w:pPr>
        <w:pStyle w:val="ListParagraph"/>
        <w:numPr>
          <w:ilvl w:val="0"/>
          <w:numId w:val="23"/>
        </w:numPr>
        <w:ind w:left="284" w:hanging="284"/>
        <w:contextualSpacing w:val="0"/>
      </w:pPr>
      <w:r w:rsidRPr="006B456E">
        <w:t>In the 2004</w:t>
      </w:r>
      <w:r w:rsidR="00A14D3E" w:rsidRPr="006B456E">
        <w:noBreakHyphen/>
      </w:r>
      <w:r w:rsidR="00A14D3E">
        <w:t>05 </w:t>
      </w:r>
      <w:r w:rsidRPr="006B456E">
        <w:t>MYEFO, expenses were increased to include the dairy structural adjustment fund.  The Treasury back-cast total expenses to 1999</w:t>
      </w:r>
      <w:r w:rsidR="00A14D3E" w:rsidRPr="006B456E">
        <w:noBreakHyphen/>
      </w:r>
      <w:r w:rsidRPr="006B456E">
        <w:t xml:space="preserve">2000. The PBO adjusted the function </w:t>
      </w:r>
      <w:r w:rsidRPr="0074070D">
        <w:rPr>
          <w:i/>
        </w:rPr>
        <w:t>agriculture, forestry and fishing</w:t>
      </w:r>
      <w:r w:rsidRPr="006B456E">
        <w:t xml:space="preserve"> and the sub-function </w:t>
      </w:r>
      <w:r w:rsidRPr="0074070D">
        <w:rPr>
          <w:i/>
        </w:rPr>
        <w:t>dairy industry</w:t>
      </w:r>
      <w:r w:rsidRPr="006B456E">
        <w:t xml:space="preserve"> for the 2002</w:t>
      </w:r>
      <w:r w:rsidR="00A14D3E" w:rsidRPr="006B456E">
        <w:noBreakHyphen/>
      </w:r>
      <w:r w:rsidRPr="006B456E">
        <w:t>03 year</w:t>
      </w:r>
      <w:r w:rsidR="00256EE3" w:rsidRPr="006B456E">
        <w:t>.</w:t>
      </w:r>
    </w:p>
    <w:p w:rsidR="00256EE3" w:rsidRPr="006B456E" w:rsidRDefault="00256EE3" w:rsidP="00256EE3">
      <w:pPr>
        <w:pStyle w:val="ListParagraph"/>
        <w:numPr>
          <w:ilvl w:val="0"/>
          <w:numId w:val="23"/>
        </w:numPr>
        <w:ind w:left="284" w:hanging="284"/>
        <w:contextualSpacing w:val="0"/>
      </w:pPr>
      <w:r w:rsidRPr="006B456E">
        <w:t>In the 2003-04 FBO, expenses wer</w:t>
      </w:r>
      <w:r w:rsidR="005411B8">
        <w:t xml:space="preserve">e increased to include </w:t>
      </w:r>
      <w:r w:rsidRPr="006B456E">
        <w:t>Telstra’s Un</w:t>
      </w:r>
      <w:r w:rsidR="00510B9C">
        <w:t>iversal Service Obligation</w:t>
      </w:r>
      <w:r w:rsidRPr="006B456E">
        <w:t>.  The Treasury back-cast total expenses to 1999</w:t>
      </w:r>
      <w:r w:rsidRPr="006B456E">
        <w:noBreakHyphen/>
        <w:t xml:space="preserve">2000.  The PBO adjusted the function </w:t>
      </w:r>
      <w:r w:rsidRPr="0074070D">
        <w:rPr>
          <w:i/>
        </w:rPr>
        <w:t>transport and communication</w:t>
      </w:r>
      <w:r w:rsidRPr="006B456E">
        <w:t xml:space="preserve"> and the sub</w:t>
      </w:r>
      <w:r w:rsidRPr="006B456E">
        <w:noBreakHyphen/>
        <w:t xml:space="preserve">function </w:t>
      </w:r>
      <w:r w:rsidRPr="0074070D">
        <w:rPr>
          <w:i/>
        </w:rPr>
        <w:t>communication</w:t>
      </w:r>
      <w:r w:rsidRPr="006B456E">
        <w:t xml:space="preserve"> for the 2002</w:t>
      </w:r>
      <w:r w:rsidR="00A14D3E" w:rsidRPr="006B456E">
        <w:noBreakHyphen/>
      </w:r>
      <w:r w:rsidRPr="006B456E">
        <w:t>03 year.</w:t>
      </w:r>
    </w:p>
    <w:p w:rsidR="00256EE3" w:rsidRDefault="00256EE3" w:rsidP="00256EE3">
      <w:pPr>
        <w:pStyle w:val="PBOheading2"/>
      </w:pPr>
      <w:r>
        <w:t xml:space="preserve">Reclassifications between functions </w:t>
      </w:r>
    </w:p>
    <w:p w:rsidR="00256EE3" w:rsidRPr="006B456E" w:rsidRDefault="00256EE3" w:rsidP="00256EE3">
      <w:r w:rsidRPr="006B456E">
        <w:t>Over time, the reporting of programs has changed from one function to another</w:t>
      </w:r>
      <w:r>
        <w:t xml:space="preserve"> and t</w:t>
      </w:r>
      <w:r w:rsidRPr="006B456E">
        <w:t>his data</w:t>
      </w:r>
      <w:r>
        <w:t xml:space="preserve"> </w:t>
      </w:r>
      <w:r w:rsidRPr="006B456E">
        <w:t>set has been adjusted where data is available.</w:t>
      </w:r>
    </w:p>
    <w:p w:rsidR="00256EE3" w:rsidRPr="006B456E" w:rsidRDefault="00256EE3" w:rsidP="00256EE3">
      <w:r w:rsidRPr="006B456E">
        <w:t>These necessary adjustments are</w:t>
      </w:r>
      <w:r>
        <w:t xml:space="preserve"> as follows</w:t>
      </w:r>
      <w:r w:rsidRPr="006B456E">
        <w:t>:</w:t>
      </w:r>
    </w:p>
    <w:p w:rsidR="00256EE3" w:rsidRDefault="005411B8" w:rsidP="00256EE3">
      <w:pPr>
        <w:pStyle w:val="ListParagraph"/>
        <w:numPr>
          <w:ilvl w:val="0"/>
          <w:numId w:val="24"/>
        </w:numPr>
        <w:ind w:left="284" w:hanging="284"/>
        <w:contextualSpacing w:val="0"/>
      </w:pPr>
      <w:r w:rsidRPr="006B456E">
        <w:t>In the 2007</w:t>
      </w:r>
      <w:r w:rsidR="00A14D3E" w:rsidRPr="006B456E">
        <w:noBreakHyphen/>
      </w:r>
      <w:r w:rsidRPr="00B068C3">
        <w:t xml:space="preserve">08 FBO, the accounting treatment for concessional loans </w:t>
      </w:r>
      <w:r w:rsidR="00AD5E40" w:rsidRPr="00B068C3">
        <w:t xml:space="preserve">was </w:t>
      </w:r>
      <w:r w:rsidRPr="00B068C3">
        <w:t xml:space="preserve">changed, as specified in the section above, and the adjustments were recorded against </w:t>
      </w:r>
      <w:r w:rsidRPr="00B068C3">
        <w:rPr>
          <w:i/>
        </w:rPr>
        <w:t>higher education</w:t>
      </w:r>
      <w:r w:rsidRPr="00B068C3">
        <w:t>.  In 2009</w:t>
      </w:r>
      <w:r w:rsidR="00A14D3E" w:rsidRPr="006B456E">
        <w:noBreakHyphen/>
      </w:r>
      <w:r w:rsidRPr="00B068C3">
        <w:t>10, concessional loans for HELP</w:t>
      </w:r>
      <w:r w:rsidR="00AD5E40" w:rsidRPr="00B068C3">
        <w:t xml:space="preserve"> were</w:t>
      </w:r>
      <w:r w:rsidRPr="00B068C3">
        <w:t xml:space="preserve"> moved from </w:t>
      </w:r>
      <w:r w:rsidRPr="00B068C3">
        <w:rPr>
          <w:i/>
        </w:rPr>
        <w:t xml:space="preserve">higher education </w:t>
      </w:r>
      <w:r w:rsidRPr="00B068C3">
        <w:t xml:space="preserve">and </w:t>
      </w:r>
      <w:r w:rsidR="00AD5E40" w:rsidRPr="00B068C3">
        <w:t>are</w:t>
      </w:r>
      <w:r w:rsidRPr="00B068C3">
        <w:t xml:space="preserve"> now reported against </w:t>
      </w:r>
      <w:r w:rsidRPr="00B068C3">
        <w:rPr>
          <w:i/>
        </w:rPr>
        <w:t>student assistance.</w:t>
      </w:r>
      <w:r w:rsidRPr="00B068C3">
        <w:t xml:space="preserve">  The data </w:t>
      </w:r>
      <w:r w:rsidR="00A14D3E">
        <w:t>set has been adjusted from 2005</w:t>
      </w:r>
      <w:r w:rsidR="00A14D3E" w:rsidRPr="006B456E">
        <w:noBreakHyphen/>
      </w:r>
      <w:r w:rsidR="00A14D3E">
        <w:t>0</w:t>
      </w:r>
      <w:r w:rsidRPr="00B068C3">
        <w:t>6 to 2008</w:t>
      </w:r>
      <w:r w:rsidR="00A14D3E" w:rsidRPr="006B456E">
        <w:noBreakHyphen/>
      </w:r>
      <w:r w:rsidRPr="00B068C3">
        <w:t>09, so that the historical series is consistent with the current treatment for concessional</w:t>
      </w:r>
      <w:r w:rsidRPr="006B456E">
        <w:t xml:space="preserve"> loans in the sub</w:t>
      </w:r>
      <w:r w:rsidRPr="006B456E">
        <w:noBreakHyphen/>
        <w:t xml:space="preserve">function </w:t>
      </w:r>
      <w:r w:rsidRPr="0074070D">
        <w:rPr>
          <w:i/>
        </w:rPr>
        <w:t>student assistance</w:t>
      </w:r>
      <w:r w:rsidR="00256EE3" w:rsidRPr="006B456E">
        <w:t>.</w:t>
      </w:r>
    </w:p>
    <w:p w:rsidR="00256EE3" w:rsidRPr="00AD5E40" w:rsidRDefault="005411B8" w:rsidP="00256EE3">
      <w:pPr>
        <w:pStyle w:val="ListParagraph"/>
        <w:numPr>
          <w:ilvl w:val="0"/>
          <w:numId w:val="24"/>
        </w:numPr>
        <w:ind w:left="284" w:hanging="284"/>
        <w:contextualSpacing w:val="0"/>
      </w:pPr>
      <w:r w:rsidRPr="006B456E">
        <w:t>The implementation of the review Operation Sunlight in 20</w:t>
      </w:r>
      <w:r>
        <w:t>09</w:t>
      </w:r>
      <w:r w:rsidR="00A14D3E" w:rsidRPr="006B456E">
        <w:noBreakHyphen/>
      </w:r>
      <w:r>
        <w:t>10</w:t>
      </w:r>
      <w:r w:rsidRPr="006B456E">
        <w:t xml:space="preserve"> caused some specific purpose payments </w:t>
      </w:r>
      <w:r>
        <w:t xml:space="preserve">and program data </w:t>
      </w:r>
      <w:r w:rsidRPr="006B456E">
        <w:t xml:space="preserve">to be reclassified </w:t>
      </w:r>
      <w:r>
        <w:t>to</w:t>
      </w:r>
      <w:r w:rsidRPr="006B456E">
        <w:t xml:space="preserve"> different sub-functions without affecting aggregate expenses.  These movements have bee</w:t>
      </w:r>
      <w:r>
        <w:t>n back-cast to the specific sub</w:t>
      </w:r>
      <w:r>
        <w:noBreakHyphen/>
      </w:r>
      <w:r w:rsidRPr="006B456E">
        <w:t>functions</w:t>
      </w:r>
      <w:r>
        <w:t xml:space="preserve"> where </w:t>
      </w:r>
      <w:r w:rsidR="00A14D3E">
        <w:t>data is available from 2002</w:t>
      </w:r>
      <w:r w:rsidR="00A14D3E" w:rsidRPr="006B456E">
        <w:noBreakHyphen/>
      </w:r>
      <w:r w:rsidRPr="00AD5E40">
        <w:t>03 to 2008</w:t>
      </w:r>
      <w:r w:rsidR="00A14D3E" w:rsidRPr="006B456E">
        <w:noBreakHyphen/>
      </w:r>
      <w:r w:rsidRPr="00AD5E40">
        <w:t>09</w:t>
      </w:r>
      <w:r w:rsidR="00256EE3" w:rsidRPr="00AD5E40">
        <w:t>.</w:t>
      </w:r>
    </w:p>
    <w:p w:rsidR="000372CA" w:rsidRDefault="000372CA">
      <w:pPr>
        <w:spacing w:before="0" w:after="200" w:line="252" w:lineRule="auto"/>
      </w:pPr>
      <w:r>
        <w:br w:type="page"/>
      </w:r>
    </w:p>
    <w:p w:rsidR="00256EE3" w:rsidRPr="00AD5E40" w:rsidRDefault="00256EE3" w:rsidP="00256EE3">
      <w:r w:rsidRPr="00AD5E40">
        <w:lastRenderedPageBreak/>
        <w:t>Programs that have been reclassified because of Operation Sunlight include:</w:t>
      </w:r>
    </w:p>
    <w:p w:rsidR="00256EE3" w:rsidRPr="00AD5E40" w:rsidRDefault="005411B8" w:rsidP="00256EE3">
      <w:pPr>
        <w:pStyle w:val="ListParagraph"/>
        <w:numPr>
          <w:ilvl w:val="0"/>
          <w:numId w:val="24"/>
        </w:numPr>
        <w:ind w:left="284" w:hanging="284"/>
        <w:contextualSpacing w:val="0"/>
      </w:pPr>
      <w:r w:rsidRPr="00AD5E40">
        <w:rPr>
          <w:i/>
        </w:rPr>
        <w:t>Common youth allowance</w:t>
      </w:r>
      <w:r w:rsidRPr="00AD5E40">
        <w:t xml:space="preserve"> was reported as a sub-function in the </w:t>
      </w:r>
      <w:r w:rsidRPr="00AD5E40">
        <w:rPr>
          <w:i/>
        </w:rPr>
        <w:t>social security and welfare</w:t>
      </w:r>
      <w:r w:rsidRPr="00AD5E40">
        <w:t xml:space="preserve"> function until the 2009</w:t>
      </w:r>
      <w:r w:rsidRPr="00AD5E40">
        <w:noBreakHyphen/>
        <w:t>10 FBO. It contained</w:t>
      </w:r>
      <w:r w:rsidRPr="006B456E">
        <w:t xml:space="preserve"> four programs, </w:t>
      </w:r>
      <w:r w:rsidRPr="0074070D">
        <w:rPr>
          <w:i/>
        </w:rPr>
        <w:t>youth allowance (school student), youth allowance (higher education), youth allowance (VET)</w:t>
      </w:r>
      <w:r w:rsidRPr="006B456E">
        <w:t xml:space="preserve"> and </w:t>
      </w:r>
      <w:r w:rsidRPr="0074070D">
        <w:rPr>
          <w:i/>
        </w:rPr>
        <w:t xml:space="preserve">youth allowance (other) </w:t>
      </w:r>
      <w:r w:rsidRPr="006B456E">
        <w:t>which were report</w:t>
      </w:r>
      <w:r w:rsidR="00A14D3E">
        <w:t>ed in other functions from 2009</w:t>
      </w:r>
      <w:r w:rsidR="00A14D3E" w:rsidRPr="006B456E">
        <w:noBreakHyphen/>
      </w:r>
      <w:r w:rsidRPr="006B456E">
        <w:t>10</w:t>
      </w:r>
      <w:r w:rsidRPr="0074070D">
        <w:rPr>
          <w:i/>
        </w:rPr>
        <w:t>.</w:t>
      </w:r>
      <w:r w:rsidRPr="006B456E">
        <w:t xml:space="preserve">  The data</w:t>
      </w:r>
      <w:r>
        <w:t xml:space="preserve"> </w:t>
      </w:r>
      <w:r w:rsidRPr="006B456E">
        <w:t>set has been adjusted to reflect these movement</w:t>
      </w:r>
      <w:r>
        <w:t>s</w:t>
      </w:r>
      <w:r w:rsidRPr="006B456E">
        <w:t xml:space="preserve"> of these programs between functions.  </w:t>
      </w:r>
      <w:r w:rsidRPr="0074070D">
        <w:rPr>
          <w:i/>
        </w:rPr>
        <w:t>Youth allowance (other)</w:t>
      </w:r>
      <w:r w:rsidRPr="006B456E">
        <w:t xml:space="preserve"> was moved to </w:t>
      </w:r>
      <w:r w:rsidRPr="0074070D">
        <w:rPr>
          <w:i/>
        </w:rPr>
        <w:t xml:space="preserve">assistance to </w:t>
      </w:r>
      <w:r w:rsidRPr="00AD5E40">
        <w:rPr>
          <w:i/>
        </w:rPr>
        <w:t>the unemployed and the sick</w:t>
      </w:r>
      <w:r w:rsidRPr="00AD5E40">
        <w:t xml:space="preserve"> in the function </w:t>
      </w:r>
      <w:r w:rsidRPr="00AD5E40">
        <w:rPr>
          <w:i/>
        </w:rPr>
        <w:t>social security and welfare</w:t>
      </w:r>
      <w:r w:rsidRPr="00AD5E40">
        <w:t xml:space="preserve">, and the other three programs were moved to </w:t>
      </w:r>
      <w:r w:rsidRPr="00AD5E40">
        <w:rPr>
          <w:i/>
        </w:rPr>
        <w:t>student assistance</w:t>
      </w:r>
      <w:r w:rsidRPr="00AD5E40">
        <w:t xml:space="preserve"> in the function </w:t>
      </w:r>
      <w:r w:rsidRPr="00AD5E40">
        <w:rPr>
          <w:i/>
        </w:rPr>
        <w:t>education</w:t>
      </w:r>
      <w:r w:rsidR="00256EE3" w:rsidRPr="00AD5E40">
        <w:t>.</w:t>
      </w:r>
    </w:p>
    <w:p w:rsidR="00256EE3" w:rsidRPr="00AD5E40" w:rsidRDefault="00256EE3" w:rsidP="00256EE3">
      <w:pPr>
        <w:pStyle w:val="ListParagraph"/>
        <w:numPr>
          <w:ilvl w:val="0"/>
          <w:numId w:val="24"/>
        </w:numPr>
        <w:ind w:left="284" w:hanging="284"/>
        <w:contextualSpacing w:val="0"/>
      </w:pPr>
      <w:r w:rsidRPr="00AD5E40">
        <w:t xml:space="preserve">The programs </w:t>
      </w:r>
      <w:r w:rsidRPr="00AD5E40">
        <w:rPr>
          <w:i/>
        </w:rPr>
        <w:t>crisis accommodation assistance</w:t>
      </w:r>
      <w:r w:rsidRPr="00AD5E40">
        <w:t xml:space="preserve"> and </w:t>
      </w:r>
      <w:r w:rsidRPr="00AD5E40">
        <w:rPr>
          <w:i/>
        </w:rPr>
        <w:t xml:space="preserve">supported accommodation assistance </w:t>
      </w:r>
      <w:r w:rsidRPr="00AD5E40">
        <w:t xml:space="preserve">were moved from the </w:t>
      </w:r>
      <w:r w:rsidRPr="00AD5E40">
        <w:rPr>
          <w:i/>
        </w:rPr>
        <w:t>assistance to families with children</w:t>
      </w:r>
      <w:r w:rsidRPr="00AD5E40">
        <w:t xml:space="preserve"> sub-function to </w:t>
      </w:r>
      <w:r w:rsidRPr="00AD5E40">
        <w:rPr>
          <w:i/>
        </w:rPr>
        <w:t>housing.</w:t>
      </w:r>
    </w:p>
    <w:p w:rsidR="00256EE3" w:rsidRPr="00AD5E40" w:rsidRDefault="005411B8" w:rsidP="00256EE3">
      <w:pPr>
        <w:pStyle w:val="ListParagraph"/>
        <w:numPr>
          <w:ilvl w:val="0"/>
          <w:numId w:val="24"/>
        </w:numPr>
        <w:ind w:left="284" w:hanging="284"/>
        <w:contextualSpacing w:val="0"/>
      </w:pPr>
      <w:r w:rsidRPr="00AD5E40">
        <w:t xml:space="preserve">The program </w:t>
      </w:r>
      <w:proofErr w:type="gramStart"/>
      <w:r w:rsidRPr="00AD5E40">
        <w:rPr>
          <w:i/>
        </w:rPr>
        <w:t xml:space="preserve">services to territories </w:t>
      </w:r>
      <w:r w:rsidRPr="00AD5E40">
        <w:t>was</w:t>
      </w:r>
      <w:proofErr w:type="gramEnd"/>
      <w:r w:rsidRPr="00AD5E40">
        <w:t xml:space="preserve"> reclassified from the sub-function </w:t>
      </w:r>
      <w:r w:rsidRPr="00AD5E40">
        <w:rPr>
          <w:i/>
        </w:rPr>
        <w:t xml:space="preserve">financial and fiscal affairs </w:t>
      </w:r>
      <w:r w:rsidRPr="00AD5E40">
        <w:t xml:space="preserve">to the </w:t>
      </w:r>
      <w:r w:rsidRPr="00AD5E40">
        <w:rPr>
          <w:i/>
        </w:rPr>
        <w:t xml:space="preserve">urban and regional development </w:t>
      </w:r>
      <w:r w:rsidRPr="00AD5E40">
        <w:t>sub-function</w:t>
      </w:r>
      <w:r w:rsidR="00256EE3" w:rsidRPr="00AD5E40">
        <w:t>.</w:t>
      </w:r>
    </w:p>
    <w:p w:rsidR="00256EE3" w:rsidRPr="00AD5E40" w:rsidRDefault="00256EE3" w:rsidP="00256EE3">
      <w:pPr>
        <w:pStyle w:val="ListParagraph"/>
        <w:numPr>
          <w:ilvl w:val="0"/>
          <w:numId w:val="24"/>
        </w:numPr>
        <w:ind w:left="284" w:hanging="284"/>
        <w:contextualSpacing w:val="0"/>
      </w:pPr>
      <w:r w:rsidRPr="00AD5E40">
        <w:t xml:space="preserve">The program </w:t>
      </w:r>
      <w:r w:rsidRPr="00AD5E40">
        <w:rPr>
          <w:i/>
        </w:rPr>
        <w:t>innovative industry</w:t>
      </w:r>
      <w:r w:rsidRPr="00AD5E40">
        <w:t xml:space="preserve"> was reclassified from the </w:t>
      </w:r>
      <w:r w:rsidRPr="00AD5E40">
        <w:rPr>
          <w:i/>
        </w:rPr>
        <w:t xml:space="preserve">general research </w:t>
      </w:r>
      <w:r w:rsidRPr="00AD5E40">
        <w:t xml:space="preserve">sub-function to the </w:t>
      </w:r>
      <w:r w:rsidRPr="00AD5E40">
        <w:rPr>
          <w:i/>
        </w:rPr>
        <w:t xml:space="preserve">other economic affairs </w:t>
      </w:r>
      <w:r w:rsidRPr="00AD5E40">
        <w:t>sub</w:t>
      </w:r>
      <w:r w:rsidR="00A14D3E" w:rsidRPr="006B456E">
        <w:noBreakHyphen/>
      </w:r>
      <w:r w:rsidRPr="00AD5E40">
        <w:t>function.</w:t>
      </w:r>
    </w:p>
    <w:p w:rsidR="00256EE3" w:rsidRPr="00AD5E40" w:rsidRDefault="005411B8" w:rsidP="00256EE3">
      <w:pPr>
        <w:pStyle w:val="ListParagraph"/>
        <w:numPr>
          <w:ilvl w:val="0"/>
          <w:numId w:val="24"/>
        </w:numPr>
        <w:ind w:left="284" w:hanging="284"/>
        <w:contextualSpacing w:val="0"/>
      </w:pPr>
      <w:r w:rsidRPr="00AD5E40">
        <w:t xml:space="preserve">Some of the former Department of Education, Employment and Workplace Relations departmental expenses were reclassified to the </w:t>
      </w:r>
      <w:r w:rsidRPr="00AD5E40">
        <w:rPr>
          <w:i/>
        </w:rPr>
        <w:t xml:space="preserve">education </w:t>
      </w:r>
      <w:r w:rsidRPr="00AD5E40">
        <w:t xml:space="preserve">function’s </w:t>
      </w:r>
      <w:r w:rsidRPr="00AD5E40">
        <w:rPr>
          <w:i/>
        </w:rPr>
        <w:t>general administration</w:t>
      </w:r>
      <w:r w:rsidRPr="00AD5E40">
        <w:t xml:space="preserve"> sub</w:t>
      </w:r>
      <w:r w:rsidR="0041689A" w:rsidRPr="006B456E">
        <w:noBreakHyphen/>
      </w:r>
      <w:r w:rsidRPr="00AD5E40">
        <w:t>function</w:t>
      </w:r>
      <w:r w:rsidR="00256EE3" w:rsidRPr="00AD5E40">
        <w:t>.</w:t>
      </w:r>
    </w:p>
    <w:p w:rsidR="00256EE3" w:rsidRPr="00AD5E40" w:rsidRDefault="00256EE3" w:rsidP="00256EE3">
      <w:pPr>
        <w:pStyle w:val="ListParagraph"/>
        <w:numPr>
          <w:ilvl w:val="0"/>
          <w:numId w:val="24"/>
        </w:numPr>
        <w:ind w:left="284" w:hanging="284"/>
        <w:contextualSpacing w:val="0"/>
      </w:pPr>
      <w:r w:rsidRPr="00AD5E40">
        <w:rPr>
          <w:i/>
        </w:rPr>
        <w:t>Health assistance to the aged</w:t>
      </w:r>
      <w:r w:rsidRPr="00AD5E40">
        <w:t xml:space="preserve"> was reported as a sub-function in the </w:t>
      </w:r>
      <w:r w:rsidRPr="00AD5E40">
        <w:rPr>
          <w:i/>
        </w:rPr>
        <w:t xml:space="preserve">health </w:t>
      </w:r>
      <w:r w:rsidRPr="00AD5E40">
        <w:t>function until the 2008</w:t>
      </w:r>
      <w:r w:rsidRPr="00AD5E40">
        <w:noBreakHyphen/>
        <w:t xml:space="preserve">09 FBO.  It was reclassified to the </w:t>
      </w:r>
      <w:r w:rsidRPr="00AD5E40">
        <w:rPr>
          <w:i/>
        </w:rPr>
        <w:t xml:space="preserve">assistance to the aged </w:t>
      </w:r>
      <w:r w:rsidRPr="00AD5E40">
        <w:t>sub</w:t>
      </w:r>
      <w:r w:rsidR="0041689A" w:rsidRPr="006B456E">
        <w:noBreakHyphen/>
      </w:r>
      <w:r w:rsidRPr="00AD5E40">
        <w:t>function.</w:t>
      </w:r>
    </w:p>
    <w:p w:rsidR="00256EE3" w:rsidRDefault="005411B8" w:rsidP="00256EE3">
      <w:pPr>
        <w:pStyle w:val="ListParagraph"/>
        <w:numPr>
          <w:ilvl w:val="0"/>
          <w:numId w:val="24"/>
        </w:numPr>
        <w:ind w:left="284" w:hanging="284"/>
        <w:contextualSpacing w:val="0"/>
      </w:pPr>
      <w:r w:rsidRPr="00AD5E40">
        <w:t xml:space="preserve">The </w:t>
      </w:r>
      <w:r w:rsidRPr="00AD5E40">
        <w:rPr>
          <w:i/>
        </w:rPr>
        <w:t>Australian Antarctic Division</w:t>
      </w:r>
      <w:r w:rsidRPr="00AD5E40">
        <w:t xml:space="preserve"> was reclassified from the </w:t>
      </w:r>
      <w:r w:rsidRPr="00AD5E40">
        <w:rPr>
          <w:i/>
        </w:rPr>
        <w:t>environmental protection</w:t>
      </w:r>
      <w:r w:rsidRPr="00AD5E40">
        <w:t xml:space="preserve"> sub</w:t>
      </w:r>
      <w:r w:rsidRPr="00AD5E40">
        <w:noBreakHyphen/>
        <w:t xml:space="preserve">function to the </w:t>
      </w:r>
      <w:r w:rsidRPr="00AD5E40">
        <w:rPr>
          <w:i/>
        </w:rPr>
        <w:t>national estate and parks</w:t>
      </w:r>
      <w:r w:rsidRPr="00AD5E40">
        <w:t xml:space="preserve"> sub</w:t>
      </w:r>
      <w:r w:rsidR="0041689A" w:rsidRPr="006B456E">
        <w:noBreakHyphen/>
      </w:r>
      <w:r w:rsidRPr="00AD5E40">
        <w:t>function</w:t>
      </w:r>
      <w:r w:rsidR="00256EE3">
        <w:t>.</w:t>
      </w:r>
    </w:p>
    <w:p w:rsidR="00256EE3" w:rsidRPr="006B456E" w:rsidRDefault="00256EE3" w:rsidP="00256EE3">
      <w:pPr>
        <w:pStyle w:val="ListParagraph"/>
        <w:numPr>
          <w:ilvl w:val="0"/>
          <w:numId w:val="24"/>
        </w:numPr>
        <w:ind w:left="284" w:hanging="284"/>
        <w:contextualSpacing w:val="0"/>
      </w:pPr>
      <w:r>
        <w:t xml:space="preserve">The programs </w:t>
      </w:r>
      <w:r>
        <w:rPr>
          <w:i/>
        </w:rPr>
        <w:t xml:space="preserve">trade, education and investment development </w:t>
      </w:r>
      <w:r>
        <w:t xml:space="preserve">and the </w:t>
      </w:r>
      <w:r>
        <w:rPr>
          <w:i/>
        </w:rPr>
        <w:t>export development grant scheme</w:t>
      </w:r>
      <w:r>
        <w:t xml:space="preserve"> were reclassified from the </w:t>
      </w:r>
      <w:r>
        <w:rPr>
          <w:i/>
        </w:rPr>
        <w:t>mining, manufacturing and construction</w:t>
      </w:r>
      <w:r>
        <w:t xml:space="preserve"> function to the </w:t>
      </w:r>
      <w:r>
        <w:rPr>
          <w:i/>
        </w:rPr>
        <w:t xml:space="preserve">other economic affairs </w:t>
      </w:r>
      <w:proofErr w:type="spellStart"/>
      <w:proofErr w:type="gramStart"/>
      <w:r>
        <w:rPr>
          <w:i/>
        </w:rPr>
        <w:t>nec</w:t>
      </w:r>
      <w:proofErr w:type="spellEnd"/>
      <w:proofErr w:type="gramEnd"/>
      <w:r>
        <w:rPr>
          <w:i/>
        </w:rPr>
        <w:t xml:space="preserve"> </w:t>
      </w:r>
      <w:r>
        <w:t>sub</w:t>
      </w:r>
      <w:r w:rsidR="0041689A" w:rsidRPr="006B456E">
        <w:noBreakHyphen/>
      </w:r>
      <w:r>
        <w:t>function.</w:t>
      </w:r>
    </w:p>
    <w:p w:rsidR="00E14DAC" w:rsidRPr="007A7E03" w:rsidRDefault="00E14DAC" w:rsidP="00E14DAC"/>
    <w:p w:rsidR="00E14DAC" w:rsidRDefault="00E14DAC" w:rsidP="00E14DAC">
      <w:pPr>
        <w:sectPr w:rsidR="00E14DAC" w:rsidSect="0099638E">
          <w:footerReference w:type="default" r:id="rId81"/>
          <w:pgSz w:w="11900" w:h="16840"/>
          <w:pgMar w:top="1440" w:right="1797" w:bottom="1440" w:left="1797" w:header="709" w:footer="709" w:gutter="0"/>
          <w:cols w:space="708"/>
          <w:titlePg/>
          <w:docGrid w:linePitch="326"/>
        </w:sectPr>
      </w:pPr>
    </w:p>
    <w:p w:rsidR="00E14DAC" w:rsidRDefault="00E14DAC" w:rsidP="003D676E">
      <w:pPr>
        <w:pStyle w:val="Heading1"/>
        <w:numPr>
          <w:ilvl w:val="0"/>
          <w:numId w:val="45"/>
        </w:numPr>
        <w:ind w:left="709" w:hanging="709"/>
      </w:pPr>
      <w:bookmarkStart w:id="284" w:name="_Toc372697996"/>
      <w:bookmarkStart w:id="285" w:name="_Toc373778504"/>
      <w:bookmarkStart w:id="286" w:name="_Toc374182878"/>
      <w:bookmarkStart w:id="287" w:name="_Toc374349474"/>
      <w:r>
        <w:lastRenderedPageBreak/>
        <w:t>Fiscal stimulus spending</w:t>
      </w:r>
      <w:bookmarkEnd w:id="284"/>
      <w:bookmarkEnd w:id="285"/>
      <w:bookmarkEnd w:id="286"/>
      <w:bookmarkEnd w:id="287"/>
    </w:p>
    <w:p w:rsidR="00E14DAC" w:rsidRDefault="00E14DAC" w:rsidP="00E14DAC">
      <w:pPr>
        <w:pStyle w:val="Heading20"/>
      </w:pPr>
      <w:bookmarkStart w:id="288" w:name="_Toc372697997"/>
      <w:r>
        <w:t>Estimates of fiscal stimulus spending</w:t>
      </w:r>
      <w:bookmarkEnd w:id="288"/>
    </w:p>
    <w:p w:rsidR="00E14DAC" w:rsidRDefault="00E14DAC" w:rsidP="00E14DAC">
      <w:r>
        <w:t>In response to t</w:t>
      </w:r>
      <w:r w:rsidR="00510B9C">
        <w:t>he Global Financial Crisis</w:t>
      </w:r>
      <w:r>
        <w:t xml:space="preserve">, the Australian </w:t>
      </w:r>
      <w:r w:rsidRPr="00290916">
        <w:t>Government</w:t>
      </w:r>
      <w:r>
        <w:t xml:space="preserve"> engaged in temporary fiscal stimulus spending.  </w:t>
      </w:r>
      <w:r w:rsidRPr="006125A0">
        <w:t xml:space="preserve">Given its large size and its temporary nature, the analysis </w:t>
      </w:r>
      <w:r>
        <w:t xml:space="preserve">contained in this report identifies expenses </w:t>
      </w:r>
      <w:r w:rsidR="00325F02">
        <w:t>by categories</w:t>
      </w:r>
      <w:r>
        <w:t xml:space="preserve"> that contain </w:t>
      </w:r>
      <w:r w:rsidRPr="006125A0">
        <w:t xml:space="preserve">fiscal stimulus </w:t>
      </w:r>
      <w:r>
        <w:t>spending</w:t>
      </w:r>
      <w:r w:rsidRPr="006125A0">
        <w:t>.</w:t>
      </w:r>
    </w:p>
    <w:p w:rsidR="00E14DAC" w:rsidRPr="005A199D" w:rsidRDefault="00E14DAC" w:rsidP="00E14DAC">
      <w:r w:rsidRPr="00415EF3">
        <w:t xml:space="preserve">To determine the size and profile of the fiscal stimulus, the </w:t>
      </w:r>
      <w:r>
        <w:t xml:space="preserve">PBO examined </w:t>
      </w:r>
      <w:r w:rsidRPr="00415EF3">
        <w:t xml:space="preserve">spending packages </w:t>
      </w:r>
      <w:r w:rsidRPr="005A199D">
        <w:t xml:space="preserve">identified in Treasury (2009) and adjusted these figures to ensure that the fiscal stimulus only included expense items that were one-off in nature.  </w:t>
      </w:r>
      <w:r w:rsidR="006B0D43" w:rsidRPr="005A199D">
        <w:t xml:space="preserve">These figures were also </w:t>
      </w:r>
      <w:r w:rsidR="004425BC" w:rsidRPr="005A199D">
        <w:t>updated</w:t>
      </w:r>
      <w:r w:rsidR="006B0D43" w:rsidRPr="005A199D">
        <w:t xml:space="preserve"> for actual expenses data </w:t>
      </w:r>
      <w:r w:rsidR="004425BC" w:rsidRPr="005A199D">
        <w:t xml:space="preserve">where information </w:t>
      </w:r>
      <w:r w:rsidR="006B0D43" w:rsidRPr="005A199D">
        <w:t xml:space="preserve">was publicly available.  </w:t>
      </w:r>
      <w:r w:rsidRPr="005A199D">
        <w:t>On this basis, the fi</w:t>
      </w:r>
      <w:r w:rsidR="004425BC" w:rsidRPr="005A199D">
        <w:t>scal stimulus spending comprised</w:t>
      </w:r>
      <w:r w:rsidRPr="005A199D">
        <w:t xml:space="preserve"> policy decisions announced as part of the </w:t>
      </w:r>
      <w:r w:rsidRPr="005A199D">
        <w:rPr>
          <w:i/>
        </w:rPr>
        <w:t>Economic Security Strategy Package</w:t>
      </w:r>
      <w:r w:rsidRPr="005A199D">
        <w:t xml:space="preserve">, the </w:t>
      </w:r>
      <w:r w:rsidRPr="005A199D">
        <w:rPr>
          <w:i/>
        </w:rPr>
        <w:t xml:space="preserve">Nation Building and Jobs Plan </w:t>
      </w:r>
      <w:r w:rsidRPr="005A199D">
        <w:t xml:space="preserve">and the </w:t>
      </w:r>
      <w:r w:rsidRPr="005A199D">
        <w:rPr>
          <w:i/>
        </w:rPr>
        <w:t>Nation Building Package</w:t>
      </w:r>
      <w:r w:rsidRPr="005A199D">
        <w:t>, all reported in the 2009 Updated Ec</w:t>
      </w:r>
      <w:r w:rsidR="00510B9C">
        <w:t>onomic and Fiscal Outlook</w:t>
      </w:r>
      <w:r w:rsidRPr="005A199D">
        <w:t>, and some non-ongoing COAG reform and infrastructure spending announced in the</w:t>
      </w:r>
      <w:r w:rsidR="0041689A" w:rsidRPr="005A199D">
        <w:t xml:space="preserve"> 2009</w:t>
      </w:r>
      <w:r w:rsidR="0041689A" w:rsidRPr="005A199D">
        <w:noBreakHyphen/>
        <w:t>10 Budget.</w:t>
      </w:r>
    </w:p>
    <w:p w:rsidR="00E14DAC" w:rsidRPr="005A199D" w:rsidRDefault="00E14DAC" w:rsidP="00E14DAC">
      <w:r w:rsidRPr="005A199D">
        <w:t>The size of the temporary fiscal stimulus expenses is estimated to be $26.</w:t>
      </w:r>
      <w:r w:rsidR="001D48AF" w:rsidRPr="005A199D">
        <w:t>6</w:t>
      </w:r>
      <w:r w:rsidR="0041689A" w:rsidRPr="005A199D">
        <w:t> </w:t>
      </w:r>
      <w:r w:rsidRPr="005A199D">
        <w:t>billion in 2008-09, $2</w:t>
      </w:r>
      <w:r w:rsidR="001D48AF" w:rsidRPr="005A199D">
        <w:t>0.6</w:t>
      </w:r>
      <w:r w:rsidRPr="005A199D">
        <w:t> bil</w:t>
      </w:r>
      <w:r w:rsidR="001D48AF" w:rsidRPr="005A199D">
        <w:t>lion in 2009</w:t>
      </w:r>
      <w:r w:rsidR="001D48AF" w:rsidRPr="005A199D">
        <w:noBreakHyphen/>
        <w:t>10, $10.1</w:t>
      </w:r>
      <w:r w:rsidRPr="005A199D">
        <w:t xml:space="preserve"> billion in 2010-11 and $4.8 billion in 2011-12.  This is a total of </w:t>
      </w:r>
      <w:r w:rsidR="004425BC" w:rsidRPr="005A199D">
        <w:t>$62.1</w:t>
      </w:r>
      <w:r w:rsidRPr="005A199D">
        <w:t> billion over</w:t>
      </w:r>
      <w:r w:rsidR="00E80A32">
        <w:t xml:space="preserve"> the period 2008-09 to 2011-12.</w:t>
      </w:r>
    </w:p>
    <w:p w:rsidR="006F4B24" w:rsidRPr="006F4B24" w:rsidRDefault="006B0D43" w:rsidP="005A199D">
      <w:r w:rsidRPr="005A199D">
        <w:t>Treasury (2009) estimated the fiscal stimulus t</w:t>
      </w:r>
      <w:r w:rsidR="00A14D3E" w:rsidRPr="005A199D">
        <w:t>otalled $87.7 billion over 2008</w:t>
      </w:r>
      <w:r w:rsidR="00A14D3E" w:rsidRPr="005A199D">
        <w:noBreakHyphen/>
      </w:r>
      <w:r w:rsidRPr="005A199D">
        <w:t>09 to 2011</w:t>
      </w:r>
      <w:r w:rsidR="00A14D3E" w:rsidRPr="005A199D">
        <w:noBreakHyphen/>
      </w:r>
      <w:r w:rsidRPr="005A199D">
        <w:t xml:space="preserve">12, higher than the estimates contained in this report.  The </w:t>
      </w:r>
      <w:r w:rsidR="00FB2A0A" w:rsidRPr="005A199D">
        <w:t xml:space="preserve">difference between </w:t>
      </w:r>
      <w:r w:rsidRPr="005A199D">
        <w:t xml:space="preserve">the two estimates is due to the inclusion </w:t>
      </w:r>
      <w:r w:rsidR="00FB2A0A" w:rsidRPr="005A199D">
        <w:t xml:space="preserve">by Treasury </w:t>
      </w:r>
      <w:r w:rsidRPr="005A199D">
        <w:t xml:space="preserve">of revenue measures for small business and general business tax breaks from the </w:t>
      </w:r>
      <w:r w:rsidRPr="005A199D">
        <w:rPr>
          <w:i/>
        </w:rPr>
        <w:t>Nation Building and Jobs</w:t>
      </w:r>
      <w:r w:rsidRPr="006F4B24">
        <w:rPr>
          <w:i/>
        </w:rPr>
        <w:t xml:space="preserve"> Plan,</w:t>
      </w:r>
      <w:r w:rsidRPr="006F4B24">
        <w:t xml:space="preserve"> and </w:t>
      </w:r>
      <w:r w:rsidR="006F4B24" w:rsidRPr="006F4B24">
        <w:t xml:space="preserve">the exclusion by the PBO of </w:t>
      </w:r>
      <w:r w:rsidRPr="006F4B24">
        <w:t>measures which were considered to be ongoing spending including the pension reforms in the 2009</w:t>
      </w:r>
      <w:r w:rsidRPr="006F4B24">
        <w:noBreakHyphen/>
        <w:t>10</w:t>
      </w:r>
      <w:r w:rsidR="0041689A">
        <w:t> </w:t>
      </w:r>
      <w:r w:rsidRPr="006F4B24">
        <w:t>Budget and most of the spending under the 2008 COAG reform package.</w:t>
      </w:r>
    </w:p>
    <w:p w:rsidR="00E14DAC" w:rsidRDefault="00E14DAC" w:rsidP="005A199D">
      <w:r w:rsidRPr="006F4B24">
        <w:t>A summary of the identified fiscal stimulus expenses by function between 2008</w:t>
      </w:r>
      <w:r w:rsidR="00A14D3E" w:rsidRPr="006B456E">
        <w:noBreakHyphen/>
      </w:r>
      <w:r w:rsidRPr="006F4B24">
        <w:t>09 and 2011</w:t>
      </w:r>
      <w:r w:rsidR="00A14D3E" w:rsidRPr="006B456E">
        <w:noBreakHyphen/>
      </w:r>
      <w:r w:rsidRPr="006F4B24">
        <w:t>12 is</w:t>
      </w:r>
      <w:r>
        <w:t xml:space="preserve"> provide</w:t>
      </w:r>
      <w:r w:rsidR="0041689A">
        <w:t>d in the Table</w:t>
      </w:r>
      <w:r w:rsidR="00290916">
        <w:t xml:space="preserve"> C.1</w:t>
      </w:r>
      <w:r w:rsidR="0041689A">
        <w:t xml:space="preserve"> below.</w:t>
      </w:r>
    </w:p>
    <w:p w:rsidR="00935C60" w:rsidRDefault="00935C60" w:rsidP="00F60F7A">
      <w:pPr>
        <w:pStyle w:val="PBOfiguretableheading"/>
      </w:pPr>
      <w:bookmarkStart w:id="289" w:name="_Toc373422202"/>
      <w:bookmarkStart w:id="290" w:name="_Toc373873677"/>
      <w:bookmarkStart w:id="291" w:name="_Toc373955520"/>
      <w:bookmarkStart w:id="292" w:name="_Toc374088517"/>
      <w:bookmarkStart w:id="293" w:name="_Toc374102232"/>
      <w:bookmarkStart w:id="294" w:name="_Toc374350043"/>
      <w:r>
        <w:t>Table C.</w:t>
      </w:r>
      <w:fldSimple w:instr=" SEQ Table \* ARABIC \s 1 ">
        <w:r w:rsidR="00E862AC">
          <w:rPr>
            <w:noProof/>
          </w:rPr>
          <w:t>1</w:t>
        </w:r>
      </w:fldSimple>
      <w:r>
        <w:t xml:space="preserve">: Summary of fiscal stimulus </w:t>
      </w:r>
      <w:r w:rsidR="006D5A63">
        <w:t>s</w:t>
      </w:r>
      <w:r w:rsidR="006C5E74">
        <w:t>pending</w:t>
      </w:r>
      <w:bookmarkEnd w:id="289"/>
      <w:bookmarkEnd w:id="290"/>
      <w:bookmarkEnd w:id="291"/>
      <w:bookmarkEnd w:id="292"/>
      <w:bookmarkEnd w:id="293"/>
      <w:bookmarkEnd w:id="29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70"/>
        <w:gridCol w:w="971"/>
        <w:gridCol w:w="970"/>
        <w:gridCol w:w="971"/>
        <w:gridCol w:w="971"/>
      </w:tblGrid>
      <w:tr w:rsidR="00B620D9" w:rsidRPr="00B620D9" w:rsidTr="00B620D9">
        <w:tc>
          <w:tcPr>
            <w:tcW w:w="3402" w:type="dxa"/>
            <w:vMerge w:val="restart"/>
            <w:tcBorders>
              <w:top w:val="single" w:sz="8" w:space="0" w:color="2B3B5F"/>
              <w:left w:val="single" w:sz="8" w:space="0" w:color="2B3B5F"/>
              <w:bottom w:val="single" w:sz="8" w:space="0" w:color="2B3B5F"/>
              <w:right w:val="single" w:sz="8" w:space="0" w:color="2B3B5F"/>
            </w:tcBorders>
            <w:shd w:val="clear" w:color="auto" w:fill="95A4C6"/>
            <w:vAlign w:val="center"/>
          </w:tcPr>
          <w:p w:rsidR="00B620D9" w:rsidRPr="00B620D9" w:rsidRDefault="00B620D9" w:rsidP="00B620D9">
            <w:pPr>
              <w:spacing w:before="0" w:after="0"/>
              <w:jc w:val="center"/>
              <w:rPr>
                <w:b/>
                <w:sz w:val="18"/>
                <w:szCs w:val="18"/>
              </w:rPr>
            </w:pPr>
            <w:r>
              <w:rPr>
                <w:b/>
                <w:sz w:val="18"/>
                <w:szCs w:val="18"/>
              </w:rPr>
              <w:t>Category</w:t>
            </w:r>
          </w:p>
        </w:tc>
        <w:tc>
          <w:tcPr>
            <w:tcW w:w="4853" w:type="dxa"/>
            <w:gridSpan w:val="5"/>
            <w:tcBorders>
              <w:top w:val="single" w:sz="8" w:space="0" w:color="2B3B5F"/>
              <w:left w:val="single" w:sz="8" w:space="0" w:color="2B3B5F"/>
              <w:bottom w:val="single" w:sz="8" w:space="0" w:color="2B3B5F"/>
              <w:right w:val="single" w:sz="8" w:space="0" w:color="2B3B5F"/>
            </w:tcBorders>
            <w:shd w:val="clear" w:color="auto" w:fill="95A4C6"/>
            <w:vAlign w:val="center"/>
          </w:tcPr>
          <w:p w:rsidR="00B620D9" w:rsidRPr="00B620D9" w:rsidRDefault="00B620D9" w:rsidP="00B620D9">
            <w:pPr>
              <w:spacing w:before="0" w:after="0"/>
              <w:jc w:val="center"/>
              <w:rPr>
                <w:b/>
                <w:sz w:val="18"/>
                <w:szCs w:val="18"/>
              </w:rPr>
            </w:pPr>
            <w:r>
              <w:rPr>
                <w:b/>
                <w:sz w:val="18"/>
                <w:szCs w:val="18"/>
              </w:rPr>
              <w:t>$ billion</w:t>
            </w:r>
          </w:p>
        </w:tc>
      </w:tr>
      <w:tr w:rsidR="00B620D9" w:rsidRPr="00B620D9" w:rsidTr="00B620D9">
        <w:tc>
          <w:tcPr>
            <w:tcW w:w="3402" w:type="dxa"/>
            <w:vMerge/>
            <w:tcBorders>
              <w:top w:val="single" w:sz="8" w:space="0" w:color="2B3B5F"/>
              <w:left w:val="single" w:sz="8" w:space="0" w:color="2B3B5F"/>
              <w:bottom w:val="single" w:sz="8" w:space="0" w:color="2B3B5F"/>
              <w:right w:val="single" w:sz="8" w:space="0" w:color="2B3B5F"/>
            </w:tcBorders>
            <w:shd w:val="clear" w:color="auto" w:fill="95A4C6"/>
            <w:vAlign w:val="center"/>
          </w:tcPr>
          <w:p w:rsidR="00B620D9" w:rsidRPr="00B620D9" w:rsidRDefault="00B620D9" w:rsidP="00B620D9">
            <w:pPr>
              <w:spacing w:before="0" w:after="0"/>
              <w:jc w:val="center"/>
              <w:rPr>
                <w:b/>
                <w:sz w:val="18"/>
                <w:szCs w:val="18"/>
              </w:rPr>
            </w:pPr>
          </w:p>
        </w:tc>
        <w:tc>
          <w:tcPr>
            <w:tcW w:w="970" w:type="dxa"/>
            <w:tcBorders>
              <w:top w:val="single" w:sz="8" w:space="0" w:color="2B3B5F"/>
              <w:left w:val="single" w:sz="8" w:space="0" w:color="2B3B5F"/>
              <w:bottom w:val="single" w:sz="8" w:space="0" w:color="2B3B5F"/>
              <w:right w:val="single" w:sz="8" w:space="0" w:color="2B3B5F"/>
            </w:tcBorders>
            <w:shd w:val="clear" w:color="auto" w:fill="95A4C6"/>
            <w:vAlign w:val="center"/>
          </w:tcPr>
          <w:p w:rsidR="00B620D9" w:rsidRPr="00B620D9" w:rsidRDefault="00B620D9" w:rsidP="00B620D9">
            <w:pPr>
              <w:spacing w:before="0" w:after="0"/>
              <w:jc w:val="center"/>
              <w:rPr>
                <w:b/>
                <w:sz w:val="18"/>
                <w:szCs w:val="18"/>
              </w:rPr>
            </w:pPr>
            <w:r>
              <w:rPr>
                <w:b/>
                <w:sz w:val="18"/>
                <w:szCs w:val="18"/>
              </w:rPr>
              <w:t>2008-09</w:t>
            </w:r>
          </w:p>
        </w:tc>
        <w:tc>
          <w:tcPr>
            <w:tcW w:w="971" w:type="dxa"/>
            <w:tcBorders>
              <w:top w:val="single" w:sz="8" w:space="0" w:color="2B3B5F"/>
              <w:left w:val="single" w:sz="8" w:space="0" w:color="2B3B5F"/>
              <w:bottom w:val="single" w:sz="8" w:space="0" w:color="2B3B5F"/>
              <w:right w:val="single" w:sz="8" w:space="0" w:color="2B3B5F"/>
            </w:tcBorders>
            <w:shd w:val="clear" w:color="auto" w:fill="95A4C6"/>
            <w:vAlign w:val="center"/>
          </w:tcPr>
          <w:p w:rsidR="00B620D9" w:rsidRPr="00B620D9" w:rsidRDefault="00B620D9" w:rsidP="00B620D9">
            <w:pPr>
              <w:spacing w:before="0" w:after="0"/>
              <w:jc w:val="center"/>
              <w:rPr>
                <w:b/>
                <w:sz w:val="18"/>
                <w:szCs w:val="18"/>
              </w:rPr>
            </w:pPr>
            <w:r>
              <w:rPr>
                <w:b/>
                <w:sz w:val="18"/>
                <w:szCs w:val="18"/>
              </w:rPr>
              <w:t>2009-10</w:t>
            </w:r>
          </w:p>
        </w:tc>
        <w:tc>
          <w:tcPr>
            <w:tcW w:w="970" w:type="dxa"/>
            <w:tcBorders>
              <w:top w:val="single" w:sz="8" w:space="0" w:color="2B3B5F"/>
              <w:left w:val="single" w:sz="8" w:space="0" w:color="2B3B5F"/>
              <w:bottom w:val="single" w:sz="8" w:space="0" w:color="2B3B5F"/>
              <w:right w:val="single" w:sz="8" w:space="0" w:color="2B3B5F"/>
            </w:tcBorders>
            <w:shd w:val="clear" w:color="auto" w:fill="95A4C6"/>
            <w:vAlign w:val="center"/>
          </w:tcPr>
          <w:p w:rsidR="00B620D9" w:rsidRPr="00B620D9" w:rsidRDefault="00B620D9" w:rsidP="00B620D9">
            <w:pPr>
              <w:spacing w:before="0" w:after="0"/>
              <w:jc w:val="center"/>
              <w:rPr>
                <w:b/>
                <w:sz w:val="18"/>
                <w:szCs w:val="18"/>
              </w:rPr>
            </w:pPr>
            <w:r>
              <w:rPr>
                <w:b/>
                <w:sz w:val="18"/>
                <w:szCs w:val="18"/>
              </w:rPr>
              <w:t>2010-11</w:t>
            </w:r>
          </w:p>
        </w:tc>
        <w:tc>
          <w:tcPr>
            <w:tcW w:w="971" w:type="dxa"/>
            <w:tcBorders>
              <w:top w:val="single" w:sz="8" w:space="0" w:color="2B3B5F"/>
              <w:left w:val="single" w:sz="8" w:space="0" w:color="2B3B5F"/>
              <w:bottom w:val="single" w:sz="8" w:space="0" w:color="2B3B5F"/>
              <w:right w:val="single" w:sz="8" w:space="0" w:color="2B3B5F"/>
            </w:tcBorders>
            <w:shd w:val="clear" w:color="auto" w:fill="95A4C6"/>
            <w:vAlign w:val="center"/>
          </w:tcPr>
          <w:p w:rsidR="00B620D9" w:rsidRPr="00B620D9" w:rsidRDefault="00B620D9" w:rsidP="00B620D9">
            <w:pPr>
              <w:spacing w:before="0" w:after="0"/>
              <w:jc w:val="center"/>
              <w:rPr>
                <w:b/>
                <w:sz w:val="18"/>
                <w:szCs w:val="18"/>
              </w:rPr>
            </w:pPr>
            <w:r>
              <w:rPr>
                <w:b/>
                <w:sz w:val="18"/>
                <w:szCs w:val="18"/>
              </w:rPr>
              <w:t>2011-12</w:t>
            </w:r>
          </w:p>
        </w:tc>
        <w:tc>
          <w:tcPr>
            <w:tcW w:w="971" w:type="dxa"/>
            <w:tcBorders>
              <w:top w:val="single" w:sz="8" w:space="0" w:color="2B3B5F"/>
              <w:left w:val="single" w:sz="8" w:space="0" w:color="2B3B5F"/>
              <w:bottom w:val="single" w:sz="8" w:space="0" w:color="2B3B5F"/>
              <w:right w:val="single" w:sz="8" w:space="0" w:color="2B3B5F"/>
            </w:tcBorders>
            <w:shd w:val="clear" w:color="auto" w:fill="95A4C6"/>
            <w:vAlign w:val="center"/>
          </w:tcPr>
          <w:p w:rsidR="00B620D9" w:rsidRPr="00B620D9" w:rsidRDefault="00B620D9" w:rsidP="00B620D9">
            <w:pPr>
              <w:spacing w:before="0" w:after="0"/>
              <w:jc w:val="center"/>
              <w:rPr>
                <w:b/>
                <w:sz w:val="18"/>
                <w:szCs w:val="18"/>
              </w:rPr>
            </w:pPr>
            <w:r>
              <w:rPr>
                <w:b/>
                <w:sz w:val="18"/>
                <w:szCs w:val="18"/>
              </w:rPr>
              <w:t>Total</w:t>
            </w:r>
          </w:p>
        </w:tc>
      </w:tr>
      <w:tr w:rsidR="00B620D9" w:rsidRPr="00B620D9" w:rsidTr="004B29B4">
        <w:tc>
          <w:tcPr>
            <w:tcW w:w="3402" w:type="dxa"/>
            <w:tcBorders>
              <w:top w:val="single" w:sz="8" w:space="0" w:color="2B3B5F"/>
              <w:left w:val="single" w:sz="8" w:space="0" w:color="2B3B5F"/>
              <w:right w:val="single" w:sz="8" w:space="0" w:color="2B3B5F"/>
            </w:tcBorders>
            <w:shd w:val="clear" w:color="auto" w:fill="auto"/>
            <w:vAlign w:val="center"/>
          </w:tcPr>
          <w:p w:rsidR="00B620D9" w:rsidRPr="00B620D9" w:rsidRDefault="00B620D9" w:rsidP="00B620D9">
            <w:pPr>
              <w:spacing w:before="0" w:after="0"/>
              <w:ind w:left="57"/>
              <w:rPr>
                <w:color w:val="000000"/>
                <w:sz w:val="18"/>
                <w:szCs w:val="18"/>
              </w:rPr>
            </w:pPr>
            <w:r w:rsidRPr="00B620D9">
              <w:rPr>
                <w:color w:val="000000"/>
                <w:sz w:val="18"/>
                <w:szCs w:val="18"/>
              </w:rPr>
              <w:t>Social security and welfare</w:t>
            </w:r>
          </w:p>
        </w:tc>
        <w:tc>
          <w:tcPr>
            <w:tcW w:w="970" w:type="dxa"/>
            <w:tcBorders>
              <w:top w:val="single" w:sz="8" w:space="0" w:color="2B3B5F"/>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20.1</w:t>
            </w:r>
          </w:p>
        </w:tc>
        <w:tc>
          <w:tcPr>
            <w:tcW w:w="971" w:type="dxa"/>
            <w:tcBorders>
              <w:top w:val="single" w:sz="8" w:space="0" w:color="2B3B5F"/>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0.4</w:t>
            </w:r>
          </w:p>
        </w:tc>
        <w:tc>
          <w:tcPr>
            <w:tcW w:w="970" w:type="dxa"/>
            <w:tcBorders>
              <w:top w:val="single" w:sz="8" w:space="0" w:color="2B3B5F"/>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Pr>
                <w:color w:val="000000"/>
                <w:sz w:val="18"/>
                <w:szCs w:val="18"/>
              </w:rPr>
              <w:t>..</w:t>
            </w:r>
          </w:p>
        </w:tc>
        <w:tc>
          <w:tcPr>
            <w:tcW w:w="971" w:type="dxa"/>
            <w:tcBorders>
              <w:top w:val="single" w:sz="8" w:space="0" w:color="2B3B5F"/>
              <w:left w:val="single" w:sz="8" w:space="0" w:color="2B3B5F"/>
              <w:right w:val="single" w:sz="8" w:space="0" w:color="2B3B5F"/>
            </w:tcBorders>
            <w:shd w:val="clear" w:color="auto" w:fill="auto"/>
            <w:vAlign w:val="center"/>
          </w:tcPr>
          <w:p w:rsidR="00B620D9" w:rsidRPr="00B620D9" w:rsidRDefault="004425BC" w:rsidP="00B620D9">
            <w:pPr>
              <w:spacing w:before="0" w:after="0"/>
              <w:ind w:right="227"/>
              <w:jc w:val="right"/>
              <w:rPr>
                <w:color w:val="000000"/>
                <w:sz w:val="18"/>
                <w:szCs w:val="18"/>
              </w:rPr>
            </w:pPr>
            <w:r w:rsidRPr="005A199D">
              <w:rPr>
                <w:color w:val="000000"/>
                <w:sz w:val="18"/>
                <w:szCs w:val="18"/>
              </w:rPr>
              <w:t>..</w:t>
            </w:r>
          </w:p>
        </w:tc>
        <w:tc>
          <w:tcPr>
            <w:tcW w:w="971" w:type="dxa"/>
            <w:tcBorders>
              <w:top w:val="single" w:sz="8" w:space="0" w:color="2B3B5F"/>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20.5</w:t>
            </w:r>
          </w:p>
        </w:tc>
      </w:tr>
      <w:tr w:rsidR="00B620D9" w:rsidRPr="00B620D9" w:rsidTr="004B29B4">
        <w:tc>
          <w:tcPr>
            <w:tcW w:w="3402"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left="57"/>
              <w:rPr>
                <w:color w:val="000000"/>
                <w:sz w:val="18"/>
                <w:szCs w:val="18"/>
              </w:rPr>
            </w:pPr>
            <w:r w:rsidRPr="00B620D9">
              <w:rPr>
                <w:color w:val="000000"/>
                <w:sz w:val="18"/>
                <w:szCs w:val="18"/>
              </w:rPr>
              <w:t>Education</w:t>
            </w:r>
          </w:p>
        </w:tc>
        <w:tc>
          <w:tcPr>
            <w:tcW w:w="970"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1.5</w:t>
            </w:r>
          </w:p>
        </w:tc>
        <w:tc>
          <w:tcPr>
            <w:tcW w:w="971"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10.4</w:t>
            </w:r>
          </w:p>
        </w:tc>
        <w:tc>
          <w:tcPr>
            <w:tcW w:w="970"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5.7</w:t>
            </w:r>
          </w:p>
        </w:tc>
        <w:tc>
          <w:tcPr>
            <w:tcW w:w="971"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0.5</w:t>
            </w:r>
          </w:p>
        </w:tc>
        <w:tc>
          <w:tcPr>
            <w:tcW w:w="971"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18.1</w:t>
            </w:r>
          </w:p>
        </w:tc>
      </w:tr>
      <w:tr w:rsidR="00B620D9" w:rsidRPr="00B620D9" w:rsidTr="004B29B4">
        <w:tc>
          <w:tcPr>
            <w:tcW w:w="3402"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left="57"/>
              <w:rPr>
                <w:color w:val="000000"/>
                <w:sz w:val="18"/>
                <w:szCs w:val="18"/>
              </w:rPr>
            </w:pPr>
            <w:r w:rsidRPr="00B620D9">
              <w:rPr>
                <w:color w:val="000000"/>
                <w:sz w:val="18"/>
                <w:szCs w:val="18"/>
              </w:rPr>
              <w:t>Community amenities and infrastructure</w:t>
            </w:r>
          </w:p>
        </w:tc>
        <w:tc>
          <w:tcPr>
            <w:tcW w:w="970"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3.2</w:t>
            </w:r>
          </w:p>
        </w:tc>
        <w:tc>
          <w:tcPr>
            <w:tcW w:w="971"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6.3</w:t>
            </w:r>
          </w:p>
        </w:tc>
        <w:tc>
          <w:tcPr>
            <w:tcW w:w="970"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2.2</w:t>
            </w:r>
          </w:p>
        </w:tc>
        <w:tc>
          <w:tcPr>
            <w:tcW w:w="971"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2.2</w:t>
            </w:r>
          </w:p>
        </w:tc>
        <w:tc>
          <w:tcPr>
            <w:tcW w:w="971"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13.9</w:t>
            </w:r>
          </w:p>
        </w:tc>
      </w:tr>
      <w:tr w:rsidR="00B620D9" w:rsidRPr="00B620D9" w:rsidTr="004B29B4">
        <w:tc>
          <w:tcPr>
            <w:tcW w:w="3402"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left="57"/>
              <w:rPr>
                <w:color w:val="000000"/>
                <w:sz w:val="18"/>
                <w:szCs w:val="18"/>
              </w:rPr>
            </w:pPr>
            <w:r w:rsidRPr="00B620D9">
              <w:rPr>
                <w:color w:val="000000"/>
                <w:sz w:val="18"/>
                <w:szCs w:val="18"/>
              </w:rPr>
              <w:t>Industry and economic affairs</w:t>
            </w:r>
          </w:p>
        </w:tc>
        <w:tc>
          <w:tcPr>
            <w:tcW w:w="970"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0.3</w:t>
            </w:r>
          </w:p>
        </w:tc>
        <w:tc>
          <w:tcPr>
            <w:tcW w:w="971"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2.5</w:t>
            </w:r>
          </w:p>
        </w:tc>
        <w:tc>
          <w:tcPr>
            <w:tcW w:w="970"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1.2</w:t>
            </w:r>
          </w:p>
        </w:tc>
        <w:tc>
          <w:tcPr>
            <w:tcW w:w="971"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0.2</w:t>
            </w:r>
          </w:p>
        </w:tc>
        <w:tc>
          <w:tcPr>
            <w:tcW w:w="971"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4.3</w:t>
            </w:r>
          </w:p>
        </w:tc>
      </w:tr>
      <w:tr w:rsidR="00B620D9" w:rsidRPr="00B620D9" w:rsidTr="004B29B4">
        <w:tc>
          <w:tcPr>
            <w:tcW w:w="3402"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left="57"/>
              <w:rPr>
                <w:color w:val="000000"/>
                <w:sz w:val="18"/>
                <w:szCs w:val="18"/>
              </w:rPr>
            </w:pPr>
            <w:r w:rsidRPr="00B620D9">
              <w:rPr>
                <w:color w:val="000000"/>
                <w:sz w:val="18"/>
                <w:szCs w:val="18"/>
              </w:rPr>
              <w:t>Health</w:t>
            </w:r>
          </w:p>
        </w:tc>
        <w:tc>
          <w:tcPr>
            <w:tcW w:w="970"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0.9</w:t>
            </w:r>
          </w:p>
        </w:tc>
        <w:tc>
          <w:tcPr>
            <w:tcW w:w="971"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0.3</w:t>
            </w:r>
          </w:p>
        </w:tc>
        <w:tc>
          <w:tcPr>
            <w:tcW w:w="970"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0.7</w:t>
            </w:r>
          </w:p>
        </w:tc>
        <w:tc>
          <w:tcPr>
            <w:tcW w:w="971"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1.3</w:t>
            </w:r>
          </w:p>
        </w:tc>
        <w:tc>
          <w:tcPr>
            <w:tcW w:w="971"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3.2</w:t>
            </w:r>
          </w:p>
        </w:tc>
      </w:tr>
      <w:tr w:rsidR="00B620D9" w:rsidRPr="00B620D9" w:rsidTr="004B29B4">
        <w:tc>
          <w:tcPr>
            <w:tcW w:w="3402"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left="57"/>
              <w:rPr>
                <w:color w:val="000000"/>
                <w:sz w:val="18"/>
                <w:szCs w:val="18"/>
              </w:rPr>
            </w:pPr>
            <w:r w:rsidRPr="00B620D9">
              <w:rPr>
                <w:color w:val="000000"/>
                <w:sz w:val="18"/>
                <w:szCs w:val="18"/>
              </w:rPr>
              <w:t>General public services</w:t>
            </w:r>
          </w:p>
        </w:tc>
        <w:tc>
          <w:tcPr>
            <w:tcW w:w="970"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w:t>
            </w:r>
          </w:p>
        </w:tc>
        <w:tc>
          <w:tcPr>
            <w:tcW w:w="971"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0.4</w:t>
            </w:r>
          </w:p>
        </w:tc>
        <w:tc>
          <w:tcPr>
            <w:tcW w:w="970"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0.4</w:t>
            </w:r>
          </w:p>
        </w:tc>
        <w:tc>
          <w:tcPr>
            <w:tcW w:w="971" w:type="dxa"/>
            <w:tcBorders>
              <w:left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0.7</w:t>
            </w:r>
          </w:p>
        </w:tc>
        <w:tc>
          <w:tcPr>
            <w:tcW w:w="971" w:type="dxa"/>
            <w:tcBorders>
              <w:left w:val="single" w:sz="8" w:space="0" w:color="2B3B5F"/>
              <w:right w:val="single" w:sz="8" w:space="0" w:color="2B3B5F"/>
            </w:tcBorders>
            <w:shd w:val="clear" w:color="auto" w:fill="D7DDE9"/>
            <w:vAlign w:val="center"/>
          </w:tcPr>
          <w:p w:rsidR="00B620D9" w:rsidRPr="00B620D9" w:rsidRDefault="004425BC" w:rsidP="00B620D9">
            <w:pPr>
              <w:spacing w:before="0" w:after="0"/>
              <w:ind w:right="227"/>
              <w:jc w:val="right"/>
              <w:rPr>
                <w:color w:val="000000"/>
                <w:sz w:val="18"/>
                <w:szCs w:val="18"/>
              </w:rPr>
            </w:pPr>
            <w:r w:rsidRPr="005A199D">
              <w:rPr>
                <w:color w:val="000000"/>
                <w:sz w:val="18"/>
                <w:szCs w:val="18"/>
              </w:rPr>
              <w:t>1.5</w:t>
            </w:r>
          </w:p>
        </w:tc>
      </w:tr>
      <w:tr w:rsidR="00B620D9" w:rsidRPr="00B620D9" w:rsidTr="004B29B4">
        <w:tc>
          <w:tcPr>
            <w:tcW w:w="3402"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left="57"/>
              <w:rPr>
                <w:color w:val="000000"/>
                <w:sz w:val="18"/>
                <w:szCs w:val="18"/>
              </w:rPr>
            </w:pPr>
            <w:r w:rsidRPr="00B620D9">
              <w:rPr>
                <w:color w:val="000000"/>
                <w:sz w:val="18"/>
                <w:szCs w:val="18"/>
              </w:rPr>
              <w:t>Other purposes</w:t>
            </w:r>
          </w:p>
        </w:tc>
        <w:tc>
          <w:tcPr>
            <w:tcW w:w="970"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0.5</w:t>
            </w:r>
          </w:p>
        </w:tc>
        <w:tc>
          <w:tcPr>
            <w:tcW w:w="971"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0.3</w:t>
            </w:r>
          </w:p>
        </w:tc>
        <w:tc>
          <w:tcPr>
            <w:tcW w:w="970"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0.0</w:t>
            </w:r>
          </w:p>
        </w:tc>
        <w:tc>
          <w:tcPr>
            <w:tcW w:w="971"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0.0</w:t>
            </w:r>
          </w:p>
        </w:tc>
        <w:tc>
          <w:tcPr>
            <w:tcW w:w="971" w:type="dxa"/>
            <w:tcBorders>
              <w:left w:val="single" w:sz="8" w:space="0" w:color="2B3B5F"/>
              <w:right w:val="single" w:sz="8" w:space="0" w:color="2B3B5F"/>
            </w:tcBorders>
            <w:shd w:val="clear" w:color="auto" w:fill="auto"/>
            <w:vAlign w:val="center"/>
          </w:tcPr>
          <w:p w:rsidR="00B620D9" w:rsidRPr="00B620D9" w:rsidRDefault="00B620D9" w:rsidP="00B620D9">
            <w:pPr>
              <w:spacing w:before="0" w:after="0"/>
              <w:ind w:right="227"/>
              <w:jc w:val="right"/>
              <w:rPr>
                <w:color w:val="000000"/>
                <w:sz w:val="18"/>
                <w:szCs w:val="18"/>
              </w:rPr>
            </w:pPr>
            <w:r w:rsidRPr="00B620D9">
              <w:rPr>
                <w:color w:val="000000"/>
                <w:sz w:val="18"/>
                <w:szCs w:val="18"/>
              </w:rPr>
              <w:t>0.7</w:t>
            </w:r>
          </w:p>
        </w:tc>
      </w:tr>
      <w:tr w:rsidR="00B620D9" w:rsidRPr="00B620D9" w:rsidTr="004B29B4">
        <w:tc>
          <w:tcPr>
            <w:tcW w:w="3402" w:type="dxa"/>
            <w:tcBorders>
              <w:left w:val="single" w:sz="8" w:space="0" w:color="2B3B5F"/>
              <w:bottom w:val="single" w:sz="8" w:space="0" w:color="2B3B5F"/>
              <w:right w:val="single" w:sz="8" w:space="0" w:color="2B3B5F"/>
            </w:tcBorders>
            <w:shd w:val="clear" w:color="auto" w:fill="D7DDE9"/>
            <w:vAlign w:val="center"/>
          </w:tcPr>
          <w:p w:rsidR="00B620D9" w:rsidRPr="00B620D9" w:rsidRDefault="00B620D9" w:rsidP="00B620D9">
            <w:pPr>
              <w:spacing w:before="0" w:after="0"/>
              <w:ind w:left="57"/>
              <w:rPr>
                <w:b/>
                <w:bCs/>
                <w:color w:val="000000"/>
                <w:sz w:val="18"/>
                <w:szCs w:val="18"/>
              </w:rPr>
            </w:pPr>
            <w:r w:rsidRPr="00B620D9">
              <w:rPr>
                <w:b/>
                <w:bCs/>
                <w:color w:val="000000"/>
                <w:sz w:val="18"/>
                <w:szCs w:val="18"/>
              </w:rPr>
              <w:t>Total fiscal stimulus</w:t>
            </w:r>
          </w:p>
        </w:tc>
        <w:tc>
          <w:tcPr>
            <w:tcW w:w="970" w:type="dxa"/>
            <w:tcBorders>
              <w:left w:val="single" w:sz="8" w:space="0" w:color="2B3B5F"/>
              <w:bottom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b/>
                <w:bCs/>
                <w:color w:val="000000"/>
                <w:sz w:val="18"/>
                <w:szCs w:val="18"/>
              </w:rPr>
            </w:pPr>
            <w:r w:rsidRPr="00B620D9">
              <w:rPr>
                <w:b/>
                <w:bCs/>
                <w:color w:val="000000"/>
                <w:sz w:val="18"/>
                <w:szCs w:val="18"/>
              </w:rPr>
              <w:t>26.6</w:t>
            </w:r>
          </w:p>
        </w:tc>
        <w:tc>
          <w:tcPr>
            <w:tcW w:w="971" w:type="dxa"/>
            <w:tcBorders>
              <w:left w:val="single" w:sz="8" w:space="0" w:color="2B3B5F"/>
              <w:bottom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b/>
                <w:bCs/>
                <w:color w:val="000000"/>
                <w:sz w:val="18"/>
                <w:szCs w:val="18"/>
              </w:rPr>
            </w:pPr>
            <w:r w:rsidRPr="00B620D9">
              <w:rPr>
                <w:b/>
                <w:bCs/>
                <w:color w:val="000000"/>
                <w:sz w:val="18"/>
                <w:szCs w:val="18"/>
              </w:rPr>
              <w:t>20.6</w:t>
            </w:r>
          </w:p>
        </w:tc>
        <w:tc>
          <w:tcPr>
            <w:tcW w:w="970" w:type="dxa"/>
            <w:tcBorders>
              <w:left w:val="single" w:sz="8" w:space="0" w:color="2B3B5F"/>
              <w:bottom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b/>
                <w:bCs/>
                <w:color w:val="000000"/>
                <w:sz w:val="18"/>
                <w:szCs w:val="18"/>
              </w:rPr>
            </w:pPr>
            <w:r w:rsidRPr="00B620D9">
              <w:rPr>
                <w:b/>
                <w:bCs/>
                <w:color w:val="000000"/>
                <w:sz w:val="18"/>
                <w:szCs w:val="18"/>
              </w:rPr>
              <w:t>10.1</w:t>
            </w:r>
          </w:p>
        </w:tc>
        <w:tc>
          <w:tcPr>
            <w:tcW w:w="971" w:type="dxa"/>
            <w:tcBorders>
              <w:left w:val="single" w:sz="8" w:space="0" w:color="2B3B5F"/>
              <w:bottom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b/>
                <w:bCs/>
                <w:color w:val="000000"/>
                <w:sz w:val="18"/>
                <w:szCs w:val="18"/>
              </w:rPr>
            </w:pPr>
            <w:r w:rsidRPr="00B620D9">
              <w:rPr>
                <w:b/>
                <w:bCs/>
                <w:color w:val="000000"/>
                <w:sz w:val="18"/>
                <w:szCs w:val="18"/>
              </w:rPr>
              <w:t>4.8</w:t>
            </w:r>
          </w:p>
        </w:tc>
        <w:tc>
          <w:tcPr>
            <w:tcW w:w="971" w:type="dxa"/>
            <w:tcBorders>
              <w:left w:val="single" w:sz="8" w:space="0" w:color="2B3B5F"/>
              <w:bottom w:val="single" w:sz="8" w:space="0" w:color="2B3B5F"/>
              <w:right w:val="single" w:sz="8" w:space="0" w:color="2B3B5F"/>
            </w:tcBorders>
            <w:shd w:val="clear" w:color="auto" w:fill="D7DDE9"/>
            <w:vAlign w:val="center"/>
          </w:tcPr>
          <w:p w:rsidR="00B620D9" w:rsidRPr="00B620D9" w:rsidRDefault="00B620D9" w:rsidP="00B620D9">
            <w:pPr>
              <w:spacing w:before="0" w:after="0"/>
              <w:ind w:right="227"/>
              <w:jc w:val="right"/>
              <w:rPr>
                <w:b/>
                <w:bCs/>
                <w:color w:val="000000"/>
                <w:sz w:val="18"/>
                <w:szCs w:val="18"/>
              </w:rPr>
            </w:pPr>
            <w:r w:rsidRPr="00B620D9">
              <w:rPr>
                <w:b/>
                <w:bCs/>
                <w:color w:val="000000"/>
                <w:sz w:val="18"/>
                <w:szCs w:val="18"/>
              </w:rPr>
              <w:t>62.1</w:t>
            </w:r>
          </w:p>
        </w:tc>
      </w:tr>
    </w:tbl>
    <w:p w:rsidR="00E302B8" w:rsidRDefault="00E14DAC" w:rsidP="00550C04">
      <w:pPr>
        <w:pStyle w:val="PBOtext"/>
        <w:rPr>
          <w:rFonts w:ascii="Arial" w:hAnsi="Arial" w:cs="Arial"/>
          <w:sz w:val="16"/>
          <w:szCs w:val="16"/>
        </w:rPr>
        <w:sectPr w:rsidR="00E302B8" w:rsidSect="00A909C5">
          <w:footerReference w:type="default" r:id="rId82"/>
          <w:headerReference w:type="first" r:id="rId83"/>
          <w:pgSz w:w="11900" w:h="16840"/>
          <w:pgMar w:top="1440" w:right="1797" w:bottom="1440" w:left="1797" w:header="709" w:footer="709" w:gutter="0"/>
          <w:pgNumType w:start="69"/>
          <w:cols w:space="708"/>
          <w:titlePg/>
          <w:docGrid w:linePitch="326"/>
        </w:sectPr>
      </w:pPr>
      <w:r w:rsidRPr="00037BE9">
        <w:rPr>
          <w:rFonts w:ascii="Arial" w:hAnsi="Arial" w:cs="Arial"/>
          <w:sz w:val="16"/>
          <w:szCs w:val="16"/>
        </w:rPr>
        <w:t>Numb</w:t>
      </w:r>
      <w:r>
        <w:rPr>
          <w:rFonts w:ascii="Arial" w:hAnsi="Arial" w:cs="Arial"/>
          <w:sz w:val="16"/>
          <w:szCs w:val="16"/>
        </w:rPr>
        <w:t>ers may not add due to rounding</w:t>
      </w:r>
      <w:r w:rsidRPr="00037BE9">
        <w:rPr>
          <w:rFonts w:ascii="Arial" w:hAnsi="Arial" w:cs="Arial"/>
          <w:sz w:val="16"/>
          <w:szCs w:val="16"/>
        </w:rPr>
        <w:br/>
        <w:t>.. Not zero, but rounded to zero</w:t>
      </w:r>
    </w:p>
    <w:tbl>
      <w:tblPr>
        <w:tblpPr w:leftFromText="180" w:rightFromText="180" w:vertAnchor="text" w:tblpX="358" w:tblpY="1"/>
        <w:tblOverlap w:val="never"/>
        <w:tblW w:w="12986" w:type="dxa"/>
        <w:tblLook w:val="04A0" w:firstRow="1" w:lastRow="0" w:firstColumn="1" w:lastColumn="0" w:noHBand="0" w:noVBand="1"/>
      </w:tblPr>
      <w:tblGrid>
        <w:gridCol w:w="4252"/>
        <w:gridCol w:w="794"/>
        <w:gridCol w:w="794"/>
        <w:gridCol w:w="794"/>
        <w:gridCol w:w="794"/>
        <w:gridCol w:w="794"/>
        <w:gridCol w:w="794"/>
        <w:gridCol w:w="794"/>
        <w:gridCol w:w="794"/>
        <w:gridCol w:w="794"/>
        <w:gridCol w:w="794"/>
        <w:gridCol w:w="794"/>
      </w:tblGrid>
      <w:tr w:rsidR="0046130D" w:rsidRPr="0046130D" w:rsidTr="00577E17">
        <w:trPr>
          <w:trHeight w:val="20"/>
        </w:trPr>
        <w:tc>
          <w:tcPr>
            <w:tcW w:w="4252" w:type="dxa"/>
            <w:tcBorders>
              <w:top w:val="single" w:sz="8" w:space="0" w:color="2B3B5F"/>
              <w:bottom w:val="dotted" w:sz="8" w:space="0" w:color="auto"/>
              <w:right w:val="nil"/>
            </w:tcBorders>
            <w:shd w:val="clear" w:color="auto" w:fill="95A4C6"/>
            <w:noWrap/>
            <w:vAlign w:val="center"/>
            <w:hideMark/>
          </w:tcPr>
          <w:p w:rsidR="0046130D" w:rsidRPr="0046130D" w:rsidRDefault="0046130D" w:rsidP="00D33A30">
            <w:pPr>
              <w:spacing w:before="0" w:after="0" w:line="240" w:lineRule="auto"/>
              <w:rPr>
                <w:rFonts w:eastAsia="Times New Roman" w:cs="Arial"/>
                <w:color w:val="000000"/>
                <w:sz w:val="16"/>
                <w:szCs w:val="16"/>
              </w:rPr>
            </w:pP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2002-03</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2003-04</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2004-05</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2005-06</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2006-07</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2007-08</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2008-09</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2009-10</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2010-11</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2011-12</w:t>
            </w:r>
          </w:p>
        </w:tc>
        <w:tc>
          <w:tcPr>
            <w:tcW w:w="794" w:type="dxa"/>
            <w:tcBorders>
              <w:top w:val="single" w:sz="8" w:space="0" w:color="2B3B5F"/>
              <w:left w:val="nil"/>
              <w:bottom w:val="dotted" w:sz="8" w:space="0" w:color="auto"/>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2012-13</w:t>
            </w:r>
          </w:p>
        </w:tc>
      </w:tr>
      <w:tr w:rsidR="0046130D" w:rsidRPr="0046130D" w:rsidTr="00577E17">
        <w:trPr>
          <w:trHeight w:val="20"/>
        </w:trPr>
        <w:tc>
          <w:tcPr>
            <w:tcW w:w="4252" w:type="dxa"/>
            <w:tcBorders>
              <w:top w:val="dotted" w:sz="8" w:space="0" w:color="auto"/>
              <w:bottom w:val="single" w:sz="8" w:space="0" w:color="2B3B5F"/>
              <w:right w:val="nil"/>
            </w:tcBorders>
            <w:shd w:val="clear" w:color="auto" w:fill="auto"/>
            <w:noWrap/>
            <w:vAlign w:val="center"/>
            <w:hideMark/>
          </w:tcPr>
          <w:p w:rsidR="0046130D" w:rsidRPr="0046130D" w:rsidRDefault="001832C4" w:rsidP="00D33A30">
            <w:pPr>
              <w:spacing w:before="0" w:after="0" w:line="240" w:lineRule="auto"/>
              <w:rPr>
                <w:rFonts w:eastAsia="Times New Roman" w:cs="Arial"/>
                <w:b/>
                <w:bCs/>
                <w:color w:val="000000"/>
                <w:sz w:val="16"/>
                <w:szCs w:val="16"/>
              </w:rPr>
            </w:pPr>
            <w:r>
              <w:rPr>
                <w:rFonts w:eastAsia="Times New Roman" w:cs="Arial"/>
                <w:b/>
                <w:bCs/>
                <w:color w:val="000000"/>
                <w:sz w:val="16"/>
                <w:szCs w:val="16"/>
              </w:rPr>
              <w:t xml:space="preserve">Total </w:t>
            </w:r>
            <w:r w:rsidR="0046130D" w:rsidRPr="0046130D">
              <w:rPr>
                <w:rFonts w:eastAsia="Times New Roman" w:cs="Arial"/>
                <w:b/>
                <w:bCs/>
                <w:color w:val="000000"/>
                <w:sz w:val="16"/>
                <w:szCs w:val="16"/>
              </w:rPr>
              <w:t>expenses - as published</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169247</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181238</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195293</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206096</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219362</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280109</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324569</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339239</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356100</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377739</w:t>
            </w:r>
          </w:p>
        </w:tc>
        <w:tc>
          <w:tcPr>
            <w:tcW w:w="794" w:type="dxa"/>
            <w:tcBorders>
              <w:top w:val="dotted" w:sz="8" w:space="0" w:color="auto"/>
              <w:left w:val="nil"/>
              <w:bottom w:val="single" w:sz="8" w:space="0" w:color="2B3B5F"/>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382644</w:t>
            </w:r>
          </w:p>
        </w:tc>
      </w:tr>
      <w:tr w:rsidR="00512130" w:rsidRPr="0046130D" w:rsidTr="00512130">
        <w:trPr>
          <w:trHeight w:val="411"/>
        </w:trPr>
        <w:tc>
          <w:tcPr>
            <w:tcW w:w="12986" w:type="dxa"/>
            <w:gridSpan w:val="12"/>
            <w:tcBorders>
              <w:top w:val="single" w:sz="8" w:space="0" w:color="2B3B5F"/>
            </w:tcBorders>
            <w:shd w:val="clear" w:color="auto" w:fill="auto"/>
            <w:noWrap/>
            <w:vAlign w:val="center"/>
          </w:tcPr>
          <w:p w:rsidR="00512130" w:rsidRPr="0046130D" w:rsidRDefault="00512130" w:rsidP="00512130">
            <w:pPr>
              <w:spacing w:before="0" w:after="0" w:line="240" w:lineRule="auto"/>
              <w:rPr>
                <w:rFonts w:eastAsia="Times New Roman" w:cs="Arial"/>
                <w:color w:val="000000"/>
                <w:sz w:val="16"/>
                <w:szCs w:val="16"/>
              </w:rPr>
            </w:pPr>
          </w:p>
        </w:tc>
      </w:tr>
      <w:tr w:rsidR="0046130D" w:rsidRPr="0046130D" w:rsidTr="00577E17">
        <w:trPr>
          <w:trHeight w:val="20"/>
        </w:trPr>
        <w:tc>
          <w:tcPr>
            <w:tcW w:w="4252" w:type="dxa"/>
            <w:tcBorders>
              <w:top w:val="single" w:sz="8" w:space="0" w:color="2B3B5F"/>
              <w:bottom w:val="dotted" w:sz="8" w:space="0" w:color="auto"/>
              <w:right w:val="nil"/>
            </w:tcBorders>
            <w:shd w:val="clear" w:color="auto" w:fill="95A4C6"/>
            <w:noWrap/>
            <w:vAlign w:val="center"/>
            <w:hideMark/>
          </w:tcPr>
          <w:p w:rsidR="0046130D" w:rsidRPr="0046130D" w:rsidRDefault="0046130D" w:rsidP="00D33A30">
            <w:pPr>
              <w:spacing w:before="0" w:after="0" w:line="240" w:lineRule="auto"/>
              <w:rPr>
                <w:rFonts w:eastAsia="Times New Roman" w:cs="Arial"/>
                <w:color w:val="000000"/>
                <w:sz w:val="16"/>
                <w:szCs w:val="16"/>
              </w:rPr>
            </w:pP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2002-03</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2003-04</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2004-05</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2005-06</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2006-07</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2007-08</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2008-09</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2009-10</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2010-11</w:t>
            </w:r>
          </w:p>
        </w:tc>
        <w:tc>
          <w:tcPr>
            <w:tcW w:w="794" w:type="dxa"/>
            <w:tcBorders>
              <w:top w:val="single" w:sz="8" w:space="0" w:color="2B3B5F"/>
              <w:left w:val="nil"/>
              <w:bottom w:val="dotted" w:sz="8" w:space="0" w:color="auto"/>
              <w:right w:val="nil"/>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2011-12</w:t>
            </w:r>
          </w:p>
        </w:tc>
        <w:tc>
          <w:tcPr>
            <w:tcW w:w="794" w:type="dxa"/>
            <w:tcBorders>
              <w:top w:val="single" w:sz="8" w:space="0" w:color="2B3B5F"/>
              <w:left w:val="nil"/>
              <w:bottom w:val="dotted" w:sz="8" w:space="0" w:color="auto"/>
            </w:tcBorders>
            <w:shd w:val="clear" w:color="auto" w:fill="95A4C6"/>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2012-13</w:t>
            </w:r>
          </w:p>
        </w:tc>
      </w:tr>
      <w:tr w:rsidR="0046130D" w:rsidRPr="0046130D" w:rsidTr="00577E17">
        <w:trPr>
          <w:trHeight w:val="20"/>
        </w:trPr>
        <w:tc>
          <w:tcPr>
            <w:tcW w:w="4252" w:type="dxa"/>
            <w:tcBorders>
              <w:top w:val="dotted" w:sz="8" w:space="0" w:color="auto"/>
              <w:bottom w:val="dotted" w:sz="8" w:space="0" w:color="auto"/>
              <w:right w:val="nil"/>
            </w:tcBorders>
            <w:shd w:val="clear" w:color="auto" w:fill="auto"/>
            <w:noWrap/>
            <w:vAlign w:val="center"/>
            <w:hideMark/>
          </w:tcPr>
          <w:p w:rsidR="0046130D" w:rsidRPr="0046130D" w:rsidRDefault="0046130D" w:rsidP="00D33A30">
            <w:pPr>
              <w:spacing w:before="0" w:after="0" w:line="240" w:lineRule="auto"/>
              <w:rPr>
                <w:rFonts w:eastAsia="Times New Roman" w:cs="Arial"/>
                <w:b/>
                <w:bCs/>
                <w:color w:val="000000"/>
                <w:sz w:val="16"/>
                <w:szCs w:val="16"/>
              </w:rPr>
            </w:pPr>
            <w:r w:rsidRPr="0046130D">
              <w:rPr>
                <w:rFonts w:eastAsia="Times New Roman" w:cs="Arial"/>
                <w:b/>
                <w:bCs/>
                <w:color w:val="000000"/>
                <w:sz w:val="16"/>
                <w:szCs w:val="16"/>
              </w:rPr>
              <w:t>General public services - as published</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10988</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10848</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13935</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12790</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14615</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16615</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17197</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19202</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22481</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23153</w:t>
            </w:r>
          </w:p>
        </w:tc>
        <w:tc>
          <w:tcPr>
            <w:tcW w:w="794" w:type="dxa"/>
            <w:tcBorders>
              <w:top w:val="dotted" w:sz="8" w:space="0" w:color="auto"/>
              <w:left w:val="nil"/>
              <w:bottom w:val="dotted" w:sz="8" w:space="0" w:color="auto"/>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25956</w:t>
            </w:r>
          </w:p>
        </w:tc>
      </w:tr>
      <w:tr w:rsidR="0046130D" w:rsidRPr="0046130D" w:rsidTr="00577E17">
        <w:trPr>
          <w:trHeight w:val="20"/>
        </w:trPr>
        <w:tc>
          <w:tcPr>
            <w:tcW w:w="4252" w:type="dxa"/>
            <w:tcBorders>
              <w:top w:val="dotted" w:sz="8" w:space="0" w:color="auto"/>
              <w:bottom w:val="nil"/>
              <w:right w:val="nil"/>
            </w:tcBorders>
            <w:shd w:val="clear" w:color="auto" w:fill="auto"/>
            <w:noWrap/>
            <w:vAlign w:val="center"/>
            <w:hideMark/>
          </w:tcPr>
          <w:p w:rsidR="0046130D" w:rsidRPr="0046130D" w:rsidRDefault="0046130D" w:rsidP="00D33A30">
            <w:pPr>
              <w:spacing w:before="0" w:after="0" w:line="240" w:lineRule="auto"/>
              <w:ind w:left="113"/>
              <w:rPr>
                <w:rFonts w:eastAsia="Times New Roman" w:cs="Arial"/>
                <w:color w:val="000000"/>
                <w:sz w:val="16"/>
                <w:szCs w:val="16"/>
              </w:rPr>
            </w:pPr>
            <w:r w:rsidRPr="0046130D">
              <w:rPr>
                <w:rFonts w:eastAsia="Times New Roman" w:cs="Arial"/>
                <w:color w:val="000000"/>
                <w:sz w:val="16"/>
                <w:szCs w:val="16"/>
              </w:rPr>
              <w:t xml:space="preserve">Legislative and executive affairs - as published </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732</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732</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728</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768</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870</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961</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728</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840</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1039</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1003</w:t>
            </w:r>
          </w:p>
        </w:tc>
        <w:tc>
          <w:tcPr>
            <w:tcW w:w="794" w:type="dxa"/>
            <w:tcBorders>
              <w:top w:val="dotted" w:sz="8" w:space="0" w:color="auto"/>
              <w:left w:val="nil"/>
              <w:bottom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959</w:t>
            </w:r>
          </w:p>
        </w:tc>
      </w:tr>
      <w:tr w:rsidR="0046130D" w:rsidRPr="0046130D" w:rsidTr="000553AA">
        <w:trPr>
          <w:trHeight w:val="20"/>
        </w:trPr>
        <w:tc>
          <w:tcPr>
            <w:tcW w:w="4252" w:type="dxa"/>
            <w:tcBorders>
              <w:top w:val="nil"/>
              <w:right w:val="nil"/>
            </w:tcBorders>
            <w:shd w:val="clear" w:color="auto" w:fill="auto"/>
            <w:noWrap/>
            <w:vAlign w:val="center"/>
            <w:hideMark/>
          </w:tcPr>
          <w:p w:rsidR="0046130D" w:rsidRPr="0046130D" w:rsidRDefault="0046130D" w:rsidP="00D33A30">
            <w:pPr>
              <w:spacing w:before="0" w:after="0" w:line="240" w:lineRule="auto"/>
              <w:ind w:left="227"/>
              <w:rPr>
                <w:rFonts w:eastAsia="Times New Roman" w:cs="Arial"/>
                <w:i/>
                <w:iCs/>
                <w:color w:val="808080"/>
                <w:sz w:val="16"/>
                <w:szCs w:val="16"/>
              </w:rPr>
            </w:pPr>
            <w:r w:rsidRPr="0046130D">
              <w:rPr>
                <w:rFonts w:eastAsia="Times New Roman" w:cs="Arial"/>
                <w:i/>
                <w:iCs/>
                <w:color w:val="808080"/>
                <w:sz w:val="16"/>
                <w:szCs w:val="16"/>
              </w:rPr>
              <w:t>Accounting change -</w:t>
            </w:r>
            <w:r w:rsidR="004E36A1">
              <w:rPr>
                <w:rFonts w:eastAsia="Times New Roman" w:cs="Arial"/>
                <w:i/>
                <w:iCs/>
                <w:color w:val="808080"/>
                <w:sz w:val="16"/>
                <w:szCs w:val="16"/>
              </w:rPr>
              <w:t xml:space="preserve"> </w:t>
            </w:r>
            <w:r w:rsidRPr="0046130D">
              <w:rPr>
                <w:rFonts w:eastAsia="Times New Roman" w:cs="Arial"/>
                <w:i/>
                <w:iCs/>
                <w:color w:val="808080"/>
                <w:sz w:val="16"/>
                <w:szCs w:val="16"/>
              </w:rPr>
              <w:t>FBT inclusion</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0</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0</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5</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 </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 </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 </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 </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 </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 </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 </w:t>
            </w:r>
          </w:p>
        </w:tc>
        <w:tc>
          <w:tcPr>
            <w:tcW w:w="794" w:type="dxa"/>
            <w:tcBorders>
              <w:top w:val="nil"/>
              <w:lef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 </w:t>
            </w:r>
          </w:p>
        </w:tc>
      </w:tr>
      <w:tr w:rsidR="0046130D" w:rsidRPr="0046130D" w:rsidTr="00577E17">
        <w:trPr>
          <w:trHeight w:val="20"/>
        </w:trPr>
        <w:tc>
          <w:tcPr>
            <w:tcW w:w="4252" w:type="dxa"/>
            <w:tcBorders>
              <w:top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ind w:left="113"/>
              <w:rPr>
                <w:rFonts w:eastAsia="Times New Roman" w:cs="Arial"/>
                <w:color w:val="000000"/>
                <w:sz w:val="16"/>
                <w:szCs w:val="16"/>
              </w:rPr>
            </w:pPr>
            <w:r w:rsidRPr="0046130D">
              <w:rPr>
                <w:rFonts w:eastAsia="Times New Roman" w:cs="Arial"/>
                <w:color w:val="000000"/>
                <w:sz w:val="16"/>
                <w:szCs w:val="16"/>
              </w:rPr>
              <w:t xml:space="preserve">Legislative and executive affairs - total </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732</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732</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733</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768</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870</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961</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728</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840</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1039</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1003</w:t>
            </w:r>
          </w:p>
        </w:tc>
        <w:tc>
          <w:tcPr>
            <w:tcW w:w="794" w:type="dxa"/>
            <w:tcBorders>
              <w:top w:val="nil"/>
              <w:left w:val="nil"/>
              <w:bottom w:val="dotted" w:sz="8" w:space="0" w:color="auto"/>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959</w:t>
            </w:r>
          </w:p>
        </w:tc>
      </w:tr>
      <w:tr w:rsidR="0046130D" w:rsidRPr="0046130D" w:rsidTr="00577E17">
        <w:trPr>
          <w:trHeight w:val="20"/>
        </w:trPr>
        <w:tc>
          <w:tcPr>
            <w:tcW w:w="4252" w:type="dxa"/>
            <w:tcBorders>
              <w:top w:val="dotted" w:sz="8" w:space="0" w:color="auto"/>
              <w:bottom w:val="nil"/>
              <w:right w:val="nil"/>
            </w:tcBorders>
            <w:shd w:val="clear" w:color="auto" w:fill="auto"/>
            <w:noWrap/>
            <w:vAlign w:val="center"/>
            <w:hideMark/>
          </w:tcPr>
          <w:p w:rsidR="0046130D" w:rsidRPr="0046130D" w:rsidRDefault="0046130D" w:rsidP="00D33A30">
            <w:pPr>
              <w:spacing w:before="0" w:after="0" w:line="240" w:lineRule="auto"/>
              <w:ind w:left="113"/>
              <w:rPr>
                <w:rFonts w:eastAsia="Times New Roman" w:cs="Arial"/>
                <w:color w:val="000000"/>
                <w:sz w:val="16"/>
                <w:szCs w:val="16"/>
              </w:rPr>
            </w:pPr>
            <w:r w:rsidRPr="0046130D">
              <w:rPr>
                <w:rFonts w:eastAsia="Times New Roman" w:cs="Arial"/>
                <w:color w:val="000000"/>
                <w:sz w:val="16"/>
                <w:szCs w:val="16"/>
              </w:rPr>
              <w:t>Financial and fiscal affairs - as published</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3476</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3522</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5189</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3958</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4641</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6102</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6331</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6845</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7834</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7982</w:t>
            </w:r>
          </w:p>
        </w:tc>
        <w:tc>
          <w:tcPr>
            <w:tcW w:w="794" w:type="dxa"/>
            <w:tcBorders>
              <w:top w:val="dotted" w:sz="8" w:space="0" w:color="auto"/>
              <w:left w:val="nil"/>
              <w:bottom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7843</w:t>
            </w:r>
          </w:p>
        </w:tc>
      </w:tr>
      <w:tr w:rsidR="0046130D" w:rsidRPr="0046130D" w:rsidTr="000553AA">
        <w:trPr>
          <w:trHeight w:val="20"/>
        </w:trPr>
        <w:tc>
          <w:tcPr>
            <w:tcW w:w="4252" w:type="dxa"/>
            <w:tcBorders>
              <w:top w:val="nil"/>
              <w:bottom w:val="nil"/>
              <w:right w:val="nil"/>
            </w:tcBorders>
            <w:shd w:val="clear" w:color="auto" w:fill="auto"/>
            <w:noWrap/>
            <w:vAlign w:val="center"/>
            <w:hideMark/>
          </w:tcPr>
          <w:p w:rsidR="0046130D" w:rsidRPr="0046130D" w:rsidRDefault="0046130D" w:rsidP="00D33A30">
            <w:pPr>
              <w:spacing w:before="0" w:after="0" w:line="240" w:lineRule="auto"/>
              <w:ind w:left="227"/>
              <w:rPr>
                <w:rFonts w:eastAsia="Times New Roman" w:cs="Arial"/>
                <w:i/>
                <w:iCs/>
                <w:color w:val="808080"/>
                <w:sz w:val="16"/>
                <w:szCs w:val="16"/>
              </w:rPr>
            </w:pPr>
            <w:r w:rsidRPr="0046130D">
              <w:rPr>
                <w:rFonts w:eastAsia="Times New Roman" w:cs="Arial"/>
                <w:i/>
                <w:iCs/>
                <w:color w:val="808080"/>
                <w:sz w:val="16"/>
                <w:szCs w:val="16"/>
              </w:rPr>
              <w:t xml:space="preserve">Accounting change </w:t>
            </w: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r>
      <w:tr w:rsidR="0046130D" w:rsidRPr="0046130D" w:rsidTr="000553AA">
        <w:trPr>
          <w:trHeight w:val="20"/>
        </w:trPr>
        <w:tc>
          <w:tcPr>
            <w:tcW w:w="4252" w:type="dxa"/>
            <w:tcBorders>
              <w:top w:val="nil"/>
              <w:bottom w:val="nil"/>
              <w:right w:val="nil"/>
            </w:tcBorders>
            <w:shd w:val="clear" w:color="auto" w:fill="auto"/>
            <w:noWrap/>
            <w:vAlign w:val="center"/>
            <w:hideMark/>
          </w:tcPr>
          <w:p w:rsidR="0046130D" w:rsidRPr="0046130D" w:rsidRDefault="0046130D" w:rsidP="00D33A30">
            <w:pPr>
              <w:spacing w:before="0" w:after="0" w:line="240" w:lineRule="auto"/>
              <w:ind w:left="340"/>
              <w:rPr>
                <w:rFonts w:eastAsia="Times New Roman" w:cs="Arial"/>
                <w:i/>
                <w:iCs/>
                <w:color w:val="808080"/>
                <w:sz w:val="16"/>
                <w:szCs w:val="16"/>
              </w:rPr>
            </w:pPr>
            <w:r w:rsidRPr="0046130D">
              <w:rPr>
                <w:rFonts w:eastAsia="Times New Roman" w:cs="Arial"/>
                <w:i/>
                <w:iCs/>
                <w:color w:val="808080"/>
                <w:sz w:val="16"/>
                <w:szCs w:val="16"/>
              </w:rPr>
              <w:t xml:space="preserve">Superannuation contribution </w:t>
            </w: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20</w:t>
            </w:r>
          </w:p>
        </w:tc>
        <w:tc>
          <w:tcPr>
            <w:tcW w:w="794" w:type="dxa"/>
            <w:tcBorders>
              <w:top w:val="nil"/>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18</w:t>
            </w: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r>
      <w:tr w:rsidR="0046130D" w:rsidRPr="0046130D" w:rsidTr="000553AA">
        <w:trPr>
          <w:trHeight w:val="20"/>
        </w:trPr>
        <w:tc>
          <w:tcPr>
            <w:tcW w:w="4252" w:type="dxa"/>
            <w:tcBorders>
              <w:top w:val="nil"/>
              <w:bottom w:val="nil"/>
              <w:right w:val="nil"/>
            </w:tcBorders>
            <w:shd w:val="clear" w:color="auto" w:fill="auto"/>
            <w:noWrap/>
            <w:vAlign w:val="center"/>
            <w:hideMark/>
          </w:tcPr>
          <w:p w:rsidR="0046130D" w:rsidRPr="0046130D" w:rsidRDefault="0046130D" w:rsidP="00D33A30">
            <w:pPr>
              <w:spacing w:before="0" w:after="0" w:line="240" w:lineRule="auto"/>
              <w:ind w:left="340"/>
              <w:rPr>
                <w:rFonts w:eastAsia="Times New Roman" w:cs="Arial"/>
                <w:i/>
                <w:iCs/>
                <w:color w:val="808080"/>
                <w:sz w:val="16"/>
                <w:szCs w:val="16"/>
              </w:rPr>
            </w:pPr>
            <w:r w:rsidRPr="0046130D">
              <w:rPr>
                <w:rFonts w:eastAsia="Times New Roman" w:cs="Arial"/>
                <w:i/>
                <w:iCs/>
                <w:color w:val="808080"/>
                <w:sz w:val="16"/>
                <w:szCs w:val="16"/>
              </w:rPr>
              <w:t>FBT inclusion</w:t>
            </w:r>
          </w:p>
        </w:tc>
        <w:tc>
          <w:tcPr>
            <w:tcW w:w="794" w:type="dxa"/>
            <w:tcBorders>
              <w:top w:val="nil"/>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13</w:t>
            </w:r>
          </w:p>
        </w:tc>
        <w:tc>
          <w:tcPr>
            <w:tcW w:w="794" w:type="dxa"/>
            <w:tcBorders>
              <w:top w:val="nil"/>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11</w:t>
            </w:r>
          </w:p>
        </w:tc>
        <w:tc>
          <w:tcPr>
            <w:tcW w:w="794" w:type="dxa"/>
            <w:tcBorders>
              <w:top w:val="nil"/>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12</w:t>
            </w: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r>
      <w:tr w:rsidR="0046130D" w:rsidRPr="0046130D" w:rsidTr="000553AA">
        <w:trPr>
          <w:trHeight w:val="20"/>
        </w:trPr>
        <w:tc>
          <w:tcPr>
            <w:tcW w:w="4252" w:type="dxa"/>
            <w:tcBorders>
              <w:top w:val="nil"/>
              <w:bottom w:val="nil"/>
              <w:right w:val="nil"/>
            </w:tcBorders>
            <w:shd w:val="clear" w:color="auto" w:fill="auto"/>
            <w:noWrap/>
            <w:vAlign w:val="center"/>
            <w:hideMark/>
          </w:tcPr>
          <w:p w:rsidR="0046130D" w:rsidRPr="0046130D" w:rsidRDefault="0046130D" w:rsidP="00D33A30">
            <w:pPr>
              <w:spacing w:before="0" w:after="0" w:line="240" w:lineRule="auto"/>
              <w:ind w:left="227"/>
              <w:rPr>
                <w:rFonts w:eastAsia="Times New Roman" w:cs="Arial"/>
                <w:i/>
                <w:iCs/>
                <w:color w:val="808080"/>
                <w:sz w:val="16"/>
                <w:szCs w:val="16"/>
              </w:rPr>
            </w:pPr>
            <w:r w:rsidRPr="0046130D">
              <w:rPr>
                <w:rFonts w:eastAsia="Times New Roman" w:cs="Arial"/>
                <w:i/>
                <w:iCs/>
                <w:color w:val="808080"/>
                <w:sz w:val="16"/>
                <w:szCs w:val="16"/>
              </w:rPr>
              <w:t>Reclassification</w:t>
            </w:r>
          </w:p>
        </w:tc>
        <w:tc>
          <w:tcPr>
            <w:tcW w:w="794" w:type="dxa"/>
            <w:tcBorders>
              <w:top w:val="nil"/>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r>
      <w:tr w:rsidR="0046130D" w:rsidRPr="0046130D" w:rsidTr="000553AA">
        <w:trPr>
          <w:trHeight w:val="20"/>
        </w:trPr>
        <w:tc>
          <w:tcPr>
            <w:tcW w:w="4252" w:type="dxa"/>
            <w:tcBorders>
              <w:top w:val="nil"/>
              <w:right w:val="nil"/>
            </w:tcBorders>
            <w:shd w:val="clear" w:color="auto" w:fill="auto"/>
            <w:noWrap/>
            <w:vAlign w:val="center"/>
            <w:hideMark/>
          </w:tcPr>
          <w:p w:rsidR="0046130D" w:rsidRPr="0046130D" w:rsidRDefault="00577E17" w:rsidP="00D33A30">
            <w:pPr>
              <w:spacing w:before="0" w:after="0" w:line="240" w:lineRule="auto"/>
              <w:ind w:left="340"/>
              <w:rPr>
                <w:rFonts w:eastAsia="Times New Roman" w:cs="Arial"/>
                <w:i/>
                <w:iCs/>
                <w:color w:val="808080"/>
                <w:sz w:val="16"/>
                <w:szCs w:val="16"/>
              </w:rPr>
            </w:pPr>
            <w:r>
              <w:rPr>
                <w:rFonts w:eastAsia="Times New Roman" w:cs="Arial"/>
                <w:i/>
                <w:iCs/>
                <w:color w:val="808080"/>
                <w:sz w:val="16"/>
                <w:szCs w:val="16"/>
              </w:rPr>
              <w:t>O</w:t>
            </w:r>
            <w:r w:rsidR="0046130D" w:rsidRPr="0046130D">
              <w:rPr>
                <w:rFonts w:eastAsia="Times New Roman" w:cs="Arial"/>
                <w:i/>
                <w:iCs/>
                <w:color w:val="808080"/>
                <w:sz w:val="16"/>
                <w:szCs w:val="16"/>
              </w:rPr>
              <w:t>peration sunlight</w:t>
            </w:r>
            <w:r w:rsidR="004E36A1">
              <w:rPr>
                <w:rFonts w:eastAsia="Times New Roman" w:cs="Arial"/>
                <w:i/>
                <w:iCs/>
                <w:color w:val="808080"/>
                <w:sz w:val="16"/>
                <w:szCs w:val="16"/>
              </w:rPr>
              <w:t xml:space="preserve"> </w:t>
            </w:r>
            <w:r w:rsidR="0046130D" w:rsidRPr="0046130D">
              <w:rPr>
                <w:rFonts w:eastAsia="Times New Roman" w:cs="Arial"/>
                <w:i/>
                <w:iCs/>
                <w:color w:val="808080"/>
                <w:sz w:val="16"/>
                <w:szCs w:val="16"/>
              </w:rPr>
              <w:t>- services to territories</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-30</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-31</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-107</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-100</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-103</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-102</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-141</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p>
        </w:tc>
        <w:tc>
          <w:tcPr>
            <w:tcW w:w="794" w:type="dxa"/>
            <w:tcBorders>
              <w:top w:val="nil"/>
              <w:lef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p>
        </w:tc>
      </w:tr>
      <w:tr w:rsidR="0046130D" w:rsidRPr="0046130D" w:rsidTr="00577E17">
        <w:trPr>
          <w:trHeight w:val="20"/>
        </w:trPr>
        <w:tc>
          <w:tcPr>
            <w:tcW w:w="4252" w:type="dxa"/>
            <w:tcBorders>
              <w:top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ind w:left="113"/>
              <w:rPr>
                <w:rFonts w:eastAsia="Times New Roman" w:cs="Arial"/>
                <w:color w:val="000000"/>
                <w:sz w:val="16"/>
                <w:szCs w:val="16"/>
              </w:rPr>
            </w:pPr>
            <w:r w:rsidRPr="0046130D">
              <w:rPr>
                <w:rFonts w:eastAsia="Times New Roman" w:cs="Arial"/>
                <w:color w:val="000000"/>
                <w:sz w:val="16"/>
                <w:szCs w:val="16"/>
              </w:rPr>
              <w:t>Financial and fiscal affairs - total</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3458</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3502</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5094</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3878</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4555</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6000</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6190</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6845</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7834</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7982</w:t>
            </w:r>
          </w:p>
        </w:tc>
        <w:tc>
          <w:tcPr>
            <w:tcW w:w="794" w:type="dxa"/>
            <w:tcBorders>
              <w:top w:val="nil"/>
              <w:left w:val="nil"/>
              <w:bottom w:val="dotted" w:sz="8" w:space="0" w:color="auto"/>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7843</w:t>
            </w:r>
          </w:p>
        </w:tc>
      </w:tr>
      <w:tr w:rsidR="0046130D" w:rsidRPr="0046130D" w:rsidTr="00577E17">
        <w:trPr>
          <w:trHeight w:val="20"/>
        </w:trPr>
        <w:tc>
          <w:tcPr>
            <w:tcW w:w="4252" w:type="dxa"/>
            <w:tcBorders>
              <w:top w:val="dotted" w:sz="8" w:space="0" w:color="auto"/>
              <w:bottom w:val="nil"/>
              <w:right w:val="nil"/>
            </w:tcBorders>
            <w:shd w:val="clear" w:color="auto" w:fill="auto"/>
            <w:noWrap/>
            <w:vAlign w:val="center"/>
            <w:hideMark/>
          </w:tcPr>
          <w:p w:rsidR="0046130D" w:rsidRPr="0046130D" w:rsidRDefault="0046130D" w:rsidP="00D33A30">
            <w:pPr>
              <w:spacing w:before="0" w:after="0" w:line="240" w:lineRule="auto"/>
              <w:ind w:left="113"/>
              <w:rPr>
                <w:rFonts w:eastAsia="Times New Roman" w:cs="Arial"/>
                <w:color w:val="000000"/>
                <w:sz w:val="16"/>
                <w:szCs w:val="16"/>
              </w:rPr>
            </w:pPr>
            <w:r w:rsidRPr="0046130D">
              <w:rPr>
                <w:rFonts w:eastAsia="Times New Roman" w:cs="Arial"/>
                <w:color w:val="000000"/>
                <w:sz w:val="16"/>
                <w:szCs w:val="16"/>
              </w:rPr>
              <w:t>Foreign affairs and economic aid - as published</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2334</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2162</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2844</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2955</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3282</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3881</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4763</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4869</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5564</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5878</w:t>
            </w:r>
          </w:p>
        </w:tc>
        <w:tc>
          <w:tcPr>
            <w:tcW w:w="794" w:type="dxa"/>
            <w:tcBorders>
              <w:top w:val="dotted" w:sz="8" w:space="0" w:color="auto"/>
              <w:left w:val="nil"/>
              <w:bottom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5796</w:t>
            </w:r>
          </w:p>
        </w:tc>
      </w:tr>
      <w:tr w:rsidR="0046130D" w:rsidRPr="0046130D" w:rsidTr="000553AA">
        <w:trPr>
          <w:trHeight w:val="20"/>
        </w:trPr>
        <w:tc>
          <w:tcPr>
            <w:tcW w:w="4252" w:type="dxa"/>
            <w:tcBorders>
              <w:top w:val="nil"/>
              <w:bottom w:val="nil"/>
              <w:right w:val="nil"/>
            </w:tcBorders>
            <w:shd w:val="clear" w:color="auto" w:fill="auto"/>
            <w:noWrap/>
            <w:vAlign w:val="center"/>
            <w:hideMark/>
          </w:tcPr>
          <w:p w:rsidR="0046130D" w:rsidRPr="0046130D" w:rsidRDefault="0046130D" w:rsidP="00D33A30">
            <w:pPr>
              <w:spacing w:before="0" w:after="0" w:line="240" w:lineRule="auto"/>
              <w:ind w:left="227"/>
              <w:rPr>
                <w:rFonts w:eastAsia="Times New Roman" w:cs="Arial"/>
                <w:i/>
                <w:iCs/>
                <w:color w:val="808080"/>
                <w:sz w:val="16"/>
                <w:szCs w:val="16"/>
              </w:rPr>
            </w:pPr>
            <w:r w:rsidRPr="0046130D">
              <w:rPr>
                <w:rFonts w:eastAsia="Times New Roman" w:cs="Arial"/>
                <w:i/>
                <w:iCs/>
                <w:color w:val="808080"/>
                <w:sz w:val="16"/>
                <w:szCs w:val="16"/>
              </w:rPr>
              <w:t xml:space="preserve">Accounting change </w:t>
            </w: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bottom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r>
      <w:tr w:rsidR="0046130D" w:rsidRPr="0046130D" w:rsidTr="000553AA">
        <w:trPr>
          <w:trHeight w:val="20"/>
        </w:trPr>
        <w:tc>
          <w:tcPr>
            <w:tcW w:w="4252" w:type="dxa"/>
            <w:tcBorders>
              <w:top w:val="nil"/>
              <w:bottom w:val="nil"/>
              <w:right w:val="nil"/>
            </w:tcBorders>
            <w:shd w:val="clear" w:color="auto" w:fill="auto"/>
            <w:noWrap/>
            <w:vAlign w:val="center"/>
            <w:hideMark/>
          </w:tcPr>
          <w:p w:rsidR="0046130D" w:rsidRPr="0046130D" w:rsidRDefault="0046130D" w:rsidP="00D33A30">
            <w:pPr>
              <w:spacing w:before="0" w:after="0" w:line="240" w:lineRule="auto"/>
              <w:ind w:left="340"/>
              <w:rPr>
                <w:rFonts w:eastAsia="Times New Roman" w:cs="Arial"/>
                <w:i/>
                <w:iCs/>
                <w:color w:val="808080"/>
                <w:sz w:val="16"/>
                <w:szCs w:val="16"/>
              </w:rPr>
            </w:pPr>
            <w:r w:rsidRPr="0046130D">
              <w:rPr>
                <w:rFonts w:eastAsia="Times New Roman" w:cs="Arial"/>
                <w:i/>
                <w:iCs/>
                <w:color w:val="808080"/>
                <w:sz w:val="16"/>
                <w:szCs w:val="16"/>
              </w:rPr>
              <w:t>FBT inclusion</w:t>
            </w:r>
          </w:p>
        </w:tc>
        <w:tc>
          <w:tcPr>
            <w:tcW w:w="794" w:type="dxa"/>
            <w:tcBorders>
              <w:top w:val="nil"/>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15</w:t>
            </w:r>
          </w:p>
        </w:tc>
        <w:tc>
          <w:tcPr>
            <w:tcW w:w="794" w:type="dxa"/>
            <w:tcBorders>
              <w:top w:val="nil"/>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12</w:t>
            </w:r>
          </w:p>
        </w:tc>
        <w:tc>
          <w:tcPr>
            <w:tcW w:w="794" w:type="dxa"/>
            <w:tcBorders>
              <w:top w:val="nil"/>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19</w:t>
            </w: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r>
      <w:tr w:rsidR="0046130D" w:rsidRPr="0046130D" w:rsidTr="000553AA">
        <w:trPr>
          <w:trHeight w:val="20"/>
        </w:trPr>
        <w:tc>
          <w:tcPr>
            <w:tcW w:w="4252" w:type="dxa"/>
            <w:tcBorders>
              <w:top w:val="nil"/>
              <w:right w:val="nil"/>
            </w:tcBorders>
            <w:shd w:val="clear" w:color="auto" w:fill="auto"/>
            <w:noWrap/>
            <w:vAlign w:val="center"/>
            <w:hideMark/>
          </w:tcPr>
          <w:p w:rsidR="0046130D" w:rsidRPr="0046130D" w:rsidRDefault="0046130D" w:rsidP="00D33A30">
            <w:pPr>
              <w:spacing w:before="0" w:after="0" w:line="240" w:lineRule="auto"/>
              <w:ind w:left="340"/>
              <w:rPr>
                <w:rFonts w:eastAsia="Times New Roman" w:cs="Arial"/>
                <w:i/>
                <w:iCs/>
                <w:color w:val="808080"/>
                <w:sz w:val="16"/>
                <w:szCs w:val="16"/>
              </w:rPr>
            </w:pPr>
            <w:r w:rsidRPr="0046130D">
              <w:rPr>
                <w:rFonts w:eastAsia="Times New Roman" w:cs="Arial"/>
                <w:i/>
                <w:iCs/>
                <w:color w:val="808080"/>
                <w:sz w:val="16"/>
                <w:szCs w:val="16"/>
              </w:rPr>
              <w:t>EFIC reclassification to general government sector</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134</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100</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90</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90</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78</w:t>
            </w:r>
          </w:p>
        </w:tc>
        <w:tc>
          <w:tcPr>
            <w:tcW w:w="794" w:type="dxa"/>
            <w:tcBorders>
              <w:top w:val="nil"/>
              <w:left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r>
      <w:tr w:rsidR="0046130D" w:rsidRPr="0046130D" w:rsidTr="00577E17">
        <w:trPr>
          <w:trHeight w:val="20"/>
        </w:trPr>
        <w:tc>
          <w:tcPr>
            <w:tcW w:w="4252" w:type="dxa"/>
            <w:tcBorders>
              <w:top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ind w:left="113"/>
              <w:rPr>
                <w:rFonts w:eastAsia="Times New Roman" w:cs="Arial"/>
                <w:color w:val="000000"/>
                <w:sz w:val="16"/>
                <w:szCs w:val="16"/>
              </w:rPr>
            </w:pPr>
            <w:r w:rsidRPr="0046130D">
              <w:rPr>
                <w:rFonts w:eastAsia="Times New Roman" w:cs="Arial"/>
                <w:color w:val="000000"/>
                <w:sz w:val="16"/>
                <w:szCs w:val="16"/>
              </w:rPr>
              <w:t>Foreign affairs and economic aid - total</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2483</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2274</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2953</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3045</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3360</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3881</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4763</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4869</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5564</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5878</w:t>
            </w:r>
          </w:p>
        </w:tc>
        <w:tc>
          <w:tcPr>
            <w:tcW w:w="794" w:type="dxa"/>
            <w:tcBorders>
              <w:top w:val="nil"/>
              <w:left w:val="nil"/>
              <w:bottom w:val="dotted" w:sz="8" w:space="0" w:color="auto"/>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5796</w:t>
            </w:r>
          </w:p>
        </w:tc>
      </w:tr>
      <w:tr w:rsidR="0046130D" w:rsidRPr="0046130D" w:rsidTr="00577E17">
        <w:trPr>
          <w:trHeight w:val="20"/>
        </w:trPr>
        <w:tc>
          <w:tcPr>
            <w:tcW w:w="4252" w:type="dxa"/>
            <w:tcBorders>
              <w:top w:val="dotted" w:sz="8" w:space="0" w:color="auto"/>
              <w:bottom w:val="nil"/>
              <w:right w:val="nil"/>
            </w:tcBorders>
            <w:shd w:val="clear" w:color="auto" w:fill="auto"/>
            <w:noWrap/>
            <w:vAlign w:val="center"/>
            <w:hideMark/>
          </w:tcPr>
          <w:p w:rsidR="0046130D" w:rsidRPr="0046130D" w:rsidRDefault="0046130D" w:rsidP="00D33A30">
            <w:pPr>
              <w:spacing w:before="0" w:after="0" w:line="240" w:lineRule="auto"/>
              <w:ind w:left="113"/>
              <w:rPr>
                <w:rFonts w:eastAsia="Times New Roman" w:cs="Arial"/>
                <w:i/>
                <w:iCs/>
                <w:color w:val="000000"/>
                <w:sz w:val="16"/>
                <w:szCs w:val="16"/>
              </w:rPr>
            </w:pPr>
            <w:r w:rsidRPr="0046130D">
              <w:rPr>
                <w:rFonts w:eastAsia="Times New Roman" w:cs="Arial"/>
                <w:i/>
                <w:iCs/>
                <w:color w:val="000000"/>
                <w:sz w:val="16"/>
                <w:szCs w:val="16"/>
              </w:rPr>
              <w:t>General research - as published</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1790</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1910</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2157</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2346</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2476</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2146</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2237</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2358</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2687</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2764</w:t>
            </w:r>
          </w:p>
        </w:tc>
        <w:tc>
          <w:tcPr>
            <w:tcW w:w="794" w:type="dxa"/>
            <w:tcBorders>
              <w:top w:val="dotted" w:sz="8" w:space="0" w:color="auto"/>
              <w:left w:val="nil"/>
              <w:bottom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2651</w:t>
            </w:r>
          </w:p>
        </w:tc>
      </w:tr>
      <w:tr w:rsidR="0046130D" w:rsidRPr="0046130D" w:rsidTr="000553AA">
        <w:trPr>
          <w:trHeight w:val="20"/>
        </w:trPr>
        <w:tc>
          <w:tcPr>
            <w:tcW w:w="4252" w:type="dxa"/>
            <w:tcBorders>
              <w:top w:val="nil"/>
              <w:bottom w:val="nil"/>
              <w:right w:val="nil"/>
            </w:tcBorders>
            <w:shd w:val="clear" w:color="auto" w:fill="auto"/>
            <w:noWrap/>
            <w:vAlign w:val="center"/>
            <w:hideMark/>
          </w:tcPr>
          <w:p w:rsidR="0046130D" w:rsidRPr="0046130D" w:rsidRDefault="0046130D" w:rsidP="00D33A30">
            <w:pPr>
              <w:spacing w:before="0" w:after="0" w:line="240" w:lineRule="auto"/>
              <w:ind w:left="227"/>
              <w:rPr>
                <w:rFonts w:eastAsia="Times New Roman" w:cs="Arial"/>
                <w:i/>
                <w:iCs/>
                <w:color w:val="808080"/>
                <w:sz w:val="16"/>
                <w:szCs w:val="16"/>
              </w:rPr>
            </w:pPr>
            <w:r w:rsidRPr="0046130D">
              <w:rPr>
                <w:rFonts w:eastAsia="Times New Roman" w:cs="Arial"/>
                <w:i/>
                <w:iCs/>
                <w:color w:val="808080"/>
                <w:sz w:val="16"/>
                <w:szCs w:val="16"/>
              </w:rPr>
              <w:t xml:space="preserve">Accounting change </w:t>
            </w: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r>
      <w:tr w:rsidR="0046130D" w:rsidRPr="0046130D" w:rsidTr="000553AA">
        <w:trPr>
          <w:trHeight w:val="20"/>
        </w:trPr>
        <w:tc>
          <w:tcPr>
            <w:tcW w:w="4252" w:type="dxa"/>
            <w:tcBorders>
              <w:top w:val="nil"/>
              <w:bottom w:val="nil"/>
              <w:right w:val="nil"/>
            </w:tcBorders>
            <w:shd w:val="clear" w:color="auto" w:fill="auto"/>
            <w:noWrap/>
            <w:vAlign w:val="center"/>
            <w:hideMark/>
          </w:tcPr>
          <w:p w:rsidR="0046130D" w:rsidRPr="0046130D" w:rsidRDefault="0046130D" w:rsidP="00D33A30">
            <w:pPr>
              <w:spacing w:before="0" w:after="0" w:line="240" w:lineRule="auto"/>
              <w:ind w:left="340"/>
              <w:rPr>
                <w:rFonts w:eastAsia="Times New Roman" w:cs="Arial"/>
                <w:i/>
                <w:iCs/>
                <w:color w:val="808080"/>
                <w:sz w:val="16"/>
                <w:szCs w:val="16"/>
              </w:rPr>
            </w:pPr>
            <w:r w:rsidRPr="0046130D">
              <w:rPr>
                <w:rFonts w:eastAsia="Times New Roman" w:cs="Arial"/>
                <w:i/>
                <w:iCs/>
                <w:color w:val="808080"/>
                <w:sz w:val="16"/>
                <w:szCs w:val="16"/>
              </w:rPr>
              <w:t>FBT inclusion</w:t>
            </w:r>
          </w:p>
        </w:tc>
        <w:tc>
          <w:tcPr>
            <w:tcW w:w="794" w:type="dxa"/>
            <w:tcBorders>
              <w:top w:val="nil"/>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2</w:t>
            </w:r>
          </w:p>
        </w:tc>
        <w:tc>
          <w:tcPr>
            <w:tcW w:w="794" w:type="dxa"/>
            <w:tcBorders>
              <w:top w:val="nil"/>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2</w:t>
            </w:r>
          </w:p>
        </w:tc>
        <w:tc>
          <w:tcPr>
            <w:tcW w:w="794" w:type="dxa"/>
            <w:tcBorders>
              <w:top w:val="nil"/>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5</w:t>
            </w: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r>
      <w:tr w:rsidR="0046130D" w:rsidRPr="0046130D" w:rsidTr="000553AA">
        <w:trPr>
          <w:trHeight w:val="20"/>
        </w:trPr>
        <w:tc>
          <w:tcPr>
            <w:tcW w:w="4252" w:type="dxa"/>
            <w:tcBorders>
              <w:top w:val="nil"/>
              <w:bottom w:val="nil"/>
              <w:right w:val="nil"/>
            </w:tcBorders>
            <w:shd w:val="clear" w:color="auto" w:fill="auto"/>
            <w:noWrap/>
            <w:vAlign w:val="center"/>
            <w:hideMark/>
          </w:tcPr>
          <w:p w:rsidR="0046130D" w:rsidRPr="0046130D" w:rsidRDefault="0046130D" w:rsidP="00D33A30">
            <w:pPr>
              <w:spacing w:before="0" w:after="0" w:line="240" w:lineRule="auto"/>
              <w:ind w:left="227"/>
              <w:rPr>
                <w:rFonts w:eastAsia="Times New Roman" w:cs="Arial"/>
                <w:i/>
                <w:iCs/>
                <w:color w:val="808080"/>
                <w:sz w:val="16"/>
                <w:szCs w:val="16"/>
              </w:rPr>
            </w:pPr>
            <w:r w:rsidRPr="0046130D">
              <w:rPr>
                <w:rFonts w:eastAsia="Times New Roman" w:cs="Arial"/>
                <w:i/>
                <w:iCs/>
                <w:color w:val="808080"/>
                <w:sz w:val="16"/>
                <w:szCs w:val="16"/>
              </w:rPr>
              <w:t>Reclassification</w:t>
            </w: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80808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r>
      <w:tr w:rsidR="0046130D" w:rsidRPr="0046130D" w:rsidTr="000553AA">
        <w:trPr>
          <w:trHeight w:val="20"/>
        </w:trPr>
        <w:tc>
          <w:tcPr>
            <w:tcW w:w="4252" w:type="dxa"/>
            <w:tcBorders>
              <w:top w:val="nil"/>
              <w:right w:val="nil"/>
            </w:tcBorders>
            <w:shd w:val="clear" w:color="auto" w:fill="auto"/>
            <w:noWrap/>
            <w:vAlign w:val="center"/>
            <w:hideMark/>
          </w:tcPr>
          <w:p w:rsidR="0046130D" w:rsidRPr="0046130D" w:rsidRDefault="00577E17" w:rsidP="00D33A30">
            <w:pPr>
              <w:spacing w:before="0" w:after="0" w:line="240" w:lineRule="auto"/>
              <w:ind w:left="340"/>
              <w:rPr>
                <w:rFonts w:eastAsia="Times New Roman" w:cs="Arial"/>
                <w:i/>
                <w:iCs/>
                <w:color w:val="808080"/>
                <w:sz w:val="16"/>
                <w:szCs w:val="16"/>
              </w:rPr>
            </w:pPr>
            <w:r>
              <w:rPr>
                <w:rFonts w:eastAsia="Times New Roman" w:cs="Arial"/>
                <w:i/>
                <w:iCs/>
                <w:color w:val="808080"/>
                <w:sz w:val="16"/>
                <w:szCs w:val="16"/>
              </w:rPr>
              <w:t>O</w:t>
            </w:r>
            <w:r w:rsidR="0046130D" w:rsidRPr="0046130D">
              <w:rPr>
                <w:rFonts w:eastAsia="Times New Roman" w:cs="Arial"/>
                <w:i/>
                <w:iCs/>
                <w:color w:val="808080"/>
                <w:sz w:val="16"/>
                <w:szCs w:val="16"/>
              </w:rPr>
              <w:t>peration sunlight - innovative industry</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-154</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-206</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-200</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-216</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-209</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-235</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-352</w:t>
            </w:r>
          </w:p>
        </w:tc>
        <w:tc>
          <w:tcPr>
            <w:tcW w:w="794" w:type="dxa"/>
            <w:tcBorders>
              <w:top w:val="nil"/>
              <w:left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i/>
                <w:iCs/>
                <w:color w:val="000000"/>
                <w:sz w:val="16"/>
                <w:szCs w:val="16"/>
              </w:rPr>
            </w:pPr>
          </w:p>
        </w:tc>
        <w:tc>
          <w:tcPr>
            <w:tcW w:w="794" w:type="dxa"/>
            <w:tcBorders>
              <w:top w:val="nil"/>
              <w:left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r>
      <w:tr w:rsidR="0046130D" w:rsidRPr="0046130D" w:rsidTr="00577E17">
        <w:trPr>
          <w:trHeight w:val="20"/>
        </w:trPr>
        <w:tc>
          <w:tcPr>
            <w:tcW w:w="4252" w:type="dxa"/>
            <w:tcBorders>
              <w:top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ind w:left="113"/>
              <w:rPr>
                <w:rFonts w:eastAsia="Times New Roman" w:cs="Arial"/>
                <w:color w:val="000000"/>
                <w:sz w:val="16"/>
                <w:szCs w:val="16"/>
              </w:rPr>
            </w:pPr>
            <w:r w:rsidRPr="0046130D">
              <w:rPr>
                <w:rFonts w:eastAsia="Times New Roman" w:cs="Arial"/>
                <w:color w:val="000000"/>
                <w:sz w:val="16"/>
                <w:szCs w:val="16"/>
              </w:rPr>
              <w:t>General research - total</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1639</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1706</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1962</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2130</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2267</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1911</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1885</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2358</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2687</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2764</w:t>
            </w:r>
          </w:p>
        </w:tc>
        <w:tc>
          <w:tcPr>
            <w:tcW w:w="794" w:type="dxa"/>
            <w:tcBorders>
              <w:top w:val="nil"/>
              <w:left w:val="nil"/>
              <w:bottom w:val="dotted" w:sz="8" w:space="0" w:color="auto"/>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2651</w:t>
            </w:r>
          </w:p>
        </w:tc>
      </w:tr>
      <w:tr w:rsidR="0046130D" w:rsidRPr="0046130D" w:rsidTr="00577E17">
        <w:trPr>
          <w:trHeight w:val="20"/>
        </w:trPr>
        <w:tc>
          <w:tcPr>
            <w:tcW w:w="4252" w:type="dxa"/>
            <w:tcBorders>
              <w:top w:val="dotted" w:sz="8" w:space="0" w:color="auto"/>
              <w:bottom w:val="nil"/>
              <w:right w:val="nil"/>
            </w:tcBorders>
            <w:shd w:val="clear" w:color="auto" w:fill="auto"/>
            <w:noWrap/>
            <w:vAlign w:val="center"/>
            <w:hideMark/>
          </w:tcPr>
          <w:p w:rsidR="0046130D" w:rsidRPr="0046130D" w:rsidRDefault="0046130D" w:rsidP="00D33A30">
            <w:pPr>
              <w:spacing w:before="0" w:after="0" w:line="240" w:lineRule="auto"/>
              <w:ind w:left="113"/>
              <w:rPr>
                <w:rFonts w:eastAsia="Times New Roman" w:cs="Arial"/>
                <w:color w:val="000000"/>
                <w:sz w:val="16"/>
                <w:szCs w:val="16"/>
              </w:rPr>
            </w:pPr>
            <w:r w:rsidRPr="0046130D">
              <w:rPr>
                <w:rFonts w:eastAsia="Times New Roman" w:cs="Arial"/>
                <w:color w:val="000000"/>
                <w:sz w:val="16"/>
                <w:szCs w:val="16"/>
              </w:rPr>
              <w:t>General services - as published</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566</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453</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631</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560</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667</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925</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995</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818</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1208</w:t>
            </w:r>
          </w:p>
        </w:tc>
        <w:tc>
          <w:tcPr>
            <w:tcW w:w="794" w:type="dxa"/>
            <w:tcBorders>
              <w:top w:val="dotted" w:sz="8" w:space="0" w:color="auto"/>
              <w:left w:val="nil"/>
              <w:bottom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1432</w:t>
            </w:r>
          </w:p>
        </w:tc>
        <w:tc>
          <w:tcPr>
            <w:tcW w:w="794" w:type="dxa"/>
            <w:tcBorders>
              <w:top w:val="dotted" w:sz="8" w:space="0" w:color="auto"/>
              <w:left w:val="nil"/>
              <w:bottom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759</w:t>
            </w:r>
          </w:p>
        </w:tc>
      </w:tr>
      <w:tr w:rsidR="0046130D" w:rsidRPr="0046130D" w:rsidTr="000553AA">
        <w:trPr>
          <w:trHeight w:val="20"/>
        </w:trPr>
        <w:tc>
          <w:tcPr>
            <w:tcW w:w="4252" w:type="dxa"/>
            <w:tcBorders>
              <w:top w:val="nil"/>
              <w:right w:val="nil"/>
            </w:tcBorders>
            <w:shd w:val="clear" w:color="auto" w:fill="auto"/>
            <w:noWrap/>
            <w:vAlign w:val="center"/>
            <w:hideMark/>
          </w:tcPr>
          <w:p w:rsidR="0046130D" w:rsidRPr="0046130D" w:rsidRDefault="0046130D" w:rsidP="00D33A30">
            <w:pPr>
              <w:spacing w:before="0" w:after="0" w:line="240" w:lineRule="auto"/>
              <w:ind w:left="227"/>
              <w:rPr>
                <w:rFonts w:eastAsia="Times New Roman" w:cs="Arial"/>
                <w:i/>
                <w:iCs/>
                <w:color w:val="808080"/>
                <w:sz w:val="16"/>
                <w:szCs w:val="16"/>
              </w:rPr>
            </w:pPr>
            <w:r w:rsidRPr="0046130D">
              <w:rPr>
                <w:rFonts w:eastAsia="Times New Roman" w:cs="Arial"/>
                <w:i/>
                <w:iCs/>
                <w:color w:val="808080"/>
                <w:sz w:val="16"/>
                <w:szCs w:val="16"/>
              </w:rPr>
              <w:t>Accounting change -FBT inclusion</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0</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0</w:t>
            </w:r>
          </w:p>
        </w:tc>
        <w:tc>
          <w:tcPr>
            <w:tcW w:w="794" w:type="dxa"/>
            <w:tcBorders>
              <w:top w:val="nil"/>
              <w:left w:val="nil"/>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i/>
                <w:iCs/>
                <w:color w:val="808080"/>
                <w:sz w:val="16"/>
                <w:szCs w:val="16"/>
              </w:rPr>
            </w:pPr>
            <w:r w:rsidRPr="0046130D">
              <w:rPr>
                <w:rFonts w:eastAsia="Times New Roman" w:cs="Arial"/>
                <w:i/>
                <w:iCs/>
                <w:color w:val="808080"/>
                <w:sz w:val="16"/>
                <w:szCs w:val="16"/>
              </w:rPr>
              <w:t>7</w:t>
            </w:r>
          </w:p>
        </w:tc>
        <w:tc>
          <w:tcPr>
            <w:tcW w:w="794" w:type="dxa"/>
            <w:tcBorders>
              <w:top w:val="nil"/>
              <w:left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c>
          <w:tcPr>
            <w:tcW w:w="794" w:type="dxa"/>
            <w:tcBorders>
              <w:top w:val="nil"/>
              <w:left w:val="nil"/>
            </w:tcBorders>
            <w:shd w:val="clear" w:color="auto" w:fill="auto"/>
            <w:noWrap/>
            <w:vAlign w:val="center"/>
          </w:tcPr>
          <w:p w:rsidR="0046130D" w:rsidRPr="0046130D" w:rsidRDefault="0046130D" w:rsidP="00D33A30">
            <w:pPr>
              <w:spacing w:before="0" w:after="0" w:line="240" w:lineRule="auto"/>
              <w:jc w:val="right"/>
              <w:rPr>
                <w:rFonts w:eastAsia="Times New Roman" w:cs="Arial"/>
                <w:color w:val="000000"/>
                <w:sz w:val="16"/>
                <w:szCs w:val="16"/>
              </w:rPr>
            </w:pPr>
          </w:p>
        </w:tc>
      </w:tr>
      <w:tr w:rsidR="0046130D" w:rsidRPr="00CA496C" w:rsidTr="00577E17">
        <w:trPr>
          <w:trHeight w:val="20"/>
        </w:trPr>
        <w:tc>
          <w:tcPr>
            <w:tcW w:w="4252" w:type="dxa"/>
            <w:tcBorders>
              <w:top w:val="nil"/>
              <w:bottom w:val="dotted" w:sz="8" w:space="0" w:color="auto"/>
              <w:right w:val="nil"/>
            </w:tcBorders>
            <w:shd w:val="clear" w:color="auto" w:fill="auto"/>
            <w:noWrap/>
            <w:vAlign w:val="center"/>
            <w:hideMark/>
          </w:tcPr>
          <w:p w:rsidR="0046130D" w:rsidRPr="0046130D" w:rsidRDefault="0046130D" w:rsidP="00CA496C">
            <w:pPr>
              <w:spacing w:before="0" w:after="0" w:line="240" w:lineRule="auto"/>
              <w:ind w:left="113"/>
              <w:rPr>
                <w:rFonts w:eastAsia="Times New Roman" w:cs="Arial"/>
                <w:color w:val="000000"/>
                <w:sz w:val="16"/>
                <w:szCs w:val="16"/>
              </w:rPr>
            </w:pPr>
            <w:r w:rsidRPr="0046130D">
              <w:rPr>
                <w:rFonts w:eastAsia="Times New Roman" w:cs="Arial"/>
                <w:color w:val="000000"/>
                <w:sz w:val="16"/>
                <w:szCs w:val="16"/>
              </w:rPr>
              <w:t xml:space="preserve">General services </w:t>
            </w:r>
            <w:r w:rsidR="004E36A1">
              <w:rPr>
                <w:rFonts w:eastAsia="Times New Roman" w:cs="Arial"/>
                <w:color w:val="000000"/>
                <w:sz w:val="16"/>
                <w:szCs w:val="16"/>
              </w:rPr>
              <w:t>-</w:t>
            </w:r>
            <w:r w:rsidRPr="0046130D">
              <w:rPr>
                <w:rFonts w:eastAsia="Times New Roman" w:cs="Arial"/>
                <w:color w:val="000000"/>
                <w:sz w:val="16"/>
                <w:szCs w:val="16"/>
              </w:rPr>
              <w:t xml:space="preserve"> total</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CA496C">
            <w:pPr>
              <w:spacing w:before="0" w:after="0" w:line="240" w:lineRule="auto"/>
              <w:ind w:left="113"/>
              <w:jc w:val="right"/>
              <w:rPr>
                <w:rFonts w:eastAsia="Times New Roman" w:cs="Arial"/>
                <w:color w:val="000000"/>
                <w:sz w:val="16"/>
                <w:szCs w:val="16"/>
              </w:rPr>
            </w:pPr>
            <w:r w:rsidRPr="0046130D">
              <w:rPr>
                <w:rFonts w:eastAsia="Times New Roman" w:cs="Arial"/>
                <w:color w:val="000000"/>
                <w:sz w:val="16"/>
                <w:szCs w:val="16"/>
              </w:rPr>
              <w:t>566</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CA496C">
            <w:pPr>
              <w:spacing w:before="0" w:after="0" w:line="240" w:lineRule="auto"/>
              <w:ind w:left="113"/>
              <w:jc w:val="right"/>
              <w:rPr>
                <w:rFonts w:eastAsia="Times New Roman" w:cs="Arial"/>
                <w:color w:val="000000"/>
                <w:sz w:val="16"/>
                <w:szCs w:val="16"/>
              </w:rPr>
            </w:pPr>
            <w:r w:rsidRPr="0046130D">
              <w:rPr>
                <w:rFonts w:eastAsia="Times New Roman" w:cs="Arial"/>
                <w:color w:val="000000"/>
                <w:sz w:val="16"/>
                <w:szCs w:val="16"/>
              </w:rPr>
              <w:t>453</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CA496C">
            <w:pPr>
              <w:spacing w:before="0" w:after="0" w:line="240" w:lineRule="auto"/>
              <w:ind w:left="113"/>
              <w:jc w:val="right"/>
              <w:rPr>
                <w:rFonts w:eastAsia="Times New Roman" w:cs="Arial"/>
                <w:color w:val="000000"/>
                <w:sz w:val="16"/>
                <w:szCs w:val="16"/>
              </w:rPr>
            </w:pPr>
            <w:r w:rsidRPr="0046130D">
              <w:rPr>
                <w:rFonts w:eastAsia="Times New Roman" w:cs="Arial"/>
                <w:color w:val="000000"/>
                <w:sz w:val="16"/>
                <w:szCs w:val="16"/>
              </w:rPr>
              <w:t>638</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CA496C">
            <w:pPr>
              <w:spacing w:before="0" w:after="0" w:line="240" w:lineRule="auto"/>
              <w:ind w:left="113"/>
              <w:jc w:val="right"/>
              <w:rPr>
                <w:rFonts w:eastAsia="Times New Roman" w:cs="Arial"/>
                <w:color w:val="000000"/>
                <w:sz w:val="16"/>
                <w:szCs w:val="16"/>
              </w:rPr>
            </w:pPr>
            <w:r w:rsidRPr="0046130D">
              <w:rPr>
                <w:rFonts w:eastAsia="Times New Roman" w:cs="Arial"/>
                <w:color w:val="000000"/>
                <w:sz w:val="16"/>
                <w:szCs w:val="16"/>
              </w:rPr>
              <w:t>560</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CA496C">
            <w:pPr>
              <w:spacing w:before="0" w:after="0" w:line="240" w:lineRule="auto"/>
              <w:ind w:left="113"/>
              <w:jc w:val="right"/>
              <w:rPr>
                <w:rFonts w:eastAsia="Times New Roman" w:cs="Arial"/>
                <w:color w:val="000000"/>
                <w:sz w:val="16"/>
                <w:szCs w:val="16"/>
              </w:rPr>
            </w:pPr>
            <w:r w:rsidRPr="0046130D">
              <w:rPr>
                <w:rFonts w:eastAsia="Times New Roman" w:cs="Arial"/>
                <w:color w:val="000000"/>
                <w:sz w:val="16"/>
                <w:szCs w:val="16"/>
              </w:rPr>
              <w:t>667</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CA496C">
            <w:pPr>
              <w:spacing w:before="0" w:after="0" w:line="240" w:lineRule="auto"/>
              <w:ind w:left="113"/>
              <w:jc w:val="right"/>
              <w:rPr>
                <w:rFonts w:eastAsia="Times New Roman" w:cs="Arial"/>
                <w:color w:val="000000"/>
                <w:sz w:val="16"/>
                <w:szCs w:val="16"/>
              </w:rPr>
            </w:pPr>
            <w:r w:rsidRPr="0046130D">
              <w:rPr>
                <w:rFonts w:eastAsia="Times New Roman" w:cs="Arial"/>
                <w:color w:val="000000"/>
                <w:sz w:val="16"/>
                <w:szCs w:val="16"/>
              </w:rPr>
              <w:t>925</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CA496C">
            <w:pPr>
              <w:spacing w:before="0" w:after="0" w:line="240" w:lineRule="auto"/>
              <w:ind w:left="113"/>
              <w:jc w:val="right"/>
              <w:rPr>
                <w:rFonts w:eastAsia="Times New Roman" w:cs="Arial"/>
                <w:color w:val="000000"/>
                <w:sz w:val="16"/>
                <w:szCs w:val="16"/>
              </w:rPr>
            </w:pPr>
            <w:r w:rsidRPr="0046130D">
              <w:rPr>
                <w:rFonts w:eastAsia="Times New Roman" w:cs="Arial"/>
                <w:color w:val="000000"/>
                <w:sz w:val="16"/>
                <w:szCs w:val="16"/>
              </w:rPr>
              <w:t>995</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CA496C">
            <w:pPr>
              <w:spacing w:before="0" w:after="0" w:line="240" w:lineRule="auto"/>
              <w:ind w:left="113"/>
              <w:jc w:val="right"/>
              <w:rPr>
                <w:rFonts w:eastAsia="Times New Roman" w:cs="Arial"/>
                <w:color w:val="000000"/>
                <w:sz w:val="16"/>
                <w:szCs w:val="16"/>
              </w:rPr>
            </w:pPr>
            <w:r w:rsidRPr="0046130D">
              <w:rPr>
                <w:rFonts w:eastAsia="Times New Roman" w:cs="Arial"/>
                <w:color w:val="000000"/>
                <w:sz w:val="16"/>
                <w:szCs w:val="16"/>
              </w:rPr>
              <w:t>818</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CA496C">
            <w:pPr>
              <w:spacing w:before="0" w:after="0" w:line="240" w:lineRule="auto"/>
              <w:ind w:left="113"/>
              <w:jc w:val="right"/>
              <w:rPr>
                <w:rFonts w:eastAsia="Times New Roman" w:cs="Arial"/>
                <w:color w:val="000000"/>
                <w:sz w:val="16"/>
                <w:szCs w:val="16"/>
              </w:rPr>
            </w:pPr>
            <w:r w:rsidRPr="0046130D">
              <w:rPr>
                <w:rFonts w:eastAsia="Times New Roman" w:cs="Arial"/>
                <w:color w:val="000000"/>
                <w:sz w:val="16"/>
                <w:szCs w:val="16"/>
              </w:rPr>
              <w:t>1208</w:t>
            </w:r>
          </w:p>
        </w:tc>
        <w:tc>
          <w:tcPr>
            <w:tcW w:w="794" w:type="dxa"/>
            <w:tcBorders>
              <w:top w:val="nil"/>
              <w:left w:val="nil"/>
              <w:bottom w:val="dotted" w:sz="8" w:space="0" w:color="auto"/>
              <w:right w:val="nil"/>
            </w:tcBorders>
            <w:shd w:val="clear" w:color="auto" w:fill="auto"/>
            <w:noWrap/>
            <w:vAlign w:val="center"/>
            <w:hideMark/>
          </w:tcPr>
          <w:p w:rsidR="0046130D" w:rsidRPr="0046130D" w:rsidRDefault="0046130D" w:rsidP="00CA496C">
            <w:pPr>
              <w:spacing w:before="0" w:after="0" w:line="240" w:lineRule="auto"/>
              <w:ind w:left="113"/>
              <w:jc w:val="right"/>
              <w:rPr>
                <w:rFonts w:eastAsia="Times New Roman" w:cs="Arial"/>
                <w:color w:val="000000"/>
                <w:sz w:val="16"/>
                <w:szCs w:val="16"/>
              </w:rPr>
            </w:pPr>
            <w:r w:rsidRPr="0046130D">
              <w:rPr>
                <w:rFonts w:eastAsia="Times New Roman" w:cs="Arial"/>
                <w:color w:val="000000"/>
                <w:sz w:val="16"/>
                <w:szCs w:val="16"/>
              </w:rPr>
              <w:t>1432</w:t>
            </w:r>
          </w:p>
        </w:tc>
        <w:tc>
          <w:tcPr>
            <w:tcW w:w="794" w:type="dxa"/>
            <w:tcBorders>
              <w:top w:val="nil"/>
              <w:left w:val="nil"/>
              <w:bottom w:val="dotted" w:sz="8" w:space="0" w:color="auto"/>
            </w:tcBorders>
            <w:shd w:val="clear" w:color="auto" w:fill="auto"/>
            <w:noWrap/>
            <w:vAlign w:val="center"/>
            <w:hideMark/>
          </w:tcPr>
          <w:p w:rsidR="0046130D" w:rsidRPr="0046130D" w:rsidRDefault="0046130D" w:rsidP="00CA496C">
            <w:pPr>
              <w:spacing w:before="0" w:after="0" w:line="240" w:lineRule="auto"/>
              <w:ind w:left="113"/>
              <w:jc w:val="right"/>
              <w:rPr>
                <w:rFonts w:eastAsia="Times New Roman" w:cs="Arial"/>
                <w:color w:val="000000"/>
                <w:sz w:val="16"/>
                <w:szCs w:val="16"/>
              </w:rPr>
            </w:pPr>
            <w:r w:rsidRPr="0046130D">
              <w:rPr>
                <w:rFonts w:eastAsia="Times New Roman" w:cs="Arial"/>
                <w:color w:val="000000"/>
                <w:sz w:val="16"/>
                <w:szCs w:val="16"/>
              </w:rPr>
              <w:t>759</w:t>
            </w:r>
          </w:p>
        </w:tc>
      </w:tr>
      <w:tr w:rsidR="0046130D" w:rsidRPr="0046130D" w:rsidTr="00577E17">
        <w:trPr>
          <w:trHeight w:val="20"/>
        </w:trPr>
        <w:tc>
          <w:tcPr>
            <w:tcW w:w="4252" w:type="dxa"/>
            <w:tcBorders>
              <w:top w:val="dotted" w:sz="8" w:space="0" w:color="auto"/>
              <w:bottom w:val="dotted" w:sz="8" w:space="0" w:color="auto"/>
              <w:right w:val="nil"/>
            </w:tcBorders>
            <w:shd w:val="clear" w:color="auto" w:fill="auto"/>
            <w:noWrap/>
            <w:vAlign w:val="center"/>
            <w:hideMark/>
          </w:tcPr>
          <w:p w:rsidR="0046130D" w:rsidRPr="0046130D" w:rsidRDefault="0046130D" w:rsidP="00D33A30">
            <w:pPr>
              <w:spacing w:before="0" w:after="0" w:line="240" w:lineRule="auto"/>
              <w:ind w:left="113"/>
              <w:rPr>
                <w:rFonts w:eastAsia="Times New Roman" w:cs="Arial"/>
                <w:color w:val="000000"/>
                <w:sz w:val="16"/>
                <w:szCs w:val="16"/>
              </w:rPr>
            </w:pPr>
            <w:r w:rsidRPr="0046130D">
              <w:rPr>
                <w:rFonts w:eastAsia="Times New Roman" w:cs="Arial"/>
                <w:color w:val="000000"/>
                <w:sz w:val="16"/>
                <w:szCs w:val="16"/>
              </w:rPr>
              <w:t>Government superannuation benefits</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2090</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2069</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2386</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2203</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2679</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2600</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2142</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3472</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4150</w:t>
            </w:r>
          </w:p>
        </w:tc>
        <w:tc>
          <w:tcPr>
            <w:tcW w:w="794" w:type="dxa"/>
            <w:tcBorders>
              <w:top w:val="dotted" w:sz="8" w:space="0" w:color="auto"/>
              <w:left w:val="nil"/>
              <w:bottom w:val="dotted" w:sz="8" w:space="0" w:color="auto"/>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4094</w:t>
            </w:r>
          </w:p>
        </w:tc>
        <w:tc>
          <w:tcPr>
            <w:tcW w:w="794" w:type="dxa"/>
            <w:tcBorders>
              <w:top w:val="dotted" w:sz="8" w:space="0" w:color="auto"/>
              <w:left w:val="nil"/>
              <w:bottom w:val="dotted" w:sz="8" w:space="0" w:color="auto"/>
            </w:tcBorders>
            <w:shd w:val="clear" w:color="auto" w:fill="auto"/>
            <w:noWrap/>
            <w:vAlign w:val="center"/>
            <w:hideMark/>
          </w:tcPr>
          <w:p w:rsidR="0046130D" w:rsidRPr="0046130D" w:rsidRDefault="0046130D" w:rsidP="00D33A30">
            <w:pPr>
              <w:spacing w:before="0" w:after="0" w:line="240" w:lineRule="auto"/>
              <w:jc w:val="right"/>
              <w:rPr>
                <w:rFonts w:eastAsia="Times New Roman" w:cs="Arial"/>
                <w:color w:val="000000"/>
                <w:sz w:val="16"/>
                <w:szCs w:val="16"/>
              </w:rPr>
            </w:pPr>
            <w:r w:rsidRPr="0046130D">
              <w:rPr>
                <w:rFonts w:eastAsia="Times New Roman" w:cs="Arial"/>
                <w:color w:val="000000"/>
                <w:sz w:val="16"/>
                <w:szCs w:val="16"/>
              </w:rPr>
              <w:t>7947</w:t>
            </w:r>
          </w:p>
        </w:tc>
      </w:tr>
      <w:tr w:rsidR="00521AA9" w:rsidRPr="0046130D" w:rsidTr="00577E17">
        <w:trPr>
          <w:trHeight w:val="20"/>
        </w:trPr>
        <w:tc>
          <w:tcPr>
            <w:tcW w:w="4252" w:type="dxa"/>
            <w:tcBorders>
              <w:top w:val="dotted" w:sz="8" w:space="0" w:color="auto"/>
              <w:bottom w:val="single" w:sz="8" w:space="0" w:color="2B3B5F"/>
              <w:right w:val="nil"/>
            </w:tcBorders>
            <w:shd w:val="clear" w:color="auto" w:fill="auto"/>
            <w:noWrap/>
            <w:vAlign w:val="center"/>
            <w:hideMark/>
          </w:tcPr>
          <w:p w:rsidR="0046130D" w:rsidRPr="0046130D" w:rsidRDefault="0046130D" w:rsidP="00D33A30">
            <w:pPr>
              <w:spacing w:before="0" w:after="0" w:line="240" w:lineRule="auto"/>
              <w:rPr>
                <w:rFonts w:eastAsia="Times New Roman" w:cs="Arial"/>
                <w:b/>
                <w:bCs/>
                <w:color w:val="000000"/>
                <w:sz w:val="16"/>
                <w:szCs w:val="16"/>
              </w:rPr>
            </w:pPr>
            <w:r w:rsidRPr="0046130D">
              <w:rPr>
                <w:rFonts w:eastAsia="Times New Roman" w:cs="Arial"/>
                <w:b/>
                <w:bCs/>
                <w:color w:val="000000"/>
                <w:sz w:val="16"/>
                <w:szCs w:val="16"/>
              </w:rPr>
              <w:t>General public services - total</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10969</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10737</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13766</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12584</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14398</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16278</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16704</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19202</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E64E8C" w:rsidP="00D33A30">
            <w:pPr>
              <w:spacing w:before="0" w:after="0" w:line="240" w:lineRule="auto"/>
              <w:jc w:val="right"/>
              <w:rPr>
                <w:rFonts w:eastAsia="Times New Roman" w:cs="Arial"/>
                <w:b/>
                <w:bCs/>
                <w:color w:val="000000"/>
                <w:sz w:val="16"/>
                <w:szCs w:val="16"/>
              </w:rPr>
            </w:pPr>
            <w:r>
              <w:rPr>
                <w:rFonts w:eastAsia="Times New Roman" w:cs="Arial"/>
                <w:b/>
                <w:bCs/>
                <w:color w:val="000000"/>
                <w:sz w:val="16"/>
                <w:szCs w:val="16"/>
              </w:rPr>
              <w:t>22481</w:t>
            </w:r>
          </w:p>
        </w:tc>
        <w:tc>
          <w:tcPr>
            <w:tcW w:w="794" w:type="dxa"/>
            <w:tcBorders>
              <w:top w:val="dotted" w:sz="8" w:space="0" w:color="auto"/>
              <w:left w:val="nil"/>
              <w:bottom w:val="single" w:sz="8" w:space="0" w:color="2B3B5F"/>
              <w:right w:val="nil"/>
            </w:tcBorders>
            <w:shd w:val="clear" w:color="auto" w:fill="auto"/>
            <w:noWrap/>
            <w:vAlign w:val="center"/>
            <w:hideMark/>
          </w:tcPr>
          <w:p w:rsidR="0046130D" w:rsidRPr="0046130D" w:rsidRDefault="0046130D" w:rsidP="00D33A30">
            <w:pPr>
              <w:spacing w:before="0" w:after="0" w:line="240" w:lineRule="auto"/>
              <w:jc w:val="right"/>
              <w:rPr>
                <w:rFonts w:eastAsia="Times New Roman" w:cs="Arial"/>
                <w:b/>
                <w:bCs/>
                <w:color w:val="000000"/>
                <w:sz w:val="16"/>
                <w:szCs w:val="16"/>
              </w:rPr>
            </w:pPr>
            <w:r w:rsidRPr="0046130D">
              <w:rPr>
                <w:rFonts w:eastAsia="Times New Roman" w:cs="Arial"/>
                <w:b/>
                <w:bCs/>
                <w:color w:val="000000"/>
                <w:sz w:val="16"/>
                <w:szCs w:val="16"/>
              </w:rPr>
              <w:t>23153</w:t>
            </w:r>
          </w:p>
        </w:tc>
        <w:tc>
          <w:tcPr>
            <w:tcW w:w="794" w:type="dxa"/>
            <w:tcBorders>
              <w:top w:val="dotted" w:sz="8" w:space="0" w:color="auto"/>
              <w:left w:val="nil"/>
              <w:bottom w:val="single" w:sz="8" w:space="0" w:color="2B3B5F"/>
            </w:tcBorders>
            <w:shd w:val="clear" w:color="auto" w:fill="auto"/>
            <w:noWrap/>
            <w:vAlign w:val="center"/>
            <w:hideMark/>
          </w:tcPr>
          <w:p w:rsidR="0046130D" w:rsidRPr="0046130D" w:rsidRDefault="001A7861" w:rsidP="00D33A30">
            <w:pPr>
              <w:spacing w:before="0" w:after="0" w:line="240" w:lineRule="auto"/>
              <w:jc w:val="right"/>
              <w:rPr>
                <w:rFonts w:eastAsia="Times New Roman" w:cs="Arial"/>
                <w:b/>
                <w:bCs/>
                <w:color w:val="000000"/>
                <w:sz w:val="16"/>
                <w:szCs w:val="16"/>
              </w:rPr>
            </w:pPr>
            <w:r>
              <w:rPr>
                <w:rFonts w:eastAsia="Times New Roman" w:cs="Arial"/>
                <w:b/>
                <w:bCs/>
                <w:color w:val="000000"/>
                <w:sz w:val="16"/>
                <w:szCs w:val="16"/>
              </w:rPr>
              <w:t>25956</w:t>
            </w:r>
          </w:p>
        </w:tc>
      </w:tr>
      <w:tr w:rsidR="00512130" w:rsidRPr="00521AA9" w:rsidTr="00512130">
        <w:trPr>
          <w:trHeight w:val="411"/>
        </w:trPr>
        <w:tc>
          <w:tcPr>
            <w:tcW w:w="12986" w:type="dxa"/>
            <w:gridSpan w:val="12"/>
            <w:tcBorders>
              <w:top w:val="single" w:sz="8" w:space="0" w:color="2B3B5F"/>
            </w:tcBorders>
            <w:shd w:val="clear" w:color="auto" w:fill="auto"/>
            <w:noWrap/>
            <w:vAlign w:val="center"/>
          </w:tcPr>
          <w:p w:rsidR="00512130" w:rsidRPr="00521AA9" w:rsidRDefault="00512130" w:rsidP="00D33A30">
            <w:pPr>
              <w:spacing w:before="0" w:after="0" w:line="240" w:lineRule="auto"/>
              <w:jc w:val="right"/>
              <w:rPr>
                <w:rFonts w:eastAsia="Times New Roman" w:cs="Arial"/>
                <w:bCs/>
                <w:color w:val="000000"/>
                <w:sz w:val="16"/>
                <w:szCs w:val="16"/>
              </w:rPr>
            </w:pPr>
          </w:p>
        </w:tc>
      </w:tr>
      <w:tr w:rsidR="00521AA9" w:rsidRPr="00521AA9" w:rsidTr="00577E17">
        <w:trPr>
          <w:trHeight w:val="225"/>
        </w:trPr>
        <w:tc>
          <w:tcPr>
            <w:tcW w:w="4252" w:type="dxa"/>
            <w:tcBorders>
              <w:top w:val="single" w:sz="8" w:space="0" w:color="2B3B5F"/>
              <w:bottom w:val="dotted" w:sz="8" w:space="0" w:color="auto"/>
              <w:right w:val="nil"/>
            </w:tcBorders>
            <w:shd w:val="clear" w:color="auto" w:fill="95A4C6"/>
            <w:noWrap/>
            <w:vAlign w:val="center"/>
            <w:hideMark/>
          </w:tcPr>
          <w:p w:rsidR="00521AA9" w:rsidRPr="00521AA9" w:rsidRDefault="00521AA9" w:rsidP="00D33A30">
            <w:pPr>
              <w:spacing w:before="0" w:after="0" w:line="240" w:lineRule="auto"/>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2002-03</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2003-04</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2004-05</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2005-06</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2006-07</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2007-08</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2008-09</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2009-10</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2010-11</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2011-12</w:t>
            </w:r>
          </w:p>
        </w:tc>
        <w:tc>
          <w:tcPr>
            <w:tcW w:w="794" w:type="dxa"/>
            <w:tcBorders>
              <w:top w:val="single" w:sz="8" w:space="0" w:color="2B3B5F"/>
              <w:left w:val="nil"/>
              <w:bottom w:val="dotted" w:sz="8" w:space="0" w:color="auto"/>
            </w:tcBorders>
            <w:shd w:val="clear" w:color="auto" w:fill="95A4C6"/>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2012-13</w:t>
            </w:r>
          </w:p>
        </w:tc>
      </w:tr>
      <w:tr w:rsidR="00521AA9" w:rsidRPr="00521AA9" w:rsidTr="00577E17">
        <w:trPr>
          <w:trHeight w:val="225"/>
        </w:trPr>
        <w:tc>
          <w:tcPr>
            <w:tcW w:w="4252" w:type="dxa"/>
            <w:tcBorders>
              <w:top w:val="dotted" w:sz="8" w:space="0" w:color="auto"/>
              <w:bottom w:val="nil"/>
              <w:right w:val="nil"/>
            </w:tcBorders>
            <w:shd w:val="clear" w:color="auto" w:fill="auto"/>
            <w:noWrap/>
            <w:vAlign w:val="center"/>
            <w:hideMark/>
          </w:tcPr>
          <w:p w:rsidR="00521AA9" w:rsidRPr="00521AA9" w:rsidRDefault="00521AA9" w:rsidP="00D33A30">
            <w:pPr>
              <w:spacing w:before="0" w:after="0" w:line="240" w:lineRule="auto"/>
              <w:rPr>
                <w:rFonts w:eastAsia="Times New Roman" w:cs="Arial"/>
                <w:b/>
                <w:bCs/>
                <w:color w:val="000000"/>
                <w:sz w:val="16"/>
                <w:szCs w:val="16"/>
              </w:rPr>
            </w:pPr>
            <w:r w:rsidRPr="00521AA9">
              <w:rPr>
                <w:rFonts w:eastAsia="Times New Roman" w:cs="Arial"/>
                <w:b/>
                <w:bCs/>
                <w:color w:val="000000"/>
                <w:sz w:val="16"/>
                <w:szCs w:val="16"/>
              </w:rPr>
              <w:t>Defence - as published</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13307</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12937</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14346</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16194</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16854</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17670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19190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20150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20408</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21692</w:t>
            </w:r>
          </w:p>
        </w:tc>
        <w:tc>
          <w:tcPr>
            <w:tcW w:w="794" w:type="dxa"/>
            <w:tcBorders>
              <w:top w:val="dotted" w:sz="8" w:space="0" w:color="auto"/>
              <w:left w:val="nil"/>
              <w:bottom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21146</w:t>
            </w: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227"/>
              <w:rPr>
                <w:rFonts w:eastAsia="Times New Roman" w:cs="Arial"/>
                <w:i/>
                <w:iCs/>
                <w:color w:val="808080"/>
                <w:sz w:val="16"/>
                <w:szCs w:val="16"/>
              </w:rPr>
            </w:pPr>
            <w:r w:rsidRPr="00521AA9">
              <w:rPr>
                <w:rFonts w:eastAsia="Times New Roman" w:cs="Arial"/>
                <w:i/>
                <w:iCs/>
                <w:color w:val="808080"/>
                <w:sz w:val="16"/>
                <w:szCs w:val="16"/>
              </w:rPr>
              <w:t xml:space="preserve">Accounting change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bottom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FBT inclusion</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276</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325</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290</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bottom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bottom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r>
      <w:tr w:rsidR="00521AA9" w:rsidRPr="00521AA9" w:rsidTr="000553AA">
        <w:trPr>
          <w:trHeight w:val="225"/>
        </w:trPr>
        <w:tc>
          <w:tcPr>
            <w:tcW w:w="4252" w:type="dxa"/>
            <w:tcBorders>
              <w:top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Defence weapons reclassification to capital investment</w:t>
            </w:r>
          </w:p>
        </w:tc>
        <w:tc>
          <w:tcPr>
            <w:tcW w:w="794" w:type="dxa"/>
            <w:tcBorders>
              <w:top w:val="nil"/>
              <w:left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-506</w:t>
            </w:r>
          </w:p>
        </w:tc>
        <w:tc>
          <w:tcPr>
            <w:tcW w:w="794" w:type="dxa"/>
            <w:tcBorders>
              <w:top w:val="nil"/>
              <w:left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64</w:t>
            </w:r>
          </w:p>
        </w:tc>
        <w:tc>
          <w:tcPr>
            <w:tcW w:w="794" w:type="dxa"/>
            <w:tcBorders>
              <w:top w:val="nil"/>
              <w:left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-887</w:t>
            </w:r>
          </w:p>
        </w:tc>
        <w:tc>
          <w:tcPr>
            <w:tcW w:w="794" w:type="dxa"/>
            <w:tcBorders>
              <w:top w:val="nil"/>
              <w:left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-1446</w:t>
            </w:r>
          </w:p>
        </w:tc>
        <w:tc>
          <w:tcPr>
            <w:tcW w:w="794" w:type="dxa"/>
            <w:tcBorders>
              <w:top w:val="nil"/>
              <w:left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-125</w:t>
            </w:r>
          </w:p>
        </w:tc>
        <w:tc>
          <w:tcPr>
            <w:tcW w:w="794" w:type="dxa"/>
            <w:tcBorders>
              <w:top w:val="nil"/>
              <w:left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i/>
                <w:iCs/>
                <w:color w:val="000000"/>
                <w:sz w:val="16"/>
                <w:szCs w:val="16"/>
              </w:rPr>
            </w:pPr>
            <w:r w:rsidRPr="00521AA9">
              <w:rPr>
                <w:rFonts w:eastAsia="Times New Roman" w:cs="Arial"/>
                <w:i/>
                <w:iCs/>
                <w:color w:val="000000"/>
                <w:sz w:val="16"/>
                <w:szCs w:val="16"/>
              </w:rPr>
              <w:t> </w:t>
            </w:r>
          </w:p>
        </w:tc>
        <w:tc>
          <w:tcPr>
            <w:tcW w:w="794" w:type="dxa"/>
            <w:tcBorders>
              <w:top w:val="nil"/>
              <w:left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c>
          <w:tcPr>
            <w:tcW w:w="794" w:type="dxa"/>
            <w:tcBorders>
              <w:top w:val="nil"/>
              <w:lef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 </w:t>
            </w:r>
          </w:p>
        </w:tc>
      </w:tr>
      <w:tr w:rsidR="00521AA9" w:rsidRPr="00521AA9" w:rsidTr="00577E17">
        <w:trPr>
          <w:trHeight w:val="225"/>
        </w:trPr>
        <w:tc>
          <w:tcPr>
            <w:tcW w:w="4252" w:type="dxa"/>
            <w:tcBorders>
              <w:top w:val="nil"/>
              <w:bottom w:val="single" w:sz="8" w:space="0" w:color="2B3B5F"/>
              <w:right w:val="nil"/>
            </w:tcBorders>
            <w:shd w:val="clear" w:color="auto" w:fill="auto"/>
            <w:noWrap/>
            <w:vAlign w:val="center"/>
            <w:hideMark/>
          </w:tcPr>
          <w:p w:rsidR="00521AA9" w:rsidRPr="00521AA9" w:rsidRDefault="00521AA9" w:rsidP="00D33A30">
            <w:pPr>
              <w:spacing w:before="0" w:after="0" w:line="240" w:lineRule="auto"/>
              <w:rPr>
                <w:rFonts w:eastAsia="Times New Roman" w:cs="Arial"/>
                <w:b/>
                <w:bCs/>
                <w:color w:val="000000"/>
                <w:sz w:val="16"/>
                <w:szCs w:val="16"/>
              </w:rPr>
            </w:pPr>
            <w:r w:rsidRPr="00521AA9">
              <w:rPr>
                <w:rFonts w:eastAsia="Times New Roman" w:cs="Arial"/>
                <w:b/>
                <w:bCs/>
                <w:color w:val="000000"/>
                <w:sz w:val="16"/>
                <w:szCs w:val="16"/>
              </w:rPr>
              <w:t>Defence - total</w:t>
            </w:r>
          </w:p>
        </w:tc>
        <w:tc>
          <w:tcPr>
            <w:tcW w:w="794" w:type="dxa"/>
            <w:tcBorders>
              <w:top w:val="nil"/>
              <w:left w:val="nil"/>
              <w:bottom w:val="single" w:sz="8" w:space="0" w:color="2B3B5F"/>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13077</w:t>
            </w:r>
          </w:p>
        </w:tc>
        <w:tc>
          <w:tcPr>
            <w:tcW w:w="794" w:type="dxa"/>
            <w:tcBorders>
              <w:top w:val="nil"/>
              <w:left w:val="nil"/>
              <w:bottom w:val="single" w:sz="8" w:space="0" w:color="2B3B5F"/>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13326</w:t>
            </w:r>
          </w:p>
        </w:tc>
        <w:tc>
          <w:tcPr>
            <w:tcW w:w="794" w:type="dxa"/>
            <w:tcBorders>
              <w:top w:val="nil"/>
              <w:left w:val="nil"/>
              <w:bottom w:val="single" w:sz="8" w:space="0" w:color="2B3B5F"/>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13749</w:t>
            </w:r>
          </w:p>
        </w:tc>
        <w:tc>
          <w:tcPr>
            <w:tcW w:w="794" w:type="dxa"/>
            <w:tcBorders>
              <w:top w:val="nil"/>
              <w:left w:val="nil"/>
              <w:bottom w:val="single" w:sz="8" w:space="0" w:color="2B3B5F"/>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14748</w:t>
            </w:r>
          </w:p>
        </w:tc>
        <w:tc>
          <w:tcPr>
            <w:tcW w:w="794" w:type="dxa"/>
            <w:tcBorders>
              <w:top w:val="nil"/>
              <w:left w:val="nil"/>
              <w:bottom w:val="single" w:sz="8" w:space="0" w:color="2B3B5F"/>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16729</w:t>
            </w:r>
          </w:p>
        </w:tc>
        <w:tc>
          <w:tcPr>
            <w:tcW w:w="794" w:type="dxa"/>
            <w:tcBorders>
              <w:top w:val="nil"/>
              <w:left w:val="nil"/>
              <w:bottom w:val="single" w:sz="8" w:space="0" w:color="2B3B5F"/>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17670</w:t>
            </w:r>
          </w:p>
        </w:tc>
        <w:tc>
          <w:tcPr>
            <w:tcW w:w="794" w:type="dxa"/>
            <w:tcBorders>
              <w:top w:val="nil"/>
              <w:left w:val="nil"/>
              <w:bottom w:val="single" w:sz="8" w:space="0" w:color="2B3B5F"/>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19190</w:t>
            </w:r>
          </w:p>
        </w:tc>
        <w:tc>
          <w:tcPr>
            <w:tcW w:w="794" w:type="dxa"/>
            <w:tcBorders>
              <w:top w:val="nil"/>
              <w:left w:val="nil"/>
              <w:bottom w:val="single" w:sz="8" w:space="0" w:color="2B3B5F"/>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20150</w:t>
            </w:r>
          </w:p>
        </w:tc>
        <w:tc>
          <w:tcPr>
            <w:tcW w:w="794" w:type="dxa"/>
            <w:tcBorders>
              <w:top w:val="nil"/>
              <w:left w:val="nil"/>
              <w:bottom w:val="single" w:sz="8" w:space="0" w:color="2B3B5F"/>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20408</w:t>
            </w:r>
          </w:p>
        </w:tc>
        <w:tc>
          <w:tcPr>
            <w:tcW w:w="794" w:type="dxa"/>
            <w:tcBorders>
              <w:top w:val="nil"/>
              <w:left w:val="nil"/>
              <w:bottom w:val="single" w:sz="8" w:space="0" w:color="2B3B5F"/>
              <w:right w:val="nil"/>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21692</w:t>
            </w:r>
          </w:p>
        </w:tc>
        <w:tc>
          <w:tcPr>
            <w:tcW w:w="794" w:type="dxa"/>
            <w:tcBorders>
              <w:top w:val="nil"/>
              <w:left w:val="nil"/>
              <w:bottom w:val="single" w:sz="8" w:space="0" w:color="2B3B5F"/>
            </w:tcBorders>
            <w:shd w:val="clear" w:color="auto" w:fill="auto"/>
            <w:noWrap/>
            <w:vAlign w:val="center"/>
            <w:hideMark/>
          </w:tcPr>
          <w:p w:rsidR="00521AA9" w:rsidRPr="00521AA9" w:rsidRDefault="00521AA9" w:rsidP="00D33A30">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21146</w:t>
            </w:r>
          </w:p>
        </w:tc>
      </w:tr>
    </w:tbl>
    <w:p w:rsidR="00D33A30" w:rsidRDefault="00E626B7">
      <w:r>
        <w:rPr>
          <w:noProof/>
        </w:rPr>
        <mc:AlternateContent>
          <mc:Choice Requires="wps">
            <w:drawing>
              <wp:anchor distT="0" distB="0" distL="114300" distR="114300" simplePos="0" relativeHeight="251663360" behindDoc="0" locked="0" layoutInCell="1" allowOverlap="1" wp14:anchorId="6EDB4116" wp14:editId="6C5CD8B5">
                <wp:simplePos x="0" y="0"/>
                <wp:positionH relativeFrom="column">
                  <wp:posOffset>-8352790</wp:posOffset>
                </wp:positionH>
                <wp:positionV relativeFrom="paragraph">
                  <wp:posOffset>-543560</wp:posOffset>
                </wp:positionV>
                <wp:extent cx="4712400" cy="604800"/>
                <wp:effectExtent l="0" t="0" r="0" b="0"/>
                <wp:wrapNone/>
                <wp:docPr id="27" name="Text Box 27" descr="Attachment D: Expenses by sub-functions tables&#10;footnotes 20, 21"/>
                <wp:cNvGraphicFramePr/>
                <a:graphic xmlns:a="http://schemas.openxmlformats.org/drawingml/2006/main">
                  <a:graphicData uri="http://schemas.microsoft.com/office/word/2010/wordprocessingShape">
                    <wps:wsp>
                      <wps:cNvSpPr txBox="1"/>
                      <wps:spPr>
                        <a:xfrm>
                          <a:off x="0" y="0"/>
                          <a:ext cx="4712400" cy="60480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5C5AB5" w:rsidRPr="00E626B7" w:rsidRDefault="005C5AB5" w:rsidP="00E626B7">
                            <w:pPr>
                              <w:pStyle w:val="PBOheading1"/>
                              <w:numPr>
                                <w:ilvl w:val="0"/>
                                <w:numId w:val="47"/>
                              </w:numPr>
                              <w:spacing w:before="0" w:after="0"/>
                              <w:ind w:left="709" w:hanging="709"/>
                              <w:rPr>
                                <w:color w:val="FFFFFF" w:themeColor="background1"/>
                              </w:rPr>
                            </w:pPr>
                            <w:r w:rsidRPr="00E626B7">
                              <w:rPr>
                                <w:color w:val="FFFFFF" w:themeColor="background1"/>
                              </w:rPr>
                              <w:t>Expenses by sub-functions tables</w:t>
                            </w:r>
                            <w:r w:rsidRPr="00E626B7">
                              <w:rPr>
                                <w:color w:val="FFFFFF" w:themeColor="background1"/>
                                <w:vertAlign w:val="superscript"/>
                              </w:rPr>
                              <w:t>20</w:t>
                            </w:r>
                            <w:r w:rsidRPr="00E626B7">
                              <w:rPr>
                                <w:rStyle w:val="FootnoteReference"/>
                                <w:color w:val="FFFFFF" w:themeColor="background1"/>
                              </w:rPr>
                              <w:t>,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alt="Attachment D: Expenses by sub-functions tables&#10;footnotes 20, 21" style="position:absolute;margin-left:-657.7pt;margin-top:-42.8pt;width:371.05pt;height:4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" filled="f" stroked="f" strokeweight="1pt">
                <v:textbox>
                  <w:txbxContent>
                    <w:p w:rsidR="005C5AB5" w:rsidRPr="00E626B7" w:rsidRDefault="005C5AB5" w:rsidP="00E626B7">
                      <w:pPr>
                        <w:pStyle w:val="PBOheading1"/>
                        <w:numPr>
                          <w:ilvl w:val="0"/>
                          <w:numId w:val="47"/>
                        </w:numPr>
                        <w:spacing w:before="0" w:after="0"/>
                        <w:ind w:left="709" w:hanging="709"/>
                        <w:rPr>
                          <w:color w:val="FFFFFF" w:themeColor="background1"/>
                        </w:rPr>
                      </w:pPr>
                      <w:r w:rsidRPr="00E626B7">
                        <w:rPr>
                          <w:color w:val="FFFFFF" w:themeColor="background1"/>
                        </w:rPr>
                        <w:t>Expenses by sub-functions tables</w:t>
                      </w:r>
                      <w:r w:rsidRPr="00E626B7">
                        <w:rPr>
                          <w:color w:val="FFFFFF" w:themeColor="background1"/>
                          <w:vertAlign w:val="superscript"/>
                        </w:rPr>
                        <w:t>20</w:t>
                      </w:r>
                      <w:r w:rsidRPr="00E626B7">
                        <w:rPr>
                          <w:rStyle w:val="FootnoteReference"/>
                          <w:color w:val="FFFFFF" w:themeColor="background1"/>
                        </w:rPr>
                        <w:t>, 21</w:t>
                      </w:r>
                    </w:p>
                  </w:txbxContent>
                </v:textbox>
              </v:shape>
            </w:pict>
          </mc:Fallback>
        </mc:AlternateContent>
      </w:r>
      <w:r w:rsidR="00D33A30">
        <w:br w:type="page"/>
      </w:r>
    </w:p>
    <w:tbl>
      <w:tblPr>
        <w:tblpPr w:leftFromText="180" w:rightFromText="180" w:vertAnchor="text" w:tblpX="358" w:tblpY="1"/>
        <w:tblOverlap w:val="never"/>
        <w:tblW w:w="12986" w:type="dxa"/>
        <w:tblLook w:val="04A0" w:firstRow="1" w:lastRow="0" w:firstColumn="1" w:lastColumn="0" w:noHBand="0" w:noVBand="1"/>
      </w:tblPr>
      <w:tblGrid>
        <w:gridCol w:w="4252"/>
        <w:gridCol w:w="794"/>
        <w:gridCol w:w="794"/>
        <w:gridCol w:w="794"/>
        <w:gridCol w:w="794"/>
        <w:gridCol w:w="794"/>
        <w:gridCol w:w="794"/>
        <w:gridCol w:w="794"/>
        <w:gridCol w:w="794"/>
        <w:gridCol w:w="794"/>
        <w:gridCol w:w="794"/>
        <w:gridCol w:w="794"/>
      </w:tblGrid>
      <w:tr w:rsidR="00521AA9" w:rsidRPr="00521AA9" w:rsidTr="0036184E">
        <w:trPr>
          <w:trHeight w:val="225"/>
        </w:trPr>
        <w:tc>
          <w:tcPr>
            <w:tcW w:w="4252" w:type="dxa"/>
            <w:tcBorders>
              <w:top w:val="single" w:sz="8" w:space="0" w:color="2B3B5F"/>
              <w:bottom w:val="dotted" w:sz="8" w:space="0" w:color="auto"/>
              <w:right w:val="nil"/>
            </w:tcBorders>
            <w:shd w:val="clear" w:color="auto" w:fill="95A4C6"/>
            <w:noWrap/>
            <w:vAlign w:val="center"/>
            <w:hideMark/>
          </w:tcPr>
          <w:p w:rsidR="00521AA9" w:rsidRPr="00521AA9" w:rsidRDefault="00521AA9" w:rsidP="00D33A30">
            <w:pPr>
              <w:spacing w:before="0" w:after="0" w:line="240" w:lineRule="auto"/>
              <w:rPr>
                <w:rFonts w:eastAsia="Times New Roman" w:cs="Arial"/>
                <w:color w:val="000000"/>
                <w:sz w:val="16"/>
                <w:szCs w:val="16"/>
              </w:rPr>
            </w:pP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2002-03</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2003-04</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2004-05</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2005-06</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2006-07</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2007-08</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2008-09</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2009-10</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2010-11</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2011-12</w:t>
            </w:r>
          </w:p>
        </w:tc>
        <w:tc>
          <w:tcPr>
            <w:tcW w:w="794" w:type="dxa"/>
            <w:tcBorders>
              <w:top w:val="single" w:sz="8" w:space="0" w:color="2B3B5F"/>
              <w:left w:val="nil"/>
              <w:bottom w:val="dotted" w:sz="8" w:space="0" w:color="auto"/>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2012-13</w:t>
            </w:r>
          </w:p>
        </w:tc>
      </w:tr>
      <w:tr w:rsidR="00521AA9" w:rsidRPr="00521AA9" w:rsidTr="0036184E">
        <w:trPr>
          <w:trHeight w:val="225"/>
        </w:trPr>
        <w:tc>
          <w:tcPr>
            <w:tcW w:w="4252" w:type="dxa"/>
            <w:tcBorders>
              <w:top w:val="dotted" w:sz="8" w:space="0" w:color="auto"/>
              <w:bottom w:val="dotted" w:sz="8" w:space="0" w:color="auto"/>
              <w:right w:val="nil"/>
            </w:tcBorders>
            <w:shd w:val="clear" w:color="auto" w:fill="auto"/>
            <w:noWrap/>
            <w:vAlign w:val="center"/>
            <w:hideMark/>
          </w:tcPr>
          <w:p w:rsidR="00521AA9" w:rsidRPr="00521AA9" w:rsidRDefault="00521AA9" w:rsidP="00D33A30">
            <w:pPr>
              <w:spacing w:before="0" w:after="0" w:line="240" w:lineRule="auto"/>
              <w:rPr>
                <w:rFonts w:eastAsia="Times New Roman" w:cs="Arial"/>
                <w:b/>
                <w:bCs/>
                <w:color w:val="000000"/>
                <w:sz w:val="16"/>
                <w:szCs w:val="16"/>
              </w:rPr>
            </w:pPr>
            <w:r w:rsidRPr="00521AA9">
              <w:rPr>
                <w:rFonts w:eastAsia="Times New Roman" w:cs="Arial"/>
                <w:b/>
                <w:bCs/>
                <w:color w:val="000000"/>
                <w:sz w:val="16"/>
                <w:szCs w:val="16"/>
              </w:rPr>
              <w:t>Public order and safety - as published</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1968</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2386</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2345</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2558</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3318</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3506</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3558</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3593</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3823</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3999</w:t>
            </w:r>
          </w:p>
        </w:tc>
        <w:tc>
          <w:tcPr>
            <w:tcW w:w="794" w:type="dxa"/>
            <w:tcBorders>
              <w:top w:val="dotted" w:sz="8" w:space="0" w:color="auto"/>
              <w:left w:val="nil"/>
              <w:bottom w:val="dotted" w:sz="8" w:space="0" w:color="auto"/>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3923</w:t>
            </w:r>
          </w:p>
        </w:tc>
      </w:tr>
      <w:tr w:rsidR="00521AA9" w:rsidRPr="00521AA9" w:rsidTr="0036184E">
        <w:trPr>
          <w:trHeight w:val="225"/>
        </w:trPr>
        <w:tc>
          <w:tcPr>
            <w:tcW w:w="4252" w:type="dxa"/>
            <w:tcBorders>
              <w:top w:val="dotted" w:sz="8" w:space="0" w:color="auto"/>
              <w:right w:val="nil"/>
            </w:tcBorders>
            <w:shd w:val="clear" w:color="auto" w:fill="auto"/>
            <w:noWrap/>
            <w:vAlign w:val="center"/>
            <w:hideMark/>
          </w:tcPr>
          <w:p w:rsidR="00521AA9" w:rsidRPr="00521AA9" w:rsidRDefault="00521AA9" w:rsidP="00D33A30">
            <w:pPr>
              <w:spacing w:before="0" w:after="0" w:line="240" w:lineRule="auto"/>
              <w:ind w:left="113"/>
              <w:rPr>
                <w:rFonts w:eastAsia="Times New Roman" w:cs="Arial"/>
                <w:color w:val="000000"/>
                <w:sz w:val="16"/>
                <w:szCs w:val="16"/>
              </w:rPr>
            </w:pPr>
            <w:r w:rsidRPr="00521AA9">
              <w:rPr>
                <w:rFonts w:eastAsia="Times New Roman" w:cs="Arial"/>
                <w:color w:val="000000"/>
                <w:sz w:val="16"/>
                <w:szCs w:val="16"/>
              </w:rPr>
              <w:t>Courts and legal services - as published</w:t>
            </w:r>
          </w:p>
        </w:tc>
        <w:tc>
          <w:tcPr>
            <w:tcW w:w="794" w:type="dxa"/>
            <w:tcBorders>
              <w:top w:val="dotted" w:sz="8" w:space="0" w:color="auto"/>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589</w:t>
            </w:r>
          </w:p>
        </w:tc>
        <w:tc>
          <w:tcPr>
            <w:tcW w:w="794" w:type="dxa"/>
            <w:tcBorders>
              <w:top w:val="dotted" w:sz="8" w:space="0" w:color="auto"/>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549</w:t>
            </w:r>
          </w:p>
        </w:tc>
        <w:tc>
          <w:tcPr>
            <w:tcW w:w="794" w:type="dxa"/>
            <w:tcBorders>
              <w:top w:val="dotted" w:sz="8" w:space="0" w:color="auto"/>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656</w:t>
            </w:r>
          </w:p>
        </w:tc>
        <w:tc>
          <w:tcPr>
            <w:tcW w:w="794" w:type="dxa"/>
            <w:tcBorders>
              <w:top w:val="dotted" w:sz="8" w:space="0" w:color="auto"/>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612</w:t>
            </w:r>
          </w:p>
        </w:tc>
        <w:tc>
          <w:tcPr>
            <w:tcW w:w="794" w:type="dxa"/>
            <w:tcBorders>
              <w:top w:val="dotted" w:sz="8" w:space="0" w:color="auto"/>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841</w:t>
            </w:r>
          </w:p>
        </w:tc>
        <w:tc>
          <w:tcPr>
            <w:tcW w:w="794" w:type="dxa"/>
            <w:tcBorders>
              <w:top w:val="dotted" w:sz="8" w:space="0" w:color="auto"/>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950</w:t>
            </w:r>
          </w:p>
        </w:tc>
        <w:tc>
          <w:tcPr>
            <w:tcW w:w="794" w:type="dxa"/>
            <w:tcBorders>
              <w:top w:val="dotted" w:sz="8" w:space="0" w:color="auto"/>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981</w:t>
            </w:r>
          </w:p>
        </w:tc>
        <w:tc>
          <w:tcPr>
            <w:tcW w:w="794" w:type="dxa"/>
            <w:tcBorders>
              <w:top w:val="dotted" w:sz="8" w:space="0" w:color="auto"/>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826</w:t>
            </w:r>
          </w:p>
        </w:tc>
        <w:tc>
          <w:tcPr>
            <w:tcW w:w="794" w:type="dxa"/>
            <w:tcBorders>
              <w:top w:val="dotted" w:sz="8" w:space="0" w:color="auto"/>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803</w:t>
            </w:r>
          </w:p>
        </w:tc>
        <w:tc>
          <w:tcPr>
            <w:tcW w:w="794" w:type="dxa"/>
            <w:tcBorders>
              <w:top w:val="dotted" w:sz="8" w:space="0" w:color="auto"/>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829</w:t>
            </w:r>
          </w:p>
        </w:tc>
        <w:tc>
          <w:tcPr>
            <w:tcW w:w="794" w:type="dxa"/>
            <w:tcBorders>
              <w:top w:val="dotted" w:sz="8" w:space="0" w:color="auto"/>
              <w:lef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852</w:t>
            </w:r>
          </w:p>
        </w:tc>
      </w:tr>
      <w:tr w:rsidR="00521AA9" w:rsidRPr="00521AA9" w:rsidTr="00DD367F">
        <w:trPr>
          <w:trHeight w:val="225"/>
        </w:trPr>
        <w:tc>
          <w:tcPr>
            <w:tcW w:w="4252" w:type="dxa"/>
            <w:tcBorders>
              <w:top w:val="nil"/>
              <w:right w:val="nil"/>
            </w:tcBorders>
            <w:shd w:val="clear" w:color="auto" w:fill="auto"/>
            <w:noWrap/>
            <w:vAlign w:val="center"/>
            <w:hideMark/>
          </w:tcPr>
          <w:p w:rsidR="00521AA9" w:rsidRPr="00521AA9" w:rsidRDefault="00521AA9" w:rsidP="00D33A30">
            <w:pPr>
              <w:spacing w:before="0" w:after="0" w:line="240" w:lineRule="auto"/>
              <w:ind w:left="227"/>
              <w:rPr>
                <w:rFonts w:eastAsia="Times New Roman" w:cs="Arial"/>
                <w:i/>
                <w:iCs/>
                <w:color w:val="808080"/>
                <w:sz w:val="16"/>
                <w:szCs w:val="16"/>
              </w:rPr>
            </w:pPr>
            <w:r w:rsidRPr="00521AA9">
              <w:rPr>
                <w:rFonts w:eastAsia="Times New Roman" w:cs="Arial"/>
                <w:i/>
                <w:iCs/>
                <w:color w:val="808080"/>
                <w:sz w:val="16"/>
                <w:szCs w:val="16"/>
              </w:rPr>
              <w:t>Accounting change -</w:t>
            </w:r>
            <w:r w:rsidR="003E681A">
              <w:rPr>
                <w:rFonts w:eastAsia="Times New Roman" w:cs="Arial"/>
                <w:i/>
                <w:iCs/>
                <w:color w:val="808080"/>
                <w:sz w:val="16"/>
                <w:szCs w:val="16"/>
              </w:rPr>
              <w:t xml:space="preserve"> </w:t>
            </w:r>
            <w:r w:rsidRPr="00521AA9">
              <w:rPr>
                <w:rFonts w:eastAsia="Times New Roman" w:cs="Arial"/>
                <w:i/>
                <w:iCs/>
                <w:color w:val="808080"/>
                <w:sz w:val="16"/>
                <w:szCs w:val="16"/>
              </w:rPr>
              <w:t>FBT inclusion</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0</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0</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4</w:t>
            </w: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DD367F">
        <w:trPr>
          <w:trHeight w:val="225"/>
        </w:trPr>
        <w:tc>
          <w:tcPr>
            <w:tcW w:w="4252" w:type="dxa"/>
            <w:tcBorders>
              <w:bottom w:val="dotted" w:sz="8" w:space="0" w:color="2B3B5F"/>
              <w:right w:val="nil"/>
            </w:tcBorders>
            <w:shd w:val="clear" w:color="auto" w:fill="auto"/>
            <w:noWrap/>
            <w:vAlign w:val="center"/>
            <w:hideMark/>
          </w:tcPr>
          <w:p w:rsidR="00521AA9" w:rsidRPr="00521AA9" w:rsidRDefault="00521AA9" w:rsidP="00D33A30">
            <w:pPr>
              <w:spacing w:before="0" w:after="0" w:line="240" w:lineRule="auto"/>
              <w:ind w:left="113"/>
              <w:rPr>
                <w:rFonts w:eastAsia="Times New Roman" w:cs="Arial"/>
                <w:color w:val="000000"/>
                <w:sz w:val="16"/>
                <w:szCs w:val="16"/>
              </w:rPr>
            </w:pPr>
            <w:r w:rsidRPr="00521AA9">
              <w:rPr>
                <w:rFonts w:eastAsia="Times New Roman" w:cs="Arial"/>
                <w:color w:val="000000"/>
                <w:sz w:val="16"/>
                <w:szCs w:val="16"/>
              </w:rPr>
              <w:t>Courts and legal services - total</w:t>
            </w:r>
          </w:p>
        </w:tc>
        <w:tc>
          <w:tcPr>
            <w:tcW w:w="794" w:type="dxa"/>
            <w:tcBorders>
              <w:left w:val="nil"/>
              <w:bottom w:val="dotted"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589</w:t>
            </w:r>
          </w:p>
        </w:tc>
        <w:tc>
          <w:tcPr>
            <w:tcW w:w="794" w:type="dxa"/>
            <w:tcBorders>
              <w:left w:val="nil"/>
              <w:bottom w:val="dotted"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549</w:t>
            </w:r>
          </w:p>
        </w:tc>
        <w:tc>
          <w:tcPr>
            <w:tcW w:w="794" w:type="dxa"/>
            <w:tcBorders>
              <w:left w:val="nil"/>
              <w:bottom w:val="dotted"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660</w:t>
            </w:r>
          </w:p>
        </w:tc>
        <w:tc>
          <w:tcPr>
            <w:tcW w:w="794" w:type="dxa"/>
            <w:tcBorders>
              <w:left w:val="nil"/>
              <w:bottom w:val="dotted"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612</w:t>
            </w:r>
          </w:p>
        </w:tc>
        <w:tc>
          <w:tcPr>
            <w:tcW w:w="794" w:type="dxa"/>
            <w:tcBorders>
              <w:left w:val="nil"/>
              <w:bottom w:val="dotted"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841</w:t>
            </w:r>
          </w:p>
        </w:tc>
        <w:tc>
          <w:tcPr>
            <w:tcW w:w="794" w:type="dxa"/>
            <w:tcBorders>
              <w:left w:val="nil"/>
              <w:bottom w:val="dotted"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950</w:t>
            </w:r>
          </w:p>
        </w:tc>
        <w:tc>
          <w:tcPr>
            <w:tcW w:w="794" w:type="dxa"/>
            <w:tcBorders>
              <w:left w:val="nil"/>
              <w:bottom w:val="dotted"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981</w:t>
            </w:r>
          </w:p>
        </w:tc>
        <w:tc>
          <w:tcPr>
            <w:tcW w:w="794" w:type="dxa"/>
            <w:tcBorders>
              <w:left w:val="nil"/>
              <w:bottom w:val="dotted"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826</w:t>
            </w:r>
          </w:p>
        </w:tc>
        <w:tc>
          <w:tcPr>
            <w:tcW w:w="794" w:type="dxa"/>
            <w:tcBorders>
              <w:left w:val="nil"/>
              <w:bottom w:val="dotted"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803</w:t>
            </w:r>
          </w:p>
        </w:tc>
        <w:tc>
          <w:tcPr>
            <w:tcW w:w="794" w:type="dxa"/>
            <w:tcBorders>
              <w:left w:val="nil"/>
              <w:bottom w:val="dotted"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829</w:t>
            </w:r>
          </w:p>
        </w:tc>
        <w:tc>
          <w:tcPr>
            <w:tcW w:w="794" w:type="dxa"/>
            <w:tcBorders>
              <w:left w:val="nil"/>
              <w:bottom w:val="dotted" w:sz="8" w:space="0" w:color="2B3B5F"/>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852</w:t>
            </w:r>
          </w:p>
        </w:tc>
      </w:tr>
      <w:tr w:rsidR="00521AA9" w:rsidRPr="00521AA9" w:rsidTr="00DD367F">
        <w:trPr>
          <w:trHeight w:val="225"/>
        </w:trPr>
        <w:tc>
          <w:tcPr>
            <w:tcW w:w="4252" w:type="dxa"/>
            <w:tcBorders>
              <w:top w:val="dotted" w:sz="8" w:space="0" w:color="2B3B5F"/>
              <w:right w:val="nil"/>
            </w:tcBorders>
            <w:shd w:val="clear" w:color="auto" w:fill="auto"/>
            <w:noWrap/>
            <w:vAlign w:val="center"/>
            <w:hideMark/>
          </w:tcPr>
          <w:p w:rsidR="00521AA9" w:rsidRPr="00521AA9" w:rsidRDefault="00521AA9" w:rsidP="00DD367F">
            <w:pPr>
              <w:spacing w:before="0" w:after="0" w:line="240" w:lineRule="auto"/>
              <w:ind w:left="113"/>
              <w:rPr>
                <w:rFonts w:eastAsia="Times New Roman" w:cs="Arial"/>
                <w:color w:val="000000"/>
                <w:sz w:val="16"/>
                <w:szCs w:val="16"/>
              </w:rPr>
            </w:pPr>
            <w:r w:rsidRPr="00521AA9">
              <w:rPr>
                <w:rFonts w:eastAsia="Times New Roman" w:cs="Arial"/>
                <w:color w:val="000000"/>
                <w:sz w:val="16"/>
                <w:szCs w:val="16"/>
              </w:rPr>
              <w:t>Other public order and safety</w:t>
            </w:r>
            <w:r w:rsidR="00DD367F">
              <w:rPr>
                <w:rFonts w:eastAsia="Times New Roman" w:cs="Arial"/>
                <w:color w:val="000000"/>
                <w:sz w:val="16"/>
                <w:szCs w:val="16"/>
              </w:rPr>
              <w:t xml:space="preserve"> - as published</w:t>
            </w:r>
          </w:p>
        </w:tc>
        <w:tc>
          <w:tcPr>
            <w:tcW w:w="794" w:type="dxa"/>
            <w:tcBorders>
              <w:top w:val="dotted" w:sz="8" w:space="0" w:color="2B3B5F"/>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1378</w:t>
            </w:r>
          </w:p>
        </w:tc>
        <w:tc>
          <w:tcPr>
            <w:tcW w:w="794" w:type="dxa"/>
            <w:tcBorders>
              <w:top w:val="dotted" w:sz="8" w:space="0" w:color="2B3B5F"/>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1837</w:t>
            </w:r>
          </w:p>
        </w:tc>
        <w:tc>
          <w:tcPr>
            <w:tcW w:w="794" w:type="dxa"/>
            <w:tcBorders>
              <w:top w:val="dotted" w:sz="8" w:space="0" w:color="2B3B5F"/>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1689</w:t>
            </w:r>
          </w:p>
        </w:tc>
        <w:tc>
          <w:tcPr>
            <w:tcW w:w="794" w:type="dxa"/>
            <w:tcBorders>
              <w:top w:val="dotted" w:sz="8" w:space="0" w:color="2B3B5F"/>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1945</w:t>
            </w:r>
          </w:p>
        </w:tc>
        <w:tc>
          <w:tcPr>
            <w:tcW w:w="794" w:type="dxa"/>
            <w:tcBorders>
              <w:top w:val="dotted" w:sz="8" w:space="0" w:color="2B3B5F"/>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2477</w:t>
            </w:r>
          </w:p>
        </w:tc>
        <w:tc>
          <w:tcPr>
            <w:tcW w:w="794" w:type="dxa"/>
            <w:tcBorders>
              <w:top w:val="dotted" w:sz="8" w:space="0" w:color="2B3B5F"/>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2556</w:t>
            </w:r>
          </w:p>
        </w:tc>
        <w:tc>
          <w:tcPr>
            <w:tcW w:w="794" w:type="dxa"/>
            <w:tcBorders>
              <w:top w:val="dotted" w:sz="8" w:space="0" w:color="2B3B5F"/>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2578</w:t>
            </w:r>
          </w:p>
        </w:tc>
        <w:tc>
          <w:tcPr>
            <w:tcW w:w="794" w:type="dxa"/>
            <w:tcBorders>
              <w:top w:val="dotted" w:sz="8" w:space="0" w:color="2B3B5F"/>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2767</w:t>
            </w:r>
          </w:p>
        </w:tc>
        <w:tc>
          <w:tcPr>
            <w:tcW w:w="794" w:type="dxa"/>
            <w:tcBorders>
              <w:top w:val="dotted" w:sz="8" w:space="0" w:color="2B3B5F"/>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3020</w:t>
            </w:r>
          </w:p>
        </w:tc>
        <w:tc>
          <w:tcPr>
            <w:tcW w:w="794" w:type="dxa"/>
            <w:tcBorders>
              <w:top w:val="dotted" w:sz="8" w:space="0" w:color="2B3B5F"/>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3170</w:t>
            </w:r>
          </w:p>
        </w:tc>
        <w:tc>
          <w:tcPr>
            <w:tcW w:w="794" w:type="dxa"/>
            <w:tcBorders>
              <w:top w:val="dotted" w:sz="8" w:space="0" w:color="2B3B5F"/>
              <w:lef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3071</w:t>
            </w:r>
          </w:p>
        </w:tc>
      </w:tr>
      <w:tr w:rsidR="00DD367F" w:rsidRPr="00DD367F" w:rsidTr="00DD367F">
        <w:trPr>
          <w:trHeight w:val="225"/>
        </w:trPr>
        <w:tc>
          <w:tcPr>
            <w:tcW w:w="4252" w:type="dxa"/>
            <w:tcBorders>
              <w:right w:val="nil"/>
            </w:tcBorders>
            <w:shd w:val="clear" w:color="auto" w:fill="auto"/>
            <w:noWrap/>
            <w:vAlign w:val="center"/>
          </w:tcPr>
          <w:p w:rsidR="00DD367F" w:rsidRPr="00DD367F" w:rsidRDefault="00DD367F" w:rsidP="00DD367F">
            <w:pPr>
              <w:spacing w:before="0" w:after="0" w:line="240" w:lineRule="auto"/>
              <w:ind w:left="227"/>
              <w:rPr>
                <w:rFonts w:eastAsia="Times New Roman" w:cs="Arial"/>
                <w:i/>
                <w:color w:val="808080" w:themeColor="background1" w:themeShade="80"/>
                <w:sz w:val="16"/>
                <w:szCs w:val="16"/>
              </w:rPr>
            </w:pPr>
            <w:r w:rsidRPr="00DD367F">
              <w:rPr>
                <w:rFonts w:eastAsia="Times New Roman" w:cs="Arial"/>
                <w:i/>
                <w:color w:val="808080" w:themeColor="background1" w:themeShade="80"/>
                <w:sz w:val="16"/>
                <w:szCs w:val="16"/>
              </w:rPr>
              <w:t>Reclassification</w:t>
            </w:r>
          </w:p>
        </w:tc>
        <w:tc>
          <w:tcPr>
            <w:tcW w:w="794" w:type="dxa"/>
            <w:tcBorders>
              <w:left w:val="nil"/>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r>
      <w:tr w:rsidR="00DD367F" w:rsidRPr="00DD367F" w:rsidTr="00DD367F">
        <w:trPr>
          <w:trHeight w:val="225"/>
        </w:trPr>
        <w:tc>
          <w:tcPr>
            <w:tcW w:w="4252" w:type="dxa"/>
            <w:tcBorders>
              <w:bottom w:val="dotted" w:sz="8" w:space="0" w:color="auto"/>
              <w:right w:val="nil"/>
            </w:tcBorders>
            <w:shd w:val="clear" w:color="auto" w:fill="auto"/>
            <w:noWrap/>
            <w:vAlign w:val="center"/>
          </w:tcPr>
          <w:p w:rsidR="00DD367F" w:rsidRPr="00DD367F" w:rsidRDefault="00DD367F" w:rsidP="00DD367F">
            <w:pPr>
              <w:spacing w:before="0" w:after="0" w:line="240" w:lineRule="auto"/>
              <w:ind w:left="340"/>
              <w:rPr>
                <w:rFonts w:eastAsia="Times New Roman" w:cs="Arial"/>
                <w:i/>
                <w:color w:val="808080" w:themeColor="background1" w:themeShade="80"/>
                <w:sz w:val="16"/>
                <w:szCs w:val="16"/>
              </w:rPr>
            </w:pPr>
            <w:r w:rsidRPr="00DD367F">
              <w:rPr>
                <w:rFonts w:eastAsia="Times New Roman" w:cs="Arial"/>
                <w:i/>
                <w:color w:val="808080" w:themeColor="background1" w:themeShade="80"/>
                <w:sz w:val="16"/>
                <w:szCs w:val="16"/>
              </w:rPr>
              <w:t xml:space="preserve">Operation sunlight </w:t>
            </w:r>
            <w:r>
              <w:rPr>
                <w:rFonts w:eastAsia="Times New Roman" w:cs="Arial"/>
                <w:i/>
                <w:color w:val="808080" w:themeColor="background1" w:themeShade="80"/>
                <w:sz w:val="16"/>
                <w:szCs w:val="16"/>
              </w:rPr>
              <w:t>-</w:t>
            </w:r>
            <w:r w:rsidRPr="00DD367F">
              <w:rPr>
                <w:rFonts w:eastAsia="Times New Roman" w:cs="Arial"/>
                <w:i/>
                <w:color w:val="808080" w:themeColor="background1" w:themeShade="80"/>
                <w:sz w:val="16"/>
                <w:szCs w:val="16"/>
              </w:rPr>
              <w:t xml:space="preserve"> specific purpose payment</w:t>
            </w:r>
          </w:p>
        </w:tc>
        <w:tc>
          <w:tcPr>
            <w:tcW w:w="794" w:type="dxa"/>
            <w:tcBorders>
              <w:left w:val="nil"/>
              <w:bottom w:val="dotted" w:sz="8" w:space="0" w:color="auto"/>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bottom w:val="dotted" w:sz="8" w:space="0" w:color="auto"/>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bottom w:val="dotted" w:sz="8" w:space="0" w:color="auto"/>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bottom w:val="dotted" w:sz="8" w:space="0" w:color="auto"/>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bottom w:val="dotted" w:sz="8" w:space="0" w:color="auto"/>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bottom w:val="dotted" w:sz="8" w:space="0" w:color="auto"/>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bottom w:val="dotted" w:sz="8" w:space="0" w:color="auto"/>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r w:rsidRPr="00DD367F">
              <w:rPr>
                <w:rFonts w:eastAsia="Times New Roman" w:cs="Arial"/>
                <w:i/>
                <w:color w:val="808080" w:themeColor="background1" w:themeShade="80"/>
                <w:sz w:val="16"/>
                <w:szCs w:val="16"/>
              </w:rPr>
              <w:t>1</w:t>
            </w:r>
          </w:p>
        </w:tc>
        <w:tc>
          <w:tcPr>
            <w:tcW w:w="794" w:type="dxa"/>
            <w:tcBorders>
              <w:left w:val="nil"/>
              <w:bottom w:val="dotted" w:sz="8" w:space="0" w:color="auto"/>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bottom w:val="dotted" w:sz="8" w:space="0" w:color="auto"/>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bottom w:val="dotted" w:sz="8" w:space="0" w:color="auto"/>
              <w:right w:val="nil"/>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c>
          <w:tcPr>
            <w:tcW w:w="794" w:type="dxa"/>
            <w:tcBorders>
              <w:left w:val="nil"/>
              <w:bottom w:val="dotted" w:sz="8" w:space="0" w:color="auto"/>
            </w:tcBorders>
            <w:shd w:val="clear" w:color="auto" w:fill="auto"/>
            <w:noWrap/>
            <w:vAlign w:val="center"/>
          </w:tcPr>
          <w:p w:rsidR="00DD367F" w:rsidRPr="00DD367F" w:rsidRDefault="00DD367F" w:rsidP="00921AC5">
            <w:pPr>
              <w:spacing w:before="0" w:after="0" w:line="240" w:lineRule="auto"/>
              <w:jc w:val="right"/>
              <w:rPr>
                <w:rFonts w:eastAsia="Times New Roman" w:cs="Arial"/>
                <w:i/>
                <w:color w:val="808080" w:themeColor="background1" w:themeShade="80"/>
                <w:sz w:val="16"/>
                <w:szCs w:val="16"/>
              </w:rPr>
            </w:pPr>
          </w:p>
        </w:tc>
      </w:tr>
      <w:tr w:rsidR="00DD367F" w:rsidRPr="00DD367F" w:rsidTr="00DD367F">
        <w:trPr>
          <w:trHeight w:val="225"/>
        </w:trPr>
        <w:tc>
          <w:tcPr>
            <w:tcW w:w="4252" w:type="dxa"/>
            <w:tcBorders>
              <w:bottom w:val="dotted" w:sz="8" w:space="0" w:color="auto"/>
              <w:right w:val="nil"/>
            </w:tcBorders>
            <w:shd w:val="clear" w:color="auto" w:fill="auto"/>
            <w:noWrap/>
            <w:vAlign w:val="center"/>
          </w:tcPr>
          <w:p w:rsidR="00DD367F" w:rsidRPr="00DD367F" w:rsidRDefault="00DD367F" w:rsidP="00DD367F">
            <w:pPr>
              <w:spacing w:before="0" w:after="0" w:line="240" w:lineRule="auto"/>
              <w:ind w:left="113"/>
              <w:rPr>
                <w:rFonts w:eastAsia="Times New Roman" w:cs="Arial"/>
                <w:sz w:val="16"/>
                <w:szCs w:val="16"/>
              </w:rPr>
            </w:pPr>
            <w:r w:rsidRPr="00DD367F">
              <w:rPr>
                <w:rFonts w:eastAsia="Times New Roman" w:cs="Arial"/>
                <w:sz w:val="16"/>
                <w:szCs w:val="16"/>
              </w:rPr>
              <w:t>Other public order and safety - total</w:t>
            </w:r>
          </w:p>
        </w:tc>
        <w:tc>
          <w:tcPr>
            <w:tcW w:w="794" w:type="dxa"/>
            <w:tcBorders>
              <w:left w:val="nil"/>
              <w:bottom w:val="dotted" w:sz="8" w:space="0" w:color="auto"/>
              <w:right w:val="nil"/>
            </w:tcBorders>
            <w:shd w:val="clear" w:color="auto" w:fill="auto"/>
            <w:noWrap/>
            <w:vAlign w:val="center"/>
          </w:tcPr>
          <w:p w:rsidR="00DD367F" w:rsidRPr="00521AA9" w:rsidRDefault="00DD367F" w:rsidP="00DD367F">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1378</w:t>
            </w:r>
          </w:p>
        </w:tc>
        <w:tc>
          <w:tcPr>
            <w:tcW w:w="794" w:type="dxa"/>
            <w:tcBorders>
              <w:left w:val="nil"/>
              <w:bottom w:val="dotted" w:sz="8" w:space="0" w:color="auto"/>
              <w:right w:val="nil"/>
            </w:tcBorders>
            <w:shd w:val="clear" w:color="auto" w:fill="auto"/>
            <w:noWrap/>
            <w:vAlign w:val="center"/>
          </w:tcPr>
          <w:p w:rsidR="00DD367F" w:rsidRPr="00521AA9" w:rsidRDefault="00DD367F" w:rsidP="00DD367F">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1837</w:t>
            </w:r>
          </w:p>
        </w:tc>
        <w:tc>
          <w:tcPr>
            <w:tcW w:w="794" w:type="dxa"/>
            <w:tcBorders>
              <w:left w:val="nil"/>
              <w:bottom w:val="dotted" w:sz="8" w:space="0" w:color="auto"/>
              <w:right w:val="nil"/>
            </w:tcBorders>
            <w:shd w:val="clear" w:color="auto" w:fill="auto"/>
            <w:noWrap/>
            <w:vAlign w:val="center"/>
          </w:tcPr>
          <w:p w:rsidR="00DD367F" w:rsidRPr="00521AA9" w:rsidRDefault="00DD367F" w:rsidP="00DD367F">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1689</w:t>
            </w:r>
          </w:p>
        </w:tc>
        <w:tc>
          <w:tcPr>
            <w:tcW w:w="794" w:type="dxa"/>
            <w:tcBorders>
              <w:left w:val="nil"/>
              <w:bottom w:val="dotted" w:sz="8" w:space="0" w:color="auto"/>
              <w:right w:val="nil"/>
            </w:tcBorders>
            <w:shd w:val="clear" w:color="auto" w:fill="auto"/>
            <w:noWrap/>
            <w:vAlign w:val="center"/>
          </w:tcPr>
          <w:p w:rsidR="00DD367F" w:rsidRPr="00521AA9" w:rsidRDefault="00DD367F" w:rsidP="00DD367F">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1945</w:t>
            </w:r>
          </w:p>
        </w:tc>
        <w:tc>
          <w:tcPr>
            <w:tcW w:w="794" w:type="dxa"/>
            <w:tcBorders>
              <w:left w:val="nil"/>
              <w:bottom w:val="dotted" w:sz="8" w:space="0" w:color="auto"/>
              <w:right w:val="nil"/>
            </w:tcBorders>
            <w:shd w:val="clear" w:color="auto" w:fill="auto"/>
            <w:noWrap/>
            <w:vAlign w:val="center"/>
          </w:tcPr>
          <w:p w:rsidR="00DD367F" w:rsidRPr="00521AA9" w:rsidRDefault="00DD367F" w:rsidP="00DD367F">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2477</w:t>
            </w:r>
          </w:p>
        </w:tc>
        <w:tc>
          <w:tcPr>
            <w:tcW w:w="794" w:type="dxa"/>
            <w:tcBorders>
              <w:left w:val="nil"/>
              <w:bottom w:val="dotted" w:sz="8" w:space="0" w:color="auto"/>
              <w:right w:val="nil"/>
            </w:tcBorders>
            <w:shd w:val="clear" w:color="auto" w:fill="auto"/>
            <w:noWrap/>
            <w:vAlign w:val="center"/>
          </w:tcPr>
          <w:p w:rsidR="00DD367F" w:rsidRPr="00521AA9" w:rsidRDefault="00DD367F" w:rsidP="00DD367F">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2556</w:t>
            </w:r>
          </w:p>
        </w:tc>
        <w:tc>
          <w:tcPr>
            <w:tcW w:w="794" w:type="dxa"/>
            <w:tcBorders>
              <w:left w:val="nil"/>
              <w:bottom w:val="dotted" w:sz="8" w:space="0" w:color="auto"/>
              <w:right w:val="nil"/>
            </w:tcBorders>
            <w:shd w:val="clear" w:color="auto" w:fill="auto"/>
            <w:noWrap/>
            <w:vAlign w:val="center"/>
          </w:tcPr>
          <w:p w:rsidR="00DD367F" w:rsidRPr="00521AA9" w:rsidRDefault="00DD367F" w:rsidP="00DD367F">
            <w:pPr>
              <w:spacing w:before="0" w:after="0" w:line="240" w:lineRule="auto"/>
              <w:jc w:val="right"/>
              <w:rPr>
                <w:rFonts w:eastAsia="Times New Roman" w:cs="Arial"/>
                <w:color w:val="000000"/>
                <w:sz w:val="16"/>
                <w:szCs w:val="16"/>
              </w:rPr>
            </w:pPr>
            <w:r>
              <w:rPr>
                <w:rFonts w:eastAsia="Times New Roman" w:cs="Arial"/>
                <w:color w:val="000000"/>
                <w:sz w:val="16"/>
                <w:szCs w:val="16"/>
              </w:rPr>
              <w:t>2579</w:t>
            </w:r>
          </w:p>
        </w:tc>
        <w:tc>
          <w:tcPr>
            <w:tcW w:w="794" w:type="dxa"/>
            <w:tcBorders>
              <w:left w:val="nil"/>
              <w:bottom w:val="dotted" w:sz="8" w:space="0" w:color="auto"/>
              <w:right w:val="nil"/>
            </w:tcBorders>
            <w:shd w:val="clear" w:color="auto" w:fill="auto"/>
            <w:noWrap/>
            <w:vAlign w:val="center"/>
          </w:tcPr>
          <w:p w:rsidR="00DD367F" w:rsidRPr="00521AA9" w:rsidRDefault="00DD367F" w:rsidP="00DD367F">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2767</w:t>
            </w:r>
          </w:p>
        </w:tc>
        <w:tc>
          <w:tcPr>
            <w:tcW w:w="794" w:type="dxa"/>
            <w:tcBorders>
              <w:left w:val="nil"/>
              <w:bottom w:val="dotted" w:sz="8" w:space="0" w:color="auto"/>
              <w:right w:val="nil"/>
            </w:tcBorders>
            <w:shd w:val="clear" w:color="auto" w:fill="auto"/>
            <w:noWrap/>
            <w:vAlign w:val="center"/>
          </w:tcPr>
          <w:p w:rsidR="00DD367F" w:rsidRPr="00521AA9" w:rsidRDefault="00DD367F" w:rsidP="00DD367F">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3020</w:t>
            </w:r>
          </w:p>
        </w:tc>
        <w:tc>
          <w:tcPr>
            <w:tcW w:w="794" w:type="dxa"/>
            <w:tcBorders>
              <w:left w:val="nil"/>
              <w:bottom w:val="dotted" w:sz="8" w:space="0" w:color="auto"/>
              <w:right w:val="nil"/>
            </w:tcBorders>
            <w:shd w:val="clear" w:color="auto" w:fill="auto"/>
            <w:noWrap/>
            <w:vAlign w:val="center"/>
          </w:tcPr>
          <w:p w:rsidR="00DD367F" w:rsidRPr="00521AA9" w:rsidRDefault="00DD367F" w:rsidP="00DD367F">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3170</w:t>
            </w:r>
          </w:p>
        </w:tc>
        <w:tc>
          <w:tcPr>
            <w:tcW w:w="794" w:type="dxa"/>
            <w:tcBorders>
              <w:left w:val="nil"/>
              <w:bottom w:val="dotted" w:sz="8" w:space="0" w:color="auto"/>
            </w:tcBorders>
            <w:shd w:val="clear" w:color="auto" w:fill="auto"/>
            <w:noWrap/>
            <w:vAlign w:val="center"/>
          </w:tcPr>
          <w:p w:rsidR="00DD367F" w:rsidRPr="00521AA9" w:rsidRDefault="00DD367F" w:rsidP="00DD367F">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3071</w:t>
            </w:r>
          </w:p>
        </w:tc>
      </w:tr>
      <w:tr w:rsidR="00521AA9" w:rsidRPr="00521AA9" w:rsidTr="0036184E">
        <w:trPr>
          <w:trHeight w:val="225"/>
        </w:trPr>
        <w:tc>
          <w:tcPr>
            <w:tcW w:w="4252" w:type="dxa"/>
            <w:tcBorders>
              <w:top w:val="dotted" w:sz="8" w:space="0" w:color="auto"/>
              <w:bottom w:val="single" w:sz="8" w:space="0" w:color="2B3B5F"/>
              <w:right w:val="nil"/>
            </w:tcBorders>
            <w:shd w:val="clear" w:color="auto" w:fill="auto"/>
            <w:noWrap/>
            <w:vAlign w:val="center"/>
            <w:hideMark/>
          </w:tcPr>
          <w:p w:rsidR="00521AA9" w:rsidRPr="00521AA9" w:rsidRDefault="00521AA9" w:rsidP="00D33A30">
            <w:pPr>
              <w:spacing w:before="0" w:after="0" w:line="240" w:lineRule="auto"/>
              <w:rPr>
                <w:rFonts w:eastAsia="Times New Roman" w:cs="Arial"/>
                <w:b/>
                <w:bCs/>
                <w:color w:val="000000"/>
                <w:sz w:val="16"/>
                <w:szCs w:val="16"/>
              </w:rPr>
            </w:pPr>
            <w:r w:rsidRPr="00521AA9">
              <w:rPr>
                <w:rFonts w:eastAsia="Times New Roman" w:cs="Arial"/>
                <w:b/>
                <w:bCs/>
                <w:color w:val="000000"/>
                <w:sz w:val="16"/>
                <w:szCs w:val="16"/>
              </w:rPr>
              <w:t>Public order and safety - total</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1968</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2386</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2349</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9C128E" w:rsidP="00921AC5">
            <w:pPr>
              <w:spacing w:before="0" w:after="0" w:line="240" w:lineRule="auto"/>
              <w:jc w:val="right"/>
              <w:rPr>
                <w:rFonts w:eastAsia="Times New Roman" w:cs="Arial"/>
                <w:b/>
                <w:bCs/>
                <w:color w:val="000000"/>
                <w:sz w:val="16"/>
                <w:szCs w:val="16"/>
              </w:rPr>
            </w:pPr>
            <w:r>
              <w:rPr>
                <w:rFonts w:eastAsia="Times New Roman" w:cs="Arial"/>
                <w:b/>
                <w:bCs/>
                <w:color w:val="000000"/>
                <w:sz w:val="16"/>
                <w:szCs w:val="16"/>
              </w:rPr>
              <w:t>2558</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3318</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3506</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3559</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3593</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3823</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3999</w:t>
            </w:r>
          </w:p>
        </w:tc>
        <w:tc>
          <w:tcPr>
            <w:tcW w:w="794" w:type="dxa"/>
            <w:tcBorders>
              <w:top w:val="dotted" w:sz="8" w:space="0" w:color="auto"/>
              <w:left w:val="nil"/>
              <w:bottom w:val="single" w:sz="8" w:space="0" w:color="2B3B5F"/>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3923</w:t>
            </w:r>
          </w:p>
        </w:tc>
      </w:tr>
      <w:tr w:rsidR="00512130" w:rsidRPr="00D767A0" w:rsidTr="00512130">
        <w:trPr>
          <w:trHeight w:val="470"/>
        </w:trPr>
        <w:tc>
          <w:tcPr>
            <w:tcW w:w="12986" w:type="dxa"/>
            <w:gridSpan w:val="12"/>
            <w:tcBorders>
              <w:top w:val="single" w:sz="8" w:space="0" w:color="2B3B5F"/>
            </w:tcBorders>
            <w:shd w:val="clear" w:color="auto" w:fill="auto"/>
            <w:noWrap/>
            <w:vAlign w:val="center"/>
          </w:tcPr>
          <w:p w:rsidR="00512130" w:rsidRPr="00D767A0" w:rsidRDefault="00512130" w:rsidP="00921AC5">
            <w:pPr>
              <w:spacing w:before="0" w:after="0" w:line="240" w:lineRule="auto"/>
              <w:jc w:val="right"/>
              <w:rPr>
                <w:rFonts w:eastAsia="Times New Roman" w:cs="Arial"/>
                <w:bCs/>
                <w:color w:val="000000"/>
                <w:sz w:val="16"/>
                <w:szCs w:val="16"/>
              </w:rPr>
            </w:pPr>
          </w:p>
        </w:tc>
      </w:tr>
      <w:tr w:rsidR="008D02A0" w:rsidRPr="00D767A0" w:rsidTr="0036184E">
        <w:trPr>
          <w:trHeight w:val="225"/>
        </w:trPr>
        <w:tc>
          <w:tcPr>
            <w:tcW w:w="4252" w:type="dxa"/>
            <w:tcBorders>
              <w:top w:val="single" w:sz="8" w:space="0" w:color="2B3B5F"/>
              <w:bottom w:val="dotted" w:sz="6" w:space="0" w:color="auto"/>
              <w:right w:val="nil"/>
            </w:tcBorders>
            <w:shd w:val="clear" w:color="auto" w:fill="95A4C6"/>
            <w:noWrap/>
            <w:vAlign w:val="center"/>
          </w:tcPr>
          <w:p w:rsidR="008D02A0" w:rsidRPr="008D02A0" w:rsidRDefault="008D02A0" w:rsidP="008D02A0">
            <w:pPr>
              <w:spacing w:before="0" w:after="0"/>
              <w:rPr>
                <w:rFonts w:cs="Arial"/>
                <w:color w:val="000000"/>
                <w:sz w:val="16"/>
                <w:szCs w:val="16"/>
              </w:rPr>
            </w:pPr>
          </w:p>
        </w:tc>
        <w:tc>
          <w:tcPr>
            <w:tcW w:w="794" w:type="dxa"/>
            <w:tcBorders>
              <w:top w:val="single" w:sz="8" w:space="0" w:color="2B3B5F"/>
              <w:left w:val="nil"/>
              <w:bottom w:val="dotted" w:sz="6"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2002-03</w:t>
            </w:r>
          </w:p>
        </w:tc>
        <w:tc>
          <w:tcPr>
            <w:tcW w:w="794" w:type="dxa"/>
            <w:tcBorders>
              <w:top w:val="single" w:sz="8" w:space="0" w:color="2B3B5F"/>
              <w:left w:val="nil"/>
              <w:bottom w:val="dotted" w:sz="6"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2003-04</w:t>
            </w:r>
          </w:p>
        </w:tc>
        <w:tc>
          <w:tcPr>
            <w:tcW w:w="794" w:type="dxa"/>
            <w:tcBorders>
              <w:top w:val="single" w:sz="8" w:space="0" w:color="2B3B5F"/>
              <w:left w:val="nil"/>
              <w:bottom w:val="dotted" w:sz="6"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2004-05</w:t>
            </w:r>
          </w:p>
        </w:tc>
        <w:tc>
          <w:tcPr>
            <w:tcW w:w="794" w:type="dxa"/>
            <w:tcBorders>
              <w:top w:val="single" w:sz="8" w:space="0" w:color="2B3B5F"/>
              <w:left w:val="nil"/>
              <w:bottom w:val="dotted" w:sz="6"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2005-06</w:t>
            </w:r>
          </w:p>
        </w:tc>
        <w:tc>
          <w:tcPr>
            <w:tcW w:w="794" w:type="dxa"/>
            <w:tcBorders>
              <w:top w:val="single" w:sz="8" w:space="0" w:color="2B3B5F"/>
              <w:left w:val="nil"/>
              <w:bottom w:val="dotted" w:sz="6"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2006-07</w:t>
            </w:r>
          </w:p>
        </w:tc>
        <w:tc>
          <w:tcPr>
            <w:tcW w:w="794" w:type="dxa"/>
            <w:tcBorders>
              <w:top w:val="single" w:sz="8" w:space="0" w:color="2B3B5F"/>
              <w:left w:val="nil"/>
              <w:bottom w:val="dotted" w:sz="6"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2007-08</w:t>
            </w:r>
          </w:p>
        </w:tc>
        <w:tc>
          <w:tcPr>
            <w:tcW w:w="794" w:type="dxa"/>
            <w:tcBorders>
              <w:top w:val="single" w:sz="8" w:space="0" w:color="2B3B5F"/>
              <w:left w:val="nil"/>
              <w:bottom w:val="dotted" w:sz="6"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2008-09</w:t>
            </w:r>
          </w:p>
        </w:tc>
        <w:tc>
          <w:tcPr>
            <w:tcW w:w="794" w:type="dxa"/>
            <w:tcBorders>
              <w:top w:val="single" w:sz="8" w:space="0" w:color="2B3B5F"/>
              <w:left w:val="nil"/>
              <w:bottom w:val="dotted" w:sz="6"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2009-10</w:t>
            </w:r>
          </w:p>
        </w:tc>
        <w:tc>
          <w:tcPr>
            <w:tcW w:w="794" w:type="dxa"/>
            <w:tcBorders>
              <w:top w:val="single" w:sz="8" w:space="0" w:color="2B3B5F"/>
              <w:left w:val="nil"/>
              <w:bottom w:val="dotted" w:sz="6"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2010-11</w:t>
            </w:r>
          </w:p>
        </w:tc>
        <w:tc>
          <w:tcPr>
            <w:tcW w:w="794" w:type="dxa"/>
            <w:tcBorders>
              <w:top w:val="single" w:sz="8" w:space="0" w:color="2B3B5F"/>
              <w:left w:val="nil"/>
              <w:bottom w:val="dotted" w:sz="6"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2011-12</w:t>
            </w:r>
          </w:p>
        </w:tc>
        <w:tc>
          <w:tcPr>
            <w:tcW w:w="794" w:type="dxa"/>
            <w:tcBorders>
              <w:top w:val="single" w:sz="8" w:space="0" w:color="2B3B5F"/>
              <w:left w:val="nil"/>
              <w:bottom w:val="dotted" w:sz="6" w:space="0" w:color="auto"/>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2012-13</w:t>
            </w:r>
          </w:p>
        </w:tc>
      </w:tr>
      <w:tr w:rsidR="008D02A0" w:rsidRPr="00D767A0" w:rsidTr="000553AA">
        <w:trPr>
          <w:trHeight w:val="225"/>
        </w:trPr>
        <w:tc>
          <w:tcPr>
            <w:tcW w:w="4252" w:type="dxa"/>
            <w:tcBorders>
              <w:top w:val="dotted" w:sz="6" w:space="0" w:color="auto"/>
              <w:bottom w:val="nil"/>
              <w:right w:val="nil"/>
            </w:tcBorders>
            <w:shd w:val="clear" w:color="auto" w:fill="auto"/>
            <w:noWrap/>
            <w:vAlign w:val="center"/>
          </w:tcPr>
          <w:p w:rsidR="008D02A0" w:rsidRPr="008D02A0" w:rsidRDefault="008D02A0" w:rsidP="008D02A0">
            <w:pPr>
              <w:spacing w:before="0" w:after="0"/>
              <w:rPr>
                <w:rFonts w:cs="Arial"/>
                <w:b/>
                <w:bCs/>
                <w:color w:val="000000"/>
                <w:sz w:val="16"/>
                <w:szCs w:val="16"/>
              </w:rPr>
            </w:pPr>
            <w:r w:rsidRPr="008D02A0">
              <w:rPr>
                <w:rFonts w:cs="Arial"/>
                <w:b/>
                <w:bCs/>
                <w:color w:val="000000"/>
                <w:sz w:val="16"/>
                <w:szCs w:val="16"/>
              </w:rPr>
              <w:t>Fuel and energy - as published</w:t>
            </w:r>
          </w:p>
        </w:tc>
        <w:tc>
          <w:tcPr>
            <w:tcW w:w="794" w:type="dxa"/>
            <w:tcBorders>
              <w:top w:val="dotted" w:sz="6"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3395</w:t>
            </w:r>
          </w:p>
        </w:tc>
        <w:tc>
          <w:tcPr>
            <w:tcW w:w="794" w:type="dxa"/>
            <w:tcBorders>
              <w:top w:val="dotted" w:sz="6"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3494</w:t>
            </w:r>
          </w:p>
        </w:tc>
        <w:tc>
          <w:tcPr>
            <w:tcW w:w="794" w:type="dxa"/>
            <w:tcBorders>
              <w:top w:val="dotted" w:sz="6"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4369</w:t>
            </w:r>
          </w:p>
        </w:tc>
        <w:tc>
          <w:tcPr>
            <w:tcW w:w="794" w:type="dxa"/>
            <w:tcBorders>
              <w:top w:val="dotted" w:sz="6"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4046</w:t>
            </w:r>
          </w:p>
        </w:tc>
        <w:tc>
          <w:tcPr>
            <w:tcW w:w="794" w:type="dxa"/>
            <w:tcBorders>
              <w:top w:val="dotted" w:sz="6"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4635</w:t>
            </w:r>
          </w:p>
        </w:tc>
        <w:tc>
          <w:tcPr>
            <w:tcW w:w="794" w:type="dxa"/>
            <w:tcBorders>
              <w:top w:val="dotted" w:sz="6"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5361</w:t>
            </w:r>
          </w:p>
        </w:tc>
        <w:tc>
          <w:tcPr>
            <w:tcW w:w="794" w:type="dxa"/>
            <w:tcBorders>
              <w:top w:val="dotted" w:sz="6"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5806</w:t>
            </w:r>
          </w:p>
        </w:tc>
        <w:tc>
          <w:tcPr>
            <w:tcW w:w="794" w:type="dxa"/>
            <w:tcBorders>
              <w:top w:val="dotted" w:sz="6"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8473</w:t>
            </w:r>
          </w:p>
        </w:tc>
        <w:tc>
          <w:tcPr>
            <w:tcW w:w="794" w:type="dxa"/>
            <w:tcBorders>
              <w:top w:val="dotted" w:sz="6"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5914</w:t>
            </w:r>
          </w:p>
        </w:tc>
        <w:tc>
          <w:tcPr>
            <w:tcW w:w="794" w:type="dxa"/>
            <w:tcBorders>
              <w:top w:val="dotted" w:sz="6"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6464</w:t>
            </w:r>
          </w:p>
        </w:tc>
        <w:tc>
          <w:tcPr>
            <w:tcW w:w="794" w:type="dxa"/>
            <w:tcBorders>
              <w:top w:val="dotted" w:sz="6" w:space="0" w:color="auto"/>
              <w:left w:val="nil"/>
              <w:bottom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5954</w:t>
            </w:r>
          </w:p>
        </w:tc>
      </w:tr>
      <w:tr w:rsidR="008D02A0" w:rsidRPr="00D767A0" w:rsidTr="000553AA">
        <w:trPr>
          <w:trHeight w:val="225"/>
        </w:trPr>
        <w:tc>
          <w:tcPr>
            <w:tcW w:w="4252" w:type="dxa"/>
            <w:tcBorders>
              <w:top w:val="nil"/>
              <w:right w:val="nil"/>
            </w:tcBorders>
            <w:shd w:val="clear" w:color="auto" w:fill="auto"/>
            <w:noWrap/>
            <w:vAlign w:val="center"/>
          </w:tcPr>
          <w:p w:rsidR="008D02A0" w:rsidRPr="008D02A0" w:rsidRDefault="008D02A0" w:rsidP="008D02A0">
            <w:pPr>
              <w:spacing w:before="0" w:after="0"/>
              <w:ind w:firstLineChars="100" w:firstLine="160"/>
              <w:rPr>
                <w:rFonts w:cs="Arial"/>
                <w:i/>
                <w:iCs/>
                <w:color w:val="808080"/>
                <w:sz w:val="16"/>
                <w:szCs w:val="16"/>
              </w:rPr>
            </w:pPr>
            <w:r w:rsidRPr="008D02A0">
              <w:rPr>
                <w:rFonts w:cs="Arial"/>
                <w:i/>
                <w:iCs/>
                <w:color w:val="808080"/>
                <w:sz w:val="16"/>
                <w:szCs w:val="16"/>
              </w:rPr>
              <w:t>Accounting change - ATO ETM/TLM inclusion</w:t>
            </w: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i/>
                <w:iCs/>
                <w:color w:val="808080"/>
                <w:sz w:val="16"/>
                <w:szCs w:val="16"/>
              </w:rPr>
            </w:pPr>
            <w:r w:rsidRPr="008D02A0">
              <w:rPr>
                <w:rFonts w:cs="Arial"/>
                <w:i/>
                <w:iCs/>
                <w:color w:val="808080"/>
                <w:sz w:val="16"/>
                <w:szCs w:val="16"/>
              </w:rPr>
              <w:t>305</w:t>
            </w: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i/>
                <w:iCs/>
                <w:color w:val="808080"/>
                <w:sz w:val="16"/>
                <w:szCs w:val="16"/>
              </w:rPr>
            </w:pPr>
            <w:r w:rsidRPr="008D02A0">
              <w:rPr>
                <w:rFonts w:cs="Arial"/>
                <w:i/>
                <w:iCs/>
                <w:color w:val="808080"/>
                <w:sz w:val="16"/>
                <w:szCs w:val="16"/>
              </w:rPr>
              <w:t>28</w:t>
            </w: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i/>
                <w:iCs/>
                <w:color w:val="80808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r>
      <w:tr w:rsidR="008D02A0" w:rsidRPr="00D767A0" w:rsidTr="0036184E">
        <w:trPr>
          <w:trHeight w:val="225"/>
        </w:trPr>
        <w:tc>
          <w:tcPr>
            <w:tcW w:w="4252" w:type="dxa"/>
            <w:tcBorders>
              <w:top w:val="nil"/>
              <w:bottom w:val="single" w:sz="8" w:space="0" w:color="2B3B5F"/>
              <w:right w:val="nil"/>
            </w:tcBorders>
            <w:shd w:val="clear" w:color="auto" w:fill="auto"/>
            <w:noWrap/>
            <w:vAlign w:val="center"/>
          </w:tcPr>
          <w:p w:rsidR="008D02A0" w:rsidRPr="008D02A0" w:rsidRDefault="008D02A0" w:rsidP="008D02A0">
            <w:pPr>
              <w:spacing w:before="0" w:after="0"/>
              <w:rPr>
                <w:rFonts w:cs="Arial"/>
                <w:b/>
                <w:bCs/>
                <w:color w:val="000000"/>
                <w:sz w:val="16"/>
                <w:szCs w:val="16"/>
              </w:rPr>
            </w:pPr>
            <w:r w:rsidRPr="008D02A0">
              <w:rPr>
                <w:rFonts w:cs="Arial"/>
                <w:b/>
                <w:bCs/>
                <w:color w:val="000000"/>
                <w:sz w:val="16"/>
                <w:szCs w:val="16"/>
              </w:rPr>
              <w:t>Fuel and energy - total</w:t>
            </w:r>
          </w:p>
        </w:tc>
        <w:tc>
          <w:tcPr>
            <w:tcW w:w="794" w:type="dxa"/>
            <w:tcBorders>
              <w:top w:val="nil"/>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3700</w:t>
            </w:r>
          </w:p>
        </w:tc>
        <w:tc>
          <w:tcPr>
            <w:tcW w:w="794" w:type="dxa"/>
            <w:tcBorders>
              <w:top w:val="nil"/>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3522</w:t>
            </w:r>
          </w:p>
        </w:tc>
        <w:tc>
          <w:tcPr>
            <w:tcW w:w="794" w:type="dxa"/>
            <w:tcBorders>
              <w:top w:val="nil"/>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4369</w:t>
            </w:r>
          </w:p>
        </w:tc>
        <w:tc>
          <w:tcPr>
            <w:tcW w:w="794" w:type="dxa"/>
            <w:tcBorders>
              <w:top w:val="nil"/>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4046</w:t>
            </w:r>
          </w:p>
        </w:tc>
        <w:tc>
          <w:tcPr>
            <w:tcW w:w="794" w:type="dxa"/>
            <w:tcBorders>
              <w:top w:val="nil"/>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4635</w:t>
            </w:r>
          </w:p>
        </w:tc>
        <w:tc>
          <w:tcPr>
            <w:tcW w:w="794" w:type="dxa"/>
            <w:tcBorders>
              <w:top w:val="nil"/>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5361</w:t>
            </w:r>
          </w:p>
        </w:tc>
        <w:tc>
          <w:tcPr>
            <w:tcW w:w="794" w:type="dxa"/>
            <w:tcBorders>
              <w:top w:val="nil"/>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5806</w:t>
            </w:r>
          </w:p>
        </w:tc>
        <w:tc>
          <w:tcPr>
            <w:tcW w:w="794" w:type="dxa"/>
            <w:tcBorders>
              <w:top w:val="nil"/>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8473</w:t>
            </w:r>
          </w:p>
        </w:tc>
        <w:tc>
          <w:tcPr>
            <w:tcW w:w="794" w:type="dxa"/>
            <w:tcBorders>
              <w:top w:val="nil"/>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5914</w:t>
            </w:r>
          </w:p>
        </w:tc>
        <w:tc>
          <w:tcPr>
            <w:tcW w:w="794" w:type="dxa"/>
            <w:tcBorders>
              <w:top w:val="nil"/>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6464</w:t>
            </w:r>
          </w:p>
        </w:tc>
        <w:tc>
          <w:tcPr>
            <w:tcW w:w="794" w:type="dxa"/>
            <w:tcBorders>
              <w:top w:val="nil"/>
              <w:left w:val="nil"/>
              <w:bottom w:val="single" w:sz="8" w:space="0" w:color="2B3B5F"/>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5954</w:t>
            </w:r>
          </w:p>
        </w:tc>
      </w:tr>
      <w:tr w:rsidR="00512130" w:rsidRPr="00D767A0" w:rsidTr="00512130">
        <w:trPr>
          <w:trHeight w:val="470"/>
        </w:trPr>
        <w:tc>
          <w:tcPr>
            <w:tcW w:w="12986" w:type="dxa"/>
            <w:gridSpan w:val="12"/>
            <w:tcBorders>
              <w:top w:val="single" w:sz="8" w:space="0" w:color="2B3B5F"/>
            </w:tcBorders>
            <w:shd w:val="clear" w:color="auto" w:fill="auto"/>
            <w:noWrap/>
            <w:vAlign w:val="center"/>
          </w:tcPr>
          <w:p w:rsidR="00512130" w:rsidRPr="00D767A0" w:rsidRDefault="00512130" w:rsidP="00921AC5">
            <w:pPr>
              <w:spacing w:before="0" w:after="0" w:line="240" w:lineRule="auto"/>
              <w:jc w:val="right"/>
              <w:rPr>
                <w:rFonts w:eastAsia="Times New Roman" w:cs="Arial"/>
                <w:bCs/>
                <w:color w:val="000000"/>
                <w:sz w:val="16"/>
                <w:szCs w:val="16"/>
              </w:rPr>
            </w:pPr>
          </w:p>
        </w:tc>
      </w:tr>
      <w:tr w:rsidR="008D02A0" w:rsidRPr="00D767A0" w:rsidTr="0036184E">
        <w:trPr>
          <w:trHeight w:val="225"/>
        </w:trPr>
        <w:tc>
          <w:tcPr>
            <w:tcW w:w="4252" w:type="dxa"/>
            <w:tcBorders>
              <w:top w:val="single" w:sz="8" w:space="0" w:color="2B3B5F"/>
              <w:bottom w:val="dotted" w:sz="8" w:space="0" w:color="auto"/>
              <w:right w:val="nil"/>
            </w:tcBorders>
            <w:shd w:val="clear" w:color="auto" w:fill="95A4C6"/>
            <w:noWrap/>
            <w:vAlign w:val="center"/>
          </w:tcPr>
          <w:p w:rsidR="008D02A0" w:rsidRPr="008D02A0" w:rsidRDefault="008D02A0" w:rsidP="008D02A0">
            <w:pPr>
              <w:spacing w:before="0" w:after="0"/>
              <w:rPr>
                <w:rFonts w:cs="Arial"/>
                <w:color w:val="000000"/>
                <w:sz w:val="16"/>
                <w:szCs w:val="16"/>
              </w:rPr>
            </w:pPr>
          </w:p>
        </w:tc>
        <w:tc>
          <w:tcPr>
            <w:tcW w:w="794" w:type="dxa"/>
            <w:tcBorders>
              <w:top w:val="single" w:sz="8" w:space="0" w:color="2B3B5F"/>
              <w:left w:val="nil"/>
              <w:bottom w:val="dotted" w:sz="8"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2002-03</w:t>
            </w:r>
          </w:p>
        </w:tc>
        <w:tc>
          <w:tcPr>
            <w:tcW w:w="794" w:type="dxa"/>
            <w:tcBorders>
              <w:top w:val="single" w:sz="8" w:space="0" w:color="2B3B5F"/>
              <w:left w:val="nil"/>
              <w:bottom w:val="dotted" w:sz="8"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2003-04</w:t>
            </w:r>
          </w:p>
        </w:tc>
        <w:tc>
          <w:tcPr>
            <w:tcW w:w="794" w:type="dxa"/>
            <w:tcBorders>
              <w:top w:val="single" w:sz="8" w:space="0" w:color="2B3B5F"/>
              <w:left w:val="nil"/>
              <w:bottom w:val="dotted" w:sz="8"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2004-05</w:t>
            </w:r>
          </w:p>
        </w:tc>
        <w:tc>
          <w:tcPr>
            <w:tcW w:w="794" w:type="dxa"/>
            <w:tcBorders>
              <w:top w:val="single" w:sz="8" w:space="0" w:color="2B3B5F"/>
              <w:left w:val="nil"/>
              <w:bottom w:val="dotted" w:sz="8"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2005-06</w:t>
            </w:r>
          </w:p>
        </w:tc>
        <w:tc>
          <w:tcPr>
            <w:tcW w:w="794" w:type="dxa"/>
            <w:tcBorders>
              <w:top w:val="single" w:sz="8" w:space="0" w:color="2B3B5F"/>
              <w:left w:val="nil"/>
              <w:bottom w:val="dotted" w:sz="8"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2006-07</w:t>
            </w:r>
          </w:p>
        </w:tc>
        <w:tc>
          <w:tcPr>
            <w:tcW w:w="794" w:type="dxa"/>
            <w:tcBorders>
              <w:top w:val="single" w:sz="8" w:space="0" w:color="2B3B5F"/>
              <w:left w:val="nil"/>
              <w:bottom w:val="dotted" w:sz="8"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2007-08</w:t>
            </w:r>
          </w:p>
        </w:tc>
        <w:tc>
          <w:tcPr>
            <w:tcW w:w="794" w:type="dxa"/>
            <w:tcBorders>
              <w:top w:val="single" w:sz="8" w:space="0" w:color="2B3B5F"/>
              <w:left w:val="nil"/>
              <w:bottom w:val="dotted" w:sz="8"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2008-09</w:t>
            </w:r>
          </w:p>
        </w:tc>
        <w:tc>
          <w:tcPr>
            <w:tcW w:w="794" w:type="dxa"/>
            <w:tcBorders>
              <w:top w:val="single" w:sz="8" w:space="0" w:color="2B3B5F"/>
              <w:left w:val="nil"/>
              <w:bottom w:val="dotted" w:sz="8"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2009-10</w:t>
            </w:r>
          </w:p>
        </w:tc>
        <w:tc>
          <w:tcPr>
            <w:tcW w:w="794" w:type="dxa"/>
            <w:tcBorders>
              <w:top w:val="single" w:sz="8" w:space="0" w:color="2B3B5F"/>
              <w:left w:val="nil"/>
              <w:bottom w:val="dotted" w:sz="8"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2010-11</w:t>
            </w:r>
          </w:p>
        </w:tc>
        <w:tc>
          <w:tcPr>
            <w:tcW w:w="794" w:type="dxa"/>
            <w:tcBorders>
              <w:top w:val="single" w:sz="8" w:space="0" w:color="2B3B5F"/>
              <w:left w:val="nil"/>
              <w:bottom w:val="dotted" w:sz="8" w:space="0" w:color="auto"/>
              <w:right w:val="nil"/>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2011-12</w:t>
            </w:r>
          </w:p>
        </w:tc>
        <w:tc>
          <w:tcPr>
            <w:tcW w:w="794" w:type="dxa"/>
            <w:tcBorders>
              <w:top w:val="single" w:sz="8" w:space="0" w:color="2B3B5F"/>
              <w:left w:val="nil"/>
              <w:bottom w:val="dotted" w:sz="8" w:space="0" w:color="auto"/>
            </w:tcBorders>
            <w:shd w:val="clear" w:color="auto" w:fill="95A4C6"/>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2012-13</w:t>
            </w:r>
          </w:p>
        </w:tc>
      </w:tr>
      <w:tr w:rsidR="008D02A0" w:rsidRPr="00D767A0" w:rsidTr="0036184E">
        <w:trPr>
          <w:trHeight w:val="225"/>
        </w:trPr>
        <w:tc>
          <w:tcPr>
            <w:tcW w:w="4252" w:type="dxa"/>
            <w:tcBorders>
              <w:top w:val="dotted" w:sz="8" w:space="0" w:color="auto"/>
              <w:bottom w:val="dotted" w:sz="8" w:space="0" w:color="auto"/>
              <w:right w:val="nil"/>
            </w:tcBorders>
            <w:shd w:val="clear" w:color="auto" w:fill="auto"/>
            <w:noWrap/>
            <w:vAlign w:val="center"/>
          </w:tcPr>
          <w:p w:rsidR="008D02A0" w:rsidRPr="008D02A0" w:rsidRDefault="008D02A0" w:rsidP="008D02A0">
            <w:pPr>
              <w:spacing w:before="0" w:after="0"/>
              <w:rPr>
                <w:rFonts w:cs="Arial"/>
                <w:b/>
                <w:bCs/>
                <w:color w:val="000000"/>
                <w:sz w:val="16"/>
                <w:szCs w:val="16"/>
              </w:rPr>
            </w:pPr>
            <w:r w:rsidRPr="008D02A0">
              <w:rPr>
                <w:rFonts w:cs="Arial"/>
                <w:b/>
                <w:bCs/>
                <w:color w:val="000000"/>
                <w:sz w:val="16"/>
                <w:szCs w:val="16"/>
              </w:rPr>
              <w:t>Agriculture, forestry and fishing - as published</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1772</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2038</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1813</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2780</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2831</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3834</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2723</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2816</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2546</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2953</w:t>
            </w:r>
          </w:p>
        </w:tc>
        <w:tc>
          <w:tcPr>
            <w:tcW w:w="794" w:type="dxa"/>
            <w:tcBorders>
              <w:top w:val="dotted" w:sz="8" w:space="0" w:color="auto"/>
              <w:left w:val="nil"/>
              <w:bottom w:val="dotted" w:sz="8" w:space="0" w:color="auto"/>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2407</w:t>
            </w:r>
          </w:p>
        </w:tc>
      </w:tr>
      <w:tr w:rsidR="008D02A0" w:rsidRPr="00D767A0" w:rsidTr="0036184E">
        <w:trPr>
          <w:trHeight w:val="225"/>
        </w:trPr>
        <w:tc>
          <w:tcPr>
            <w:tcW w:w="4252" w:type="dxa"/>
            <w:tcBorders>
              <w:top w:val="dotted" w:sz="8" w:space="0" w:color="auto"/>
              <w:bottom w:val="dotted" w:sz="8" w:space="0" w:color="auto"/>
              <w:right w:val="nil"/>
            </w:tcBorders>
            <w:shd w:val="clear" w:color="auto" w:fill="auto"/>
            <w:noWrap/>
            <w:vAlign w:val="center"/>
          </w:tcPr>
          <w:p w:rsidR="008D02A0" w:rsidRPr="008D02A0" w:rsidRDefault="008D02A0" w:rsidP="008D02A0">
            <w:pPr>
              <w:spacing w:before="0" w:after="0"/>
              <w:ind w:firstLineChars="100" w:firstLine="160"/>
              <w:rPr>
                <w:rFonts w:cs="Arial"/>
                <w:color w:val="000000"/>
                <w:sz w:val="16"/>
                <w:szCs w:val="16"/>
              </w:rPr>
            </w:pPr>
            <w:r w:rsidRPr="008D02A0">
              <w:rPr>
                <w:rFonts w:cs="Arial"/>
                <w:color w:val="000000"/>
                <w:sz w:val="16"/>
                <w:szCs w:val="16"/>
              </w:rPr>
              <w:t>Wool industry</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76</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57</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56</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49</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58</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57</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46</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46</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57</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62</w:t>
            </w:r>
          </w:p>
        </w:tc>
        <w:tc>
          <w:tcPr>
            <w:tcW w:w="794" w:type="dxa"/>
            <w:tcBorders>
              <w:top w:val="dotted" w:sz="8" w:space="0" w:color="auto"/>
              <w:left w:val="nil"/>
              <w:bottom w:val="dotted" w:sz="8" w:space="0" w:color="auto"/>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57</w:t>
            </w:r>
          </w:p>
        </w:tc>
      </w:tr>
      <w:tr w:rsidR="008D02A0" w:rsidRPr="00D767A0" w:rsidTr="0036184E">
        <w:trPr>
          <w:trHeight w:val="225"/>
        </w:trPr>
        <w:tc>
          <w:tcPr>
            <w:tcW w:w="4252" w:type="dxa"/>
            <w:tcBorders>
              <w:top w:val="dotted" w:sz="8" w:space="0" w:color="auto"/>
              <w:bottom w:val="dotted" w:sz="8" w:space="0" w:color="auto"/>
              <w:right w:val="nil"/>
            </w:tcBorders>
            <w:shd w:val="clear" w:color="auto" w:fill="auto"/>
            <w:noWrap/>
            <w:vAlign w:val="center"/>
          </w:tcPr>
          <w:p w:rsidR="008D02A0" w:rsidRPr="008D02A0" w:rsidRDefault="008D02A0" w:rsidP="008D02A0">
            <w:pPr>
              <w:spacing w:before="0" w:after="0"/>
              <w:ind w:firstLineChars="100" w:firstLine="160"/>
              <w:rPr>
                <w:rFonts w:cs="Arial"/>
                <w:color w:val="000000"/>
                <w:sz w:val="16"/>
                <w:szCs w:val="16"/>
              </w:rPr>
            </w:pPr>
            <w:r w:rsidRPr="008D02A0">
              <w:rPr>
                <w:rFonts w:cs="Arial"/>
                <w:color w:val="000000"/>
                <w:sz w:val="16"/>
                <w:szCs w:val="16"/>
              </w:rPr>
              <w:t>Grains industry</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115</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129</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124</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130</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110</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110</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118</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132</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156</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169</w:t>
            </w:r>
          </w:p>
        </w:tc>
        <w:tc>
          <w:tcPr>
            <w:tcW w:w="794" w:type="dxa"/>
            <w:tcBorders>
              <w:top w:val="dotted" w:sz="8" w:space="0" w:color="auto"/>
              <w:left w:val="nil"/>
              <w:bottom w:val="dotted" w:sz="8" w:space="0" w:color="auto"/>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184</w:t>
            </w:r>
          </w:p>
        </w:tc>
      </w:tr>
      <w:tr w:rsidR="008D02A0" w:rsidRPr="00D767A0" w:rsidTr="0036184E">
        <w:trPr>
          <w:trHeight w:val="225"/>
        </w:trPr>
        <w:tc>
          <w:tcPr>
            <w:tcW w:w="4252" w:type="dxa"/>
            <w:tcBorders>
              <w:top w:val="dotted" w:sz="8" w:space="0" w:color="auto"/>
              <w:right w:val="nil"/>
            </w:tcBorders>
            <w:shd w:val="clear" w:color="auto" w:fill="auto"/>
            <w:noWrap/>
            <w:vAlign w:val="center"/>
          </w:tcPr>
          <w:p w:rsidR="008D02A0" w:rsidRPr="008D02A0" w:rsidRDefault="008D02A0" w:rsidP="008D02A0">
            <w:pPr>
              <w:spacing w:before="0" w:after="0"/>
              <w:ind w:firstLineChars="100" w:firstLine="160"/>
              <w:rPr>
                <w:rFonts w:cs="Arial"/>
                <w:color w:val="000000"/>
                <w:sz w:val="16"/>
                <w:szCs w:val="16"/>
              </w:rPr>
            </w:pPr>
            <w:r w:rsidRPr="008D02A0">
              <w:rPr>
                <w:rFonts w:cs="Arial"/>
                <w:color w:val="000000"/>
                <w:sz w:val="16"/>
                <w:szCs w:val="16"/>
              </w:rPr>
              <w:t>Dairy industry - as published</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276</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114</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98</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105</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81</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69</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55</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48</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48</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51</w:t>
            </w:r>
          </w:p>
        </w:tc>
        <w:tc>
          <w:tcPr>
            <w:tcW w:w="794" w:type="dxa"/>
            <w:tcBorders>
              <w:top w:val="dotted" w:sz="8" w:space="0" w:color="auto"/>
              <w:lef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51</w:t>
            </w:r>
          </w:p>
        </w:tc>
      </w:tr>
      <w:tr w:rsidR="008D02A0" w:rsidRPr="00D767A0" w:rsidTr="000553AA">
        <w:trPr>
          <w:trHeight w:val="225"/>
        </w:trPr>
        <w:tc>
          <w:tcPr>
            <w:tcW w:w="4252" w:type="dxa"/>
            <w:tcBorders>
              <w:top w:val="nil"/>
              <w:right w:val="nil"/>
            </w:tcBorders>
            <w:shd w:val="clear" w:color="auto" w:fill="auto"/>
            <w:noWrap/>
            <w:vAlign w:val="center"/>
          </w:tcPr>
          <w:p w:rsidR="008D02A0" w:rsidRPr="008D02A0" w:rsidRDefault="008D02A0" w:rsidP="008D02A0">
            <w:pPr>
              <w:spacing w:before="0" w:after="0"/>
              <w:ind w:firstLineChars="200" w:firstLine="320"/>
              <w:rPr>
                <w:rFonts w:cs="Arial"/>
                <w:i/>
                <w:iCs/>
                <w:color w:val="808080"/>
                <w:sz w:val="16"/>
                <w:szCs w:val="16"/>
              </w:rPr>
            </w:pPr>
            <w:r w:rsidRPr="008D02A0">
              <w:rPr>
                <w:rFonts w:cs="Arial"/>
                <w:i/>
                <w:iCs/>
                <w:color w:val="808080"/>
                <w:sz w:val="16"/>
                <w:szCs w:val="16"/>
              </w:rPr>
              <w:t>Accounting change - dairy structural adjustment fund</w:t>
            </w: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i/>
                <w:iCs/>
                <w:color w:val="808080"/>
                <w:sz w:val="16"/>
                <w:szCs w:val="16"/>
              </w:rPr>
            </w:pPr>
            <w:r w:rsidRPr="008D02A0">
              <w:rPr>
                <w:rFonts w:cs="Arial"/>
                <w:i/>
                <w:iCs/>
                <w:color w:val="808080"/>
                <w:sz w:val="16"/>
                <w:szCs w:val="16"/>
              </w:rPr>
              <w:t>73</w:t>
            </w: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r>
      <w:tr w:rsidR="008D02A0" w:rsidRPr="00D767A0" w:rsidTr="0036184E">
        <w:trPr>
          <w:trHeight w:val="225"/>
        </w:trPr>
        <w:tc>
          <w:tcPr>
            <w:tcW w:w="4252" w:type="dxa"/>
            <w:tcBorders>
              <w:bottom w:val="dotted" w:sz="8" w:space="0" w:color="auto"/>
              <w:right w:val="nil"/>
            </w:tcBorders>
            <w:shd w:val="clear" w:color="auto" w:fill="auto"/>
            <w:noWrap/>
            <w:vAlign w:val="center"/>
          </w:tcPr>
          <w:p w:rsidR="008D02A0" w:rsidRPr="008D02A0" w:rsidRDefault="008D02A0" w:rsidP="008D02A0">
            <w:pPr>
              <w:spacing w:before="0" w:after="0"/>
              <w:ind w:firstLineChars="100" w:firstLine="160"/>
              <w:rPr>
                <w:rFonts w:cs="Arial"/>
                <w:color w:val="000000"/>
                <w:sz w:val="16"/>
                <w:szCs w:val="16"/>
              </w:rPr>
            </w:pPr>
            <w:r w:rsidRPr="008D02A0">
              <w:rPr>
                <w:rFonts w:cs="Arial"/>
                <w:color w:val="000000"/>
                <w:sz w:val="16"/>
                <w:szCs w:val="16"/>
              </w:rPr>
              <w:t>Dairy industry</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349</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114</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98</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105</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81</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69</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55</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48</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48</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51</w:t>
            </w:r>
          </w:p>
        </w:tc>
        <w:tc>
          <w:tcPr>
            <w:tcW w:w="794" w:type="dxa"/>
            <w:tcBorders>
              <w:left w:val="nil"/>
              <w:bottom w:val="dotted" w:sz="8" w:space="0" w:color="auto"/>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51</w:t>
            </w:r>
          </w:p>
        </w:tc>
      </w:tr>
      <w:tr w:rsidR="008D02A0" w:rsidRPr="00D767A0" w:rsidTr="0036184E">
        <w:trPr>
          <w:trHeight w:val="225"/>
        </w:trPr>
        <w:tc>
          <w:tcPr>
            <w:tcW w:w="4252" w:type="dxa"/>
            <w:tcBorders>
              <w:top w:val="dotted" w:sz="8" w:space="0" w:color="auto"/>
              <w:bottom w:val="dotted" w:sz="8" w:space="0" w:color="auto"/>
              <w:right w:val="nil"/>
            </w:tcBorders>
            <w:shd w:val="clear" w:color="auto" w:fill="auto"/>
            <w:noWrap/>
            <w:vAlign w:val="center"/>
          </w:tcPr>
          <w:p w:rsidR="008D02A0" w:rsidRPr="008D02A0" w:rsidRDefault="008D02A0" w:rsidP="008D02A0">
            <w:pPr>
              <w:spacing w:before="0" w:after="0"/>
              <w:ind w:firstLineChars="100" w:firstLine="160"/>
              <w:rPr>
                <w:rFonts w:cs="Arial"/>
                <w:color w:val="000000"/>
                <w:sz w:val="16"/>
                <w:szCs w:val="16"/>
              </w:rPr>
            </w:pPr>
            <w:r w:rsidRPr="008D02A0">
              <w:rPr>
                <w:rFonts w:cs="Arial"/>
                <w:color w:val="000000"/>
                <w:sz w:val="16"/>
                <w:szCs w:val="16"/>
              </w:rPr>
              <w:t>Cattle, sheep and pig industry</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121</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130</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130</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145</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168</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165</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164</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171</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166</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170</w:t>
            </w:r>
          </w:p>
        </w:tc>
        <w:tc>
          <w:tcPr>
            <w:tcW w:w="794" w:type="dxa"/>
            <w:tcBorders>
              <w:top w:val="dotted" w:sz="8" w:space="0" w:color="auto"/>
              <w:left w:val="nil"/>
              <w:bottom w:val="dotted" w:sz="8" w:space="0" w:color="auto"/>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168</w:t>
            </w:r>
          </w:p>
        </w:tc>
      </w:tr>
      <w:tr w:rsidR="008D02A0" w:rsidRPr="00D767A0" w:rsidTr="0036184E">
        <w:trPr>
          <w:trHeight w:val="225"/>
        </w:trPr>
        <w:tc>
          <w:tcPr>
            <w:tcW w:w="4252" w:type="dxa"/>
            <w:tcBorders>
              <w:top w:val="dotted" w:sz="8" w:space="0" w:color="auto"/>
              <w:bottom w:val="nil"/>
              <w:right w:val="nil"/>
            </w:tcBorders>
            <w:shd w:val="clear" w:color="auto" w:fill="auto"/>
            <w:noWrap/>
            <w:vAlign w:val="center"/>
          </w:tcPr>
          <w:p w:rsidR="008D02A0" w:rsidRPr="008D02A0" w:rsidRDefault="008D02A0" w:rsidP="008D02A0">
            <w:pPr>
              <w:spacing w:before="0" w:after="0"/>
              <w:ind w:firstLineChars="100" w:firstLine="160"/>
              <w:rPr>
                <w:rFonts w:cs="Arial"/>
                <w:color w:val="000000"/>
                <w:sz w:val="16"/>
                <w:szCs w:val="16"/>
              </w:rPr>
            </w:pPr>
            <w:r w:rsidRPr="008D02A0">
              <w:rPr>
                <w:rFonts w:cs="Arial"/>
                <w:color w:val="000000"/>
                <w:sz w:val="16"/>
                <w:szCs w:val="16"/>
              </w:rPr>
              <w:t>Fishing, horticulture and other agriculture - as published</w:t>
            </w:r>
          </w:p>
        </w:tc>
        <w:tc>
          <w:tcPr>
            <w:tcW w:w="794" w:type="dxa"/>
            <w:tcBorders>
              <w:top w:val="dotted" w:sz="8"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178</w:t>
            </w:r>
          </w:p>
        </w:tc>
        <w:tc>
          <w:tcPr>
            <w:tcW w:w="794" w:type="dxa"/>
            <w:tcBorders>
              <w:top w:val="dotted" w:sz="8"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168</w:t>
            </w:r>
          </w:p>
        </w:tc>
        <w:tc>
          <w:tcPr>
            <w:tcW w:w="794" w:type="dxa"/>
            <w:tcBorders>
              <w:top w:val="dotted" w:sz="8"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188</w:t>
            </w:r>
          </w:p>
        </w:tc>
        <w:tc>
          <w:tcPr>
            <w:tcW w:w="794" w:type="dxa"/>
            <w:tcBorders>
              <w:top w:val="dotted" w:sz="8"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300</w:t>
            </w:r>
          </w:p>
        </w:tc>
        <w:tc>
          <w:tcPr>
            <w:tcW w:w="794" w:type="dxa"/>
            <w:tcBorders>
              <w:top w:val="dotted" w:sz="8"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483</w:t>
            </w:r>
          </w:p>
        </w:tc>
        <w:tc>
          <w:tcPr>
            <w:tcW w:w="794" w:type="dxa"/>
            <w:tcBorders>
              <w:top w:val="dotted" w:sz="8"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353</w:t>
            </w:r>
          </w:p>
        </w:tc>
        <w:tc>
          <w:tcPr>
            <w:tcW w:w="794" w:type="dxa"/>
            <w:tcBorders>
              <w:top w:val="dotted" w:sz="8"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256</w:t>
            </w:r>
          </w:p>
        </w:tc>
        <w:tc>
          <w:tcPr>
            <w:tcW w:w="794" w:type="dxa"/>
            <w:tcBorders>
              <w:top w:val="dotted" w:sz="8"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230</w:t>
            </w:r>
          </w:p>
        </w:tc>
        <w:tc>
          <w:tcPr>
            <w:tcW w:w="794" w:type="dxa"/>
            <w:tcBorders>
              <w:top w:val="dotted" w:sz="8"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225</w:t>
            </w:r>
          </w:p>
        </w:tc>
        <w:tc>
          <w:tcPr>
            <w:tcW w:w="794" w:type="dxa"/>
            <w:tcBorders>
              <w:top w:val="dotted" w:sz="8" w:space="0" w:color="auto"/>
              <w:left w:val="nil"/>
              <w:bottom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228</w:t>
            </w:r>
          </w:p>
        </w:tc>
        <w:tc>
          <w:tcPr>
            <w:tcW w:w="794" w:type="dxa"/>
            <w:tcBorders>
              <w:top w:val="dotted" w:sz="8" w:space="0" w:color="auto"/>
              <w:left w:val="nil"/>
              <w:bottom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217</w:t>
            </w:r>
          </w:p>
        </w:tc>
      </w:tr>
      <w:tr w:rsidR="008D02A0" w:rsidRPr="00D767A0" w:rsidTr="000553AA">
        <w:trPr>
          <w:trHeight w:val="225"/>
        </w:trPr>
        <w:tc>
          <w:tcPr>
            <w:tcW w:w="4252" w:type="dxa"/>
            <w:tcBorders>
              <w:top w:val="nil"/>
              <w:right w:val="nil"/>
            </w:tcBorders>
            <w:shd w:val="clear" w:color="auto" w:fill="auto"/>
            <w:noWrap/>
            <w:vAlign w:val="center"/>
          </w:tcPr>
          <w:p w:rsidR="008D02A0" w:rsidRPr="008D02A0" w:rsidRDefault="008D02A0" w:rsidP="008D02A0">
            <w:pPr>
              <w:spacing w:before="0" w:after="0"/>
              <w:ind w:firstLineChars="200" w:firstLine="320"/>
              <w:rPr>
                <w:rFonts w:cs="Arial"/>
                <w:i/>
                <w:iCs/>
                <w:color w:val="808080"/>
                <w:sz w:val="16"/>
                <w:szCs w:val="16"/>
              </w:rPr>
            </w:pPr>
            <w:r w:rsidRPr="008D02A0">
              <w:rPr>
                <w:rFonts w:cs="Arial"/>
                <w:i/>
                <w:iCs/>
                <w:color w:val="808080"/>
                <w:sz w:val="16"/>
                <w:szCs w:val="16"/>
              </w:rPr>
              <w:t>Accounting change - FBT inclusion</w:t>
            </w: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i/>
                <w:iCs/>
                <w:color w:val="808080"/>
                <w:sz w:val="16"/>
                <w:szCs w:val="16"/>
              </w:rPr>
            </w:pPr>
            <w:r w:rsidRPr="008D02A0">
              <w:rPr>
                <w:rFonts w:cs="Arial"/>
                <w:i/>
                <w:iCs/>
                <w:color w:val="808080"/>
                <w:sz w:val="16"/>
                <w:szCs w:val="16"/>
              </w:rPr>
              <w:t>2</w:t>
            </w: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i/>
                <w:iCs/>
                <w:color w:val="808080"/>
                <w:sz w:val="16"/>
                <w:szCs w:val="16"/>
              </w:rPr>
            </w:pPr>
            <w:r w:rsidRPr="008D02A0">
              <w:rPr>
                <w:rFonts w:cs="Arial"/>
                <w:i/>
                <w:iCs/>
                <w:color w:val="808080"/>
                <w:sz w:val="16"/>
                <w:szCs w:val="16"/>
              </w:rPr>
              <w:t>1</w:t>
            </w: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i/>
                <w:iCs/>
                <w:color w:val="808080"/>
                <w:sz w:val="16"/>
                <w:szCs w:val="16"/>
              </w:rPr>
            </w:pPr>
            <w:r w:rsidRPr="008D02A0">
              <w:rPr>
                <w:rFonts w:cs="Arial"/>
                <w:i/>
                <w:iCs/>
                <w:color w:val="808080"/>
                <w:sz w:val="16"/>
                <w:szCs w:val="16"/>
              </w:rPr>
              <w:t>1</w:t>
            </w: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r>
      <w:tr w:rsidR="008D02A0" w:rsidRPr="00D767A0" w:rsidTr="0036184E">
        <w:trPr>
          <w:trHeight w:val="225"/>
        </w:trPr>
        <w:tc>
          <w:tcPr>
            <w:tcW w:w="4252" w:type="dxa"/>
            <w:tcBorders>
              <w:top w:val="nil"/>
              <w:bottom w:val="dotted" w:sz="8" w:space="0" w:color="auto"/>
              <w:right w:val="nil"/>
            </w:tcBorders>
            <w:shd w:val="clear" w:color="auto" w:fill="auto"/>
            <w:noWrap/>
            <w:vAlign w:val="center"/>
          </w:tcPr>
          <w:p w:rsidR="008D02A0" w:rsidRPr="008D02A0" w:rsidRDefault="008D02A0" w:rsidP="008D02A0">
            <w:pPr>
              <w:spacing w:before="0" w:after="0"/>
              <w:ind w:firstLineChars="100" w:firstLine="160"/>
              <w:rPr>
                <w:rFonts w:cs="Arial"/>
                <w:color w:val="000000"/>
                <w:sz w:val="16"/>
                <w:szCs w:val="16"/>
              </w:rPr>
            </w:pPr>
            <w:r w:rsidRPr="008D02A0">
              <w:rPr>
                <w:rFonts w:cs="Arial"/>
                <w:color w:val="000000"/>
                <w:sz w:val="16"/>
                <w:szCs w:val="16"/>
              </w:rPr>
              <w:t>Fishing, horticulture and other agriculture - total</w:t>
            </w:r>
          </w:p>
        </w:tc>
        <w:tc>
          <w:tcPr>
            <w:tcW w:w="794" w:type="dxa"/>
            <w:tcBorders>
              <w:top w:val="nil"/>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180</w:t>
            </w:r>
          </w:p>
        </w:tc>
        <w:tc>
          <w:tcPr>
            <w:tcW w:w="794" w:type="dxa"/>
            <w:tcBorders>
              <w:top w:val="nil"/>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169</w:t>
            </w:r>
          </w:p>
        </w:tc>
        <w:tc>
          <w:tcPr>
            <w:tcW w:w="794" w:type="dxa"/>
            <w:tcBorders>
              <w:top w:val="nil"/>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189</w:t>
            </w:r>
          </w:p>
        </w:tc>
        <w:tc>
          <w:tcPr>
            <w:tcW w:w="794" w:type="dxa"/>
            <w:tcBorders>
              <w:top w:val="nil"/>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300</w:t>
            </w:r>
          </w:p>
        </w:tc>
        <w:tc>
          <w:tcPr>
            <w:tcW w:w="794" w:type="dxa"/>
            <w:tcBorders>
              <w:top w:val="nil"/>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483</w:t>
            </w:r>
          </w:p>
        </w:tc>
        <w:tc>
          <w:tcPr>
            <w:tcW w:w="794" w:type="dxa"/>
            <w:tcBorders>
              <w:top w:val="nil"/>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353</w:t>
            </w:r>
          </w:p>
        </w:tc>
        <w:tc>
          <w:tcPr>
            <w:tcW w:w="794" w:type="dxa"/>
            <w:tcBorders>
              <w:top w:val="nil"/>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256</w:t>
            </w:r>
          </w:p>
        </w:tc>
        <w:tc>
          <w:tcPr>
            <w:tcW w:w="794" w:type="dxa"/>
            <w:tcBorders>
              <w:top w:val="nil"/>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230</w:t>
            </w:r>
          </w:p>
        </w:tc>
        <w:tc>
          <w:tcPr>
            <w:tcW w:w="794" w:type="dxa"/>
            <w:tcBorders>
              <w:top w:val="nil"/>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225</w:t>
            </w:r>
          </w:p>
        </w:tc>
        <w:tc>
          <w:tcPr>
            <w:tcW w:w="794" w:type="dxa"/>
            <w:tcBorders>
              <w:top w:val="nil"/>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228</w:t>
            </w:r>
          </w:p>
        </w:tc>
        <w:tc>
          <w:tcPr>
            <w:tcW w:w="794" w:type="dxa"/>
            <w:tcBorders>
              <w:top w:val="nil"/>
              <w:left w:val="nil"/>
              <w:bottom w:val="dotted" w:sz="8" w:space="0" w:color="auto"/>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217</w:t>
            </w:r>
          </w:p>
        </w:tc>
      </w:tr>
      <w:tr w:rsidR="008D02A0" w:rsidRPr="00D767A0" w:rsidTr="0036184E">
        <w:trPr>
          <w:trHeight w:val="225"/>
        </w:trPr>
        <w:tc>
          <w:tcPr>
            <w:tcW w:w="4252" w:type="dxa"/>
            <w:tcBorders>
              <w:top w:val="dotted" w:sz="8" w:space="0" w:color="auto"/>
              <w:bottom w:val="dotted" w:sz="8" w:space="0" w:color="auto"/>
              <w:right w:val="nil"/>
            </w:tcBorders>
            <w:shd w:val="clear" w:color="auto" w:fill="auto"/>
            <w:noWrap/>
            <w:vAlign w:val="center"/>
          </w:tcPr>
          <w:p w:rsidR="008D02A0" w:rsidRPr="008D02A0" w:rsidRDefault="008D02A0" w:rsidP="008D02A0">
            <w:pPr>
              <w:spacing w:before="0" w:after="0"/>
              <w:ind w:firstLineChars="100" w:firstLine="160"/>
              <w:rPr>
                <w:rFonts w:cs="Arial"/>
                <w:color w:val="000000"/>
                <w:sz w:val="16"/>
                <w:szCs w:val="16"/>
              </w:rPr>
            </w:pPr>
            <w:r w:rsidRPr="008D02A0">
              <w:rPr>
                <w:rFonts w:cs="Arial"/>
                <w:color w:val="000000"/>
                <w:sz w:val="16"/>
                <w:szCs w:val="16"/>
              </w:rPr>
              <w:t>General assistance not allocated to specific industries</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299</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384</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411</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399</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137</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456</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102</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19</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21</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24</w:t>
            </w:r>
          </w:p>
        </w:tc>
        <w:tc>
          <w:tcPr>
            <w:tcW w:w="794" w:type="dxa"/>
            <w:tcBorders>
              <w:top w:val="dotted" w:sz="8" w:space="0" w:color="auto"/>
              <w:left w:val="nil"/>
              <w:bottom w:val="dotted" w:sz="8" w:space="0" w:color="auto"/>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25</w:t>
            </w:r>
          </w:p>
        </w:tc>
      </w:tr>
      <w:tr w:rsidR="008D02A0" w:rsidRPr="00D767A0" w:rsidTr="0036184E">
        <w:trPr>
          <w:trHeight w:val="225"/>
        </w:trPr>
        <w:tc>
          <w:tcPr>
            <w:tcW w:w="4252" w:type="dxa"/>
            <w:tcBorders>
              <w:top w:val="dotted" w:sz="8" w:space="0" w:color="auto"/>
              <w:bottom w:val="dotted" w:sz="8" w:space="0" w:color="auto"/>
              <w:right w:val="nil"/>
            </w:tcBorders>
            <w:shd w:val="clear" w:color="auto" w:fill="auto"/>
            <w:noWrap/>
            <w:vAlign w:val="center"/>
          </w:tcPr>
          <w:p w:rsidR="008D02A0" w:rsidRPr="008D02A0" w:rsidRDefault="008D02A0" w:rsidP="008D02A0">
            <w:pPr>
              <w:spacing w:before="0" w:after="0"/>
              <w:ind w:firstLineChars="100" w:firstLine="160"/>
              <w:rPr>
                <w:rFonts w:cs="Arial"/>
                <w:color w:val="000000"/>
                <w:sz w:val="16"/>
                <w:szCs w:val="16"/>
              </w:rPr>
            </w:pPr>
            <w:r w:rsidRPr="008D02A0">
              <w:rPr>
                <w:rFonts w:cs="Arial"/>
                <w:color w:val="000000"/>
                <w:sz w:val="16"/>
                <w:szCs w:val="16"/>
              </w:rPr>
              <w:t>Rural assistance</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224</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452</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321</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570</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856</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1343</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1006</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684</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498</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256</w:t>
            </w:r>
          </w:p>
        </w:tc>
        <w:tc>
          <w:tcPr>
            <w:tcW w:w="794" w:type="dxa"/>
            <w:tcBorders>
              <w:top w:val="dotted" w:sz="8" w:space="0" w:color="auto"/>
              <w:left w:val="nil"/>
              <w:bottom w:val="dotted" w:sz="8" w:space="0" w:color="auto"/>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119</w:t>
            </w:r>
          </w:p>
        </w:tc>
      </w:tr>
      <w:tr w:rsidR="008D02A0" w:rsidRPr="00D767A0" w:rsidTr="0036184E">
        <w:trPr>
          <w:trHeight w:val="225"/>
        </w:trPr>
        <w:tc>
          <w:tcPr>
            <w:tcW w:w="4252" w:type="dxa"/>
            <w:tcBorders>
              <w:top w:val="dotted" w:sz="8" w:space="0" w:color="auto"/>
              <w:bottom w:val="dotted" w:sz="8" w:space="0" w:color="auto"/>
              <w:right w:val="nil"/>
            </w:tcBorders>
            <w:shd w:val="clear" w:color="auto" w:fill="auto"/>
            <w:noWrap/>
            <w:vAlign w:val="center"/>
          </w:tcPr>
          <w:p w:rsidR="008D02A0" w:rsidRPr="008D02A0" w:rsidRDefault="008D02A0" w:rsidP="008D02A0">
            <w:pPr>
              <w:spacing w:before="0" w:after="0"/>
              <w:ind w:firstLineChars="100" w:firstLine="160"/>
              <w:rPr>
                <w:rFonts w:cs="Arial"/>
                <w:color w:val="000000"/>
                <w:sz w:val="16"/>
                <w:szCs w:val="16"/>
              </w:rPr>
            </w:pPr>
            <w:r w:rsidRPr="008D02A0">
              <w:rPr>
                <w:rFonts w:cs="Arial"/>
                <w:color w:val="000000"/>
                <w:sz w:val="16"/>
                <w:szCs w:val="16"/>
              </w:rPr>
              <w:t>Natural resources development</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318</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423</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312</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886</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405</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766</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388</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941</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769</w:t>
            </w:r>
          </w:p>
        </w:tc>
        <w:tc>
          <w:tcPr>
            <w:tcW w:w="794" w:type="dxa"/>
            <w:tcBorders>
              <w:top w:val="dotted" w:sz="8" w:space="0" w:color="auto"/>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1327</w:t>
            </w:r>
          </w:p>
        </w:tc>
        <w:tc>
          <w:tcPr>
            <w:tcW w:w="794" w:type="dxa"/>
            <w:tcBorders>
              <w:top w:val="dotted" w:sz="8" w:space="0" w:color="auto"/>
              <w:left w:val="nil"/>
              <w:bottom w:val="dotted" w:sz="8" w:space="0" w:color="auto"/>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951</w:t>
            </w:r>
          </w:p>
        </w:tc>
      </w:tr>
      <w:tr w:rsidR="008D02A0" w:rsidRPr="00D767A0" w:rsidTr="0036184E">
        <w:trPr>
          <w:trHeight w:val="225"/>
        </w:trPr>
        <w:tc>
          <w:tcPr>
            <w:tcW w:w="4252" w:type="dxa"/>
            <w:tcBorders>
              <w:top w:val="dotted" w:sz="8" w:space="0" w:color="auto"/>
              <w:right w:val="nil"/>
            </w:tcBorders>
            <w:shd w:val="clear" w:color="auto" w:fill="auto"/>
            <w:noWrap/>
            <w:vAlign w:val="center"/>
          </w:tcPr>
          <w:p w:rsidR="008D02A0" w:rsidRPr="008D02A0" w:rsidRDefault="008D02A0" w:rsidP="008D02A0">
            <w:pPr>
              <w:spacing w:before="0" w:after="0"/>
              <w:ind w:firstLineChars="100" w:firstLine="160"/>
              <w:rPr>
                <w:rFonts w:cs="Arial"/>
                <w:color w:val="000000"/>
                <w:sz w:val="16"/>
                <w:szCs w:val="16"/>
              </w:rPr>
            </w:pPr>
            <w:r w:rsidRPr="008D02A0">
              <w:rPr>
                <w:rFonts w:cs="Arial"/>
                <w:color w:val="000000"/>
                <w:sz w:val="16"/>
                <w:szCs w:val="16"/>
              </w:rPr>
              <w:t>General administration - as published</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164</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181</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173</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194</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532</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516</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587</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546</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606</w:t>
            </w:r>
          </w:p>
        </w:tc>
        <w:tc>
          <w:tcPr>
            <w:tcW w:w="794" w:type="dxa"/>
            <w:tcBorders>
              <w:top w:val="dotted" w:sz="8" w:space="0" w:color="auto"/>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667</w:t>
            </w:r>
          </w:p>
        </w:tc>
        <w:tc>
          <w:tcPr>
            <w:tcW w:w="794" w:type="dxa"/>
            <w:tcBorders>
              <w:top w:val="dotted" w:sz="8" w:space="0" w:color="auto"/>
              <w:lef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635</w:t>
            </w:r>
          </w:p>
        </w:tc>
      </w:tr>
      <w:tr w:rsidR="008D02A0" w:rsidRPr="00D767A0" w:rsidTr="000553AA">
        <w:trPr>
          <w:trHeight w:val="225"/>
        </w:trPr>
        <w:tc>
          <w:tcPr>
            <w:tcW w:w="4252" w:type="dxa"/>
            <w:tcBorders>
              <w:top w:val="nil"/>
              <w:right w:val="nil"/>
            </w:tcBorders>
            <w:shd w:val="clear" w:color="auto" w:fill="auto"/>
            <w:noWrap/>
            <w:vAlign w:val="center"/>
          </w:tcPr>
          <w:p w:rsidR="008D02A0" w:rsidRPr="008D02A0" w:rsidRDefault="008D02A0" w:rsidP="008D02A0">
            <w:pPr>
              <w:spacing w:before="0" w:after="0"/>
              <w:ind w:firstLineChars="200" w:firstLine="320"/>
              <w:rPr>
                <w:rFonts w:cs="Arial"/>
                <w:i/>
                <w:iCs/>
                <w:color w:val="808080"/>
                <w:sz w:val="16"/>
                <w:szCs w:val="16"/>
              </w:rPr>
            </w:pPr>
            <w:r w:rsidRPr="008D02A0">
              <w:rPr>
                <w:rFonts w:cs="Arial"/>
                <w:i/>
                <w:iCs/>
                <w:color w:val="808080"/>
                <w:sz w:val="16"/>
                <w:szCs w:val="16"/>
              </w:rPr>
              <w:t>Accounting change - FBT inclusion</w:t>
            </w: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i/>
                <w:iCs/>
                <w:color w:val="808080"/>
                <w:sz w:val="16"/>
                <w:szCs w:val="16"/>
              </w:rPr>
            </w:pPr>
            <w:r w:rsidRPr="008D02A0">
              <w:rPr>
                <w:rFonts w:cs="Arial"/>
                <w:i/>
                <w:iCs/>
                <w:color w:val="808080"/>
                <w:sz w:val="16"/>
                <w:szCs w:val="16"/>
              </w:rPr>
              <w:t>0</w:t>
            </w: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i/>
                <w:iCs/>
                <w:color w:val="808080"/>
                <w:sz w:val="16"/>
                <w:szCs w:val="16"/>
              </w:rPr>
            </w:pPr>
            <w:r w:rsidRPr="008D02A0">
              <w:rPr>
                <w:rFonts w:cs="Arial"/>
                <w:i/>
                <w:iCs/>
                <w:color w:val="808080"/>
                <w:sz w:val="16"/>
                <w:szCs w:val="16"/>
              </w:rPr>
              <w:t>0</w:t>
            </w: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i/>
                <w:iCs/>
                <w:color w:val="808080"/>
                <w:sz w:val="16"/>
                <w:szCs w:val="16"/>
              </w:rPr>
            </w:pPr>
            <w:r w:rsidRPr="008D02A0">
              <w:rPr>
                <w:rFonts w:cs="Arial"/>
                <w:i/>
                <w:iCs/>
                <w:color w:val="808080"/>
                <w:sz w:val="16"/>
                <w:szCs w:val="16"/>
              </w:rPr>
              <w:t>2</w:t>
            </w: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c>
          <w:tcPr>
            <w:tcW w:w="794" w:type="dxa"/>
            <w:tcBorders>
              <w:top w:val="nil"/>
              <w:lef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p>
        </w:tc>
      </w:tr>
      <w:tr w:rsidR="008D02A0" w:rsidRPr="00D767A0" w:rsidTr="0036184E">
        <w:trPr>
          <w:trHeight w:val="225"/>
        </w:trPr>
        <w:tc>
          <w:tcPr>
            <w:tcW w:w="4252" w:type="dxa"/>
            <w:tcBorders>
              <w:bottom w:val="dotted" w:sz="8" w:space="0" w:color="auto"/>
              <w:right w:val="nil"/>
            </w:tcBorders>
            <w:shd w:val="clear" w:color="auto" w:fill="auto"/>
            <w:noWrap/>
            <w:vAlign w:val="center"/>
          </w:tcPr>
          <w:p w:rsidR="008D02A0" w:rsidRPr="008D02A0" w:rsidRDefault="008D02A0" w:rsidP="008D02A0">
            <w:pPr>
              <w:spacing w:before="0" w:after="0"/>
              <w:ind w:firstLineChars="100" w:firstLine="160"/>
              <w:rPr>
                <w:rFonts w:cs="Arial"/>
                <w:color w:val="000000"/>
                <w:sz w:val="16"/>
                <w:szCs w:val="16"/>
              </w:rPr>
            </w:pPr>
            <w:r w:rsidRPr="008D02A0">
              <w:rPr>
                <w:rFonts w:cs="Arial"/>
                <w:color w:val="000000"/>
                <w:sz w:val="16"/>
                <w:szCs w:val="16"/>
              </w:rPr>
              <w:t>General administration - total</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164</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181</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175</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194</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532</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516</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587</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546</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606</w:t>
            </w:r>
          </w:p>
        </w:tc>
        <w:tc>
          <w:tcPr>
            <w:tcW w:w="794" w:type="dxa"/>
            <w:tcBorders>
              <w:left w:val="nil"/>
              <w:bottom w:val="dotted" w:sz="8" w:space="0" w:color="auto"/>
              <w:right w:val="nil"/>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667</w:t>
            </w:r>
          </w:p>
        </w:tc>
        <w:tc>
          <w:tcPr>
            <w:tcW w:w="794" w:type="dxa"/>
            <w:tcBorders>
              <w:left w:val="nil"/>
              <w:bottom w:val="dotted" w:sz="8" w:space="0" w:color="auto"/>
            </w:tcBorders>
            <w:shd w:val="clear" w:color="auto" w:fill="auto"/>
            <w:noWrap/>
            <w:vAlign w:val="center"/>
          </w:tcPr>
          <w:p w:rsidR="008D02A0" w:rsidRPr="008D02A0" w:rsidRDefault="008D02A0" w:rsidP="008D02A0">
            <w:pPr>
              <w:spacing w:before="0" w:after="0"/>
              <w:jc w:val="right"/>
              <w:rPr>
                <w:rFonts w:cs="Arial"/>
                <w:color w:val="000000"/>
                <w:sz w:val="16"/>
                <w:szCs w:val="16"/>
              </w:rPr>
            </w:pPr>
            <w:r w:rsidRPr="008D02A0">
              <w:rPr>
                <w:rFonts w:cs="Arial"/>
                <w:color w:val="000000"/>
                <w:sz w:val="16"/>
                <w:szCs w:val="16"/>
              </w:rPr>
              <w:t>635</w:t>
            </w:r>
          </w:p>
        </w:tc>
      </w:tr>
      <w:tr w:rsidR="008D02A0" w:rsidRPr="00D767A0" w:rsidTr="0036184E">
        <w:trPr>
          <w:trHeight w:val="225"/>
        </w:trPr>
        <w:tc>
          <w:tcPr>
            <w:tcW w:w="4252" w:type="dxa"/>
            <w:tcBorders>
              <w:top w:val="dotted" w:sz="8" w:space="0" w:color="auto"/>
              <w:bottom w:val="single" w:sz="8" w:space="0" w:color="2B3B5F"/>
              <w:right w:val="nil"/>
            </w:tcBorders>
            <w:shd w:val="clear" w:color="auto" w:fill="auto"/>
            <w:noWrap/>
            <w:vAlign w:val="center"/>
          </w:tcPr>
          <w:p w:rsidR="008D02A0" w:rsidRPr="008D02A0" w:rsidRDefault="008D02A0" w:rsidP="008D02A0">
            <w:pPr>
              <w:spacing w:before="0" w:after="0"/>
              <w:rPr>
                <w:rFonts w:cs="Arial"/>
                <w:b/>
                <w:bCs/>
                <w:color w:val="000000"/>
                <w:sz w:val="16"/>
                <w:szCs w:val="16"/>
              </w:rPr>
            </w:pPr>
            <w:r w:rsidRPr="008D02A0">
              <w:rPr>
                <w:rFonts w:cs="Arial"/>
                <w:b/>
                <w:bCs/>
                <w:color w:val="000000"/>
                <w:sz w:val="16"/>
                <w:szCs w:val="16"/>
              </w:rPr>
              <w:t>Agriculture, forestry and fishing - total</w:t>
            </w:r>
          </w:p>
        </w:tc>
        <w:tc>
          <w:tcPr>
            <w:tcW w:w="794" w:type="dxa"/>
            <w:tcBorders>
              <w:top w:val="dotted" w:sz="8" w:space="0" w:color="auto"/>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1846</w:t>
            </w:r>
          </w:p>
        </w:tc>
        <w:tc>
          <w:tcPr>
            <w:tcW w:w="794" w:type="dxa"/>
            <w:tcBorders>
              <w:top w:val="dotted" w:sz="8" w:space="0" w:color="auto"/>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2039</w:t>
            </w:r>
          </w:p>
        </w:tc>
        <w:tc>
          <w:tcPr>
            <w:tcW w:w="794" w:type="dxa"/>
            <w:tcBorders>
              <w:top w:val="dotted" w:sz="8" w:space="0" w:color="auto"/>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1816</w:t>
            </w:r>
          </w:p>
        </w:tc>
        <w:tc>
          <w:tcPr>
            <w:tcW w:w="794" w:type="dxa"/>
            <w:tcBorders>
              <w:top w:val="dotted" w:sz="8" w:space="0" w:color="auto"/>
              <w:left w:val="nil"/>
              <w:bottom w:val="single" w:sz="8" w:space="0" w:color="2B3B5F"/>
              <w:right w:val="nil"/>
            </w:tcBorders>
            <w:shd w:val="clear" w:color="auto" w:fill="auto"/>
            <w:noWrap/>
            <w:vAlign w:val="center"/>
          </w:tcPr>
          <w:p w:rsidR="008D02A0" w:rsidRPr="008D02A0" w:rsidRDefault="001E2F97" w:rsidP="008D02A0">
            <w:pPr>
              <w:spacing w:before="0" w:after="0"/>
              <w:jc w:val="right"/>
              <w:rPr>
                <w:rFonts w:cs="Arial"/>
                <w:b/>
                <w:bCs/>
                <w:color w:val="000000"/>
                <w:sz w:val="16"/>
                <w:szCs w:val="16"/>
              </w:rPr>
            </w:pPr>
            <w:r>
              <w:rPr>
                <w:rFonts w:cs="Arial"/>
                <w:b/>
                <w:bCs/>
                <w:color w:val="000000"/>
                <w:sz w:val="16"/>
                <w:szCs w:val="16"/>
              </w:rPr>
              <w:t>2780</w:t>
            </w:r>
          </w:p>
        </w:tc>
        <w:tc>
          <w:tcPr>
            <w:tcW w:w="794" w:type="dxa"/>
            <w:tcBorders>
              <w:top w:val="dotted" w:sz="8" w:space="0" w:color="auto"/>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2831</w:t>
            </w:r>
          </w:p>
        </w:tc>
        <w:tc>
          <w:tcPr>
            <w:tcW w:w="794" w:type="dxa"/>
            <w:tcBorders>
              <w:top w:val="dotted" w:sz="8" w:space="0" w:color="auto"/>
              <w:left w:val="nil"/>
              <w:bottom w:val="single" w:sz="8" w:space="0" w:color="2B3B5F"/>
              <w:right w:val="nil"/>
            </w:tcBorders>
            <w:shd w:val="clear" w:color="auto" w:fill="auto"/>
            <w:noWrap/>
            <w:vAlign w:val="center"/>
          </w:tcPr>
          <w:p w:rsidR="008D02A0" w:rsidRPr="008D02A0" w:rsidRDefault="005D4BE7" w:rsidP="008D02A0">
            <w:pPr>
              <w:spacing w:before="0" w:after="0"/>
              <w:jc w:val="right"/>
              <w:rPr>
                <w:rFonts w:cs="Arial"/>
                <w:b/>
                <w:bCs/>
                <w:color w:val="000000"/>
                <w:sz w:val="16"/>
                <w:szCs w:val="16"/>
              </w:rPr>
            </w:pPr>
            <w:r>
              <w:rPr>
                <w:rFonts w:cs="Arial"/>
                <w:b/>
                <w:bCs/>
                <w:color w:val="000000"/>
                <w:sz w:val="16"/>
                <w:szCs w:val="16"/>
              </w:rPr>
              <w:t>3834</w:t>
            </w:r>
          </w:p>
        </w:tc>
        <w:tc>
          <w:tcPr>
            <w:tcW w:w="794" w:type="dxa"/>
            <w:tcBorders>
              <w:top w:val="dotted" w:sz="8" w:space="0" w:color="auto"/>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272</w:t>
            </w:r>
            <w:r w:rsidR="00CE4818">
              <w:rPr>
                <w:rFonts w:cs="Arial"/>
                <w:b/>
                <w:bCs/>
                <w:color w:val="000000"/>
                <w:sz w:val="16"/>
                <w:szCs w:val="16"/>
              </w:rPr>
              <w:t>3</w:t>
            </w:r>
          </w:p>
        </w:tc>
        <w:tc>
          <w:tcPr>
            <w:tcW w:w="794" w:type="dxa"/>
            <w:tcBorders>
              <w:top w:val="dotted" w:sz="8" w:space="0" w:color="auto"/>
              <w:left w:val="nil"/>
              <w:bottom w:val="single" w:sz="8" w:space="0" w:color="2B3B5F"/>
              <w:right w:val="nil"/>
            </w:tcBorders>
            <w:shd w:val="clear" w:color="auto" w:fill="auto"/>
            <w:noWrap/>
            <w:vAlign w:val="center"/>
          </w:tcPr>
          <w:p w:rsidR="008D02A0" w:rsidRPr="008D02A0" w:rsidRDefault="00F02BD0" w:rsidP="008D02A0">
            <w:pPr>
              <w:spacing w:before="0" w:after="0"/>
              <w:jc w:val="right"/>
              <w:rPr>
                <w:rFonts w:cs="Arial"/>
                <w:b/>
                <w:bCs/>
                <w:color w:val="000000"/>
                <w:sz w:val="16"/>
                <w:szCs w:val="16"/>
              </w:rPr>
            </w:pPr>
            <w:r>
              <w:rPr>
                <w:rFonts w:cs="Arial"/>
                <w:b/>
                <w:bCs/>
                <w:color w:val="000000"/>
                <w:sz w:val="16"/>
                <w:szCs w:val="16"/>
              </w:rPr>
              <w:t>2816</w:t>
            </w:r>
          </w:p>
        </w:tc>
        <w:tc>
          <w:tcPr>
            <w:tcW w:w="794" w:type="dxa"/>
            <w:tcBorders>
              <w:top w:val="dotted" w:sz="8" w:space="0" w:color="auto"/>
              <w:left w:val="nil"/>
              <w:bottom w:val="single" w:sz="8" w:space="0" w:color="2B3B5F"/>
              <w:right w:val="nil"/>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2546</w:t>
            </w:r>
          </w:p>
        </w:tc>
        <w:tc>
          <w:tcPr>
            <w:tcW w:w="794" w:type="dxa"/>
            <w:tcBorders>
              <w:top w:val="dotted" w:sz="8" w:space="0" w:color="auto"/>
              <w:left w:val="nil"/>
              <w:bottom w:val="single" w:sz="8" w:space="0" w:color="2B3B5F"/>
              <w:right w:val="nil"/>
            </w:tcBorders>
            <w:shd w:val="clear" w:color="auto" w:fill="auto"/>
            <w:noWrap/>
            <w:vAlign w:val="center"/>
          </w:tcPr>
          <w:p w:rsidR="008D02A0" w:rsidRPr="008D02A0" w:rsidRDefault="007F5BE6" w:rsidP="008D02A0">
            <w:pPr>
              <w:spacing w:before="0" w:after="0"/>
              <w:jc w:val="right"/>
              <w:rPr>
                <w:rFonts w:cs="Arial"/>
                <w:b/>
                <w:bCs/>
                <w:color w:val="000000"/>
                <w:sz w:val="16"/>
                <w:szCs w:val="16"/>
              </w:rPr>
            </w:pPr>
            <w:r>
              <w:rPr>
                <w:rFonts w:cs="Arial"/>
                <w:b/>
                <w:bCs/>
                <w:color w:val="000000"/>
                <w:sz w:val="16"/>
                <w:szCs w:val="16"/>
              </w:rPr>
              <w:t>2953</w:t>
            </w:r>
          </w:p>
        </w:tc>
        <w:tc>
          <w:tcPr>
            <w:tcW w:w="794" w:type="dxa"/>
            <w:tcBorders>
              <w:top w:val="dotted" w:sz="8" w:space="0" w:color="auto"/>
              <w:left w:val="nil"/>
              <w:bottom w:val="single" w:sz="8" w:space="0" w:color="2B3B5F"/>
            </w:tcBorders>
            <w:shd w:val="clear" w:color="auto" w:fill="auto"/>
            <w:noWrap/>
            <w:vAlign w:val="center"/>
          </w:tcPr>
          <w:p w:rsidR="008D02A0" w:rsidRPr="008D02A0" w:rsidRDefault="008D02A0" w:rsidP="008D02A0">
            <w:pPr>
              <w:spacing w:before="0" w:after="0"/>
              <w:jc w:val="right"/>
              <w:rPr>
                <w:rFonts w:cs="Arial"/>
                <w:b/>
                <w:bCs/>
                <w:color w:val="000000"/>
                <w:sz w:val="16"/>
                <w:szCs w:val="16"/>
              </w:rPr>
            </w:pPr>
            <w:r w:rsidRPr="008D02A0">
              <w:rPr>
                <w:rFonts w:cs="Arial"/>
                <w:b/>
                <w:bCs/>
                <w:color w:val="000000"/>
                <w:sz w:val="16"/>
                <w:szCs w:val="16"/>
              </w:rPr>
              <w:t>2407</w:t>
            </w:r>
          </w:p>
        </w:tc>
      </w:tr>
    </w:tbl>
    <w:p w:rsidR="00D33A30" w:rsidRDefault="00D33A30">
      <w:r>
        <w:br w:type="page"/>
      </w:r>
    </w:p>
    <w:tbl>
      <w:tblPr>
        <w:tblpPr w:leftFromText="180" w:rightFromText="180" w:vertAnchor="text" w:tblpX="358" w:tblpY="1"/>
        <w:tblOverlap w:val="never"/>
        <w:tblW w:w="12986" w:type="dxa"/>
        <w:tblLook w:val="04A0" w:firstRow="1" w:lastRow="0" w:firstColumn="1" w:lastColumn="0" w:noHBand="0" w:noVBand="1"/>
      </w:tblPr>
      <w:tblGrid>
        <w:gridCol w:w="4252"/>
        <w:gridCol w:w="794"/>
        <w:gridCol w:w="794"/>
        <w:gridCol w:w="794"/>
        <w:gridCol w:w="794"/>
        <w:gridCol w:w="794"/>
        <w:gridCol w:w="794"/>
        <w:gridCol w:w="794"/>
        <w:gridCol w:w="794"/>
        <w:gridCol w:w="794"/>
        <w:gridCol w:w="794"/>
        <w:gridCol w:w="794"/>
      </w:tblGrid>
      <w:tr w:rsidR="00521AA9" w:rsidRPr="00521AA9" w:rsidTr="0036184E">
        <w:trPr>
          <w:trHeight w:val="225"/>
        </w:trPr>
        <w:tc>
          <w:tcPr>
            <w:tcW w:w="4252" w:type="dxa"/>
            <w:tcBorders>
              <w:top w:val="single" w:sz="8" w:space="0" w:color="2B3B5F"/>
              <w:bottom w:val="dotted" w:sz="8" w:space="0" w:color="auto"/>
              <w:right w:val="nil"/>
            </w:tcBorders>
            <w:shd w:val="clear" w:color="auto" w:fill="95A4C6"/>
            <w:noWrap/>
            <w:vAlign w:val="center"/>
            <w:hideMark/>
          </w:tcPr>
          <w:p w:rsidR="00521AA9" w:rsidRPr="00521AA9" w:rsidRDefault="00521AA9" w:rsidP="00D33A30">
            <w:pPr>
              <w:spacing w:before="0" w:after="0" w:line="240" w:lineRule="auto"/>
              <w:rPr>
                <w:rFonts w:eastAsia="Times New Roman" w:cs="Arial"/>
                <w:color w:val="000000"/>
                <w:sz w:val="16"/>
                <w:szCs w:val="16"/>
              </w:rPr>
            </w:pP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2002-03</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2003-04</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2004-05</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2005-06</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2006-07</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2007-08</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2008-09</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2009-10</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2010-11</w:t>
            </w:r>
          </w:p>
        </w:tc>
        <w:tc>
          <w:tcPr>
            <w:tcW w:w="794" w:type="dxa"/>
            <w:tcBorders>
              <w:top w:val="single" w:sz="8" w:space="0" w:color="2B3B5F"/>
              <w:left w:val="nil"/>
              <w:bottom w:val="dotted" w:sz="8" w:space="0" w:color="auto"/>
              <w:right w:val="nil"/>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2011-12</w:t>
            </w:r>
          </w:p>
        </w:tc>
        <w:tc>
          <w:tcPr>
            <w:tcW w:w="794" w:type="dxa"/>
            <w:tcBorders>
              <w:top w:val="single" w:sz="8" w:space="0" w:color="2B3B5F"/>
              <w:left w:val="nil"/>
              <w:bottom w:val="dotted" w:sz="8" w:space="0" w:color="auto"/>
            </w:tcBorders>
            <w:shd w:val="clear" w:color="auto" w:fill="95A4C6"/>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2012-13</w:t>
            </w:r>
          </w:p>
        </w:tc>
      </w:tr>
      <w:tr w:rsidR="00521AA9" w:rsidRPr="00521AA9" w:rsidTr="0036184E">
        <w:trPr>
          <w:trHeight w:val="225"/>
        </w:trPr>
        <w:tc>
          <w:tcPr>
            <w:tcW w:w="4252" w:type="dxa"/>
            <w:tcBorders>
              <w:top w:val="dotted" w:sz="8" w:space="0" w:color="auto"/>
              <w:bottom w:val="dotted" w:sz="8" w:space="0" w:color="auto"/>
              <w:right w:val="nil"/>
            </w:tcBorders>
            <w:shd w:val="clear" w:color="auto" w:fill="auto"/>
            <w:noWrap/>
            <w:vAlign w:val="center"/>
            <w:hideMark/>
          </w:tcPr>
          <w:p w:rsidR="00521AA9" w:rsidRPr="00521AA9" w:rsidRDefault="00521AA9" w:rsidP="00D33A30">
            <w:pPr>
              <w:spacing w:before="0" w:after="0" w:line="240" w:lineRule="auto"/>
              <w:rPr>
                <w:rFonts w:eastAsia="Times New Roman" w:cs="Arial"/>
                <w:b/>
                <w:bCs/>
                <w:color w:val="000000"/>
                <w:sz w:val="16"/>
                <w:szCs w:val="16"/>
              </w:rPr>
            </w:pPr>
            <w:r w:rsidRPr="00521AA9">
              <w:rPr>
                <w:rFonts w:eastAsia="Times New Roman" w:cs="Arial"/>
                <w:b/>
                <w:bCs/>
                <w:color w:val="000000"/>
                <w:sz w:val="16"/>
                <w:szCs w:val="16"/>
              </w:rPr>
              <w:t>Education - as published</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12109</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13398</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14362</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15883</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16898</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18433</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22601</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34889</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32106</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29050</w:t>
            </w:r>
          </w:p>
        </w:tc>
        <w:tc>
          <w:tcPr>
            <w:tcW w:w="794" w:type="dxa"/>
            <w:tcBorders>
              <w:top w:val="dotted" w:sz="8" w:space="0" w:color="auto"/>
              <w:left w:val="nil"/>
              <w:bottom w:val="dotted" w:sz="8" w:space="0" w:color="auto"/>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28468</w:t>
            </w:r>
          </w:p>
        </w:tc>
      </w:tr>
      <w:tr w:rsidR="00521AA9" w:rsidRPr="00521AA9" w:rsidTr="0036184E">
        <w:trPr>
          <w:trHeight w:val="225"/>
        </w:trPr>
        <w:tc>
          <w:tcPr>
            <w:tcW w:w="4252" w:type="dxa"/>
            <w:tcBorders>
              <w:top w:val="dotted" w:sz="8" w:space="0" w:color="auto"/>
              <w:bottom w:val="nil"/>
              <w:right w:val="nil"/>
            </w:tcBorders>
            <w:shd w:val="clear" w:color="auto" w:fill="auto"/>
            <w:noWrap/>
            <w:vAlign w:val="center"/>
            <w:hideMark/>
          </w:tcPr>
          <w:p w:rsidR="00521AA9" w:rsidRPr="00521AA9" w:rsidRDefault="00521AA9" w:rsidP="00D33A30">
            <w:pPr>
              <w:spacing w:before="0" w:after="0" w:line="240" w:lineRule="auto"/>
              <w:ind w:left="113"/>
              <w:rPr>
                <w:rFonts w:eastAsia="Times New Roman" w:cs="Arial"/>
                <w:color w:val="000000"/>
                <w:sz w:val="16"/>
                <w:szCs w:val="16"/>
              </w:rPr>
            </w:pPr>
            <w:r w:rsidRPr="00521AA9">
              <w:rPr>
                <w:rFonts w:eastAsia="Times New Roman" w:cs="Arial"/>
                <w:color w:val="000000"/>
                <w:sz w:val="16"/>
                <w:szCs w:val="16"/>
              </w:rPr>
              <w:t>Higher education - as published</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4017</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4549</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4910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5362</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5839</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6850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7013</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7750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7722</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8533</w:t>
            </w:r>
          </w:p>
        </w:tc>
        <w:tc>
          <w:tcPr>
            <w:tcW w:w="794" w:type="dxa"/>
            <w:tcBorders>
              <w:top w:val="dotted" w:sz="8" w:space="0" w:color="auto"/>
              <w:left w:val="nil"/>
              <w:bottom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8714</w:t>
            </w: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227"/>
              <w:rPr>
                <w:rFonts w:eastAsia="Times New Roman" w:cs="Arial"/>
                <w:i/>
                <w:iCs/>
                <w:color w:val="808080"/>
                <w:sz w:val="16"/>
                <w:szCs w:val="16"/>
              </w:rPr>
            </w:pPr>
            <w:r w:rsidRPr="00521AA9">
              <w:rPr>
                <w:rFonts w:eastAsia="Times New Roman" w:cs="Arial"/>
                <w:i/>
                <w:iCs/>
                <w:color w:val="808080"/>
                <w:sz w:val="16"/>
                <w:szCs w:val="16"/>
              </w:rPr>
              <w:t xml:space="preserve">Accounting change </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Concessional loans</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443</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545</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 xml:space="preserve">Education grants - multijurisdictional </w:t>
            </w:r>
            <w:proofErr w:type="spellStart"/>
            <w:r w:rsidRPr="00521AA9">
              <w:rPr>
                <w:rFonts w:eastAsia="Times New Roman" w:cs="Arial"/>
                <w:i/>
                <w:iCs/>
                <w:color w:val="808080"/>
                <w:sz w:val="16"/>
                <w:szCs w:val="16"/>
              </w:rPr>
              <w:t>adj</w:t>
            </w:r>
            <w:proofErr w:type="spellEnd"/>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45</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-106</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-572</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-216</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-299</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 xml:space="preserve">Education grants - non-profit </w:t>
            </w:r>
            <w:proofErr w:type="spellStart"/>
            <w:r w:rsidRPr="00521AA9">
              <w:rPr>
                <w:rFonts w:eastAsia="Times New Roman" w:cs="Arial"/>
                <w:i/>
                <w:iCs/>
                <w:color w:val="808080"/>
                <w:sz w:val="16"/>
                <w:szCs w:val="16"/>
              </w:rPr>
              <w:t>adj</w:t>
            </w:r>
            <w:proofErr w:type="spellEnd"/>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-3</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-21</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 xml:space="preserve">Education grants - trade training </w:t>
            </w:r>
            <w:proofErr w:type="spellStart"/>
            <w:r w:rsidRPr="00521AA9">
              <w:rPr>
                <w:rFonts w:eastAsia="Times New Roman" w:cs="Arial"/>
                <w:i/>
                <w:iCs/>
                <w:color w:val="808080"/>
                <w:sz w:val="16"/>
                <w:szCs w:val="16"/>
              </w:rPr>
              <w:t>adj</w:t>
            </w:r>
            <w:proofErr w:type="spellEnd"/>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17</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-7</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446</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37</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0</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227"/>
              <w:rPr>
                <w:rFonts w:eastAsia="Times New Roman" w:cs="Arial"/>
                <w:i/>
                <w:iCs/>
                <w:color w:val="808080"/>
                <w:sz w:val="16"/>
                <w:szCs w:val="16"/>
              </w:rPr>
            </w:pPr>
            <w:r w:rsidRPr="00521AA9">
              <w:rPr>
                <w:rFonts w:eastAsia="Times New Roman" w:cs="Arial"/>
                <w:i/>
                <w:iCs/>
                <w:color w:val="808080"/>
                <w:sz w:val="16"/>
                <w:szCs w:val="16"/>
              </w:rPr>
              <w:t>Reclassification</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reversal of concessional loans from higher education sub-function</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-443</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-545</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-528</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-696</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DEEWR departmental expenses to education general admin</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-93</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-83</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-169</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-233</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-266</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-192</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-220</w:t>
            </w: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36184E">
        <w:trPr>
          <w:trHeight w:val="225"/>
        </w:trPr>
        <w:tc>
          <w:tcPr>
            <w:tcW w:w="4252" w:type="dxa"/>
            <w:tcBorders>
              <w:top w:val="nil"/>
              <w:bottom w:val="dotted" w:sz="8" w:space="0" w:color="auto"/>
              <w:right w:val="nil"/>
            </w:tcBorders>
            <w:shd w:val="clear" w:color="auto" w:fill="auto"/>
            <w:noWrap/>
            <w:vAlign w:val="center"/>
            <w:hideMark/>
          </w:tcPr>
          <w:p w:rsidR="00521AA9" w:rsidRPr="00521AA9" w:rsidRDefault="00521AA9" w:rsidP="00D33A30">
            <w:pPr>
              <w:spacing w:before="0" w:after="0" w:line="240" w:lineRule="auto"/>
              <w:ind w:left="113"/>
              <w:rPr>
                <w:rFonts w:eastAsia="Times New Roman" w:cs="Arial"/>
                <w:color w:val="000000"/>
                <w:sz w:val="16"/>
                <w:szCs w:val="16"/>
              </w:rPr>
            </w:pPr>
            <w:r w:rsidRPr="00521AA9">
              <w:rPr>
                <w:rFonts w:eastAsia="Times New Roman" w:cs="Arial"/>
                <w:color w:val="000000"/>
                <w:sz w:val="16"/>
                <w:szCs w:val="16"/>
              </w:rPr>
              <w:t>Higher education -total</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3988</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4352</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4613</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4949</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5252</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6130</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6097</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7750</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7722</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8533</w:t>
            </w:r>
          </w:p>
        </w:tc>
        <w:tc>
          <w:tcPr>
            <w:tcW w:w="794" w:type="dxa"/>
            <w:tcBorders>
              <w:top w:val="nil"/>
              <w:left w:val="nil"/>
              <w:bottom w:val="dotted" w:sz="8" w:space="0" w:color="auto"/>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8714</w:t>
            </w:r>
          </w:p>
        </w:tc>
      </w:tr>
      <w:tr w:rsidR="00521AA9" w:rsidRPr="00521AA9" w:rsidTr="0036184E">
        <w:trPr>
          <w:trHeight w:val="225"/>
        </w:trPr>
        <w:tc>
          <w:tcPr>
            <w:tcW w:w="4252" w:type="dxa"/>
            <w:tcBorders>
              <w:top w:val="dotted" w:sz="8" w:space="0" w:color="auto"/>
              <w:bottom w:val="dotted" w:sz="8" w:space="0" w:color="auto"/>
              <w:right w:val="nil"/>
            </w:tcBorders>
            <w:shd w:val="clear" w:color="auto" w:fill="auto"/>
            <w:noWrap/>
            <w:vAlign w:val="center"/>
            <w:hideMark/>
          </w:tcPr>
          <w:p w:rsidR="00521AA9" w:rsidRPr="00521AA9" w:rsidRDefault="00521AA9" w:rsidP="00D33A30">
            <w:pPr>
              <w:spacing w:before="0" w:after="0" w:line="240" w:lineRule="auto"/>
              <w:ind w:left="113"/>
              <w:rPr>
                <w:rFonts w:eastAsia="Times New Roman" w:cs="Arial"/>
                <w:color w:val="000000"/>
                <w:sz w:val="16"/>
                <w:szCs w:val="16"/>
              </w:rPr>
            </w:pPr>
            <w:r w:rsidRPr="00521AA9">
              <w:rPr>
                <w:rFonts w:eastAsia="Times New Roman" w:cs="Arial"/>
                <w:color w:val="000000"/>
                <w:sz w:val="16"/>
                <w:szCs w:val="16"/>
              </w:rPr>
              <w:t>Vocational and other education</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1323</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1332</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1444</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1617</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1592</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1554</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1881</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2017</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1887</w:t>
            </w:r>
          </w:p>
        </w:tc>
        <w:tc>
          <w:tcPr>
            <w:tcW w:w="794" w:type="dxa"/>
            <w:tcBorders>
              <w:top w:val="dotted" w:sz="8" w:space="0" w:color="auto"/>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1998</w:t>
            </w:r>
          </w:p>
        </w:tc>
        <w:tc>
          <w:tcPr>
            <w:tcW w:w="794" w:type="dxa"/>
            <w:tcBorders>
              <w:top w:val="dotted" w:sz="8" w:space="0" w:color="auto"/>
              <w:left w:val="nil"/>
              <w:bottom w:val="dotted" w:sz="8" w:space="0" w:color="auto"/>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1887</w:t>
            </w:r>
          </w:p>
        </w:tc>
      </w:tr>
      <w:tr w:rsidR="00521AA9" w:rsidRPr="00521AA9" w:rsidTr="0036184E">
        <w:trPr>
          <w:trHeight w:val="225"/>
        </w:trPr>
        <w:tc>
          <w:tcPr>
            <w:tcW w:w="4252" w:type="dxa"/>
            <w:tcBorders>
              <w:top w:val="dotted" w:sz="8" w:space="0" w:color="auto"/>
              <w:bottom w:val="nil"/>
              <w:right w:val="nil"/>
            </w:tcBorders>
            <w:shd w:val="clear" w:color="auto" w:fill="auto"/>
            <w:noWrap/>
            <w:vAlign w:val="center"/>
            <w:hideMark/>
          </w:tcPr>
          <w:p w:rsidR="00521AA9" w:rsidRPr="00521AA9" w:rsidRDefault="00521AA9" w:rsidP="00D33A30">
            <w:pPr>
              <w:spacing w:before="0" w:after="0" w:line="240" w:lineRule="auto"/>
              <w:ind w:left="113"/>
              <w:rPr>
                <w:rFonts w:eastAsia="Times New Roman" w:cs="Arial"/>
                <w:i/>
                <w:iCs/>
                <w:color w:val="000000"/>
                <w:sz w:val="16"/>
                <w:szCs w:val="16"/>
              </w:rPr>
            </w:pPr>
            <w:r w:rsidRPr="00521AA9">
              <w:rPr>
                <w:rFonts w:eastAsia="Times New Roman" w:cs="Arial"/>
                <w:i/>
                <w:iCs/>
                <w:color w:val="000000"/>
                <w:sz w:val="16"/>
                <w:szCs w:val="16"/>
              </w:rPr>
              <w:t>Schools -  as published</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6013</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6735</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7393</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8324</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8870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9163</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11416</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19550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11188</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12243</w:t>
            </w:r>
          </w:p>
        </w:tc>
        <w:tc>
          <w:tcPr>
            <w:tcW w:w="794" w:type="dxa"/>
            <w:tcBorders>
              <w:top w:val="dotted" w:sz="8" w:space="0" w:color="auto"/>
              <w:left w:val="nil"/>
              <w:bottom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12442</w:t>
            </w: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170"/>
              <w:rPr>
                <w:rFonts w:eastAsia="Times New Roman" w:cs="Arial"/>
                <w:color w:val="000000"/>
                <w:sz w:val="16"/>
                <w:szCs w:val="16"/>
              </w:rPr>
            </w:pPr>
            <w:r w:rsidRPr="00521AA9">
              <w:rPr>
                <w:rFonts w:eastAsia="Times New Roman" w:cs="Arial"/>
                <w:color w:val="000000"/>
                <w:sz w:val="16"/>
                <w:szCs w:val="16"/>
              </w:rPr>
              <w:t>Non-government schools - as published</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3869</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4452</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4990</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5414</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5743</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6085</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7210</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9575</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7261</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7737</w:t>
            </w:r>
          </w:p>
        </w:tc>
        <w:tc>
          <w:tcPr>
            <w:tcW w:w="794" w:type="dxa"/>
            <w:tcBorders>
              <w:top w:val="nil"/>
              <w:left w:val="nil"/>
              <w:bottom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8116</w:t>
            </w: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227"/>
              <w:rPr>
                <w:rFonts w:eastAsia="Times New Roman" w:cs="Arial"/>
                <w:i/>
                <w:iCs/>
                <w:color w:val="808080"/>
                <w:sz w:val="16"/>
                <w:szCs w:val="16"/>
              </w:rPr>
            </w:pPr>
            <w:r w:rsidRPr="00521AA9">
              <w:rPr>
                <w:rFonts w:eastAsia="Times New Roman" w:cs="Arial"/>
                <w:i/>
                <w:iCs/>
                <w:color w:val="808080"/>
                <w:sz w:val="16"/>
                <w:szCs w:val="16"/>
              </w:rPr>
              <w:t xml:space="preserve">Accounting change </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Education grants</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-35</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-211</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-276</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-97</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-66</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227"/>
              <w:rPr>
                <w:rFonts w:eastAsia="Times New Roman" w:cs="Arial"/>
                <w:i/>
                <w:iCs/>
                <w:color w:val="808080"/>
                <w:sz w:val="16"/>
                <w:szCs w:val="16"/>
              </w:rPr>
            </w:pPr>
            <w:r w:rsidRPr="00521AA9">
              <w:rPr>
                <w:rFonts w:eastAsia="Times New Roman" w:cs="Arial"/>
                <w:i/>
                <w:iCs/>
                <w:color w:val="808080"/>
                <w:sz w:val="16"/>
                <w:szCs w:val="16"/>
              </w:rPr>
              <w:t>Reclassification</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DEEWR departmental expenses to  education general admin</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-57</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-63</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-67</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-61</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-81</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-129</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-103</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170"/>
              <w:rPr>
                <w:rFonts w:eastAsia="Times New Roman" w:cs="Arial"/>
                <w:color w:val="000000"/>
                <w:sz w:val="16"/>
                <w:szCs w:val="16"/>
              </w:rPr>
            </w:pPr>
            <w:r w:rsidRPr="00521AA9">
              <w:rPr>
                <w:rFonts w:eastAsia="Times New Roman" w:cs="Arial"/>
                <w:color w:val="000000"/>
                <w:sz w:val="16"/>
                <w:szCs w:val="16"/>
              </w:rPr>
              <w:t>Non-government schools - total</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3777</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4178</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4647</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5256</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5596</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5956</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7107</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9575</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7261</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7737</w:t>
            </w:r>
          </w:p>
        </w:tc>
        <w:tc>
          <w:tcPr>
            <w:tcW w:w="794" w:type="dxa"/>
            <w:tcBorders>
              <w:top w:val="nil"/>
              <w:left w:val="nil"/>
              <w:bottom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8116</w:t>
            </w: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170"/>
              <w:rPr>
                <w:rFonts w:eastAsia="Times New Roman" w:cs="Arial"/>
                <w:color w:val="000000"/>
                <w:sz w:val="16"/>
                <w:szCs w:val="16"/>
              </w:rPr>
            </w:pPr>
            <w:r w:rsidRPr="00521AA9">
              <w:rPr>
                <w:rFonts w:eastAsia="Times New Roman" w:cs="Arial"/>
                <w:color w:val="000000"/>
                <w:sz w:val="16"/>
                <w:szCs w:val="16"/>
              </w:rPr>
              <w:t>Government schools - as published</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2143</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2284</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2404</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2910</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3127</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3078</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4206</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9974</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3926</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4505</w:t>
            </w:r>
          </w:p>
        </w:tc>
        <w:tc>
          <w:tcPr>
            <w:tcW w:w="794" w:type="dxa"/>
            <w:tcBorders>
              <w:top w:val="nil"/>
              <w:left w:val="nil"/>
              <w:bottom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4326</w:t>
            </w: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227"/>
              <w:rPr>
                <w:rFonts w:eastAsia="Times New Roman" w:cs="Arial"/>
                <w:i/>
                <w:iCs/>
                <w:color w:val="808080"/>
                <w:sz w:val="16"/>
                <w:szCs w:val="16"/>
              </w:rPr>
            </w:pPr>
            <w:r w:rsidRPr="00521AA9">
              <w:rPr>
                <w:rFonts w:eastAsia="Times New Roman" w:cs="Arial"/>
                <w:i/>
                <w:iCs/>
                <w:color w:val="808080"/>
                <w:sz w:val="16"/>
                <w:szCs w:val="16"/>
              </w:rPr>
              <w:t xml:space="preserve">Accounting change </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Education grants</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-77</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-97</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-426</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-343</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-80</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227"/>
              <w:rPr>
                <w:rFonts w:eastAsia="Times New Roman" w:cs="Arial"/>
                <w:i/>
                <w:iCs/>
                <w:color w:val="808080"/>
                <w:sz w:val="16"/>
                <w:szCs w:val="16"/>
              </w:rPr>
            </w:pPr>
            <w:r w:rsidRPr="00521AA9">
              <w:rPr>
                <w:rFonts w:eastAsia="Times New Roman" w:cs="Arial"/>
                <w:i/>
                <w:iCs/>
                <w:color w:val="808080"/>
                <w:sz w:val="16"/>
                <w:szCs w:val="16"/>
              </w:rPr>
              <w:t>Reclassification</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DEEWR departmental expenses to education general admin</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-31</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-32</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-28</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-29</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-43</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-65</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-60</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right w:val="nil"/>
            </w:tcBorders>
            <w:shd w:val="clear" w:color="auto" w:fill="auto"/>
            <w:noWrap/>
            <w:vAlign w:val="center"/>
            <w:hideMark/>
          </w:tcPr>
          <w:p w:rsidR="00521AA9" w:rsidRPr="00521AA9" w:rsidRDefault="00521AA9" w:rsidP="00D33A30">
            <w:pPr>
              <w:spacing w:before="0" w:after="0" w:line="240" w:lineRule="auto"/>
              <w:ind w:left="170"/>
              <w:rPr>
                <w:rFonts w:eastAsia="Times New Roman" w:cs="Arial"/>
                <w:color w:val="000000"/>
                <w:sz w:val="16"/>
                <w:szCs w:val="16"/>
              </w:rPr>
            </w:pPr>
            <w:r w:rsidRPr="00521AA9">
              <w:rPr>
                <w:rFonts w:eastAsia="Times New Roman" w:cs="Arial"/>
                <w:color w:val="000000"/>
                <w:sz w:val="16"/>
                <w:szCs w:val="16"/>
              </w:rPr>
              <w:t>Government schools</w:t>
            </w:r>
            <w:r w:rsidR="003E681A">
              <w:rPr>
                <w:rFonts w:eastAsia="Times New Roman" w:cs="Arial"/>
                <w:color w:val="000000"/>
                <w:sz w:val="16"/>
                <w:szCs w:val="16"/>
              </w:rPr>
              <w:t xml:space="preserve"> - total</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2035</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2155</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1950</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2538</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3004</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3013</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4146</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9974</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3926</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4505</w:t>
            </w:r>
          </w:p>
        </w:tc>
        <w:tc>
          <w:tcPr>
            <w:tcW w:w="794" w:type="dxa"/>
            <w:tcBorders>
              <w:top w:val="nil"/>
              <w:lef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4326</w:t>
            </w:r>
          </w:p>
        </w:tc>
      </w:tr>
      <w:tr w:rsidR="00521AA9" w:rsidRPr="00521AA9" w:rsidTr="0036184E">
        <w:trPr>
          <w:trHeight w:val="225"/>
        </w:trPr>
        <w:tc>
          <w:tcPr>
            <w:tcW w:w="4252" w:type="dxa"/>
            <w:tcBorders>
              <w:top w:val="nil"/>
              <w:bottom w:val="dotted" w:sz="8" w:space="0" w:color="auto"/>
              <w:right w:val="nil"/>
            </w:tcBorders>
            <w:shd w:val="clear" w:color="auto" w:fill="auto"/>
            <w:noWrap/>
            <w:vAlign w:val="center"/>
            <w:hideMark/>
          </w:tcPr>
          <w:p w:rsidR="00521AA9" w:rsidRPr="00521AA9" w:rsidRDefault="00521AA9" w:rsidP="00D33A30">
            <w:pPr>
              <w:spacing w:before="0" w:after="0" w:line="240" w:lineRule="auto"/>
              <w:ind w:left="113"/>
              <w:rPr>
                <w:rFonts w:eastAsia="Times New Roman" w:cs="Arial"/>
                <w:color w:val="000000"/>
                <w:sz w:val="16"/>
                <w:szCs w:val="16"/>
              </w:rPr>
            </w:pPr>
            <w:r w:rsidRPr="00521AA9">
              <w:rPr>
                <w:rFonts w:eastAsia="Times New Roman" w:cs="Arial"/>
                <w:color w:val="000000"/>
                <w:sz w:val="16"/>
                <w:szCs w:val="16"/>
              </w:rPr>
              <w:t>Schools - total</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5812</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6332</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6596</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7793</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8600</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8968</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11253</w:t>
            </w:r>
          </w:p>
        </w:tc>
        <w:tc>
          <w:tcPr>
            <w:tcW w:w="794" w:type="dxa"/>
            <w:tcBorders>
              <w:top w:val="nil"/>
              <w:left w:val="nil"/>
              <w:bottom w:val="dotted" w:sz="8" w:space="0" w:color="auto"/>
              <w:right w:val="nil"/>
            </w:tcBorders>
            <w:shd w:val="clear" w:color="auto" w:fill="auto"/>
            <w:noWrap/>
            <w:vAlign w:val="center"/>
            <w:hideMark/>
          </w:tcPr>
          <w:p w:rsidR="00521AA9" w:rsidRPr="00521AA9" w:rsidRDefault="009917AC" w:rsidP="00921AC5">
            <w:pPr>
              <w:spacing w:before="0" w:after="0" w:line="240" w:lineRule="auto"/>
              <w:jc w:val="right"/>
              <w:rPr>
                <w:rFonts w:eastAsia="Times New Roman" w:cs="Arial"/>
                <w:color w:val="000000"/>
                <w:sz w:val="16"/>
                <w:szCs w:val="16"/>
              </w:rPr>
            </w:pPr>
            <w:r>
              <w:rPr>
                <w:rFonts w:eastAsia="Times New Roman" w:cs="Arial"/>
                <w:color w:val="000000"/>
                <w:sz w:val="16"/>
                <w:szCs w:val="16"/>
              </w:rPr>
              <w:t>19550</w:t>
            </w:r>
          </w:p>
        </w:tc>
        <w:tc>
          <w:tcPr>
            <w:tcW w:w="794" w:type="dxa"/>
            <w:tcBorders>
              <w:top w:val="nil"/>
              <w:left w:val="nil"/>
              <w:bottom w:val="dotted" w:sz="8" w:space="0" w:color="auto"/>
              <w:right w:val="nil"/>
            </w:tcBorders>
            <w:shd w:val="clear" w:color="auto" w:fill="auto"/>
            <w:noWrap/>
            <w:vAlign w:val="center"/>
            <w:hideMark/>
          </w:tcPr>
          <w:p w:rsidR="00521AA9" w:rsidRPr="00521AA9" w:rsidRDefault="00410F3B" w:rsidP="00921AC5">
            <w:pPr>
              <w:spacing w:before="0" w:after="0" w:line="240" w:lineRule="auto"/>
              <w:jc w:val="right"/>
              <w:rPr>
                <w:rFonts w:eastAsia="Times New Roman" w:cs="Arial"/>
                <w:color w:val="000000"/>
                <w:sz w:val="16"/>
                <w:szCs w:val="16"/>
              </w:rPr>
            </w:pPr>
            <w:r>
              <w:rPr>
                <w:rFonts w:eastAsia="Times New Roman" w:cs="Arial"/>
                <w:color w:val="000000"/>
                <w:sz w:val="16"/>
                <w:szCs w:val="16"/>
              </w:rPr>
              <w:t>11188</w:t>
            </w:r>
          </w:p>
        </w:tc>
        <w:tc>
          <w:tcPr>
            <w:tcW w:w="794" w:type="dxa"/>
            <w:tcBorders>
              <w:top w:val="nil"/>
              <w:left w:val="nil"/>
              <w:bottom w:val="dotted" w:sz="8" w:space="0" w:color="auto"/>
              <w:right w:val="nil"/>
            </w:tcBorders>
            <w:shd w:val="clear" w:color="auto" w:fill="auto"/>
            <w:noWrap/>
            <w:vAlign w:val="center"/>
            <w:hideMark/>
          </w:tcPr>
          <w:p w:rsidR="00521AA9" w:rsidRPr="00521AA9" w:rsidRDefault="00FC2B19" w:rsidP="00921AC5">
            <w:pPr>
              <w:spacing w:before="0" w:after="0" w:line="240" w:lineRule="auto"/>
              <w:jc w:val="right"/>
              <w:rPr>
                <w:rFonts w:eastAsia="Times New Roman" w:cs="Arial"/>
                <w:color w:val="000000"/>
                <w:sz w:val="16"/>
                <w:szCs w:val="16"/>
              </w:rPr>
            </w:pPr>
            <w:r>
              <w:rPr>
                <w:rFonts w:eastAsia="Times New Roman" w:cs="Arial"/>
                <w:color w:val="000000"/>
                <w:sz w:val="16"/>
                <w:szCs w:val="16"/>
              </w:rPr>
              <w:t>12243</w:t>
            </w:r>
          </w:p>
        </w:tc>
        <w:tc>
          <w:tcPr>
            <w:tcW w:w="794" w:type="dxa"/>
            <w:tcBorders>
              <w:top w:val="nil"/>
              <w:left w:val="nil"/>
              <w:bottom w:val="dotted" w:sz="8" w:space="0" w:color="auto"/>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12442</w:t>
            </w:r>
          </w:p>
        </w:tc>
      </w:tr>
      <w:tr w:rsidR="00521AA9" w:rsidRPr="00521AA9" w:rsidTr="0036184E">
        <w:trPr>
          <w:trHeight w:val="225"/>
        </w:trPr>
        <w:tc>
          <w:tcPr>
            <w:tcW w:w="4252" w:type="dxa"/>
            <w:tcBorders>
              <w:top w:val="dotted" w:sz="8" w:space="0" w:color="auto"/>
              <w:bottom w:val="nil"/>
              <w:right w:val="nil"/>
            </w:tcBorders>
            <w:shd w:val="clear" w:color="auto" w:fill="auto"/>
            <w:noWrap/>
            <w:vAlign w:val="center"/>
            <w:hideMark/>
          </w:tcPr>
          <w:p w:rsidR="00521AA9" w:rsidRPr="00521AA9" w:rsidRDefault="00521AA9" w:rsidP="00D33A30">
            <w:pPr>
              <w:spacing w:before="0" w:after="0" w:line="240" w:lineRule="auto"/>
              <w:ind w:left="113"/>
              <w:rPr>
                <w:rFonts w:eastAsia="Times New Roman" w:cs="Arial"/>
                <w:color w:val="000000"/>
                <w:sz w:val="16"/>
                <w:szCs w:val="16"/>
              </w:rPr>
            </w:pPr>
            <w:r w:rsidRPr="00521AA9">
              <w:rPr>
                <w:rFonts w:eastAsia="Times New Roman" w:cs="Arial"/>
                <w:color w:val="000000"/>
                <w:sz w:val="16"/>
                <w:szCs w:val="16"/>
              </w:rPr>
              <w:t>Student assistance - as published</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641</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650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509</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467</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456</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472</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1532</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3954</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4567</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4110</w:t>
            </w:r>
          </w:p>
        </w:tc>
        <w:tc>
          <w:tcPr>
            <w:tcW w:w="794" w:type="dxa"/>
            <w:tcBorders>
              <w:top w:val="dotted" w:sz="8" w:space="0" w:color="auto"/>
              <w:left w:val="nil"/>
              <w:bottom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3597</w:t>
            </w: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227"/>
              <w:rPr>
                <w:rFonts w:eastAsia="Times New Roman" w:cs="Arial"/>
                <w:i/>
                <w:iCs/>
                <w:color w:val="808080"/>
                <w:sz w:val="16"/>
                <w:szCs w:val="16"/>
              </w:rPr>
            </w:pPr>
            <w:r w:rsidRPr="00521AA9">
              <w:rPr>
                <w:rFonts w:eastAsia="Times New Roman" w:cs="Arial"/>
                <w:i/>
                <w:iCs/>
                <w:color w:val="808080"/>
                <w:sz w:val="16"/>
                <w:szCs w:val="16"/>
              </w:rPr>
              <w:t>Reclassification</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Concessional loans</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443</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545</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528</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696</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right w:val="nil"/>
            </w:tcBorders>
            <w:shd w:val="clear" w:color="auto" w:fill="auto"/>
            <w:noWrap/>
            <w:vAlign w:val="center"/>
            <w:hideMark/>
          </w:tcPr>
          <w:p w:rsidR="00521AA9" w:rsidRPr="00521AA9" w:rsidRDefault="00577E17" w:rsidP="00D33A30">
            <w:pPr>
              <w:spacing w:before="0" w:after="0" w:line="240" w:lineRule="auto"/>
              <w:ind w:left="340"/>
              <w:rPr>
                <w:rFonts w:eastAsia="Times New Roman" w:cs="Arial"/>
                <w:i/>
                <w:iCs/>
                <w:color w:val="808080"/>
                <w:sz w:val="16"/>
                <w:szCs w:val="16"/>
              </w:rPr>
            </w:pPr>
            <w:r>
              <w:rPr>
                <w:rFonts w:eastAsia="Times New Roman" w:cs="Arial"/>
                <w:i/>
                <w:iCs/>
                <w:color w:val="808080"/>
                <w:sz w:val="16"/>
                <w:szCs w:val="16"/>
              </w:rPr>
              <w:t>C</w:t>
            </w:r>
            <w:r w:rsidR="00521AA9" w:rsidRPr="00521AA9">
              <w:rPr>
                <w:rFonts w:eastAsia="Times New Roman" w:cs="Arial"/>
                <w:i/>
                <w:iCs/>
                <w:color w:val="808080"/>
                <w:sz w:val="16"/>
                <w:szCs w:val="16"/>
              </w:rPr>
              <w:t xml:space="preserve">ommon youth allowance </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1737</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1777</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1710</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1566</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1592</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1584</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1953</w:t>
            </w: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36184E">
        <w:trPr>
          <w:trHeight w:val="225"/>
        </w:trPr>
        <w:tc>
          <w:tcPr>
            <w:tcW w:w="4252" w:type="dxa"/>
            <w:tcBorders>
              <w:top w:val="nil"/>
              <w:bottom w:val="dotted" w:sz="8" w:space="0" w:color="auto"/>
              <w:right w:val="nil"/>
            </w:tcBorders>
            <w:shd w:val="clear" w:color="auto" w:fill="auto"/>
            <w:noWrap/>
            <w:vAlign w:val="center"/>
            <w:hideMark/>
          </w:tcPr>
          <w:p w:rsidR="00521AA9" w:rsidRPr="00521AA9" w:rsidRDefault="00521AA9" w:rsidP="00D33A30">
            <w:pPr>
              <w:spacing w:before="0" w:after="0" w:line="240" w:lineRule="auto"/>
              <w:ind w:left="113"/>
              <w:rPr>
                <w:rFonts w:eastAsia="Times New Roman" w:cs="Arial"/>
                <w:color w:val="000000"/>
                <w:sz w:val="16"/>
                <w:szCs w:val="16"/>
              </w:rPr>
            </w:pPr>
            <w:r w:rsidRPr="00521AA9">
              <w:rPr>
                <w:rFonts w:eastAsia="Times New Roman" w:cs="Arial"/>
                <w:color w:val="000000"/>
                <w:sz w:val="16"/>
                <w:szCs w:val="16"/>
              </w:rPr>
              <w:t>Student assistance - total</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2378</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2427</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2219</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2476</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2593</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2584</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4181</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3954</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4567</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4110</w:t>
            </w:r>
          </w:p>
        </w:tc>
        <w:tc>
          <w:tcPr>
            <w:tcW w:w="794" w:type="dxa"/>
            <w:tcBorders>
              <w:top w:val="nil"/>
              <w:left w:val="nil"/>
              <w:bottom w:val="dotted" w:sz="8" w:space="0" w:color="auto"/>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3597</w:t>
            </w:r>
          </w:p>
        </w:tc>
      </w:tr>
    </w:tbl>
    <w:p w:rsidR="00CB2B0E" w:rsidRDefault="00CB2B0E">
      <w:r>
        <w:br w:type="page"/>
      </w:r>
    </w:p>
    <w:tbl>
      <w:tblPr>
        <w:tblpPr w:leftFromText="180" w:rightFromText="180" w:vertAnchor="text" w:tblpX="358" w:tblpY="1"/>
        <w:tblOverlap w:val="never"/>
        <w:tblW w:w="12986" w:type="dxa"/>
        <w:tblLook w:val="04A0" w:firstRow="1" w:lastRow="0" w:firstColumn="1" w:lastColumn="0" w:noHBand="0" w:noVBand="1"/>
      </w:tblPr>
      <w:tblGrid>
        <w:gridCol w:w="4252"/>
        <w:gridCol w:w="794"/>
        <w:gridCol w:w="794"/>
        <w:gridCol w:w="794"/>
        <w:gridCol w:w="794"/>
        <w:gridCol w:w="794"/>
        <w:gridCol w:w="794"/>
        <w:gridCol w:w="794"/>
        <w:gridCol w:w="794"/>
        <w:gridCol w:w="794"/>
        <w:gridCol w:w="794"/>
        <w:gridCol w:w="794"/>
      </w:tblGrid>
      <w:tr w:rsidR="00CB2B0E" w:rsidRPr="00521AA9" w:rsidTr="0036184E">
        <w:trPr>
          <w:trHeight w:val="225"/>
        </w:trPr>
        <w:tc>
          <w:tcPr>
            <w:tcW w:w="4252" w:type="dxa"/>
            <w:tcBorders>
              <w:top w:val="single" w:sz="8" w:space="0" w:color="2B3B5F"/>
              <w:bottom w:val="dotted" w:sz="8" w:space="0" w:color="auto"/>
              <w:right w:val="nil"/>
            </w:tcBorders>
            <w:shd w:val="clear" w:color="auto" w:fill="95A4C6"/>
            <w:noWrap/>
            <w:vAlign w:val="center"/>
          </w:tcPr>
          <w:p w:rsidR="00CB2B0E" w:rsidRPr="000553AA" w:rsidRDefault="003D540A" w:rsidP="003D540A">
            <w:pPr>
              <w:spacing w:before="0" w:after="0" w:line="240" w:lineRule="auto"/>
              <w:rPr>
                <w:rFonts w:eastAsia="Times New Roman" w:cs="Arial"/>
                <w:color w:val="000000"/>
                <w:sz w:val="16"/>
                <w:szCs w:val="16"/>
              </w:rPr>
            </w:pPr>
            <w:r>
              <w:rPr>
                <w:rFonts w:eastAsia="Times New Roman" w:cs="Arial"/>
                <w:bCs/>
                <w:color w:val="000000"/>
                <w:sz w:val="16"/>
                <w:szCs w:val="16"/>
              </w:rPr>
              <w:lastRenderedPageBreak/>
              <w:t xml:space="preserve">Education - </w:t>
            </w:r>
            <w:r w:rsidR="00431FA6" w:rsidRPr="000553AA">
              <w:rPr>
                <w:rFonts w:eastAsia="Times New Roman" w:cs="Arial"/>
                <w:bCs/>
                <w:color w:val="000000"/>
                <w:sz w:val="16"/>
                <w:szCs w:val="16"/>
              </w:rPr>
              <w:t>cont</w:t>
            </w:r>
            <w:r>
              <w:rPr>
                <w:rFonts w:eastAsia="Times New Roman" w:cs="Arial"/>
                <w:bCs/>
                <w:color w:val="000000"/>
                <w:sz w:val="16"/>
                <w:szCs w:val="16"/>
              </w:rPr>
              <w:t>inued</w:t>
            </w:r>
          </w:p>
        </w:tc>
        <w:tc>
          <w:tcPr>
            <w:tcW w:w="794" w:type="dxa"/>
            <w:tcBorders>
              <w:top w:val="single" w:sz="8" w:space="0" w:color="2B3B5F"/>
              <w:left w:val="nil"/>
              <w:bottom w:val="dotted" w:sz="8" w:space="0" w:color="auto"/>
              <w:right w:val="nil"/>
            </w:tcBorders>
            <w:shd w:val="clear" w:color="auto" w:fill="95A4C6"/>
            <w:noWrap/>
            <w:vAlign w:val="center"/>
          </w:tcPr>
          <w:p w:rsidR="00CB2B0E" w:rsidRPr="00521AA9" w:rsidRDefault="00CB2B0E"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2002-03</w:t>
            </w:r>
          </w:p>
        </w:tc>
        <w:tc>
          <w:tcPr>
            <w:tcW w:w="794" w:type="dxa"/>
            <w:tcBorders>
              <w:top w:val="single" w:sz="8" w:space="0" w:color="2B3B5F"/>
              <w:left w:val="nil"/>
              <w:bottom w:val="dotted" w:sz="8" w:space="0" w:color="auto"/>
              <w:right w:val="nil"/>
            </w:tcBorders>
            <w:shd w:val="clear" w:color="auto" w:fill="95A4C6"/>
            <w:noWrap/>
            <w:vAlign w:val="center"/>
          </w:tcPr>
          <w:p w:rsidR="00CB2B0E" w:rsidRPr="00521AA9" w:rsidRDefault="00CB2B0E"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2003-04</w:t>
            </w:r>
          </w:p>
        </w:tc>
        <w:tc>
          <w:tcPr>
            <w:tcW w:w="794" w:type="dxa"/>
            <w:tcBorders>
              <w:top w:val="single" w:sz="8" w:space="0" w:color="2B3B5F"/>
              <w:left w:val="nil"/>
              <w:bottom w:val="dotted" w:sz="8" w:space="0" w:color="auto"/>
              <w:right w:val="nil"/>
            </w:tcBorders>
            <w:shd w:val="clear" w:color="auto" w:fill="95A4C6"/>
            <w:noWrap/>
            <w:vAlign w:val="center"/>
          </w:tcPr>
          <w:p w:rsidR="00CB2B0E" w:rsidRPr="00521AA9" w:rsidRDefault="00CB2B0E"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2004-05</w:t>
            </w:r>
          </w:p>
        </w:tc>
        <w:tc>
          <w:tcPr>
            <w:tcW w:w="794" w:type="dxa"/>
            <w:tcBorders>
              <w:top w:val="single" w:sz="8" w:space="0" w:color="2B3B5F"/>
              <w:left w:val="nil"/>
              <w:bottom w:val="dotted" w:sz="8" w:space="0" w:color="auto"/>
              <w:right w:val="nil"/>
            </w:tcBorders>
            <w:shd w:val="clear" w:color="auto" w:fill="95A4C6"/>
            <w:noWrap/>
            <w:vAlign w:val="center"/>
          </w:tcPr>
          <w:p w:rsidR="00CB2B0E" w:rsidRPr="00521AA9" w:rsidRDefault="00CB2B0E"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2005-06</w:t>
            </w:r>
          </w:p>
        </w:tc>
        <w:tc>
          <w:tcPr>
            <w:tcW w:w="794" w:type="dxa"/>
            <w:tcBorders>
              <w:top w:val="single" w:sz="8" w:space="0" w:color="2B3B5F"/>
              <w:left w:val="nil"/>
              <w:bottom w:val="dotted" w:sz="8" w:space="0" w:color="auto"/>
              <w:right w:val="nil"/>
            </w:tcBorders>
            <w:shd w:val="clear" w:color="auto" w:fill="95A4C6"/>
            <w:noWrap/>
            <w:vAlign w:val="center"/>
          </w:tcPr>
          <w:p w:rsidR="00CB2B0E" w:rsidRPr="00521AA9" w:rsidRDefault="00CB2B0E"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2006-07</w:t>
            </w:r>
          </w:p>
        </w:tc>
        <w:tc>
          <w:tcPr>
            <w:tcW w:w="794" w:type="dxa"/>
            <w:tcBorders>
              <w:top w:val="single" w:sz="8" w:space="0" w:color="2B3B5F"/>
              <w:left w:val="nil"/>
              <w:bottom w:val="dotted" w:sz="8" w:space="0" w:color="auto"/>
              <w:right w:val="nil"/>
            </w:tcBorders>
            <w:shd w:val="clear" w:color="auto" w:fill="95A4C6"/>
            <w:noWrap/>
            <w:vAlign w:val="center"/>
          </w:tcPr>
          <w:p w:rsidR="00CB2B0E" w:rsidRPr="00521AA9" w:rsidRDefault="00CB2B0E"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2007-08</w:t>
            </w:r>
          </w:p>
        </w:tc>
        <w:tc>
          <w:tcPr>
            <w:tcW w:w="794" w:type="dxa"/>
            <w:tcBorders>
              <w:top w:val="single" w:sz="8" w:space="0" w:color="2B3B5F"/>
              <w:left w:val="nil"/>
              <w:bottom w:val="dotted" w:sz="8" w:space="0" w:color="auto"/>
              <w:right w:val="nil"/>
            </w:tcBorders>
            <w:shd w:val="clear" w:color="auto" w:fill="95A4C6"/>
            <w:noWrap/>
            <w:vAlign w:val="center"/>
          </w:tcPr>
          <w:p w:rsidR="00CB2B0E" w:rsidRPr="00521AA9" w:rsidRDefault="00CB2B0E"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2008-09</w:t>
            </w:r>
          </w:p>
        </w:tc>
        <w:tc>
          <w:tcPr>
            <w:tcW w:w="794" w:type="dxa"/>
            <w:tcBorders>
              <w:top w:val="single" w:sz="8" w:space="0" w:color="2B3B5F"/>
              <w:left w:val="nil"/>
              <w:bottom w:val="dotted" w:sz="8" w:space="0" w:color="auto"/>
              <w:right w:val="nil"/>
            </w:tcBorders>
            <w:shd w:val="clear" w:color="auto" w:fill="95A4C6"/>
            <w:noWrap/>
            <w:vAlign w:val="center"/>
          </w:tcPr>
          <w:p w:rsidR="00CB2B0E" w:rsidRPr="00521AA9" w:rsidRDefault="00CB2B0E"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2009-10</w:t>
            </w:r>
          </w:p>
        </w:tc>
        <w:tc>
          <w:tcPr>
            <w:tcW w:w="794" w:type="dxa"/>
            <w:tcBorders>
              <w:top w:val="single" w:sz="8" w:space="0" w:color="2B3B5F"/>
              <w:left w:val="nil"/>
              <w:bottom w:val="dotted" w:sz="8" w:space="0" w:color="auto"/>
              <w:right w:val="nil"/>
            </w:tcBorders>
            <w:shd w:val="clear" w:color="auto" w:fill="95A4C6"/>
            <w:noWrap/>
            <w:vAlign w:val="center"/>
          </w:tcPr>
          <w:p w:rsidR="00CB2B0E" w:rsidRPr="00521AA9" w:rsidRDefault="00CB2B0E"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2010-11</w:t>
            </w:r>
          </w:p>
        </w:tc>
        <w:tc>
          <w:tcPr>
            <w:tcW w:w="794" w:type="dxa"/>
            <w:tcBorders>
              <w:top w:val="single" w:sz="8" w:space="0" w:color="2B3B5F"/>
              <w:left w:val="nil"/>
              <w:bottom w:val="dotted" w:sz="8" w:space="0" w:color="auto"/>
              <w:right w:val="nil"/>
            </w:tcBorders>
            <w:shd w:val="clear" w:color="auto" w:fill="95A4C6"/>
            <w:noWrap/>
            <w:vAlign w:val="center"/>
          </w:tcPr>
          <w:p w:rsidR="00CB2B0E" w:rsidRPr="00521AA9" w:rsidRDefault="00CB2B0E"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2011-12</w:t>
            </w:r>
          </w:p>
        </w:tc>
        <w:tc>
          <w:tcPr>
            <w:tcW w:w="794" w:type="dxa"/>
            <w:tcBorders>
              <w:top w:val="single" w:sz="8" w:space="0" w:color="2B3B5F"/>
              <w:left w:val="nil"/>
              <w:bottom w:val="dotted" w:sz="8" w:space="0" w:color="auto"/>
            </w:tcBorders>
            <w:shd w:val="clear" w:color="auto" w:fill="95A4C6"/>
            <w:noWrap/>
            <w:vAlign w:val="center"/>
          </w:tcPr>
          <w:p w:rsidR="00CB2B0E" w:rsidRPr="00521AA9" w:rsidRDefault="00CB2B0E"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2012-13</w:t>
            </w:r>
          </w:p>
        </w:tc>
      </w:tr>
      <w:tr w:rsidR="00521AA9" w:rsidRPr="00521AA9" w:rsidTr="0036184E">
        <w:trPr>
          <w:trHeight w:val="225"/>
        </w:trPr>
        <w:tc>
          <w:tcPr>
            <w:tcW w:w="4252" w:type="dxa"/>
            <w:tcBorders>
              <w:top w:val="dotted" w:sz="8" w:space="0" w:color="auto"/>
              <w:bottom w:val="nil"/>
              <w:right w:val="nil"/>
            </w:tcBorders>
            <w:shd w:val="clear" w:color="auto" w:fill="auto"/>
            <w:noWrap/>
            <w:vAlign w:val="center"/>
            <w:hideMark/>
          </w:tcPr>
          <w:p w:rsidR="00521AA9" w:rsidRPr="00521AA9" w:rsidRDefault="00521AA9" w:rsidP="00D33A30">
            <w:pPr>
              <w:spacing w:before="0" w:after="0" w:line="240" w:lineRule="auto"/>
              <w:ind w:left="113"/>
              <w:rPr>
                <w:rFonts w:eastAsia="Times New Roman" w:cs="Arial"/>
                <w:color w:val="000000"/>
                <w:sz w:val="16"/>
                <w:szCs w:val="16"/>
              </w:rPr>
            </w:pPr>
            <w:r w:rsidRPr="00521AA9">
              <w:rPr>
                <w:rFonts w:eastAsia="Times New Roman" w:cs="Arial"/>
                <w:color w:val="000000"/>
                <w:sz w:val="16"/>
                <w:szCs w:val="16"/>
              </w:rPr>
              <w:t>General administration - as published</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5</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38</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343</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387</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263</w:t>
            </w:r>
          </w:p>
        </w:tc>
        <w:tc>
          <w:tcPr>
            <w:tcW w:w="794" w:type="dxa"/>
            <w:tcBorders>
              <w:top w:val="dotted" w:sz="8" w:space="0" w:color="auto"/>
              <w:left w:val="nil"/>
              <w:bottom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276</w:t>
            </w: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227"/>
              <w:rPr>
                <w:rFonts w:eastAsia="Times New Roman" w:cs="Arial"/>
                <w:i/>
                <w:iCs/>
                <w:color w:val="808080"/>
                <w:sz w:val="16"/>
                <w:szCs w:val="16"/>
              </w:rPr>
            </w:pPr>
            <w:r w:rsidRPr="00521AA9">
              <w:rPr>
                <w:rFonts w:eastAsia="Times New Roman" w:cs="Arial"/>
                <w:i/>
                <w:iCs/>
                <w:color w:val="808080"/>
                <w:sz w:val="16"/>
                <w:szCs w:val="16"/>
              </w:rPr>
              <w:t xml:space="preserve">Accounting change </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FBT inclusion</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4</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227"/>
              <w:rPr>
                <w:rFonts w:eastAsia="Times New Roman" w:cs="Arial"/>
                <w:i/>
                <w:iCs/>
                <w:color w:val="808080"/>
                <w:sz w:val="16"/>
                <w:szCs w:val="16"/>
              </w:rPr>
            </w:pPr>
            <w:r w:rsidRPr="00521AA9">
              <w:rPr>
                <w:rFonts w:eastAsia="Times New Roman" w:cs="Arial"/>
                <w:i/>
                <w:iCs/>
                <w:color w:val="808080"/>
                <w:sz w:val="16"/>
                <w:szCs w:val="16"/>
              </w:rPr>
              <w:t>Reclassification</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DEEWR departmental expenses from higher education</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88</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95</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95</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91</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124</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195</w:t>
            </w:r>
          </w:p>
        </w:tc>
        <w:tc>
          <w:tcPr>
            <w:tcW w:w="794" w:type="dxa"/>
            <w:tcBorders>
              <w:top w:val="nil"/>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163</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right w:val="nil"/>
            </w:tcBorders>
            <w:shd w:val="clear" w:color="auto" w:fill="auto"/>
            <w:noWrap/>
            <w:vAlign w:val="center"/>
            <w:hideMark/>
          </w:tcPr>
          <w:p w:rsidR="00521AA9" w:rsidRPr="00521AA9" w:rsidRDefault="00521AA9" w:rsidP="00D33A30">
            <w:pPr>
              <w:spacing w:before="0" w:after="0" w:line="240" w:lineRule="auto"/>
              <w:ind w:left="340"/>
              <w:rPr>
                <w:rFonts w:eastAsia="Times New Roman" w:cs="Arial"/>
                <w:i/>
                <w:iCs/>
                <w:color w:val="808080"/>
                <w:sz w:val="16"/>
                <w:szCs w:val="16"/>
              </w:rPr>
            </w:pPr>
            <w:r w:rsidRPr="00521AA9">
              <w:rPr>
                <w:rFonts w:eastAsia="Times New Roman" w:cs="Arial"/>
                <w:i/>
                <w:iCs/>
                <w:color w:val="808080"/>
                <w:sz w:val="16"/>
                <w:szCs w:val="16"/>
              </w:rPr>
              <w:t>DEEWR departmental expenses from schools</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93</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83</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169</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233</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266</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192</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220</w:t>
            </w: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36184E">
        <w:trPr>
          <w:trHeight w:val="225"/>
        </w:trPr>
        <w:tc>
          <w:tcPr>
            <w:tcW w:w="4252" w:type="dxa"/>
            <w:tcBorders>
              <w:top w:val="nil"/>
              <w:bottom w:val="dotted" w:sz="8" w:space="0" w:color="auto"/>
              <w:right w:val="nil"/>
            </w:tcBorders>
            <w:shd w:val="clear" w:color="auto" w:fill="auto"/>
            <w:noWrap/>
            <w:vAlign w:val="center"/>
            <w:hideMark/>
          </w:tcPr>
          <w:p w:rsidR="00521AA9" w:rsidRPr="00521AA9" w:rsidRDefault="00521AA9" w:rsidP="00D33A30">
            <w:pPr>
              <w:spacing w:before="0" w:after="0" w:line="240" w:lineRule="auto"/>
              <w:ind w:left="113"/>
              <w:rPr>
                <w:rFonts w:eastAsia="Times New Roman" w:cs="Arial"/>
                <w:color w:val="000000"/>
                <w:sz w:val="16"/>
                <w:szCs w:val="16"/>
              </w:rPr>
            </w:pPr>
            <w:r w:rsidRPr="00521AA9">
              <w:rPr>
                <w:rFonts w:eastAsia="Times New Roman" w:cs="Arial"/>
                <w:color w:val="000000"/>
                <w:sz w:val="16"/>
                <w:szCs w:val="16"/>
              </w:rPr>
              <w:t>General administration - total</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182</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179</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268</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323</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390</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392</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421</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343</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387</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263</w:t>
            </w:r>
          </w:p>
        </w:tc>
        <w:tc>
          <w:tcPr>
            <w:tcW w:w="794" w:type="dxa"/>
            <w:tcBorders>
              <w:top w:val="nil"/>
              <w:left w:val="nil"/>
              <w:bottom w:val="dotted" w:sz="8" w:space="0" w:color="auto"/>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276</w:t>
            </w:r>
          </w:p>
        </w:tc>
      </w:tr>
      <w:tr w:rsidR="00521AA9" w:rsidRPr="00521AA9" w:rsidTr="0036184E">
        <w:trPr>
          <w:trHeight w:val="225"/>
        </w:trPr>
        <w:tc>
          <w:tcPr>
            <w:tcW w:w="4252" w:type="dxa"/>
            <w:tcBorders>
              <w:top w:val="dotted" w:sz="8" w:space="0" w:color="auto"/>
              <w:bottom w:val="nil"/>
              <w:right w:val="nil"/>
            </w:tcBorders>
            <w:shd w:val="clear" w:color="auto" w:fill="auto"/>
            <w:noWrap/>
            <w:vAlign w:val="center"/>
            <w:hideMark/>
          </w:tcPr>
          <w:p w:rsidR="00521AA9" w:rsidRPr="00521AA9" w:rsidRDefault="00521AA9" w:rsidP="00D33A30">
            <w:pPr>
              <w:spacing w:before="0" w:after="0" w:line="240" w:lineRule="auto"/>
              <w:ind w:left="113"/>
              <w:rPr>
                <w:rFonts w:eastAsia="Times New Roman" w:cs="Arial"/>
                <w:color w:val="000000"/>
                <w:sz w:val="16"/>
                <w:szCs w:val="16"/>
              </w:rPr>
            </w:pPr>
            <w:r w:rsidRPr="00521AA9">
              <w:rPr>
                <w:rFonts w:eastAsia="Times New Roman" w:cs="Arial"/>
                <w:color w:val="000000"/>
                <w:sz w:val="16"/>
                <w:szCs w:val="16"/>
              </w:rPr>
              <w:t>School education - specific funding - as published</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115</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130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106</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112</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140</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389</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721</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1276</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6355</w:t>
            </w:r>
          </w:p>
        </w:tc>
        <w:tc>
          <w:tcPr>
            <w:tcW w:w="794" w:type="dxa"/>
            <w:tcBorders>
              <w:top w:val="dotted" w:sz="8" w:space="0" w:color="auto"/>
              <w:left w:val="nil"/>
              <w:bottom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1903</w:t>
            </w:r>
          </w:p>
        </w:tc>
        <w:tc>
          <w:tcPr>
            <w:tcW w:w="794" w:type="dxa"/>
            <w:tcBorders>
              <w:top w:val="dotted" w:sz="8" w:space="0" w:color="auto"/>
              <w:left w:val="nil"/>
              <w:bottom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1552</w:t>
            </w:r>
          </w:p>
        </w:tc>
      </w:tr>
      <w:tr w:rsidR="00521AA9" w:rsidRPr="00521AA9" w:rsidTr="000553AA">
        <w:trPr>
          <w:trHeight w:val="225"/>
        </w:trPr>
        <w:tc>
          <w:tcPr>
            <w:tcW w:w="4252" w:type="dxa"/>
            <w:tcBorders>
              <w:top w:val="nil"/>
              <w:bottom w:val="nil"/>
              <w:right w:val="nil"/>
            </w:tcBorders>
            <w:shd w:val="clear" w:color="auto" w:fill="auto"/>
            <w:noWrap/>
            <w:vAlign w:val="center"/>
            <w:hideMark/>
          </w:tcPr>
          <w:p w:rsidR="00521AA9" w:rsidRPr="00521AA9" w:rsidRDefault="00521AA9" w:rsidP="00D33A30">
            <w:pPr>
              <w:spacing w:before="0" w:after="0" w:line="240" w:lineRule="auto"/>
              <w:ind w:left="227"/>
              <w:rPr>
                <w:rFonts w:eastAsia="Times New Roman" w:cs="Arial"/>
                <w:i/>
                <w:iCs/>
                <w:color w:val="808080"/>
                <w:sz w:val="16"/>
                <w:szCs w:val="16"/>
              </w:rPr>
            </w:pPr>
            <w:r w:rsidRPr="00521AA9">
              <w:rPr>
                <w:rFonts w:eastAsia="Times New Roman" w:cs="Arial"/>
                <w:i/>
                <w:iCs/>
                <w:color w:val="808080"/>
                <w:sz w:val="16"/>
                <w:szCs w:val="16"/>
              </w:rPr>
              <w:t xml:space="preserve">Accounting change </w:t>
            </w: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0553AA">
        <w:trPr>
          <w:trHeight w:val="225"/>
        </w:trPr>
        <w:tc>
          <w:tcPr>
            <w:tcW w:w="4252" w:type="dxa"/>
            <w:tcBorders>
              <w:top w:val="nil"/>
              <w:right w:val="nil"/>
            </w:tcBorders>
            <w:shd w:val="clear" w:color="auto" w:fill="auto"/>
            <w:noWrap/>
            <w:vAlign w:val="center"/>
            <w:hideMark/>
          </w:tcPr>
          <w:p w:rsidR="00521AA9" w:rsidRPr="00521AA9" w:rsidRDefault="00577E17" w:rsidP="00D33A30">
            <w:pPr>
              <w:spacing w:before="0" w:after="0" w:line="240" w:lineRule="auto"/>
              <w:ind w:left="340"/>
              <w:rPr>
                <w:rFonts w:eastAsia="Times New Roman" w:cs="Arial"/>
                <w:i/>
                <w:iCs/>
                <w:color w:val="808080"/>
                <w:sz w:val="16"/>
                <w:szCs w:val="16"/>
              </w:rPr>
            </w:pPr>
            <w:r>
              <w:rPr>
                <w:rFonts w:eastAsia="Times New Roman" w:cs="Arial"/>
                <w:i/>
                <w:iCs/>
                <w:color w:val="808080"/>
                <w:sz w:val="16"/>
                <w:szCs w:val="16"/>
              </w:rPr>
              <w:t>O</w:t>
            </w:r>
            <w:r w:rsidR="00521AA9" w:rsidRPr="00521AA9">
              <w:rPr>
                <w:rFonts w:eastAsia="Times New Roman" w:cs="Arial"/>
                <w:i/>
                <w:iCs/>
                <w:color w:val="808080"/>
                <w:sz w:val="16"/>
                <w:szCs w:val="16"/>
              </w:rPr>
              <w:t>peration sunlight - specific purpose payments</w:t>
            </w: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i/>
                <w:iCs/>
                <w:color w:val="808080"/>
                <w:sz w:val="16"/>
                <w:szCs w:val="16"/>
              </w:rPr>
            </w:pPr>
            <w:r w:rsidRPr="00521AA9">
              <w:rPr>
                <w:rFonts w:eastAsia="Times New Roman" w:cs="Arial"/>
                <w:i/>
                <w:iCs/>
                <w:color w:val="808080"/>
                <w:sz w:val="16"/>
                <w:szCs w:val="16"/>
              </w:rPr>
              <w:t>33</w:t>
            </w: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c>
          <w:tcPr>
            <w:tcW w:w="794" w:type="dxa"/>
            <w:tcBorders>
              <w:top w:val="nil"/>
              <w:lef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p>
        </w:tc>
      </w:tr>
      <w:tr w:rsidR="00521AA9" w:rsidRPr="00521AA9" w:rsidTr="0036184E">
        <w:trPr>
          <w:trHeight w:val="225"/>
        </w:trPr>
        <w:tc>
          <w:tcPr>
            <w:tcW w:w="4252" w:type="dxa"/>
            <w:tcBorders>
              <w:top w:val="nil"/>
              <w:bottom w:val="dotted" w:sz="8" w:space="0" w:color="auto"/>
              <w:right w:val="nil"/>
            </w:tcBorders>
            <w:shd w:val="clear" w:color="auto" w:fill="auto"/>
            <w:noWrap/>
            <w:vAlign w:val="center"/>
            <w:hideMark/>
          </w:tcPr>
          <w:p w:rsidR="00521AA9" w:rsidRPr="00521AA9" w:rsidRDefault="00521AA9" w:rsidP="00D33A30">
            <w:pPr>
              <w:spacing w:before="0" w:after="0" w:line="240" w:lineRule="auto"/>
              <w:ind w:left="113"/>
              <w:rPr>
                <w:rFonts w:eastAsia="Times New Roman" w:cs="Arial"/>
                <w:color w:val="000000"/>
                <w:sz w:val="16"/>
                <w:szCs w:val="16"/>
              </w:rPr>
            </w:pPr>
            <w:r w:rsidRPr="00521AA9">
              <w:rPr>
                <w:rFonts w:eastAsia="Times New Roman" w:cs="Arial"/>
                <w:color w:val="000000"/>
                <w:sz w:val="16"/>
                <w:szCs w:val="16"/>
              </w:rPr>
              <w:t>School education - specific funding -total</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115</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130</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106</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112</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140</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389</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754</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1276</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6355</w:t>
            </w:r>
          </w:p>
        </w:tc>
        <w:tc>
          <w:tcPr>
            <w:tcW w:w="794" w:type="dxa"/>
            <w:tcBorders>
              <w:top w:val="nil"/>
              <w:left w:val="nil"/>
              <w:bottom w:val="dotted" w:sz="8" w:space="0" w:color="auto"/>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1903</w:t>
            </w:r>
          </w:p>
        </w:tc>
        <w:tc>
          <w:tcPr>
            <w:tcW w:w="794" w:type="dxa"/>
            <w:tcBorders>
              <w:top w:val="nil"/>
              <w:left w:val="nil"/>
              <w:bottom w:val="dotted" w:sz="8" w:space="0" w:color="auto"/>
            </w:tcBorders>
            <w:shd w:val="clear" w:color="auto" w:fill="auto"/>
            <w:noWrap/>
            <w:vAlign w:val="center"/>
            <w:hideMark/>
          </w:tcPr>
          <w:p w:rsidR="00521AA9" w:rsidRPr="00521AA9" w:rsidRDefault="00521AA9" w:rsidP="00921AC5">
            <w:pPr>
              <w:spacing w:before="0" w:after="0" w:line="240" w:lineRule="auto"/>
              <w:jc w:val="right"/>
              <w:rPr>
                <w:rFonts w:eastAsia="Times New Roman" w:cs="Arial"/>
                <w:color w:val="000000"/>
                <w:sz w:val="16"/>
                <w:szCs w:val="16"/>
              </w:rPr>
            </w:pPr>
            <w:r w:rsidRPr="00521AA9">
              <w:rPr>
                <w:rFonts w:eastAsia="Times New Roman" w:cs="Arial"/>
                <w:color w:val="000000"/>
                <w:sz w:val="16"/>
                <w:szCs w:val="16"/>
              </w:rPr>
              <w:t>1552</w:t>
            </w:r>
          </w:p>
        </w:tc>
      </w:tr>
      <w:tr w:rsidR="00521AA9" w:rsidRPr="00521AA9" w:rsidTr="0036184E">
        <w:trPr>
          <w:trHeight w:val="225"/>
        </w:trPr>
        <w:tc>
          <w:tcPr>
            <w:tcW w:w="4252" w:type="dxa"/>
            <w:tcBorders>
              <w:top w:val="dotted" w:sz="8" w:space="0" w:color="auto"/>
              <w:bottom w:val="single" w:sz="8" w:space="0" w:color="2B3B5F"/>
              <w:right w:val="nil"/>
            </w:tcBorders>
            <w:shd w:val="clear" w:color="auto" w:fill="auto"/>
            <w:noWrap/>
            <w:vAlign w:val="center"/>
            <w:hideMark/>
          </w:tcPr>
          <w:p w:rsidR="00521AA9" w:rsidRPr="00521AA9" w:rsidRDefault="00521AA9" w:rsidP="00D33A30">
            <w:pPr>
              <w:spacing w:before="0" w:after="0" w:line="240" w:lineRule="auto"/>
              <w:rPr>
                <w:rFonts w:eastAsia="Times New Roman" w:cs="Arial"/>
                <w:b/>
                <w:bCs/>
                <w:color w:val="000000"/>
                <w:sz w:val="16"/>
                <w:szCs w:val="16"/>
              </w:rPr>
            </w:pPr>
            <w:r w:rsidRPr="00521AA9">
              <w:rPr>
                <w:rFonts w:eastAsia="Times New Roman" w:cs="Arial"/>
                <w:b/>
                <w:bCs/>
                <w:color w:val="000000"/>
                <w:sz w:val="16"/>
                <w:szCs w:val="16"/>
              </w:rPr>
              <w:t>Education - total</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13797</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14752</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15245</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17271</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18566</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20017</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24587</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34889</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5A7242" w:rsidP="00921AC5">
            <w:pPr>
              <w:spacing w:before="0" w:after="0" w:line="240" w:lineRule="auto"/>
              <w:jc w:val="right"/>
              <w:rPr>
                <w:rFonts w:eastAsia="Times New Roman" w:cs="Arial"/>
                <w:b/>
                <w:bCs/>
                <w:color w:val="000000"/>
                <w:sz w:val="16"/>
                <w:szCs w:val="16"/>
              </w:rPr>
            </w:pPr>
            <w:r>
              <w:rPr>
                <w:rFonts w:eastAsia="Times New Roman" w:cs="Arial"/>
                <w:b/>
                <w:bCs/>
                <w:color w:val="000000"/>
                <w:sz w:val="16"/>
                <w:szCs w:val="16"/>
              </w:rPr>
              <w:t>32106</w:t>
            </w:r>
          </w:p>
        </w:tc>
        <w:tc>
          <w:tcPr>
            <w:tcW w:w="794" w:type="dxa"/>
            <w:tcBorders>
              <w:top w:val="dotted" w:sz="8" w:space="0" w:color="auto"/>
              <w:left w:val="nil"/>
              <w:bottom w:val="single" w:sz="8" w:space="0" w:color="2B3B5F"/>
              <w:right w:val="nil"/>
            </w:tcBorders>
            <w:shd w:val="clear" w:color="auto" w:fill="auto"/>
            <w:noWrap/>
            <w:vAlign w:val="center"/>
            <w:hideMark/>
          </w:tcPr>
          <w:p w:rsidR="00521AA9" w:rsidRPr="00521AA9" w:rsidRDefault="004928D1" w:rsidP="00921AC5">
            <w:pPr>
              <w:spacing w:before="0" w:after="0" w:line="240" w:lineRule="auto"/>
              <w:jc w:val="right"/>
              <w:rPr>
                <w:rFonts w:eastAsia="Times New Roman" w:cs="Arial"/>
                <w:b/>
                <w:bCs/>
                <w:color w:val="000000"/>
                <w:sz w:val="16"/>
                <w:szCs w:val="16"/>
              </w:rPr>
            </w:pPr>
            <w:r>
              <w:rPr>
                <w:rFonts w:eastAsia="Times New Roman" w:cs="Arial"/>
                <w:b/>
                <w:bCs/>
                <w:color w:val="000000"/>
                <w:sz w:val="16"/>
                <w:szCs w:val="16"/>
              </w:rPr>
              <w:t>29050</w:t>
            </w:r>
          </w:p>
        </w:tc>
        <w:tc>
          <w:tcPr>
            <w:tcW w:w="794" w:type="dxa"/>
            <w:tcBorders>
              <w:top w:val="dotted" w:sz="8" w:space="0" w:color="auto"/>
              <w:left w:val="nil"/>
              <w:bottom w:val="single" w:sz="8" w:space="0" w:color="2B3B5F"/>
            </w:tcBorders>
            <w:shd w:val="clear" w:color="auto" w:fill="auto"/>
            <w:noWrap/>
            <w:vAlign w:val="center"/>
            <w:hideMark/>
          </w:tcPr>
          <w:p w:rsidR="00521AA9" w:rsidRPr="00521AA9" w:rsidRDefault="00521AA9" w:rsidP="00921AC5">
            <w:pPr>
              <w:spacing w:before="0" w:after="0" w:line="240" w:lineRule="auto"/>
              <w:jc w:val="right"/>
              <w:rPr>
                <w:rFonts w:eastAsia="Times New Roman" w:cs="Arial"/>
                <w:b/>
                <w:bCs/>
                <w:color w:val="000000"/>
                <w:sz w:val="16"/>
                <w:szCs w:val="16"/>
              </w:rPr>
            </w:pPr>
            <w:r w:rsidRPr="00521AA9">
              <w:rPr>
                <w:rFonts w:eastAsia="Times New Roman" w:cs="Arial"/>
                <w:b/>
                <w:bCs/>
                <w:color w:val="000000"/>
                <w:sz w:val="16"/>
                <w:szCs w:val="16"/>
              </w:rPr>
              <w:t>28468</w:t>
            </w:r>
          </w:p>
        </w:tc>
      </w:tr>
      <w:tr w:rsidR="00512130" w:rsidRPr="000A4F36" w:rsidTr="00512130">
        <w:trPr>
          <w:trHeight w:val="470"/>
        </w:trPr>
        <w:tc>
          <w:tcPr>
            <w:tcW w:w="12986" w:type="dxa"/>
            <w:gridSpan w:val="12"/>
            <w:tcBorders>
              <w:top w:val="single" w:sz="8" w:space="0" w:color="2B3B5F"/>
            </w:tcBorders>
            <w:shd w:val="clear" w:color="auto" w:fill="auto"/>
            <w:noWrap/>
            <w:vAlign w:val="center"/>
          </w:tcPr>
          <w:p w:rsidR="00512130" w:rsidRPr="000A4F36" w:rsidRDefault="00512130" w:rsidP="00921AC5">
            <w:pPr>
              <w:spacing w:before="0" w:after="0" w:line="240" w:lineRule="auto"/>
              <w:jc w:val="right"/>
              <w:rPr>
                <w:rFonts w:eastAsia="Times New Roman" w:cs="Arial"/>
                <w:bCs/>
                <w:color w:val="000000"/>
                <w:sz w:val="16"/>
                <w:szCs w:val="16"/>
              </w:rPr>
            </w:pPr>
          </w:p>
        </w:tc>
      </w:tr>
      <w:tr w:rsidR="00D767A0" w:rsidRPr="00D767A0" w:rsidTr="0036184E">
        <w:trPr>
          <w:trHeight w:val="225"/>
        </w:trPr>
        <w:tc>
          <w:tcPr>
            <w:tcW w:w="4252" w:type="dxa"/>
            <w:tcBorders>
              <w:top w:val="single" w:sz="8" w:space="0" w:color="2B3B5F"/>
              <w:bottom w:val="dotted" w:sz="8" w:space="0" w:color="auto"/>
              <w:right w:val="nil"/>
            </w:tcBorders>
            <w:shd w:val="clear" w:color="auto" w:fill="95A4C6"/>
            <w:noWrap/>
            <w:vAlign w:val="center"/>
            <w:hideMark/>
          </w:tcPr>
          <w:p w:rsidR="00D767A0" w:rsidRPr="00D767A0" w:rsidRDefault="00D767A0" w:rsidP="00D33A30">
            <w:pPr>
              <w:spacing w:before="0" w:after="0" w:line="240" w:lineRule="auto"/>
              <w:rPr>
                <w:rFonts w:eastAsia="Times New Roman" w:cs="Arial"/>
                <w:color w:val="000000"/>
                <w:sz w:val="16"/>
                <w:szCs w:val="16"/>
              </w:rPr>
            </w:pPr>
          </w:p>
        </w:tc>
        <w:tc>
          <w:tcPr>
            <w:tcW w:w="794" w:type="dxa"/>
            <w:tcBorders>
              <w:top w:val="single" w:sz="8" w:space="0" w:color="2B3B5F"/>
              <w:left w:val="nil"/>
              <w:bottom w:val="dotted" w:sz="8" w:space="0" w:color="auto"/>
              <w:right w:val="nil"/>
            </w:tcBorders>
            <w:shd w:val="clear" w:color="auto" w:fill="95A4C6"/>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2002-03</w:t>
            </w:r>
          </w:p>
        </w:tc>
        <w:tc>
          <w:tcPr>
            <w:tcW w:w="794" w:type="dxa"/>
            <w:tcBorders>
              <w:top w:val="single" w:sz="8" w:space="0" w:color="2B3B5F"/>
              <w:left w:val="nil"/>
              <w:bottom w:val="dotted" w:sz="8" w:space="0" w:color="auto"/>
              <w:right w:val="nil"/>
            </w:tcBorders>
            <w:shd w:val="clear" w:color="auto" w:fill="95A4C6"/>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2003-04</w:t>
            </w:r>
          </w:p>
        </w:tc>
        <w:tc>
          <w:tcPr>
            <w:tcW w:w="794" w:type="dxa"/>
            <w:tcBorders>
              <w:top w:val="single" w:sz="8" w:space="0" w:color="2B3B5F"/>
              <w:left w:val="nil"/>
              <w:bottom w:val="dotted" w:sz="8" w:space="0" w:color="auto"/>
              <w:right w:val="nil"/>
            </w:tcBorders>
            <w:shd w:val="clear" w:color="auto" w:fill="95A4C6"/>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2004-05</w:t>
            </w:r>
          </w:p>
        </w:tc>
        <w:tc>
          <w:tcPr>
            <w:tcW w:w="794" w:type="dxa"/>
            <w:tcBorders>
              <w:top w:val="single" w:sz="8" w:space="0" w:color="2B3B5F"/>
              <w:left w:val="nil"/>
              <w:bottom w:val="dotted" w:sz="8" w:space="0" w:color="auto"/>
              <w:right w:val="nil"/>
            </w:tcBorders>
            <w:shd w:val="clear" w:color="auto" w:fill="95A4C6"/>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2005-06</w:t>
            </w:r>
          </w:p>
        </w:tc>
        <w:tc>
          <w:tcPr>
            <w:tcW w:w="794" w:type="dxa"/>
            <w:tcBorders>
              <w:top w:val="single" w:sz="8" w:space="0" w:color="2B3B5F"/>
              <w:left w:val="nil"/>
              <w:bottom w:val="dotted" w:sz="8" w:space="0" w:color="auto"/>
              <w:right w:val="nil"/>
            </w:tcBorders>
            <w:shd w:val="clear" w:color="auto" w:fill="95A4C6"/>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2006-07</w:t>
            </w:r>
          </w:p>
        </w:tc>
        <w:tc>
          <w:tcPr>
            <w:tcW w:w="794" w:type="dxa"/>
            <w:tcBorders>
              <w:top w:val="single" w:sz="8" w:space="0" w:color="2B3B5F"/>
              <w:left w:val="nil"/>
              <w:bottom w:val="dotted" w:sz="8" w:space="0" w:color="auto"/>
              <w:right w:val="nil"/>
            </w:tcBorders>
            <w:shd w:val="clear" w:color="auto" w:fill="95A4C6"/>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2007-08</w:t>
            </w:r>
          </w:p>
        </w:tc>
        <w:tc>
          <w:tcPr>
            <w:tcW w:w="794" w:type="dxa"/>
            <w:tcBorders>
              <w:top w:val="single" w:sz="8" w:space="0" w:color="2B3B5F"/>
              <w:left w:val="nil"/>
              <w:bottom w:val="dotted" w:sz="8" w:space="0" w:color="auto"/>
              <w:right w:val="nil"/>
            </w:tcBorders>
            <w:shd w:val="clear" w:color="auto" w:fill="95A4C6"/>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2008-09</w:t>
            </w:r>
          </w:p>
        </w:tc>
        <w:tc>
          <w:tcPr>
            <w:tcW w:w="794" w:type="dxa"/>
            <w:tcBorders>
              <w:top w:val="single" w:sz="8" w:space="0" w:color="2B3B5F"/>
              <w:left w:val="nil"/>
              <w:bottom w:val="dotted" w:sz="8" w:space="0" w:color="auto"/>
              <w:right w:val="nil"/>
            </w:tcBorders>
            <w:shd w:val="clear" w:color="auto" w:fill="95A4C6"/>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2009-10</w:t>
            </w:r>
          </w:p>
        </w:tc>
        <w:tc>
          <w:tcPr>
            <w:tcW w:w="794" w:type="dxa"/>
            <w:tcBorders>
              <w:top w:val="single" w:sz="8" w:space="0" w:color="2B3B5F"/>
              <w:left w:val="nil"/>
              <w:bottom w:val="dotted" w:sz="8" w:space="0" w:color="auto"/>
              <w:right w:val="nil"/>
            </w:tcBorders>
            <w:shd w:val="clear" w:color="auto" w:fill="95A4C6"/>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2010-11</w:t>
            </w:r>
          </w:p>
        </w:tc>
        <w:tc>
          <w:tcPr>
            <w:tcW w:w="794" w:type="dxa"/>
            <w:tcBorders>
              <w:top w:val="single" w:sz="8" w:space="0" w:color="2B3B5F"/>
              <w:left w:val="nil"/>
              <w:bottom w:val="dotted" w:sz="8" w:space="0" w:color="auto"/>
              <w:right w:val="nil"/>
            </w:tcBorders>
            <w:shd w:val="clear" w:color="auto" w:fill="95A4C6"/>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2011-12</w:t>
            </w:r>
          </w:p>
        </w:tc>
        <w:tc>
          <w:tcPr>
            <w:tcW w:w="794" w:type="dxa"/>
            <w:tcBorders>
              <w:top w:val="single" w:sz="8" w:space="0" w:color="2B3B5F"/>
              <w:left w:val="nil"/>
              <w:bottom w:val="dotted" w:sz="8" w:space="0" w:color="auto"/>
            </w:tcBorders>
            <w:shd w:val="clear" w:color="auto" w:fill="95A4C6"/>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2012-13</w:t>
            </w:r>
          </w:p>
        </w:tc>
      </w:tr>
      <w:tr w:rsidR="00D767A0" w:rsidRPr="00D767A0" w:rsidTr="0036184E">
        <w:trPr>
          <w:trHeight w:val="225"/>
        </w:trPr>
        <w:tc>
          <w:tcPr>
            <w:tcW w:w="4252" w:type="dxa"/>
            <w:tcBorders>
              <w:top w:val="dotted" w:sz="8" w:space="0" w:color="auto"/>
              <w:bottom w:val="dotted" w:sz="8" w:space="0" w:color="auto"/>
              <w:right w:val="nil"/>
            </w:tcBorders>
            <w:shd w:val="clear" w:color="auto" w:fill="auto"/>
            <w:noWrap/>
            <w:vAlign w:val="center"/>
            <w:hideMark/>
          </w:tcPr>
          <w:p w:rsidR="00D767A0" w:rsidRPr="00D767A0" w:rsidRDefault="00D767A0" w:rsidP="00D33A30">
            <w:pPr>
              <w:spacing w:before="0" w:after="0" w:line="240" w:lineRule="auto"/>
              <w:rPr>
                <w:rFonts w:eastAsia="Times New Roman" w:cs="Arial"/>
                <w:b/>
                <w:bCs/>
                <w:color w:val="000000"/>
                <w:sz w:val="16"/>
                <w:szCs w:val="16"/>
              </w:rPr>
            </w:pPr>
            <w:r w:rsidRPr="00D767A0">
              <w:rPr>
                <w:rFonts w:eastAsia="Times New Roman" w:cs="Arial"/>
                <w:b/>
                <w:bCs/>
                <w:color w:val="000000"/>
                <w:sz w:val="16"/>
                <w:szCs w:val="16"/>
              </w:rPr>
              <w:t>Health - as published</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29400</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31771</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35561</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37549</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39948</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44397</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49146</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51426</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56070</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62012</w:t>
            </w:r>
          </w:p>
        </w:tc>
        <w:tc>
          <w:tcPr>
            <w:tcW w:w="794" w:type="dxa"/>
            <w:tcBorders>
              <w:top w:val="dotted" w:sz="8" w:space="0" w:color="auto"/>
              <w:left w:val="nil"/>
              <w:bottom w:val="dotted" w:sz="8" w:space="0" w:color="auto"/>
            </w:tcBorders>
            <w:shd w:val="clear" w:color="auto" w:fill="auto"/>
            <w:noWrap/>
            <w:vAlign w:val="center"/>
            <w:hideMark/>
          </w:tcPr>
          <w:p w:rsidR="00D767A0" w:rsidRPr="00D767A0" w:rsidRDefault="00D767A0"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61302</w:t>
            </w:r>
          </w:p>
        </w:tc>
      </w:tr>
      <w:tr w:rsidR="00D767A0" w:rsidRPr="00D767A0" w:rsidTr="0036184E">
        <w:trPr>
          <w:trHeight w:val="225"/>
        </w:trPr>
        <w:tc>
          <w:tcPr>
            <w:tcW w:w="4252" w:type="dxa"/>
            <w:tcBorders>
              <w:top w:val="dotted" w:sz="8" w:space="0" w:color="auto"/>
              <w:bottom w:val="nil"/>
              <w:right w:val="nil"/>
            </w:tcBorders>
            <w:shd w:val="clear" w:color="auto" w:fill="auto"/>
            <w:noWrap/>
            <w:vAlign w:val="center"/>
            <w:hideMark/>
          </w:tcPr>
          <w:p w:rsidR="00D767A0" w:rsidRPr="00D767A0" w:rsidRDefault="00D767A0" w:rsidP="00D33A30">
            <w:pPr>
              <w:spacing w:before="0" w:after="0" w:line="240" w:lineRule="auto"/>
              <w:ind w:left="113"/>
              <w:rPr>
                <w:rFonts w:eastAsia="Times New Roman" w:cs="Arial"/>
                <w:color w:val="000000"/>
                <w:sz w:val="16"/>
                <w:szCs w:val="16"/>
              </w:rPr>
            </w:pPr>
            <w:r w:rsidRPr="00D767A0">
              <w:rPr>
                <w:rFonts w:eastAsia="Times New Roman" w:cs="Arial"/>
                <w:color w:val="000000"/>
                <w:sz w:val="16"/>
                <w:szCs w:val="16"/>
              </w:rPr>
              <w:t>Medical services and benefits - as published</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11726</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12897</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14890</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16398</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17213</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19089</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20767</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21878</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23247</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25081</w:t>
            </w:r>
          </w:p>
        </w:tc>
        <w:tc>
          <w:tcPr>
            <w:tcW w:w="794" w:type="dxa"/>
            <w:tcBorders>
              <w:top w:val="dotted" w:sz="8" w:space="0" w:color="auto"/>
              <w:left w:val="nil"/>
              <w:bottom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25342</w:t>
            </w:r>
          </w:p>
        </w:tc>
      </w:tr>
      <w:tr w:rsidR="00D767A0" w:rsidRPr="00D767A0" w:rsidTr="000553AA">
        <w:trPr>
          <w:trHeight w:val="225"/>
        </w:trPr>
        <w:tc>
          <w:tcPr>
            <w:tcW w:w="4252" w:type="dxa"/>
            <w:tcBorders>
              <w:top w:val="nil"/>
              <w:right w:val="nil"/>
            </w:tcBorders>
            <w:shd w:val="clear" w:color="auto" w:fill="auto"/>
            <w:noWrap/>
            <w:vAlign w:val="center"/>
            <w:hideMark/>
          </w:tcPr>
          <w:p w:rsidR="00D767A0" w:rsidRPr="00D767A0" w:rsidRDefault="00D767A0" w:rsidP="00D33A30">
            <w:pPr>
              <w:spacing w:before="0" w:after="0" w:line="240" w:lineRule="auto"/>
              <w:ind w:left="227"/>
              <w:rPr>
                <w:rFonts w:eastAsia="Times New Roman" w:cs="Arial"/>
                <w:i/>
                <w:iCs/>
                <w:color w:val="808080"/>
                <w:sz w:val="16"/>
                <w:szCs w:val="16"/>
              </w:rPr>
            </w:pPr>
            <w:r w:rsidRPr="00D767A0">
              <w:rPr>
                <w:rFonts w:eastAsia="Times New Roman" w:cs="Arial"/>
                <w:i/>
                <w:iCs/>
                <w:color w:val="808080"/>
                <w:sz w:val="16"/>
                <w:szCs w:val="16"/>
              </w:rPr>
              <w:t>Accounting change - FBT inclusion</w:t>
            </w: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i/>
                <w:iCs/>
                <w:color w:val="808080"/>
                <w:sz w:val="16"/>
                <w:szCs w:val="16"/>
              </w:rPr>
            </w:pPr>
            <w:r w:rsidRPr="00D767A0">
              <w:rPr>
                <w:rFonts w:eastAsia="Times New Roman" w:cs="Arial"/>
                <w:i/>
                <w:iCs/>
                <w:color w:val="808080"/>
                <w:sz w:val="16"/>
                <w:szCs w:val="16"/>
              </w:rPr>
              <w:t>0</w:t>
            </w: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i/>
                <w:iCs/>
                <w:color w:val="808080"/>
                <w:sz w:val="16"/>
                <w:szCs w:val="16"/>
              </w:rPr>
            </w:pPr>
            <w:r w:rsidRPr="00D767A0">
              <w:rPr>
                <w:rFonts w:eastAsia="Times New Roman" w:cs="Arial"/>
                <w:i/>
                <w:iCs/>
                <w:color w:val="808080"/>
                <w:sz w:val="16"/>
                <w:szCs w:val="16"/>
              </w:rPr>
              <w:t>1</w:t>
            </w: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i/>
                <w:iCs/>
                <w:color w:val="808080"/>
                <w:sz w:val="16"/>
                <w:szCs w:val="16"/>
              </w:rPr>
            </w:pPr>
            <w:r w:rsidRPr="00D767A0">
              <w:rPr>
                <w:rFonts w:eastAsia="Times New Roman" w:cs="Arial"/>
                <w:i/>
                <w:iCs/>
                <w:color w:val="808080"/>
                <w:sz w:val="16"/>
                <w:szCs w:val="16"/>
              </w:rPr>
              <w:t>1</w:t>
            </w: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r>
      <w:tr w:rsidR="00D767A0" w:rsidRPr="00D767A0" w:rsidTr="0036184E">
        <w:trPr>
          <w:trHeight w:val="225"/>
        </w:trPr>
        <w:tc>
          <w:tcPr>
            <w:tcW w:w="4252" w:type="dxa"/>
            <w:tcBorders>
              <w:bottom w:val="dotted" w:sz="8" w:space="0" w:color="auto"/>
              <w:right w:val="nil"/>
            </w:tcBorders>
            <w:shd w:val="clear" w:color="auto" w:fill="auto"/>
            <w:noWrap/>
            <w:vAlign w:val="center"/>
            <w:hideMark/>
          </w:tcPr>
          <w:p w:rsidR="00D767A0" w:rsidRPr="00D767A0" w:rsidRDefault="00D767A0" w:rsidP="00D33A30">
            <w:pPr>
              <w:spacing w:before="0" w:after="0" w:line="240" w:lineRule="auto"/>
              <w:ind w:left="113"/>
              <w:rPr>
                <w:rFonts w:eastAsia="Times New Roman" w:cs="Arial"/>
                <w:color w:val="000000"/>
                <w:sz w:val="16"/>
                <w:szCs w:val="16"/>
              </w:rPr>
            </w:pPr>
            <w:r w:rsidRPr="00D767A0">
              <w:rPr>
                <w:rFonts w:eastAsia="Times New Roman" w:cs="Arial"/>
                <w:color w:val="000000"/>
                <w:sz w:val="16"/>
                <w:szCs w:val="16"/>
              </w:rPr>
              <w:t>Medical services and benefits - total</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11726</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12898</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14891</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16398</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17213</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19089</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20767</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21878</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23247</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25081</w:t>
            </w:r>
          </w:p>
        </w:tc>
        <w:tc>
          <w:tcPr>
            <w:tcW w:w="794" w:type="dxa"/>
            <w:tcBorders>
              <w:left w:val="nil"/>
              <w:bottom w:val="dotted" w:sz="8" w:space="0" w:color="auto"/>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25342</w:t>
            </w:r>
          </w:p>
        </w:tc>
      </w:tr>
      <w:tr w:rsidR="00D767A0" w:rsidRPr="00D767A0" w:rsidTr="0036184E">
        <w:trPr>
          <w:trHeight w:val="225"/>
        </w:trPr>
        <w:tc>
          <w:tcPr>
            <w:tcW w:w="4252" w:type="dxa"/>
            <w:tcBorders>
              <w:top w:val="dotted" w:sz="8" w:space="0" w:color="auto"/>
              <w:bottom w:val="dotted" w:sz="8" w:space="0" w:color="auto"/>
              <w:right w:val="nil"/>
            </w:tcBorders>
            <w:shd w:val="clear" w:color="auto" w:fill="auto"/>
            <w:noWrap/>
            <w:vAlign w:val="center"/>
            <w:hideMark/>
          </w:tcPr>
          <w:p w:rsidR="00D767A0" w:rsidRPr="00D767A0" w:rsidRDefault="00D767A0" w:rsidP="00D33A30">
            <w:pPr>
              <w:spacing w:before="0" w:after="0" w:line="240" w:lineRule="auto"/>
              <w:ind w:left="113"/>
              <w:rPr>
                <w:rFonts w:eastAsia="Times New Roman" w:cs="Arial"/>
                <w:color w:val="000000"/>
                <w:sz w:val="16"/>
                <w:szCs w:val="16"/>
              </w:rPr>
            </w:pPr>
            <w:r w:rsidRPr="00D767A0">
              <w:rPr>
                <w:rFonts w:eastAsia="Times New Roman" w:cs="Arial"/>
                <w:color w:val="000000"/>
                <w:sz w:val="16"/>
                <w:szCs w:val="16"/>
              </w:rPr>
              <w:t>Hospital services</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1537</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1599</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1386</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1540</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1549</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1791</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3023</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1817</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2627</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2944</w:t>
            </w:r>
          </w:p>
        </w:tc>
        <w:tc>
          <w:tcPr>
            <w:tcW w:w="794" w:type="dxa"/>
            <w:tcBorders>
              <w:top w:val="dotted" w:sz="8" w:space="0" w:color="auto"/>
              <w:left w:val="nil"/>
              <w:bottom w:val="dotted" w:sz="8" w:space="0" w:color="auto"/>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2632</w:t>
            </w:r>
          </w:p>
        </w:tc>
      </w:tr>
      <w:tr w:rsidR="00D767A0" w:rsidRPr="00D767A0" w:rsidTr="0036184E">
        <w:trPr>
          <w:trHeight w:val="225"/>
        </w:trPr>
        <w:tc>
          <w:tcPr>
            <w:tcW w:w="4252" w:type="dxa"/>
            <w:tcBorders>
              <w:top w:val="dotted" w:sz="8" w:space="0" w:color="auto"/>
              <w:bottom w:val="dotted" w:sz="8" w:space="0" w:color="auto"/>
              <w:right w:val="nil"/>
            </w:tcBorders>
            <w:shd w:val="clear" w:color="auto" w:fill="auto"/>
            <w:noWrap/>
            <w:vAlign w:val="center"/>
            <w:hideMark/>
          </w:tcPr>
          <w:p w:rsidR="00D767A0" w:rsidRPr="00D767A0" w:rsidRDefault="00D767A0" w:rsidP="00D33A30">
            <w:pPr>
              <w:spacing w:before="0" w:after="0" w:line="240" w:lineRule="auto"/>
              <w:ind w:left="113"/>
              <w:rPr>
                <w:rFonts w:eastAsia="Times New Roman" w:cs="Arial"/>
                <w:color w:val="000000"/>
                <w:sz w:val="16"/>
                <w:szCs w:val="16"/>
              </w:rPr>
            </w:pPr>
            <w:r w:rsidRPr="00D767A0">
              <w:rPr>
                <w:rFonts w:eastAsia="Times New Roman" w:cs="Arial"/>
                <w:color w:val="000000"/>
                <w:sz w:val="16"/>
                <w:szCs w:val="16"/>
              </w:rPr>
              <w:t>Pharmaceutical benefits and services</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5732</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6752</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7073</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7130</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7634</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8593</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9210</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9653</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10040</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10188</w:t>
            </w:r>
          </w:p>
        </w:tc>
        <w:tc>
          <w:tcPr>
            <w:tcW w:w="794" w:type="dxa"/>
            <w:tcBorders>
              <w:top w:val="dotted" w:sz="8" w:space="0" w:color="auto"/>
              <w:left w:val="nil"/>
              <w:bottom w:val="dotted" w:sz="8" w:space="0" w:color="auto"/>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9832</w:t>
            </w:r>
          </w:p>
        </w:tc>
      </w:tr>
      <w:tr w:rsidR="00D767A0" w:rsidRPr="00D767A0" w:rsidTr="0036184E">
        <w:trPr>
          <w:trHeight w:val="225"/>
        </w:trPr>
        <w:tc>
          <w:tcPr>
            <w:tcW w:w="4252" w:type="dxa"/>
            <w:tcBorders>
              <w:top w:val="dotted" w:sz="8" w:space="0" w:color="auto"/>
              <w:bottom w:val="dotted" w:sz="8" w:space="0" w:color="auto"/>
              <w:right w:val="nil"/>
            </w:tcBorders>
            <w:shd w:val="clear" w:color="auto" w:fill="auto"/>
            <w:noWrap/>
            <w:vAlign w:val="center"/>
            <w:hideMark/>
          </w:tcPr>
          <w:p w:rsidR="00D767A0" w:rsidRPr="00D767A0" w:rsidRDefault="00D767A0" w:rsidP="00D33A30">
            <w:pPr>
              <w:spacing w:before="0" w:after="0" w:line="240" w:lineRule="auto"/>
              <w:ind w:left="113"/>
              <w:rPr>
                <w:rFonts w:eastAsia="Times New Roman" w:cs="Arial"/>
                <w:color w:val="000000"/>
                <w:sz w:val="16"/>
                <w:szCs w:val="16"/>
              </w:rPr>
            </w:pPr>
            <w:r w:rsidRPr="00D767A0">
              <w:rPr>
                <w:rFonts w:eastAsia="Times New Roman" w:cs="Arial"/>
                <w:color w:val="000000"/>
                <w:sz w:val="16"/>
                <w:szCs w:val="16"/>
              </w:rPr>
              <w:t>Aboriginal and Torres Strait Islander health</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209</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255</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286</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323</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397</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500</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523</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623</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650</w:t>
            </w:r>
          </w:p>
        </w:tc>
        <w:tc>
          <w:tcPr>
            <w:tcW w:w="794" w:type="dxa"/>
            <w:tcBorders>
              <w:top w:val="dotted" w:sz="8" w:space="0" w:color="auto"/>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736</w:t>
            </w:r>
          </w:p>
        </w:tc>
        <w:tc>
          <w:tcPr>
            <w:tcW w:w="794" w:type="dxa"/>
            <w:tcBorders>
              <w:top w:val="dotted" w:sz="8" w:space="0" w:color="auto"/>
              <w:left w:val="nil"/>
              <w:bottom w:val="dotted" w:sz="8" w:space="0" w:color="auto"/>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730</w:t>
            </w:r>
          </w:p>
        </w:tc>
      </w:tr>
      <w:tr w:rsidR="00D767A0" w:rsidRPr="00D767A0" w:rsidTr="0036184E">
        <w:trPr>
          <w:trHeight w:val="225"/>
        </w:trPr>
        <w:tc>
          <w:tcPr>
            <w:tcW w:w="4252" w:type="dxa"/>
            <w:tcBorders>
              <w:top w:val="dotted" w:sz="8" w:space="0" w:color="auto"/>
              <w:bottom w:val="nil"/>
              <w:right w:val="nil"/>
            </w:tcBorders>
            <w:shd w:val="clear" w:color="auto" w:fill="auto"/>
            <w:noWrap/>
            <w:vAlign w:val="center"/>
            <w:hideMark/>
          </w:tcPr>
          <w:p w:rsidR="00D767A0" w:rsidRPr="00D767A0" w:rsidRDefault="00D767A0" w:rsidP="00D33A30">
            <w:pPr>
              <w:spacing w:before="0" w:after="0" w:line="240" w:lineRule="auto"/>
              <w:ind w:left="113"/>
              <w:rPr>
                <w:rFonts w:eastAsia="Times New Roman" w:cs="Arial"/>
                <w:color w:val="000000"/>
                <w:sz w:val="16"/>
                <w:szCs w:val="16"/>
              </w:rPr>
            </w:pPr>
            <w:r w:rsidRPr="00D767A0">
              <w:rPr>
                <w:rFonts w:eastAsia="Times New Roman" w:cs="Arial"/>
                <w:color w:val="000000"/>
                <w:sz w:val="16"/>
                <w:szCs w:val="16"/>
              </w:rPr>
              <w:t>Health services - as published</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1559</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2111</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3114</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2962</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3622</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2876</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3720</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4608</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5627</w:t>
            </w:r>
          </w:p>
        </w:tc>
        <w:tc>
          <w:tcPr>
            <w:tcW w:w="794" w:type="dxa"/>
            <w:tcBorders>
              <w:top w:val="dotted" w:sz="8" w:space="0" w:color="auto"/>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7359</w:t>
            </w:r>
          </w:p>
        </w:tc>
        <w:tc>
          <w:tcPr>
            <w:tcW w:w="794" w:type="dxa"/>
            <w:tcBorders>
              <w:top w:val="dotted" w:sz="8" w:space="0" w:color="auto"/>
              <w:left w:val="nil"/>
              <w:bottom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6294</w:t>
            </w:r>
          </w:p>
        </w:tc>
      </w:tr>
      <w:tr w:rsidR="00D767A0" w:rsidRPr="00D767A0" w:rsidTr="000553AA">
        <w:trPr>
          <w:trHeight w:val="225"/>
        </w:trPr>
        <w:tc>
          <w:tcPr>
            <w:tcW w:w="4252" w:type="dxa"/>
            <w:tcBorders>
              <w:top w:val="nil"/>
              <w:bottom w:val="nil"/>
              <w:right w:val="nil"/>
            </w:tcBorders>
            <w:shd w:val="clear" w:color="auto" w:fill="auto"/>
            <w:noWrap/>
            <w:vAlign w:val="center"/>
            <w:hideMark/>
          </w:tcPr>
          <w:p w:rsidR="00D767A0" w:rsidRPr="00D767A0" w:rsidRDefault="00D767A0" w:rsidP="00D33A30">
            <w:pPr>
              <w:spacing w:before="0" w:after="0" w:line="240" w:lineRule="auto"/>
              <w:ind w:left="227"/>
              <w:rPr>
                <w:rFonts w:eastAsia="Times New Roman" w:cs="Arial"/>
                <w:i/>
                <w:iCs/>
                <w:color w:val="808080"/>
                <w:sz w:val="16"/>
                <w:szCs w:val="16"/>
              </w:rPr>
            </w:pPr>
            <w:r w:rsidRPr="00D767A0">
              <w:rPr>
                <w:rFonts w:eastAsia="Times New Roman" w:cs="Arial"/>
                <w:i/>
                <w:iCs/>
                <w:color w:val="808080"/>
                <w:sz w:val="16"/>
                <w:szCs w:val="16"/>
              </w:rPr>
              <w:t xml:space="preserve">Accounting change </w:t>
            </w:r>
          </w:p>
        </w:tc>
        <w:tc>
          <w:tcPr>
            <w:tcW w:w="794" w:type="dxa"/>
            <w:tcBorders>
              <w:top w:val="nil"/>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r>
      <w:tr w:rsidR="00D767A0" w:rsidRPr="00D767A0" w:rsidTr="000553AA">
        <w:trPr>
          <w:trHeight w:val="225"/>
        </w:trPr>
        <w:tc>
          <w:tcPr>
            <w:tcW w:w="4252" w:type="dxa"/>
            <w:tcBorders>
              <w:top w:val="nil"/>
              <w:bottom w:val="nil"/>
              <w:right w:val="nil"/>
            </w:tcBorders>
            <w:shd w:val="clear" w:color="auto" w:fill="auto"/>
            <w:noWrap/>
            <w:vAlign w:val="center"/>
            <w:hideMark/>
          </w:tcPr>
          <w:p w:rsidR="00D767A0" w:rsidRPr="00D767A0" w:rsidRDefault="00D767A0" w:rsidP="00D33A30">
            <w:pPr>
              <w:spacing w:before="0" w:after="0" w:line="240" w:lineRule="auto"/>
              <w:ind w:left="340"/>
              <w:rPr>
                <w:rFonts w:eastAsia="Times New Roman" w:cs="Arial"/>
                <w:i/>
                <w:iCs/>
                <w:color w:val="808080"/>
                <w:sz w:val="16"/>
                <w:szCs w:val="16"/>
              </w:rPr>
            </w:pPr>
            <w:r w:rsidRPr="00D767A0">
              <w:rPr>
                <w:rFonts w:eastAsia="Times New Roman" w:cs="Arial"/>
                <w:i/>
                <w:iCs/>
                <w:color w:val="808080"/>
                <w:sz w:val="16"/>
                <w:szCs w:val="16"/>
              </w:rPr>
              <w:t>FBT inclusion</w:t>
            </w: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hideMark/>
          </w:tcPr>
          <w:p w:rsidR="00D767A0" w:rsidRPr="00D767A0" w:rsidRDefault="008F1279" w:rsidP="00921AC5">
            <w:pPr>
              <w:spacing w:before="0" w:after="0" w:line="240" w:lineRule="auto"/>
              <w:jc w:val="right"/>
              <w:rPr>
                <w:rFonts w:eastAsia="Times New Roman" w:cs="Arial"/>
                <w:i/>
                <w:iCs/>
                <w:color w:val="808080"/>
                <w:sz w:val="16"/>
                <w:szCs w:val="16"/>
              </w:rPr>
            </w:pPr>
            <w:r>
              <w:rPr>
                <w:rFonts w:eastAsia="Times New Roman" w:cs="Arial"/>
                <w:i/>
                <w:iCs/>
                <w:color w:val="808080"/>
                <w:sz w:val="16"/>
                <w:szCs w:val="16"/>
              </w:rPr>
              <w:t>0</w:t>
            </w: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D767A0" w:rsidRPr="00D767A0" w:rsidRDefault="00D767A0" w:rsidP="00921AC5">
            <w:pPr>
              <w:spacing w:before="0" w:after="0" w:line="240" w:lineRule="auto"/>
              <w:jc w:val="right"/>
              <w:rPr>
                <w:rFonts w:eastAsia="Times New Roman" w:cs="Arial"/>
                <w:color w:val="000000"/>
                <w:sz w:val="16"/>
                <w:szCs w:val="16"/>
              </w:rPr>
            </w:pPr>
          </w:p>
        </w:tc>
      </w:tr>
      <w:tr w:rsidR="00D767A0" w:rsidRPr="00D767A0" w:rsidTr="000553AA">
        <w:trPr>
          <w:trHeight w:val="225"/>
        </w:trPr>
        <w:tc>
          <w:tcPr>
            <w:tcW w:w="4252" w:type="dxa"/>
            <w:tcBorders>
              <w:top w:val="nil"/>
              <w:bottom w:val="nil"/>
              <w:right w:val="nil"/>
            </w:tcBorders>
            <w:shd w:val="clear" w:color="auto" w:fill="auto"/>
            <w:noWrap/>
            <w:vAlign w:val="center"/>
            <w:hideMark/>
          </w:tcPr>
          <w:p w:rsidR="00D767A0" w:rsidRPr="00D767A0" w:rsidRDefault="00D767A0" w:rsidP="00D33A30">
            <w:pPr>
              <w:spacing w:before="0" w:after="0" w:line="240" w:lineRule="auto"/>
              <w:ind w:left="227"/>
              <w:rPr>
                <w:rFonts w:eastAsia="Times New Roman" w:cs="Arial"/>
                <w:i/>
                <w:iCs/>
                <w:color w:val="808080"/>
                <w:sz w:val="16"/>
                <w:szCs w:val="16"/>
              </w:rPr>
            </w:pPr>
            <w:r w:rsidRPr="00D767A0">
              <w:rPr>
                <w:rFonts w:eastAsia="Times New Roman" w:cs="Arial"/>
                <w:i/>
                <w:iCs/>
                <w:color w:val="808080"/>
                <w:sz w:val="16"/>
                <w:szCs w:val="16"/>
              </w:rPr>
              <w:t>Reclassification</w:t>
            </w: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bottom w:val="nil"/>
            </w:tcBorders>
            <w:shd w:val="clear" w:color="auto" w:fill="auto"/>
            <w:noWrap/>
            <w:vAlign w:val="center"/>
          </w:tcPr>
          <w:p w:rsidR="00D767A0" w:rsidRPr="00D767A0" w:rsidRDefault="00D767A0" w:rsidP="00921AC5">
            <w:pPr>
              <w:spacing w:before="0" w:after="0" w:line="240" w:lineRule="auto"/>
              <w:jc w:val="right"/>
              <w:rPr>
                <w:rFonts w:eastAsia="Times New Roman" w:cs="Arial"/>
                <w:color w:val="000000"/>
                <w:sz w:val="16"/>
                <w:szCs w:val="16"/>
              </w:rPr>
            </w:pPr>
          </w:p>
        </w:tc>
      </w:tr>
      <w:tr w:rsidR="00D767A0" w:rsidRPr="00D767A0" w:rsidTr="000553AA">
        <w:trPr>
          <w:trHeight w:val="225"/>
        </w:trPr>
        <w:tc>
          <w:tcPr>
            <w:tcW w:w="4252" w:type="dxa"/>
            <w:tcBorders>
              <w:top w:val="nil"/>
              <w:right w:val="nil"/>
            </w:tcBorders>
            <w:shd w:val="clear" w:color="auto" w:fill="auto"/>
            <w:noWrap/>
            <w:vAlign w:val="center"/>
            <w:hideMark/>
          </w:tcPr>
          <w:p w:rsidR="00D767A0" w:rsidRPr="00D767A0" w:rsidRDefault="00D767A0" w:rsidP="00D33A30">
            <w:pPr>
              <w:spacing w:before="0" w:after="0" w:line="240" w:lineRule="auto"/>
              <w:ind w:left="340"/>
              <w:rPr>
                <w:rFonts w:eastAsia="Times New Roman" w:cs="Arial"/>
                <w:i/>
                <w:iCs/>
                <w:color w:val="808080"/>
                <w:sz w:val="16"/>
                <w:szCs w:val="16"/>
              </w:rPr>
            </w:pPr>
            <w:r w:rsidRPr="00D767A0">
              <w:rPr>
                <w:rFonts w:eastAsia="Times New Roman" w:cs="Arial"/>
                <w:i/>
                <w:iCs/>
                <w:color w:val="808080"/>
                <w:sz w:val="16"/>
                <w:szCs w:val="16"/>
              </w:rPr>
              <w:t>Operation sunlight - specific purpose payment</w:t>
            </w:r>
          </w:p>
        </w:tc>
        <w:tc>
          <w:tcPr>
            <w:tcW w:w="794" w:type="dxa"/>
            <w:tcBorders>
              <w:top w:val="nil"/>
              <w:left w:val="nil"/>
              <w:right w:val="nil"/>
            </w:tcBorders>
            <w:shd w:val="clear" w:color="auto" w:fill="auto"/>
            <w:noWrap/>
            <w:vAlign w:val="center"/>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i/>
                <w:iCs/>
                <w:color w:val="808080"/>
                <w:sz w:val="16"/>
                <w:szCs w:val="16"/>
              </w:rPr>
            </w:pP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i/>
                <w:iCs/>
                <w:color w:val="808080"/>
                <w:sz w:val="16"/>
                <w:szCs w:val="16"/>
              </w:rPr>
            </w:pPr>
            <w:r w:rsidRPr="00D767A0">
              <w:rPr>
                <w:rFonts w:eastAsia="Times New Roman" w:cs="Arial"/>
                <w:i/>
                <w:iCs/>
                <w:color w:val="808080"/>
                <w:sz w:val="16"/>
                <w:szCs w:val="16"/>
              </w:rPr>
              <w:t>5</w:t>
            </w: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c>
          <w:tcPr>
            <w:tcW w:w="794" w:type="dxa"/>
            <w:tcBorders>
              <w:top w:val="nil"/>
              <w:lef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p>
        </w:tc>
      </w:tr>
      <w:tr w:rsidR="00D767A0" w:rsidRPr="00D767A0" w:rsidTr="0036184E">
        <w:trPr>
          <w:trHeight w:val="225"/>
        </w:trPr>
        <w:tc>
          <w:tcPr>
            <w:tcW w:w="4252" w:type="dxa"/>
            <w:tcBorders>
              <w:bottom w:val="dotted" w:sz="8" w:space="0" w:color="auto"/>
              <w:right w:val="nil"/>
            </w:tcBorders>
            <w:shd w:val="clear" w:color="auto" w:fill="auto"/>
            <w:noWrap/>
            <w:vAlign w:val="center"/>
            <w:hideMark/>
          </w:tcPr>
          <w:p w:rsidR="00D767A0" w:rsidRPr="00D767A0" w:rsidRDefault="00D767A0" w:rsidP="00D33A30">
            <w:pPr>
              <w:spacing w:before="0" w:after="0" w:line="240" w:lineRule="auto"/>
              <w:ind w:left="113"/>
              <w:rPr>
                <w:rFonts w:eastAsia="Times New Roman" w:cs="Arial"/>
                <w:color w:val="000000"/>
                <w:sz w:val="16"/>
                <w:szCs w:val="16"/>
              </w:rPr>
            </w:pPr>
            <w:r w:rsidRPr="00D767A0">
              <w:rPr>
                <w:rFonts w:eastAsia="Times New Roman" w:cs="Arial"/>
                <w:color w:val="000000"/>
                <w:sz w:val="16"/>
                <w:szCs w:val="16"/>
              </w:rPr>
              <w:t xml:space="preserve">Health services </w:t>
            </w:r>
            <w:r w:rsidR="00D67E15">
              <w:rPr>
                <w:rFonts w:eastAsia="Times New Roman" w:cs="Arial"/>
                <w:color w:val="000000"/>
                <w:sz w:val="16"/>
                <w:szCs w:val="16"/>
              </w:rPr>
              <w:t xml:space="preserve">- </w:t>
            </w:r>
            <w:r w:rsidRPr="00D767A0">
              <w:rPr>
                <w:rFonts w:eastAsia="Times New Roman" w:cs="Arial"/>
                <w:color w:val="000000"/>
                <w:sz w:val="16"/>
                <w:szCs w:val="16"/>
              </w:rPr>
              <w:t>total</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1559</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2111</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3114</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2962</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3622</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2876</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3725</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4608</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5627</w:t>
            </w:r>
          </w:p>
        </w:tc>
        <w:tc>
          <w:tcPr>
            <w:tcW w:w="794" w:type="dxa"/>
            <w:tcBorders>
              <w:left w:val="nil"/>
              <w:bottom w:val="dotted" w:sz="8" w:space="0" w:color="auto"/>
              <w:right w:val="nil"/>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7359</w:t>
            </w:r>
          </w:p>
        </w:tc>
        <w:tc>
          <w:tcPr>
            <w:tcW w:w="794" w:type="dxa"/>
            <w:tcBorders>
              <w:left w:val="nil"/>
              <w:bottom w:val="dotted" w:sz="8" w:space="0" w:color="auto"/>
            </w:tcBorders>
            <w:shd w:val="clear" w:color="auto" w:fill="auto"/>
            <w:noWrap/>
            <w:vAlign w:val="center"/>
            <w:hideMark/>
          </w:tcPr>
          <w:p w:rsidR="00D767A0" w:rsidRPr="00D767A0" w:rsidRDefault="00D767A0"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6294</w:t>
            </w:r>
          </w:p>
        </w:tc>
      </w:tr>
      <w:tr w:rsidR="00A0053B" w:rsidRPr="00D767A0" w:rsidTr="0036184E">
        <w:trPr>
          <w:trHeight w:val="225"/>
        </w:trPr>
        <w:tc>
          <w:tcPr>
            <w:tcW w:w="4252" w:type="dxa"/>
            <w:tcBorders>
              <w:top w:val="dotted" w:sz="8" w:space="0" w:color="auto"/>
              <w:right w:val="nil"/>
            </w:tcBorders>
            <w:shd w:val="clear" w:color="auto" w:fill="auto"/>
            <w:noWrap/>
            <w:vAlign w:val="center"/>
          </w:tcPr>
          <w:p w:rsidR="00A0053B" w:rsidRPr="00D767A0" w:rsidRDefault="00A0053B" w:rsidP="00921AC5">
            <w:pPr>
              <w:spacing w:before="0" w:after="0" w:line="240" w:lineRule="auto"/>
              <w:ind w:left="113"/>
              <w:rPr>
                <w:rFonts w:eastAsia="Times New Roman" w:cs="Arial"/>
                <w:color w:val="000000"/>
                <w:sz w:val="16"/>
                <w:szCs w:val="16"/>
              </w:rPr>
            </w:pPr>
            <w:r w:rsidRPr="00D767A0">
              <w:rPr>
                <w:rFonts w:eastAsia="Times New Roman" w:cs="Arial"/>
                <w:color w:val="000000"/>
                <w:sz w:val="16"/>
                <w:szCs w:val="16"/>
              </w:rPr>
              <w:t>General administration - as published</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1333</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506</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566</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599</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576</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764</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1291</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1544</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1817</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3159</w:t>
            </w:r>
          </w:p>
        </w:tc>
        <w:tc>
          <w:tcPr>
            <w:tcW w:w="794" w:type="dxa"/>
            <w:tcBorders>
              <w:top w:val="dotted" w:sz="8" w:space="0" w:color="auto"/>
              <w:lef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3164</w:t>
            </w:r>
          </w:p>
        </w:tc>
      </w:tr>
      <w:tr w:rsidR="00A0053B" w:rsidRPr="00D767A0" w:rsidTr="000553AA">
        <w:trPr>
          <w:trHeight w:val="225"/>
        </w:trPr>
        <w:tc>
          <w:tcPr>
            <w:tcW w:w="4252" w:type="dxa"/>
            <w:tcBorders>
              <w:right w:val="nil"/>
            </w:tcBorders>
            <w:shd w:val="clear" w:color="auto" w:fill="auto"/>
            <w:noWrap/>
            <w:vAlign w:val="center"/>
          </w:tcPr>
          <w:p w:rsidR="00A0053B" w:rsidRPr="00D767A0" w:rsidRDefault="00A0053B" w:rsidP="00921AC5">
            <w:pPr>
              <w:spacing w:before="0" w:after="0" w:line="240" w:lineRule="auto"/>
              <w:ind w:left="227"/>
              <w:rPr>
                <w:rFonts w:eastAsia="Times New Roman" w:cs="Arial"/>
                <w:i/>
                <w:iCs/>
                <w:color w:val="808080"/>
                <w:sz w:val="16"/>
                <w:szCs w:val="16"/>
              </w:rPr>
            </w:pPr>
            <w:r w:rsidRPr="00D767A0">
              <w:rPr>
                <w:rFonts w:eastAsia="Times New Roman" w:cs="Arial"/>
                <w:i/>
                <w:iCs/>
                <w:color w:val="808080"/>
                <w:sz w:val="16"/>
                <w:szCs w:val="16"/>
              </w:rPr>
              <w:t>Accounting change - FBT inclusion</w:t>
            </w:r>
          </w:p>
        </w:tc>
        <w:tc>
          <w:tcPr>
            <w:tcW w:w="794" w:type="dxa"/>
            <w:tcBorders>
              <w:left w:val="nil"/>
              <w:right w:val="nil"/>
            </w:tcBorders>
            <w:shd w:val="clear" w:color="auto" w:fill="auto"/>
            <w:noWrap/>
            <w:vAlign w:val="center"/>
          </w:tcPr>
          <w:p w:rsidR="00A0053B" w:rsidRPr="00D767A0" w:rsidRDefault="00611D28" w:rsidP="00611D28">
            <w:pPr>
              <w:spacing w:before="0" w:after="0" w:line="240" w:lineRule="auto"/>
              <w:jc w:val="right"/>
              <w:rPr>
                <w:rFonts w:eastAsia="Times New Roman" w:cs="Arial"/>
                <w:i/>
                <w:iCs/>
                <w:color w:val="808080"/>
                <w:sz w:val="16"/>
                <w:szCs w:val="16"/>
              </w:rPr>
            </w:pPr>
            <w:r>
              <w:rPr>
                <w:rFonts w:eastAsia="Times New Roman" w:cs="Arial"/>
                <w:i/>
                <w:iCs/>
                <w:color w:val="808080"/>
                <w:sz w:val="16"/>
                <w:szCs w:val="16"/>
              </w:rPr>
              <w:t>2</w:t>
            </w:r>
          </w:p>
        </w:tc>
        <w:tc>
          <w:tcPr>
            <w:tcW w:w="794" w:type="dxa"/>
            <w:tcBorders>
              <w:left w:val="nil"/>
              <w:right w:val="nil"/>
            </w:tcBorders>
            <w:shd w:val="clear" w:color="auto" w:fill="auto"/>
            <w:noWrap/>
            <w:vAlign w:val="center"/>
          </w:tcPr>
          <w:p w:rsidR="00A0053B" w:rsidRPr="00D767A0" w:rsidRDefault="00A0053B" w:rsidP="00611D28">
            <w:pPr>
              <w:spacing w:before="0" w:after="0" w:line="240" w:lineRule="auto"/>
              <w:jc w:val="right"/>
              <w:rPr>
                <w:rFonts w:eastAsia="Times New Roman" w:cs="Arial"/>
                <w:i/>
                <w:iCs/>
                <w:color w:val="808080"/>
                <w:sz w:val="16"/>
                <w:szCs w:val="16"/>
              </w:rPr>
            </w:pPr>
            <w:r w:rsidRPr="00D767A0">
              <w:rPr>
                <w:rFonts w:eastAsia="Times New Roman" w:cs="Arial"/>
                <w:i/>
                <w:iCs/>
                <w:color w:val="808080"/>
                <w:sz w:val="16"/>
                <w:szCs w:val="16"/>
              </w:rPr>
              <w:t>0</w:t>
            </w:r>
          </w:p>
        </w:tc>
        <w:tc>
          <w:tcPr>
            <w:tcW w:w="794" w:type="dxa"/>
            <w:tcBorders>
              <w:left w:val="nil"/>
              <w:right w:val="nil"/>
            </w:tcBorders>
            <w:shd w:val="clear" w:color="auto" w:fill="auto"/>
            <w:noWrap/>
            <w:vAlign w:val="center"/>
          </w:tcPr>
          <w:p w:rsidR="00A0053B" w:rsidRPr="00D767A0" w:rsidRDefault="00A0053B" w:rsidP="00611D28">
            <w:pPr>
              <w:spacing w:before="0" w:after="0" w:line="240" w:lineRule="auto"/>
              <w:jc w:val="right"/>
              <w:rPr>
                <w:rFonts w:eastAsia="Times New Roman" w:cs="Arial"/>
                <w:i/>
                <w:iCs/>
                <w:color w:val="808080"/>
                <w:sz w:val="16"/>
                <w:szCs w:val="16"/>
              </w:rPr>
            </w:pPr>
            <w:r w:rsidRPr="00D767A0">
              <w:rPr>
                <w:rFonts w:eastAsia="Times New Roman" w:cs="Arial"/>
                <w:i/>
                <w:iCs/>
                <w:color w:val="808080"/>
                <w:sz w:val="16"/>
                <w:szCs w:val="16"/>
              </w:rPr>
              <w:t>2</w:t>
            </w: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r>
      <w:tr w:rsidR="00A0053B" w:rsidRPr="00D767A0" w:rsidTr="0036184E">
        <w:trPr>
          <w:trHeight w:val="225"/>
        </w:trPr>
        <w:tc>
          <w:tcPr>
            <w:tcW w:w="4252" w:type="dxa"/>
            <w:tcBorders>
              <w:bottom w:val="dotted" w:sz="8" w:space="0" w:color="auto"/>
              <w:right w:val="nil"/>
            </w:tcBorders>
            <w:shd w:val="clear" w:color="auto" w:fill="auto"/>
            <w:noWrap/>
            <w:vAlign w:val="center"/>
          </w:tcPr>
          <w:p w:rsidR="00A0053B" w:rsidRPr="00D767A0" w:rsidRDefault="00A0053B" w:rsidP="00921AC5">
            <w:pPr>
              <w:spacing w:before="0" w:after="0" w:line="240" w:lineRule="auto"/>
              <w:ind w:left="113"/>
              <w:rPr>
                <w:rFonts w:eastAsia="Times New Roman" w:cs="Arial"/>
                <w:color w:val="000000"/>
                <w:sz w:val="16"/>
                <w:szCs w:val="16"/>
              </w:rPr>
            </w:pPr>
            <w:r w:rsidRPr="00D767A0">
              <w:rPr>
                <w:rFonts w:eastAsia="Times New Roman" w:cs="Arial"/>
                <w:color w:val="000000"/>
                <w:sz w:val="16"/>
                <w:szCs w:val="16"/>
              </w:rPr>
              <w:t>General administration - total</w:t>
            </w:r>
          </w:p>
        </w:tc>
        <w:tc>
          <w:tcPr>
            <w:tcW w:w="794" w:type="dxa"/>
            <w:tcBorders>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1335</w:t>
            </w:r>
          </w:p>
        </w:tc>
        <w:tc>
          <w:tcPr>
            <w:tcW w:w="794" w:type="dxa"/>
            <w:tcBorders>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506</w:t>
            </w:r>
          </w:p>
        </w:tc>
        <w:tc>
          <w:tcPr>
            <w:tcW w:w="794" w:type="dxa"/>
            <w:tcBorders>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568</w:t>
            </w:r>
          </w:p>
        </w:tc>
        <w:tc>
          <w:tcPr>
            <w:tcW w:w="794" w:type="dxa"/>
            <w:tcBorders>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599</w:t>
            </w:r>
          </w:p>
        </w:tc>
        <w:tc>
          <w:tcPr>
            <w:tcW w:w="794" w:type="dxa"/>
            <w:tcBorders>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576</w:t>
            </w:r>
          </w:p>
        </w:tc>
        <w:tc>
          <w:tcPr>
            <w:tcW w:w="794" w:type="dxa"/>
            <w:tcBorders>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764</w:t>
            </w:r>
          </w:p>
        </w:tc>
        <w:tc>
          <w:tcPr>
            <w:tcW w:w="794" w:type="dxa"/>
            <w:tcBorders>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1291</w:t>
            </w:r>
          </w:p>
        </w:tc>
        <w:tc>
          <w:tcPr>
            <w:tcW w:w="794" w:type="dxa"/>
            <w:tcBorders>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1544</w:t>
            </w:r>
          </w:p>
        </w:tc>
        <w:tc>
          <w:tcPr>
            <w:tcW w:w="794" w:type="dxa"/>
            <w:tcBorders>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1817</w:t>
            </w:r>
          </w:p>
        </w:tc>
        <w:tc>
          <w:tcPr>
            <w:tcW w:w="794" w:type="dxa"/>
            <w:tcBorders>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3159</w:t>
            </w:r>
          </w:p>
        </w:tc>
        <w:tc>
          <w:tcPr>
            <w:tcW w:w="794" w:type="dxa"/>
            <w:tcBorders>
              <w:left w:val="nil"/>
              <w:bottom w:val="dotted" w:sz="8" w:space="0" w:color="auto"/>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3164</w:t>
            </w:r>
          </w:p>
        </w:tc>
      </w:tr>
      <w:tr w:rsidR="00A0053B" w:rsidRPr="00D767A0" w:rsidTr="0036184E">
        <w:trPr>
          <w:trHeight w:val="225"/>
        </w:trPr>
        <w:tc>
          <w:tcPr>
            <w:tcW w:w="4252" w:type="dxa"/>
            <w:tcBorders>
              <w:top w:val="dotted" w:sz="8" w:space="0" w:color="auto"/>
              <w:right w:val="nil"/>
            </w:tcBorders>
            <w:shd w:val="clear" w:color="auto" w:fill="auto"/>
            <w:noWrap/>
            <w:vAlign w:val="center"/>
          </w:tcPr>
          <w:p w:rsidR="00A0053B" w:rsidRPr="00D767A0" w:rsidRDefault="00A0053B" w:rsidP="00921AC5">
            <w:pPr>
              <w:spacing w:before="0" w:after="0" w:line="240" w:lineRule="auto"/>
              <w:ind w:left="113"/>
              <w:rPr>
                <w:rFonts w:eastAsia="Times New Roman" w:cs="Arial"/>
                <w:color w:val="000000"/>
                <w:sz w:val="16"/>
                <w:szCs w:val="16"/>
              </w:rPr>
            </w:pPr>
            <w:r w:rsidRPr="00D767A0">
              <w:rPr>
                <w:rFonts w:eastAsia="Times New Roman" w:cs="Arial"/>
                <w:color w:val="000000"/>
                <w:sz w:val="16"/>
                <w:szCs w:val="16"/>
              </w:rPr>
              <w:t>Health assistance to the aged - as published</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64</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139</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257</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227</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89</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816</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107</w:t>
            </w: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top w:val="dotted" w:sz="8" w:space="0" w:color="auto"/>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top w:val="dotted" w:sz="8" w:space="0" w:color="auto"/>
              <w:lef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r>
      <w:tr w:rsidR="00A0053B" w:rsidRPr="00D767A0" w:rsidTr="000553AA">
        <w:trPr>
          <w:trHeight w:val="225"/>
        </w:trPr>
        <w:tc>
          <w:tcPr>
            <w:tcW w:w="4252" w:type="dxa"/>
            <w:tcBorders>
              <w:right w:val="nil"/>
            </w:tcBorders>
            <w:shd w:val="clear" w:color="auto" w:fill="auto"/>
            <w:noWrap/>
            <w:vAlign w:val="center"/>
          </w:tcPr>
          <w:p w:rsidR="00A0053B" w:rsidRPr="00D767A0" w:rsidRDefault="00A0053B" w:rsidP="00921AC5">
            <w:pPr>
              <w:spacing w:before="0" w:after="0" w:line="240" w:lineRule="auto"/>
              <w:ind w:left="227"/>
              <w:rPr>
                <w:rFonts w:eastAsia="Times New Roman" w:cs="Arial"/>
                <w:i/>
                <w:iCs/>
                <w:color w:val="808080"/>
                <w:sz w:val="16"/>
                <w:szCs w:val="16"/>
              </w:rPr>
            </w:pPr>
            <w:r w:rsidRPr="00D767A0">
              <w:rPr>
                <w:rFonts w:eastAsia="Times New Roman" w:cs="Arial"/>
                <w:i/>
                <w:iCs/>
                <w:color w:val="808080"/>
                <w:sz w:val="16"/>
                <w:szCs w:val="16"/>
              </w:rPr>
              <w:t>Reclassification</w:t>
            </w: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r>
      <w:tr w:rsidR="00A0053B" w:rsidRPr="00D767A0" w:rsidTr="00740E04">
        <w:trPr>
          <w:trHeight w:val="225"/>
        </w:trPr>
        <w:tc>
          <w:tcPr>
            <w:tcW w:w="4252" w:type="dxa"/>
            <w:tcBorders>
              <w:right w:val="nil"/>
            </w:tcBorders>
            <w:shd w:val="clear" w:color="auto" w:fill="auto"/>
            <w:noWrap/>
            <w:vAlign w:val="center"/>
          </w:tcPr>
          <w:p w:rsidR="00A0053B" w:rsidRPr="00D767A0" w:rsidRDefault="00A0053B" w:rsidP="00577E17">
            <w:pPr>
              <w:spacing w:before="0" w:after="0" w:line="240" w:lineRule="auto"/>
              <w:ind w:left="340"/>
              <w:rPr>
                <w:rFonts w:eastAsia="Times New Roman" w:cs="Arial"/>
                <w:i/>
                <w:iCs/>
                <w:color w:val="808080"/>
                <w:sz w:val="16"/>
                <w:szCs w:val="16"/>
              </w:rPr>
            </w:pPr>
            <w:r w:rsidRPr="00D767A0">
              <w:rPr>
                <w:rFonts w:eastAsia="Times New Roman" w:cs="Arial"/>
                <w:i/>
                <w:iCs/>
                <w:color w:val="808080"/>
                <w:sz w:val="16"/>
                <w:szCs w:val="16"/>
              </w:rPr>
              <w:t xml:space="preserve">Operation sunlight - Health assistance to the aged </w:t>
            </w: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i/>
                <w:iCs/>
                <w:color w:val="808080"/>
                <w:sz w:val="16"/>
                <w:szCs w:val="16"/>
              </w:rPr>
            </w:pPr>
            <w:r w:rsidRPr="00D767A0">
              <w:rPr>
                <w:rFonts w:eastAsia="Times New Roman" w:cs="Arial"/>
                <w:i/>
                <w:iCs/>
                <w:color w:val="808080"/>
                <w:sz w:val="16"/>
                <w:szCs w:val="16"/>
              </w:rPr>
              <w:t>-64</w:t>
            </w: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i/>
                <w:iCs/>
                <w:color w:val="808080"/>
                <w:sz w:val="16"/>
                <w:szCs w:val="16"/>
              </w:rPr>
            </w:pPr>
            <w:r w:rsidRPr="00D767A0">
              <w:rPr>
                <w:rFonts w:eastAsia="Times New Roman" w:cs="Arial"/>
                <w:i/>
                <w:iCs/>
                <w:color w:val="808080"/>
                <w:sz w:val="16"/>
                <w:szCs w:val="16"/>
              </w:rPr>
              <w:t>-139</w:t>
            </w: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i/>
                <w:iCs/>
                <w:color w:val="808080"/>
                <w:sz w:val="16"/>
                <w:szCs w:val="16"/>
              </w:rPr>
            </w:pPr>
            <w:r w:rsidRPr="00D767A0">
              <w:rPr>
                <w:rFonts w:eastAsia="Times New Roman" w:cs="Arial"/>
                <w:i/>
                <w:iCs/>
                <w:color w:val="808080"/>
                <w:sz w:val="16"/>
                <w:szCs w:val="16"/>
              </w:rPr>
              <w:t>-257</w:t>
            </w: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i/>
                <w:iCs/>
                <w:color w:val="808080"/>
                <w:sz w:val="16"/>
                <w:szCs w:val="16"/>
              </w:rPr>
            </w:pPr>
            <w:r w:rsidRPr="00D767A0">
              <w:rPr>
                <w:rFonts w:eastAsia="Times New Roman" w:cs="Arial"/>
                <w:i/>
                <w:iCs/>
                <w:color w:val="808080"/>
                <w:sz w:val="16"/>
                <w:szCs w:val="16"/>
              </w:rPr>
              <w:t>-227</w:t>
            </w: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i/>
                <w:iCs/>
                <w:color w:val="808080"/>
                <w:sz w:val="16"/>
                <w:szCs w:val="16"/>
              </w:rPr>
            </w:pPr>
            <w:r w:rsidRPr="00D767A0">
              <w:rPr>
                <w:rFonts w:eastAsia="Times New Roman" w:cs="Arial"/>
                <w:i/>
                <w:iCs/>
                <w:color w:val="808080"/>
                <w:sz w:val="16"/>
                <w:szCs w:val="16"/>
              </w:rPr>
              <w:t>-89</w:t>
            </w: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i/>
                <w:iCs/>
                <w:color w:val="808080"/>
                <w:sz w:val="16"/>
                <w:szCs w:val="16"/>
              </w:rPr>
            </w:pPr>
            <w:r w:rsidRPr="00D767A0">
              <w:rPr>
                <w:rFonts w:eastAsia="Times New Roman" w:cs="Arial"/>
                <w:i/>
                <w:iCs/>
                <w:color w:val="808080"/>
                <w:sz w:val="16"/>
                <w:szCs w:val="16"/>
              </w:rPr>
              <w:t>-816</w:t>
            </w: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i/>
                <w:iCs/>
                <w:color w:val="808080"/>
                <w:sz w:val="16"/>
                <w:szCs w:val="16"/>
              </w:rPr>
            </w:pPr>
            <w:r w:rsidRPr="00D767A0">
              <w:rPr>
                <w:rFonts w:eastAsia="Times New Roman" w:cs="Arial"/>
                <w:i/>
                <w:iCs/>
                <w:color w:val="808080"/>
                <w:sz w:val="16"/>
                <w:szCs w:val="16"/>
              </w:rPr>
              <w:t>-107</w:t>
            </w: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r>
      <w:tr w:rsidR="00A0053B" w:rsidRPr="00D767A0" w:rsidTr="00740E04">
        <w:trPr>
          <w:trHeight w:val="225"/>
        </w:trPr>
        <w:tc>
          <w:tcPr>
            <w:tcW w:w="4252" w:type="dxa"/>
            <w:tcBorders>
              <w:bottom w:val="dotted" w:sz="4" w:space="0" w:color="auto"/>
              <w:right w:val="nil"/>
            </w:tcBorders>
            <w:shd w:val="clear" w:color="auto" w:fill="auto"/>
            <w:noWrap/>
            <w:vAlign w:val="center"/>
          </w:tcPr>
          <w:p w:rsidR="00A0053B" w:rsidRPr="00D767A0" w:rsidRDefault="00A0053B" w:rsidP="00921AC5">
            <w:pPr>
              <w:spacing w:before="0" w:after="0" w:line="240" w:lineRule="auto"/>
              <w:ind w:left="113"/>
              <w:rPr>
                <w:rFonts w:eastAsia="Times New Roman" w:cs="Arial"/>
                <w:color w:val="000000"/>
                <w:sz w:val="16"/>
                <w:szCs w:val="16"/>
              </w:rPr>
            </w:pPr>
            <w:r w:rsidRPr="00D767A0">
              <w:rPr>
                <w:rFonts w:eastAsia="Times New Roman" w:cs="Arial"/>
                <w:color w:val="000000"/>
                <w:sz w:val="16"/>
                <w:szCs w:val="16"/>
              </w:rPr>
              <w:t>Health assistance to the aged -</w:t>
            </w:r>
            <w:r w:rsidR="00D67E15">
              <w:rPr>
                <w:rFonts w:eastAsia="Times New Roman" w:cs="Arial"/>
                <w:color w:val="000000"/>
                <w:sz w:val="16"/>
                <w:szCs w:val="16"/>
              </w:rPr>
              <w:t xml:space="preserve"> </w:t>
            </w:r>
            <w:r w:rsidRPr="00D767A0">
              <w:rPr>
                <w:rFonts w:eastAsia="Times New Roman" w:cs="Arial"/>
                <w:color w:val="000000"/>
                <w:sz w:val="16"/>
                <w:szCs w:val="16"/>
              </w:rPr>
              <w:t>total</w:t>
            </w:r>
          </w:p>
        </w:tc>
        <w:tc>
          <w:tcPr>
            <w:tcW w:w="794" w:type="dxa"/>
            <w:tcBorders>
              <w:left w:val="nil"/>
              <w:bottom w:val="dotted" w:sz="4"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0</w:t>
            </w:r>
          </w:p>
        </w:tc>
        <w:tc>
          <w:tcPr>
            <w:tcW w:w="794" w:type="dxa"/>
            <w:tcBorders>
              <w:left w:val="nil"/>
              <w:bottom w:val="dotted" w:sz="4"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0</w:t>
            </w:r>
          </w:p>
        </w:tc>
        <w:tc>
          <w:tcPr>
            <w:tcW w:w="794" w:type="dxa"/>
            <w:tcBorders>
              <w:left w:val="nil"/>
              <w:bottom w:val="dotted" w:sz="4"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0</w:t>
            </w:r>
          </w:p>
        </w:tc>
        <w:tc>
          <w:tcPr>
            <w:tcW w:w="794" w:type="dxa"/>
            <w:tcBorders>
              <w:left w:val="nil"/>
              <w:bottom w:val="dotted" w:sz="4"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0</w:t>
            </w:r>
          </w:p>
        </w:tc>
        <w:tc>
          <w:tcPr>
            <w:tcW w:w="794" w:type="dxa"/>
            <w:tcBorders>
              <w:left w:val="nil"/>
              <w:bottom w:val="dotted" w:sz="4"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0</w:t>
            </w:r>
          </w:p>
        </w:tc>
        <w:tc>
          <w:tcPr>
            <w:tcW w:w="794" w:type="dxa"/>
            <w:tcBorders>
              <w:left w:val="nil"/>
              <w:bottom w:val="dotted" w:sz="4"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0</w:t>
            </w:r>
          </w:p>
        </w:tc>
        <w:tc>
          <w:tcPr>
            <w:tcW w:w="794" w:type="dxa"/>
            <w:tcBorders>
              <w:left w:val="nil"/>
              <w:bottom w:val="dotted" w:sz="4"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0</w:t>
            </w:r>
          </w:p>
        </w:tc>
        <w:tc>
          <w:tcPr>
            <w:tcW w:w="794" w:type="dxa"/>
            <w:tcBorders>
              <w:left w:val="nil"/>
              <w:bottom w:val="dotted" w:sz="4"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bottom w:val="dotted" w:sz="4"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bottom w:val="dotted" w:sz="4"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c>
          <w:tcPr>
            <w:tcW w:w="794" w:type="dxa"/>
            <w:tcBorders>
              <w:left w:val="nil"/>
              <w:bottom w:val="dotted" w:sz="4" w:space="0" w:color="auto"/>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p>
        </w:tc>
      </w:tr>
      <w:tr w:rsidR="00A0053B" w:rsidRPr="00D767A0" w:rsidTr="00740E04">
        <w:trPr>
          <w:trHeight w:val="225"/>
        </w:trPr>
        <w:tc>
          <w:tcPr>
            <w:tcW w:w="4252" w:type="dxa"/>
            <w:tcBorders>
              <w:top w:val="dotted" w:sz="4" w:space="0" w:color="auto"/>
              <w:bottom w:val="dotted" w:sz="8" w:space="0" w:color="auto"/>
              <w:right w:val="nil"/>
            </w:tcBorders>
            <w:shd w:val="clear" w:color="auto" w:fill="auto"/>
            <w:noWrap/>
            <w:vAlign w:val="center"/>
          </w:tcPr>
          <w:p w:rsidR="00A0053B" w:rsidRPr="00D767A0" w:rsidRDefault="00A0053B" w:rsidP="00921AC5">
            <w:pPr>
              <w:spacing w:before="0" w:after="0" w:line="240" w:lineRule="auto"/>
              <w:ind w:left="113"/>
              <w:rPr>
                <w:rFonts w:eastAsia="Times New Roman" w:cs="Arial"/>
                <w:color w:val="000000"/>
                <w:sz w:val="16"/>
                <w:szCs w:val="16"/>
              </w:rPr>
            </w:pPr>
            <w:r w:rsidRPr="00D767A0">
              <w:rPr>
                <w:rFonts w:eastAsia="Times New Roman" w:cs="Arial"/>
                <w:color w:val="000000"/>
                <w:sz w:val="16"/>
                <w:szCs w:val="16"/>
              </w:rPr>
              <w:t>National Health Reform Payment</w:t>
            </w:r>
          </w:p>
        </w:tc>
        <w:tc>
          <w:tcPr>
            <w:tcW w:w="794" w:type="dxa"/>
            <w:tcBorders>
              <w:top w:val="dotted" w:sz="4" w:space="0" w:color="auto"/>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7240</w:t>
            </w:r>
          </w:p>
        </w:tc>
        <w:tc>
          <w:tcPr>
            <w:tcW w:w="794" w:type="dxa"/>
            <w:tcBorders>
              <w:top w:val="dotted" w:sz="4" w:space="0" w:color="auto"/>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7512</w:t>
            </w:r>
          </w:p>
        </w:tc>
        <w:tc>
          <w:tcPr>
            <w:tcW w:w="794" w:type="dxa"/>
            <w:tcBorders>
              <w:top w:val="dotted" w:sz="4" w:space="0" w:color="auto"/>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7989</w:t>
            </w:r>
          </w:p>
        </w:tc>
        <w:tc>
          <w:tcPr>
            <w:tcW w:w="794" w:type="dxa"/>
            <w:tcBorders>
              <w:top w:val="dotted" w:sz="4" w:space="0" w:color="auto"/>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8369</w:t>
            </w:r>
          </w:p>
        </w:tc>
        <w:tc>
          <w:tcPr>
            <w:tcW w:w="794" w:type="dxa"/>
            <w:tcBorders>
              <w:top w:val="dotted" w:sz="4" w:space="0" w:color="auto"/>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8867</w:t>
            </w:r>
          </w:p>
        </w:tc>
        <w:tc>
          <w:tcPr>
            <w:tcW w:w="794" w:type="dxa"/>
            <w:tcBorders>
              <w:top w:val="dotted" w:sz="4" w:space="0" w:color="auto"/>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9968</w:t>
            </w:r>
          </w:p>
        </w:tc>
        <w:tc>
          <w:tcPr>
            <w:tcW w:w="794" w:type="dxa"/>
            <w:tcBorders>
              <w:top w:val="dotted" w:sz="4" w:space="0" w:color="auto"/>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10505</w:t>
            </w:r>
          </w:p>
        </w:tc>
        <w:tc>
          <w:tcPr>
            <w:tcW w:w="794" w:type="dxa"/>
            <w:tcBorders>
              <w:top w:val="dotted" w:sz="4" w:space="0" w:color="auto"/>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11303</w:t>
            </w:r>
          </w:p>
        </w:tc>
        <w:tc>
          <w:tcPr>
            <w:tcW w:w="794" w:type="dxa"/>
            <w:tcBorders>
              <w:top w:val="dotted" w:sz="4" w:space="0" w:color="auto"/>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12063</w:t>
            </w:r>
          </w:p>
        </w:tc>
        <w:tc>
          <w:tcPr>
            <w:tcW w:w="794" w:type="dxa"/>
            <w:tcBorders>
              <w:top w:val="dotted" w:sz="4" w:space="0" w:color="auto"/>
              <w:left w:val="nil"/>
              <w:bottom w:val="dotted" w:sz="8" w:space="0" w:color="auto"/>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12544</w:t>
            </w:r>
          </w:p>
        </w:tc>
        <w:tc>
          <w:tcPr>
            <w:tcW w:w="794" w:type="dxa"/>
            <w:tcBorders>
              <w:top w:val="dotted" w:sz="4" w:space="0" w:color="auto"/>
              <w:left w:val="nil"/>
              <w:bottom w:val="dotted" w:sz="8" w:space="0" w:color="auto"/>
            </w:tcBorders>
            <w:shd w:val="clear" w:color="auto" w:fill="auto"/>
            <w:noWrap/>
            <w:vAlign w:val="center"/>
          </w:tcPr>
          <w:p w:rsidR="00A0053B" w:rsidRPr="00D767A0" w:rsidRDefault="00A0053B" w:rsidP="00921AC5">
            <w:pPr>
              <w:spacing w:before="0" w:after="0" w:line="240" w:lineRule="auto"/>
              <w:jc w:val="right"/>
              <w:rPr>
                <w:rFonts w:eastAsia="Times New Roman" w:cs="Arial"/>
                <w:color w:val="000000"/>
                <w:sz w:val="16"/>
                <w:szCs w:val="16"/>
              </w:rPr>
            </w:pPr>
            <w:r w:rsidRPr="00D767A0">
              <w:rPr>
                <w:rFonts w:eastAsia="Times New Roman" w:cs="Arial"/>
                <w:color w:val="000000"/>
                <w:sz w:val="16"/>
                <w:szCs w:val="16"/>
              </w:rPr>
              <w:t>13309</w:t>
            </w:r>
          </w:p>
        </w:tc>
      </w:tr>
      <w:tr w:rsidR="00A0053B" w:rsidRPr="00D767A0" w:rsidTr="0036184E">
        <w:trPr>
          <w:trHeight w:val="225"/>
        </w:trPr>
        <w:tc>
          <w:tcPr>
            <w:tcW w:w="4252" w:type="dxa"/>
            <w:tcBorders>
              <w:top w:val="dotted" w:sz="8" w:space="0" w:color="auto"/>
              <w:bottom w:val="single" w:sz="8" w:space="0" w:color="2B3B5F"/>
            </w:tcBorders>
            <w:shd w:val="clear" w:color="auto" w:fill="auto"/>
            <w:noWrap/>
            <w:vAlign w:val="center"/>
          </w:tcPr>
          <w:p w:rsidR="00A0053B" w:rsidRPr="00D767A0" w:rsidRDefault="00A0053B" w:rsidP="00921AC5">
            <w:pPr>
              <w:spacing w:before="0" w:after="0" w:line="240" w:lineRule="auto"/>
              <w:rPr>
                <w:rFonts w:eastAsia="Times New Roman" w:cs="Arial"/>
                <w:b/>
                <w:bCs/>
                <w:color w:val="000000"/>
                <w:sz w:val="16"/>
                <w:szCs w:val="16"/>
              </w:rPr>
            </w:pPr>
            <w:r w:rsidRPr="00D767A0">
              <w:rPr>
                <w:rFonts w:eastAsia="Times New Roman" w:cs="Arial"/>
                <w:b/>
                <w:bCs/>
                <w:color w:val="000000"/>
                <w:sz w:val="16"/>
                <w:szCs w:val="16"/>
              </w:rPr>
              <w:t>Health - total</w:t>
            </w:r>
          </w:p>
        </w:tc>
        <w:tc>
          <w:tcPr>
            <w:tcW w:w="794" w:type="dxa"/>
            <w:tcBorders>
              <w:top w:val="dotted" w:sz="8" w:space="0" w:color="auto"/>
              <w:bottom w:val="single" w:sz="8" w:space="0" w:color="2B3B5F"/>
            </w:tcBorders>
            <w:shd w:val="clear" w:color="auto" w:fill="auto"/>
            <w:noWrap/>
            <w:vAlign w:val="center"/>
          </w:tcPr>
          <w:p w:rsidR="00A0053B" w:rsidRPr="00D767A0" w:rsidRDefault="00A0053B"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29338</w:t>
            </w:r>
          </w:p>
        </w:tc>
        <w:tc>
          <w:tcPr>
            <w:tcW w:w="794" w:type="dxa"/>
            <w:tcBorders>
              <w:top w:val="dotted" w:sz="8" w:space="0" w:color="auto"/>
              <w:left w:val="nil"/>
              <w:bottom w:val="single" w:sz="8" w:space="0" w:color="2B3B5F"/>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31633</w:t>
            </w:r>
          </w:p>
        </w:tc>
        <w:tc>
          <w:tcPr>
            <w:tcW w:w="794" w:type="dxa"/>
            <w:tcBorders>
              <w:top w:val="dotted" w:sz="8" w:space="0" w:color="auto"/>
              <w:left w:val="nil"/>
              <w:bottom w:val="single" w:sz="8" w:space="0" w:color="2B3B5F"/>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35307</w:t>
            </w:r>
          </w:p>
        </w:tc>
        <w:tc>
          <w:tcPr>
            <w:tcW w:w="794" w:type="dxa"/>
            <w:tcBorders>
              <w:top w:val="dotted" w:sz="8" w:space="0" w:color="auto"/>
              <w:left w:val="nil"/>
              <w:bottom w:val="single" w:sz="8" w:space="0" w:color="2B3B5F"/>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37321</w:t>
            </w:r>
          </w:p>
        </w:tc>
        <w:tc>
          <w:tcPr>
            <w:tcW w:w="794" w:type="dxa"/>
            <w:tcBorders>
              <w:top w:val="dotted" w:sz="8" w:space="0" w:color="auto"/>
              <w:left w:val="nil"/>
              <w:bottom w:val="single" w:sz="8" w:space="0" w:color="2B3B5F"/>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39858</w:t>
            </w:r>
          </w:p>
        </w:tc>
        <w:tc>
          <w:tcPr>
            <w:tcW w:w="794" w:type="dxa"/>
            <w:tcBorders>
              <w:top w:val="dotted" w:sz="8" w:space="0" w:color="auto"/>
              <w:left w:val="nil"/>
              <w:bottom w:val="single" w:sz="8" w:space="0" w:color="2B3B5F"/>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43581</w:t>
            </w:r>
          </w:p>
        </w:tc>
        <w:tc>
          <w:tcPr>
            <w:tcW w:w="794" w:type="dxa"/>
            <w:tcBorders>
              <w:top w:val="dotted" w:sz="8" w:space="0" w:color="auto"/>
              <w:left w:val="nil"/>
              <w:bottom w:val="single" w:sz="8" w:space="0" w:color="2B3B5F"/>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49044</w:t>
            </w:r>
          </w:p>
        </w:tc>
        <w:tc>
          <w:tcPr>
            <w:tcW w:w="794" w:type="dxa"/>
            <w:tcBorders>
              <w:top w:val="dotted" w:sz="8" w:space="0" w:color="auto"/>
              <w:left w:val="nil"/>
              <w:bottom w:val="single" w:sz="8" w:space="0" w:color="2B3B5F"/>
              <w:right w:val="nil"/>
            </w:tcBorders>
            <w:shd w:val="clear" w:color="auto" w:fill="auto"/>
            <w:noWrap/>
            <w:vAlign w:val="center"/>
          </w:tcPr>
          <w:p w:rsidR="00A0053B" w:rsidRPr="00D767A0" w:rsidRDefault="00A0053B" w:rsidP="00921AC5">
            <w:pPr>
              <w:spacing w:before="0" w:after="0" w:line="240" w:lineRule="auto"/>
              <w:jc w:val="right"/>
              <w:rPr>
                <w:rFonts w:eastAsia="Times New Roman" w:cs="Arial"/>
                <w:b/>
                <w:bCs/>
                <w:color w:val="000000"/>
                <w:sz w:val="16"/>
                <w:szCs w:val="16"/>
              </w:rPr>
            </w:pPr>
            <w:r w:rsidRPr="00D767A0">
              <w:rPr>
                <w:rFonts w:eastAsia="Times New Roman" w:cs="Arial"/>
                <w:b/>
                <w:bCs/>
                <w:color w:val="000000"/>
                <w:sz w:val="16"/>
                <w:szCs w:val="16"/>
              </w:rPr>
              <w:t>51426</w:t>
            </w:r>
          </w:p>
        </w:tc>
        <w:tc>
          <w:tcPr>
            <w:tcW w:w="794" w:type="dxa"/>
            <w:tcBorders>
              <w:top w:val="dotted" w:sz="8" w:space="0" w:color="auto"/>
              <w:left w:val="nil"/>
              <w:bottom w:val="single" w:sz="8" w:space="0" w:color="2B3B5F"/>
              <w:right w:val="nil"/>
            </w:tcBorders>
            <w:shd w:val="clear" w:color="auto" w:fill="auto"/>
            <w:noWrap/>
            <w:vAlign w:val="center"/>
          </w:tcPr>
          <w:p w:rsidR="00A0053B" w:rsidRPr="00D767A0" w:rsidRDefault="00E25C7C" w:rsidP="00921AC5">
            <w:pPr>
              <w:spacing w:before="0" w:after="0" w:line="240" w:lineRule="auto"/>
              <w:jc w:val="right"/>
              <w:rPr>
                <w:rFonts w:eastAsia="Times New Roman" w:cs="Arial"/>
                <w:b/>
                <w:bCs/>
                <w:color w:val="000000"/>
                <w:sz w:val="16"/>
                <w:szCs w:val="16"/>
              </w:rPr>
            </w:pPr>
            <w:r>
              <w:rPr>
                <w:rFonts w:eastAsia="Times New Roman" w:cs="Arial"/>
                <w:b/>
                <w:bCs/>
                <w:color w:val="000000"/>
                <w:sz w:val="16"/>
                <w:szCs w:val="16"/>
              </w:rPr>
              <w:t>56070</w:t>
            </w:r>
          </w:p>
        </w:tc>
        <w:tc>
          <w:tcPr>
            <w:tcW w:w="794" w:type="dxa"/>
            <w:tcBorders>
              <w:top w:val="dotted" w:sz="8" w:space="0" w:color="auto"/>
              <w:left w:val="nil"/>
              <w:bottom w:val="single" w:sz="8" w:space="0" w:color="2B3B5F"/>
              <w:right w:val="nil"/>
            </w:tcBorders>
            <w:shd w:val="clear" w:color="auto" w:fill="auto"/>
            <w:noWrap/>
            <w:vAlign w:val="center"/>
          </w:tcPr>
          <w:p w:rsidR="00A0053B" w:rsidRPr="00D767A0" w:rsidRDefault="00BB0EF9" w:rsidP="00921AC5">
            <w:pPr>
              <w:spacing w:before="0" w:after="0" w:line="240" w:lineRule="auto"/>
              <w:jc w:val="right"/>
              <w:rPr>
                <w:rFonts w:eastAsia="Times New Roman" w:cs="Arial"/>
                <w:b/>
                <w:bCs/>
                <w:color w:val="000000"/>
                <w:sz w:val="16"/>
                <w:szCs w:val="16"/>
              </w:rPr>
            </w:pPr>
            <w:r>
              <w:rPr>
                <w:rFonts w:eastAsia="Times New Roman" w:cs="Arial"/>
                <w:b/>
                <w:bCs/>
                <w:color w:val="000000"/>
                <w:sz w:val="16"/>
                <w:szCs w:val="16"/>
              </w:rPr>
              <w:t>62012</w:t>
            </w:r>
          </w:p>
        </w:tc>
        <w:tc>
          <w:tcPr>
            <w:tcW w:w="794" w:type="dxa"/>
            <w:tcBorders>
              <w:top w:val="dotted" w:sz="8" w:space="0" w:color="auto"/>
              <w:left w:val="nil"/>
              <w:bottom w:val="single" w:sz="8" w:space="0" w:color="2B3B5F"/>
            </w:tcBorders>
            <w:shd w:val="clear" w:color="auto" w:fill="auto"/>
            <w:noWrap/>
            <w:vAlign w:val="center"/>
          </w:tcPr>
          <w:p w:rsidR="00A0053B" w:rsidRPr="00D767A0" w:rsidRDefault="00251981" w:rsidP="00921AC5">
            <w:pPr>
              <w:spacing w:before="0" w:after="0" w:line="240" w:lineRule="auto"/>
              <w:jc w:val="right"/>
              <w:rPr>
                <w:rFonts w:eastAsia="Times New Roman" w:cs="Arial"/>
                <w:b/>
                <w:bCs/>
                <w:color w:val="000000"/>
                <w:sz w:val="16"/>
                <w:szCs w:val="16"/>
              </w:rPr>
            </w:pPr>
            <w:r>
              <w:rPr>
                <w:rFonts w:eastAsia="Times New Roman" w:cs="Arial"/>
                <w:b/>
                <w:bCs/>
                <w:color w:val="000000"/>
                <w:sz w:val="16"/>
                <w:szCs w:val="16"/>
              </w:rPr>
              <w:t>61302</w:t>
            </w:r>
          </w:p>
        </w:tc>
      </w:tr>
    </w:tbl>
    <w:p w:rsidR="00CB2B0E" w:rsidRDefault="00CB2B0E">
      <w:r>
        <w:br w:type="page"/>
      </w:r>
    </w:p>
    <w:tbl>
      <w:tblPr>
        <w:tblpPr w:leftFromText="180" w:rightFromText="180" w:vertAnchor="text" w:tblpX="358" w:tblpY="1"/>
        <w:tblOverlap w:val="never"/>
        <w:tblW w:w="12986" w:type="dxa"/>
        <w:tblLook w:val="04A0" w:firstRow="1" w:lastRow="0" w:firstColumn="1" w:lastColumn="0" w:noHBand="0" w:noVBand="1"/>
      </w:tblPr>
      <w:tblGrid>
        <w:gridCol w:w="4252"/>
        <w:gridCol w:w="794"/>
        <w:gridCol w:w="794"/>
        <w:gridCol w:w="794"/>
        <w:gridCol w:w="794"/>
        <w:gridCol w:w="794"/>
        <w:gridCol w:w="794"/>
        <w:gridCol w:w="794"/>
        <w:gridCol w:w="794"/>
        <w:gridCol w:w="794"/>
        <w:gridCol w:w="794"/>
        <w:gridCol w:w="794"/>
      </w:tblGrid>
      <w:tr w:rsidR="00CB2B0E" w:rsidRPr="00D767A0" w:rsidTr="00281BDF">
        <w:trPr>
          <w:trHeight w:val="225"/>
        </w:trPr>
        <w:tc>
          <w:tcPr>
            <w:tcW w:w="4252" w:type="dxa"/>
            <w:tcBorders>
              <w:top w:val="single" w:sz="8" w:space="0" w:color="2B3B5F"/>
              <w:bottom w:val="dotted" w:sz="8" w:space="0" w:color="auto"/>
            </w:tcBorders>
            <w:shd w:val="clear" w:color="auto" w:fill="95A4C6"/>
            <w:noWrap/>
            <w:vAlign w:val="center"/>
          </w:tcPr>
          <w:p w:rsidR="00CB2B0E" w:rsidRPr="00CB2B0E" w:rsidRDefault="00CB2B0E" w:rsidP="00921AC5">
            <w:pPr>
              <w:spacing w:before="0" w:after="0"/>
              <w:rPr>
                <w:rFonts w:cs="Arial"/>
                <w:color w:val="000000"/>
                <w:sz w:val="16"/>
                <w:szCs w:val="16"/>
              </w:rPr>
            </w:pPr>
          </w:p>
        </w:tc>
        <w:tc>
          <w:tcPr>
            <w:tcW w:w="794" w:type="dxa"/>
            <w:tcBorders>
              <w:top w:val="single" w:sz="8" w:space="0" w:color="2B3B5F"/>
              <w:bottom w:val="dotted" w:sz="8" w:space="0" w:color="auto"/>
            </w:tcBorders>
            <w:shd w:val="clear" w:color="auto" w:fill="95A4C6"/>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2002-03</w:t>
            </w:r>
          </w:p>
        </w:tc>
        <w:tc>
          <w:tcPr>
            <w:tcW w:w="794" w:type="dxa"/>
            <w:tcBorders>
              <w:top w:val="single" w:sz="8" w:space="0" w:color="2B3B5F"/>
              <w:left w:val="nil"/>
              <w:bottom w:val="dotted" w:sz="8" w:space="0" w:color="auto"/>
              <w:right w:val="nil"/>
            </w:tcBorders>
            <w:shd w:val="clear" w:color="auto" w:fill="95A4C6"/>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2003-04</w:t>
            </w:r>
          </w:p>
        </w:tc>
        <w:tc>
          <w:tcPr>
            <w:tcW w:w="794" w:type="dxa"/>
            <w:tcBorders>
              <w:top w:val="single" w:sz="8" w:space="0" w:color="2B3B5F"/>
              <w:left w:val="nil"/>
              <w:bottom w:val="dotted" w:sz="8" w:space="0" w:color="auto"/>
              <w:right w:val="nil"/>
            </w:tcBorders>
            <w:shd w:val="clear" w:color="auto" w:fill="95A4C6"/>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2004-05</w:t>
            </w:r>
          </w:p>
        </w:tc>
        <w:tc>
          <w:tcPr>
            <w:tcW w:w="794" w:type="dxa"/>
            <w:tcBorders>
              <w:top w:val="single" w:sz="8" w:space="0" w:color="2B3B5F"/>
              <w:left w:val="nil"/>
              <w:bottom w:val="dotted" w:sz="8" w:space="0" w:color="auto"/>
              <w:right w:val="nil"/>
            </w:tcBorders>
            <w:shd w:val="clear" w:color="auto" w:fill="95A4C6"/>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2005-06</w:t>
            </w:r>
          </w:p>
        </w:tc>
        <w:tc>
          <w:tcPr>
            <w:tcW w:w="794" w:type="dxa"/>
            <w:tcBorders>
              <w:top w:val="single" w:sz="8" w:space="0" w:color="2B3B5F"/>
              <w:left w:val="nil"/>
              <w:bottom w:val="dotted" w:sz="8" w:space="0" w:color="auto"/>
              <w:right w:val="nil"/>
            </w:tcBorders>
            <w:shd w:val="clear" w:color="auto" w:fill="95A4C6"/>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2006-07</w:t>
            </w:r>
          </w:p>
        </w:tc>
        <w:tc>
          <w:tcPr>
            <w:tcW w:w="794" w:type="dxa"/>
            <w:tcBorders>
              <w:top w:val="single" w:sz="8" w:space="0" w:color="2B3B5F"/>
              <w:left w:val="nil"/>
              <w:bottom w:val="dotted" w:sz="8" w:space="0" w:color="auto"/>
              <w:right w:val="nil"/>
            </w:tcBorders>
            <w:shd w:val="clear" w:color="auto" w:fill="95A4C6"/>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2007-08</w:t>
            </w:r>
          </w:p>
        </w:tc>
        <w:tc>
          <w:tcPr>
            <w:tcW w:w="794" w:type="dxa"/>
            <w:tcBorders>
              <w:top w:val="single" w:sz="8" w:space="0" w:color="2B3B5F"/>
              <w:left w:val="nil"/>
              <w:bottom w:val="dotted" w:sz="8" w:space="0" w:color="auto"/>
              <w:right w:val="nil"/>
            </w:tcBorders>
            <w:shd w:val="clear" w:color="auto" w:fill="95A4C6"/>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2008-09</w:t>
            </w:r>
          </w:p>
        </w:tc>
        <w:tc>
          <w:tcPr>
            <w:tcW w:w="794" w:type="dxa"/>
            <w:tcBorders>
              <w:top w:val="single" w:sz="8" w:space="0" w:color="2B3B5F"/>
              <w:left w:val="nil"/>
              <w:bottom w:val="dotted" w:sz="8" w:space="0" w:color="auto"/>
              <w:right w:val="nil"/>
            </w:tcBorders>
            <w:shd w:val="clear" w:color="auto" w:fill="95A4C6"/>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2009-10</w:t>
            </w:r>
          </w:p>
        </w:tc>
        <w:tc>
          <w:tcPr>
            <w:tcW w:w="794" w:type="dxa"/>
            <w:tcBorders>
              <w:top w:val="single" w:sz="8" w:space="0" w:color="2B3B5F"/>
              <w:left w:val="nil"/>
              <w:bottom w:val="dotted" w:sz="8" w:space="0" w:color="auto"/>
              <w:right w:val="nil"/>
            </w:tcBorders>
            <w:shd w:val="clear" w:color="auto" w:fill="95A4C6"/>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2010-11</w:t>
            </w:r>
          </w:p>
        </w:tc>
        <w:tc>
          <w:tcPr>
            <w:tcW w:w="794" w:type="dxa"/>
            <w:tcBorders>
              <w:top w:val="single" w:sz="8" w:space="0" w:color="2B3B5F"/>
              <w:left w:val="nil"/>
              <w:bottom w:val="dotted" w:sz="8" w:space="0" w:color="auto"/>
              <w:right w:val="nil"/>
            </w:tcBorders>
            <w:shd w:val="clear" w:color="auto" w:fill="95A4C6"/>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2011-12</w:t>
            </w:r>
          </w:p>
        </w:tc>
        <w:tc>
          <w:tcPr>
            <w:tcW w:w="794" w:type="dxa"/>
            <w:tcBorders>
              <w:top w:val="single" w:sz="8" w:space="0" w:color="2B3B5F"/>
              <w:left w:val="nil"/>
              <w:bottom w:val="dotted" w:sz="8" w:space="0" w:color="auto"/>
            </w:tcBorders>
            <w:shd w:val="clear" w:color="auto" w:fill="95A4C6"/>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2012-13</w:t>
            </w:r>
          </w:p>
        </w:tc>
      </w:tr>
      <w:tr w:rsidR="00CB2B0E" w:rsidRPr="00D767A0" w:rsidTr="00281BDF">
        <w:trPr>
          <w:trHeight w:val="225"/>
        </w:trPr>
        <w:tc>
          <w:tcPr>
            <w:tcW w:w="4252" w:type="dxa"/>
            <w:tcBorders>
              <w:top w:val="dotted" w:sz="8" w:space="0" w:color="auto"/>
              <w:bottom w:val="dotted" w:sz="8" w:space="0" w:color="auto"/>
            </w:tcBorders>
            <w:shd w:val="clear" w:color="auto" w:fill="auto"/>
            <w:noWrap/>
            <w:vAlign w:val="center"/>
          </w:tcPr>
          <w:p w:rsidR="00CB2B0E" w:rsidRPr="00CB2B0E" w:rsidRDefault="00CB2B0E" w:rsidP="00921AC5">
            <w:pPr>
              <w:spacing w:before="0" w:after="0"/>
              <w:rPr>
                <w:rFonts w:cs="Arial"/>
                <w:b/>
                <w:bCs/>
                <w:color w:val="000000"/>
                <w:sz w:val="16"/>
                <w:szCs w:val="16"/>
              </w:rPr>
            </w:pPr>
            <w:r w:rsidRPr="00CB2B0E">
              <w:rPr>
                <w:rFonts w:cs="Arial"/>
                <w:b/>
                <w:bCs/>
                <w:color w:val="000000"/>
                <w:sz w:val="16"/>
                <w:szCs w:val="16"/>
              </w:rPr>
              <w:t>Social security and welfare - as published</w:t>
            </w:r>
          </w:p>
        </w:tc>
        <w:tc>
          <w:tcPr>
            <w:tcW w:w="794" w:type="dxa"/>
            <w:tcBorders>
              <w:top w:val="dotted" w:sz="8" w:space="0" w:color="auto"/>
              <w:bottom w:val="dotted" w:sz="8" w:space="0" w:color="auto"/>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71263</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80103</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82962</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86219</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92075</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97842</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124581</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109197</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117093</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126747</w:t>
            </w:r>
          </w:p>
        </w:tc>
        <w:tc>
          <w:tcPr>
            <w:tcW w:w="794" w:type="dxa"/>
            <w:tcBorders>
              <w:top w:val="dotted" w:sz="8" w:space="0" w:color="auto"/>
              <w:left w:val="nil"/>
              <w:bottom w:val="dotted" w:sz="8" w:space="0" w:color="auto"/>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131901</w:t>
            </w:r>
          </w:p>
        </w:tc>
      </w:tr>
      <w:tr w:rsidR="00CB2B0E" w:rsidRPr="00D767A0" w:rsidTr="00281BDF">
        <w:trPr>
          <w:trHeight w:val="225"/>
        </w:trPr>
        <w:tc>
          <w:tcPr>
            <w:tcW w:w="4252" w:type="dxa"/>
            <w:tcBorders>
              <w:top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Assistance to the aged -</w:t>
            </w:r>
            <w:r w:rsidR="00D67E15">
              <w:rPr>
                <w:rFonts w:cs="Arial"/>
                <w:color w:val="000000"/>
                <w:sz w:val="16"/>
                <w:szCs w:val="16"/>
              </w:rPr>
              <w:t xml:space="preserve"> </w:t>
            </w:r>
            <w:r w:rsidRPr="00CB2B0E">
              <w:rPr>
                <w:rFonts w:cs="Arial"/>
                <w:color w:val="000000"/>
                <w:sz w:val="16"/>
                <w:szCs w:val="16"/>
              </w:rPr>
              <w:t>as published</w:t>
            </w:r>
          </w:p>
        </w:tc>
        <w:tc>
          <w:tcPr>
            <w:tcW w:w="794" w:type="dxa"/>
            <w:tcBorders>
              <w:top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24834</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27164</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28092</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29839</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32437</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35454</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40367</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40776</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44493</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48231</w:t>
            </w:r>
          </w:p>
        </w:tc>
        <w:tc>
          <w:tcPr>
            <w:tcW w:w="794" w:type="dxa"/>
            <w:tcBorders>
              <w:top w:val="dotted" w:sz="8" w:space="0" w:color="auto"/>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50688</w:t>
            </w:r>
          </w:p>
        </w:tc>
      </w:tr>
      <w:tr w:rsidR="00CB2B0E" w:rsidRPr="00D767A0" w:rsidTr="00740E04">
        <w:trPr>
          <w:trHeight w:val="225"/>
        </w:trPr>
        <w:tc>
          <w:tcPr>
            <w:tcW w:w="4252" w:type="dxa"/>
            <w:shd w:val="clear" w:color="auto" w:fill="auto"/>
            <w:noWrap/>
            <w:vAlign w:val="center"/>
          </w:tcPr>
          <w:p w:rsidR="00CB2B0E" w:rsidRPr="00CB2B0E" w:rsidRDefault="00CB2B0E" w:rsidP="00921AC5">
            <w:pPr>
              <w:spacing w:before="0" w:after="0"/>
              <w:ind w:left="227"/>
              <w:rPr>
                <w:rFonts w:cs="Arial"/>
                <w:i/>
                <w:iCs/>
                <w:color w:val="808080"/>
                <w:sz w:val="16"/>
                <w:szCs w:val="16"/>
              </w:rPr>
            </w:pPr>
            <w:r w:rsidRPr="00CB2B0E">
              <w:rPr>
                <w:rFonts w:cs="Arial"/>
                <w:i/>
                <w:iCs/>
                <w:color w:val="808080"/>
                <w:sz w:val="16"/>
                <w:szCs w:val="16"/>
              </w:rPr>
              <w:t>Reclassification</w:t>
            </w:r>
          </w:p>
        </w:tc>
        <w:tc>
          <w:tcPr>
            <w:tcW w:w="794" w:type="dxa"/>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740E04">
        <w:trPr>
          <w:trHeight w:val="225"/>
        </w:trPr>
        <w:tc>
          <w:tcPr>
            <w:tcW w:w="4252" w:type="dxa"/>
            <w:shd w:val="clear" w:color="auto" w:fill="auto"/>
            <w:noWrap/>
            <w:vAlign w:val="center"/>
          </w:tcPr>
          <w:p w:rsidR="00CB2B0E" w:rsidRPr="00CB2B0E" w:rsidRDefault="00CB2B0E" w:rsidP="00921AC5">
            <w:pPr>
              <w:spacing w:before="0" w:after="0"/>
              <w:ind w:left="340"/>
              <w:rPr>
                <w:rFonts w:cs="Arial"/>
                <w:i/>
                <w:iCs/>
                <w:color w:val="808080"/>
                <w:sz w:val="16"/>
                <w:szCs w:val="16"/>
              </w:rPr>
            </w:pPr>
            <w:r w:rsidRPr="00CB2B0E">
              <w:rPr>
                <w:rFonts w:cs="Arial"/>
                <w:i/>
                <w:iCs/>
                <w:color w:val="808080"/>
                <w:sz w:val="16"/>
                <w:szCs w:val="16"/>
              </w:rPr>
              <w:t xml:space="preserve">Operation sunlight - Health assistance to the aged </w:t>
            </w:r>
          </w:p>
        </w:tc>
        <w:tc>
          <w:tcPr>
            <w:tcW w:w="794" w:type="dxa"/>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64</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139</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257</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227</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89</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816</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107</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740E04">
        <w:trPr>
          <w:trHeight w:val="225"/>
        </w:trPr>
        <w:tc>
          <w:tcPr>
            <w:tcW w:w="4252" w:type="dxa"/>
            <w:tcBorders>
              <w:bottom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Assistance to the aged - total</w:t>
            </w:r>
          </w:p>
        </w:tc>
        <w:tc>
          <w:tcPr>
            <w:tcW w:w="794" w:type="dxa"/>
            <w:tcBorders>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24898</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27303</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28349</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30066</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32526</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36270</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40474</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40776</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44493</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48231</w:t>
            </w:r>
          </w:p>
        </w:tc>
        <w:tc>
          <w:tcPr>
            <w:tcW w:w="794" w:type="dxa"/>
            <w:tcBorders>
              <w:left w:val="nil"/>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50688</w:t>
            </w:r>
          </w:p>
        </w:tc>
      </w:tr>
      <w:tr w:rsidR="00CB2B0E" w:rsidRPr="00D767A0" w:rsidTr="00281BDF">
        <w:trPr>
          <w:trHeight w:val="225"/>
        </w:trPr>
        <w:tc>
          <w:tcPr>
            <w:tcW w:w="4252" w:type="dxa"/>
            <w:tcBorders>
              <w:top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Assistance to veterans and dependants - as published</w:t>
            </w:r>
          </w:p>
        </w:tc>
        <w:tc>
          <w:tcPr>
            <w:tcW w:w="794" w:type="dxa"/>
            <w:tcBorders>
              <w:top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5579</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5737</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5982</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5588</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6244</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6395</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6902</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6851</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7022</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7090</w:t>
            </w:r>
          </w:p>
        </w:tc>
        <w:tc>
          <w:tcPr>
            <w:tcW w:w="794" w:type="dxa"/>
            <w:tcBorders>
              <w:top w:val="dotted" w:sz="8" w:space="0" w:color="auto"/>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6968</w:t>
            </w:r>
          </w:p>
        </w:tc>
      </w:tr>
      <w:tr w:rsidR="00CB2B0E" w:rsidRPr="00D767A0" w:rsidTr="00281BDF">
        <w:trPr>
          <w:trHeight w:val="225"/>
        </w:trPr>
        <w:tc>
          <w:tcPr>
            <w:tcW w:w="4252" w:type="dxa"/>
            <w:shd w:val="clear" w:color="auto" w:fill="auto"/>
            <w:noWrap/>
            <w:vAlign w:val="center"/>
          </w:tcPr>
          <w:p w:rsidR="00CB2B0E" w:rsidRPr="00CB2B0E" w:rsidRDefault="00CB2B0E" w:rsidP="00921AC5">
            <w:pPr>
              <w:spacing w:before="0" w:after="0"/>
              <w:ind w:left="227"/>
              <w:rPr>
                <w:rFonts w:cs="Arial"/>
                <w:i/>
                <w:iCs/>
                <w:color w:val="808080"/>
                <w:sz w:val="16"/>
                <w:szCs w:val="16"/>
              </w:rPr>
            </w:pPr>
            <w:r w:rsidRPr="00CB2B0E">
              <w:rPr>
                <w:rFonts w:cs="Arial"/>
                <w:i/>
                <w:iCs/>
                <w:color w:val="808080"/>
                <w:sz w:val="16"/>
                <w:szCs w:val="16"/>
              </w:rPr>
              <w:t>Accounting change - FBT inclusion</w:t>
            </w:r>
          </w:p>
        </w:tc>
        <w:tc>
          <w:tcPr>
            <w:tcW w:w="794" w:type="dxa"/>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1</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0</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2</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281BDF">
        <w:trPr>
          <w:trHeight w:val="225"/>
        </w:trPr>
        <w:tc>
          <w:tcPr>
            <w:tcW w:w="4252" w:type="dxa"/>
            <w:tcBorders>
              <w:bottom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Assistance to veterans and dependants - total</w:t>
            </w:r>
          </w:p>
        </w:tc>
        <w:tc>
          <w:tcPr>
            <w:tcW w:w="794" w:type="dxa"/>
            <w:tcBorders>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5580</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5737</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5984</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5588</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6244</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6395</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6902</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6851</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7022</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7090</w:t>
            </w:r>
          </w:p>
        </w:tc>
        <w:tc>
          <w:tcPr>
            <w:tcW w:w="794" w:type="dxa"/>
            <w:tcBorders>
              <w:left w:val="nil"/>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6968</w:t>
            </w:r>
          </w:p>
        </w:tc>
      </w:tr>
      <w:tr w:rsidR="00CB2B0E" w:rsidRPr="00D767A0" w:rsidTr="00281BDF">
        <w:trPr>
          <w:trHeight w:val="225"/>
        </w:trPr>
        <w:tc>
          <w:tcPr>
            <w:tcW w:w="4252" w:type="dxa"/>
            <w:tcBorders>
              <w:top w:val="dotted" w:sz="8" w:space="0" w:color="auto"/>
              <w:bottom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Assistance to people with disabilities</w:t>
            </w:r>
          </w:p>
        </w:tc>
        <w:tc>
          <w:tcPr>
            <w:tcW w:w="794" w:type="dxa"/>
            <w:tcBorders>
              <w:top w:val="dotted" w:sz="8" w:space="0" w:color="auto"/>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9551</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10694</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11453</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12316</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12826</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14368</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17229</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18041</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20734</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23016</w:t>
            </w:r>
          </w:p>
        </w:tc>
        <w:tc>
          <w:tcPr>
            <w:tcW w:w="794" w:type="dxa"/>
            <w:tcBorders>
              <w:top w:val="dotted" w:sz="8" w:space="0" w:color="auto"/>
              <w:left w:val="nil"/>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24018</w:t>
            </w:r>
          </w:p>
        </w:tc>
      </w:tr>
      <w:tr w:rsidR="00CB2B0E" w:rsidRPr="00D767A0" w:rsidTr="00281BDF">
        <w:trPr>
          <w:trHeight w:val="225"/>
        </w:trPr>
        <w:tc>
          <w:tcPr>
            <w:tcW w:w="4252" w:type="dxa"/>
            <w:tcBorders>
              <w:top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Assistance to families with children - as published</w:t>
            </w:r>
          </w:p>
        </w:tc>
        <w:tc>
          <w:tcPr>
            <w:tcW w:w="794" w:type="dxa"/>
            <w:tcBorders>
              <w:top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19595</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24600</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25181</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26219</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27810</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28528</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38381</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30063</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31286</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34919</w:t>
            </w:r>
          </w:p>
        </w:tc>
        <w:tc>
          <w:tcPr>
            <w:tcW w:w="794" w:type="dxa"/>
            <w:tcBorders>
              <w:top w:val="dotted" w:sz="8" w:space="0" w:color="auto"/>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35119</w:t>
            </w:r>
          </w:p>
        </w:tc>
      </w:tr>
      <w:tr w:rsidR="00CB2B0E" w:rsidRPr="00D767A0" w:rsidTr="000553AA">
        <w:trPr>
          <w:trHeight w:val="225"/>
        </w:trPr>
        <w:tc>
          <w:tcPr>
            <w:tcW w:w="4252" w:type="dxa"/>
            <w:shd w:val="clear" w:color="auto" w:fill="auto"/>
            <w:noWrap/>
            <w:vAlign w:val="center"/>
          </w:tcPr>
          <w:p w:rsidR="00CB2B0E" w:rsidRPr="00CB2B0E" w:rsidRDefault="00CB2B0E" w:rsidP="00921AC5">
            <w:pPr>
              <w:spacing w:before="0" w:after="0"/>
              <w:ind w:left="227"/>
              <w:rPr>
                <w:rFonts w:cs="Arial"/>
                <w:i/>
                <w:iCs/>
                <w:color w:val="808080"/>
                <w:sz w:val="16"/>
                <w:szCs w:val="16"/>
              </w:rPr>
            </w:pPr>
            <w:r w:rsidRPr="00CB2B0E">
              <w:rPr>
                <w:rFonts w:cs="Arial"/>
                <w:i/>
                <w:iCs/>
                <w:color w:val="808080"/>
                <w:sz w:val="16"/>
                <w:szCs w:val="16"/>
              </w:rPr>
              <w:t xml:space="preserve">Accounting change </w:t>
            </w:r>
          </w:p>
        </w:tc>
        <w:tc>
          <w:tcPr>
            <w:tcW w:w="794" w:type="dxa"/>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874</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739</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0553AA">
        <w:trPr>
          <w:trHeight w:val="225"/>
        </w:trPr>
        <w:tc>
          <w:tcPr>
            <w:tcW w:w="4252" w:type="dxa"/>
            <w:shd w:val="clear" w:color="auto" w:fill="auto"/>
            <w:noWrap/>
            <w:vAlign w:val="center"/>
          </w:tcPr>
          <w:p w:rsidR="00CB2B0E" w:rsidRPr="00CB2B0E" w:rsidRDefault="00CB2B0E" w:rsidP="00921AC5">
            <w:pPr>
              <w:spacing w:before="0" w:after="0"/>
              <w:ind w:left="340"/>
              <w:rPr>
                <w:rFonts w:cs="Arial"/>
                <w:i/>
                <w:iCs/>
                <w:color w:val="808080"/>
                <w:sz w:val="16"/>
                <w:szCs w:val="16"/>
              </w:rPr>
            </w:pPr>
            <w:r w:rsidRPr="00CB2B0E">
              <w:rPr>
                <w:rFonts w:cs="Arial"/>
                <w:i/>
                <w:iCs/>
                <w:color w:val="808080"/>
                <w:sz w:val="16"/>
                <w:szCs w:val="16"/>
              </w:rPr>
              <w:t>ATO ETM/TLM inclusion</w:t>
            </w:r>
          </w:p>
        </w:tc>
        <w:tc>
          <w:tcPr>
            <w:tcW w:w="794" w:type="dxa"/>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0553AA">
        <w:trPr>
          <w:trHeight w:val="225"/>
        </w:trPr>
        <w:tc>
          <w:tcPr>
            <w:tcW w:w="4252" w:type="dxa"/>
            <w:shd w:val="clear" w:color="auto" w:fill="auto"/>
            <w:noWrap/>
            <w:vAlign w:val="center"/>
          </w:tcPr>
          <w:p w:rsidR="00CB2B0E" w:rsidRPr="00CB2B0E" w:rsidRDefault="00CB2B0E" w:rsidP="00921AC5">
            <w:pPr>
              <w:spacing w:before="0" w:after="0"/>
              <w:ind w:left="227"/>
              <w:rPr>
                <w:rFonts w:cs="Arial"/>
                <w:i/>
                <w:iCs/>
                <w:color w:val="808080"/>
                <w:sz w:val="16"/>
                <w:szCs w:val="16"/>
              </w:rPr>
            </w:pPr>
            <w:r w:rsidRPr="00CB2B0E">
              <w:rPr>
                <w:rFonts w:cs="Arial"/>
                <w:i/>
                <w:iCs/>
                <w:color w:val="808080"/>
                <w:sz w:val="16"/>
                <w:szCs w:val="16"/>
              </w:rPr>
              <w:t>Reclassification</w:t>
            </w:r>
          </w:p>
        </w:tc>
        <w:tc>
          <w:tcPr>
            <w:tcW w:w="794" w:type="dxa"/>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0553AA">
        <w:trPr>
          <w:trHeight w:val="225"/>
        </w:trPr>
        <w:tc>
          <w:tcPr>
            <w:tcW w:w="4252" w:type="dxa"/>
            <w:shd w:val="clear" w:color="auto" w:fill="auto"/>
            <w:noWrap/>
            <w:vAlign w:val="center"/>
          </w:tcPr>
          <w:p w:rsidR="00CB2B0E" w:rsidRPr="00CB2B0E" w:rsidRDefault="00577E17" w:rsidP="00921AC5">
            <w:pPr>
              <w:spacing w:before="0" w:after="0"/>
              <w:ind w:left="340"/>
              <w:rPr>
                <w:rFonts w:cs="Arial"/>
                <w:i/>
                <w:iCs/>
                <w:color w:val="808080"/>
                <w:sz w:val="16"/>
                <w:szCs w:val="16"/>
              </w:rPr>
            </w:pPr>
            <w:r>
              <w:rPr>
                <w:rFonts w:cs="Arial"/>
                <w:i/>
                <w:iCs/>
                <w:color w:val="808080"/>
                <w:sz w:val="16"/>
                <w:szCs w:val="16"/>
              </w:rPr>
              <w:t>O</w:t>
            </w:r>
            <w:r w:rsidR="00CB2B0E" w:rsidRPr="00CB2B0E">
              <w:rPr>
                <w:rFonts w:cs="Arial"/>
                <w:i/>
                <w:iCs/>
                <w:color w:val="808080"/>
                <w:sz w:val="16"/>
                <w:szCs w:val="16"/>
              </w:rPr>
              <w:t>peration sunlight - crisis accommodation assistance</w:t>
            </w:r>
          </w:p>
        </w:tc>
        <w:tc>
          <w:tcPr>
            <w:tcW w:w="794" w:type="dxa"/>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-40</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-40</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-40</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-41</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-41</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-42</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-21</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281BDF">
        <w:trPr>
          <w:trHeight w:val="225"/>
        </w:trPr>
        <w:tc>
          <w:tcPr>
            <w:tcW w:w="4252" w:type="dxa"/>
            <w:shd w:val="clear" w:color="auto" w:fill="auto"/>
            <w:noWrap/>
            <w:vAlign w:val="center"/>
          </w:tcPr>
          <w:p w:rsidR="00CB2B0E" w:rsidRPr="00CB2B0E" w:rsidRDefault="00577E17" w:rsidP="00921AC5">
            <w:pPr>
              <w:spacing w:before="0" w:after="0"/>
              <w:ind w:left="340"/>
              <w:rPr>
                <w:rFonts w:cs="Arial"/>
                <w:i/>
                <w:iCs/>
                <w:color w:val="808080"/>
                <w:sz w:val="16"/>
                <w:szCs w:val="16"/>
              </w:rPr>
            </w:pPr>
            <w:r>
              <w:rPr>
                <w:rFonts w:cs="Arial"/>
                <w:i/>
                <w:iCs/>
                <w:color w:val="808080"/>
                <w:sz w:val="16"/>
                <w:szCs w:val="16"/>
              </w:rPr>
              <w:t>O</w:t>
            </w:r>
            <w:r w:rsidR="00CB2B0E" w:rsidRPr="00CB2B0E">
              <w:rPr>
                <w:rFonts w:cs="Arial"/>
                <w:i/>
                <w:iCs/>
                <w:color w:val="808080"/>
                <w:sz w:val="16"/>
                <w:szCs w:val="16"/>
              </w:rPr>
              <w:t>peration sunlight - supported accommodation assistance</w:t>
            </w:r>
          </w:p>
        </w:tc>
        <w:tc>
          <w:tcPr>
            <w:tcW w:w="794" w:type="dxa"/>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-167</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-171</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-175</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-179</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-177</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-186</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-96</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281BDF">
        <w:trPr>
          <w:trHeight w:val="225"/>
        </w:trPr>
        <w:tc>
          <w:tcPr>
            <w:tcW w:w="4252" w:type="dxa"/>
            <w:tcBorders>
              <w:bottom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Assistance to families with children - total</w:t>
            </w:r>
          </w:p>
        </w:tc>
        <w:tc>
          <w:tcPr>
            <w:tcW w:w="794" w:type="dxa"/>
            <w:tcBorders>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20262</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25128</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24966</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26000</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27592</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28300</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38264</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30063</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31286</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34919</w:t>
            </w:r>
          </w:p>
        </w:tc>
        <w:tc>
          <w:tcPr>
            <w:tcW w:w="794" w:type="dxa"/>
            <w:tcBorders>
              <w:left w:val="nil"/>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35119</w:t>
            </w:r>
          </w:p>
        </w:tc>
      </w:tr>
      <w:tr w:rsidR="00CB2B0E" w:rsidRPr="00D767A0" w:rsidTr="00281BDF">
        <w:trPr>
          <w:trHeight w:val="225"/>
        </w:trPr>
        <w:tc>
          <w:tcPr>
            <w:tcW w:w="4252" w:type="dxa"/>
            <w:tcBorders>
              <w:top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Assistance to the unemployed and the sick - as published</w:t>
            </w:r>
          </w:p>
        </w:tc>
        <w:tc>
          <w:tcPr>
            <w:tcW w:w="794" w:type="dxa"/>
            <w:tcBorders>
              <w:top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5651</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5529</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5219</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4929</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4799</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4371</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5098</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6965</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6965</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7448</w:t>
            </w:r>
          </w:p>
        </w:tc>
        <w:tc>
          <w:tcPr>
            <w:tcW w:w="794" w:type="dxa"/>
            <w:tcBorders>
              <w:top w:val="dotted" w:sz="8" w:space="0" w:color="auto"/>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8518</w:t>
            </w:r>
          </w:p>
        </w:tc>
      </w:tr>
      <w:tr w:rsidR="00CB2B0E" w:rsidRPr="00D767A0" w:rsidTr="000553AA">
        <w:trPr>
          <w:trHeight w:val="225"/>
        </w:trPr>
        <w:tc>
          <w:tcPr>
            <w:tcW w:w="4252" w:type="dxa"/>
            <w:shd w:val="clear" w:color="auto" w:fill="auto"/>
            <w:noWrap/>
            <w:vAlign w:val="center"/>
          </w:tcPr>
          <w:p w:rsidR="00CB2B0E" w:rsidRPr="00CB2B0E" w:rsidRDefault="00CB2B0E" w:rsidP="00921AC5">
            <w:pPr>
              <w:spacing w:before="0" w:after="0"/>
              <w:ind w:left="227"/>
              <w:rPr>
                <w:rFonts w:cs="Arial"/>
                <w:i/>
                <w:iCs/>
                <w:color w:val="808080"/>
                <w:sz w:val="16"/>
                <w:szCs w:val="16"/>
              </w:rPr>
            </w:pPr>
            <w:r w:rsidRPr="00CB2B0E">
              <w:rPr>
                <w:rFonts w:cs="Arial"/>
                <w:i/>
                <w:iCs/>
                <w:color w:val="808080"/>
                <w:sz w:val="16"/>
                <w:szCs w:val="16"/>
              </w:rPr>
              <w:t>Reclassification</w:t>
            </w:r>
          </w:p>
        </w:tc>
        <w:tc>
          <w:tcPr>
            <w:tcW w:w="794" w:type="dxa"/>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281BDF">
        <w:trPr>
          <w:trHeight w:val="225"/>
        </w:trPr>
        <w:tc>
          <w:tcPr>
            <w:tcW w:w="4252" w:type="dxa"/>
            <w:shd w:val="clear" w:color="auto" w:fill="auto"/>
            <w:noWrap/>
            <w:vAlign w:val="center"/>
          </w:tcPr>
          <w:p w:rsidR="00CB2B0E" w:rsidRPr="00CB2B0E" w:rsidRDefault="00CB2B0E" w:rsidP="00921AC5">
            <w:pPr>
              <w:spacing w:before="0" w:after="0"/>
              <w:ind w:left="340"/>
              <w:rPr>
                <w:rFonts w:cs="Arial"/>
                <w:i/>
                <w:iCs/>
                <w:color w:val="808080"/>
                <w:sz w:val="16"/>
                <w:szCs w:val="16"/>
              </w:rPr>
            </w:pPr>
            <w:r w:rsidRPr="00CB2B0E">
              <w:rPr>
                <w:rFonts w:cs="Arial"/>
                <w:i/>
                <w:iCs/>
                <w:color w:val="808080"/>
                <w:sz w:val="16"/>
                <w:szCs w:val="16"/>
              </w:rPr>
              <w:t>Common youth allowance</w:t>
            </w:r>
          </w:p>
        </w:tc>
        <w:tc>
          <w:tcPr>
            <w:tcW w:w="794" w:type="dxa"/>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498</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471</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503</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536</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482</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452</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551</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281BDF">
        <w:trPr>
          <w:trHeight w:val="225"/>
        </w:trPr>
        <w:tc>
          <w:tcPr>
            <w:tcW w:w="4252" w:type="dxa"/>
            <w:tcBorders>
              <w:bottom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Assistance to the unemployed and the sick - total</w:t>
            </w:r>
          </w:p>
        </w:tc>
        <w:tc>
          <w:tcPr>
            <w:tcW w:w="794" w:type="dxa"/>
            <w:tcBorders>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6149</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6000</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5722</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5465</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5281</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4823</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5649</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6965</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6965</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7448</w:t>
            </w:r>
          </w:p>
        </w:tc>
        <w:tc>
          <w:tcPr>
            <w:tcW w:w="794" w:type="dxa"/>
            <w:tcBorders>
              <w:left w:val="nil"/>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8518</w:t>
            </w:r>
          </w:p>
        </w:tc>
      </w:tr>
      <w:tr w:rsidR="00CB2B0E" w:rsidRPr="00D767A0" w:rsidTr="00281BDF">
        <w:trPr>
          <w:trHeight w:val="225"/>
        </w:trPr>
        <w:tc>
          <w:tcPr>
            <w:tcW w:w="4252" w:type="dxa"/>
            <w:tcBorders>
              <w:top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Common youth allowance - as published</w:t>
            </w:r>
          </w:p>
        </w:tc>
        <w:tc>
          <w:tcPr>
            <w:tcW w:w="794" w:type="dxa"/>
            <w:tcBorders>
              <w:top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2235</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2248</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2213</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2102</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2074</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2026</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2504</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top w:val="dotted" w:sz="8" w:space="0" w:color="auto"/>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0553AA">
        <w:trPr>
          <w:trHeight w:val="225"/>
        </w:trPr>
        <w:tc>
          <w:tcPr>
            <w:tcW w:w="4252" w:type="dxa"/>
            <w:shd w:val="clear" w:color="auto" w:fill="auto"/>
            <w:noWrap/>
            <w:vAlign w:val="center"/>
          </w:tcPr>
          <w:p w:rsidR="00CB2B0E" w:rsidRPr="00CB2B0E" w:rsidRDefault="00CB2B0E" w:rsidP="00921AC5">
            <w:pPr>
              <w:spacing w:before="0" w:after="0"/>
              <w:ind w:left="227"/>
              <w:rPr>
                <w:rFonts w:cs="Arial"/>
                <w:i/>
                <w:iCs/>
                <w:color w:val="808080"/>
                <w:sz w:val="16"/>
                <w:szCs w:val="16"/>
              </w:rPr>
            </w:pPr>
            <w:r w:rsidRPr="00CB2B0E">
              <w:rPr>
                <w:rFonts w:cs="Arial"/>
                <w:i/>
                <w:iCs/>
                <w:color w:val="808080"/>
                <w:sz w:val="16"/>
                <w:szCs w:val="16"/>
              </w:rPr>
              <w:t>Reclassification</w:t>
            </w:r>
          </w:p>
        </w:tc>
        <w:tc>
          <w:tcPr>
            <w:tcW w:w="794" w:type="dxa"/>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281BDF">
        <w:trPr>
          <w:trHeight w:val="225"/>
        </w:trPr>
        <w:tc>
          <w:tcPr>
            <w:tcW w:w="4252" w:type="dxa"/>
            <w:shd w:val="clear" w:color="auto" w:fill="auto"/>
            <w:noWrap/>
            <w:vAlign w:val="center"/>
          </w:tcPr>
          <w:p w:rsidR="00CB2B0E" w:rsidRPr="00CB2B0E" w:rsidRDefault="00CB2B0E" w:rsidP="00921AC5">
            <w:pPr>
              <w:spacing w:before="0" w:after="0"/>
              <w:ind w:left="340"/>
              <w:rPr>
                <w:rFonts w:cs="Arial"/>
                <w:i/>
                <w:iCs/>
                <w:color w:val="808080"/>
                <w:sz w:val="16"/>
                <w:szCs w:val="16"/>
              </w:rPr>
            </w:pPr>
            <w:r w:rsidRPr="00CB2B0E">
              <w:rPr>
                <w:rFonts w:cs="Arial"/>
                <w:i/>
                <w:iCs/>
                <w:color w:val="808080"/>
                <w:sz w:val="16"/>
                <w:szCs w:val="16"/>
              </w:rPr>
              <w:t>Common youth allowance</w:t>
            </w:r>
          </w:p>
        </w:tc>
        <w:tc>
          <w:tcPr>
            <w:tcW w:w="794" w:type="dxa"/>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-2235</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-2248</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-2213</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-2102</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-2074</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-2026</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-2504</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281BDF">
        <w:trPr>
          <w:trHeight w:val="225"/>
        </w:trPr>
        <w:tc>
          <w:tcPr>
            <w:tcW w:w="4252" w:type="dxa"/>
            <w:tcBorders>
              <w:bottom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 xml:space="preserve">Common youth allowance </w:t>
            </w:r>
            <w:r w:rsidR="00D67E15">
              <w:rPr>
                <w:rFonts w:cs="Arial"/>
                <w:color w:val="000000"/>
                <w:sz w:val="16"/>
                <w:szCs w:val="16"/>
              </w:rPr>
              <w:t>-</w:t>
            </w:r>
            <w:r w:rsidRPr="00CB2B0E">
              <w:rPr>
                <w:rFonts w:cs="Arial"/>
                <w:color w:val="000000"/>
                <w:sz w:val="16"/>
                <w:szCs w:val="16"/>
              </w:rPr>
              <w:t xml:space="preserve"> total</w:t>
            </w:r>
          </w:p>
        </w:tc>
        <w:tc>
          <w:tcPr>
            <w:tcW w:w="794" w:type="dxa"/>
            <w:tcBorders>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0</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0</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0</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0</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0</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0</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0</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281BDF">
        <w:trPr>
          <w:trHeight w:val="225"/>
        </w:trPr>
        <w:tc>
          <w:tcPr>
            <w:tcW w:w="4252" w:type="dxa"/>
            <w:tcBorders>
              <w:top w:val="dotted" w:sz="8" w:space="0" w:color="auto"/>
              <w:bottom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Other welfare payments</w:t>
            </w:r>
          </w:p>
        </w:tc>
        <w:tc>
          <w:tcPr>
            <w:tcW w:w="794" w:type="dxa"/>
            <w:tcBorders>
              <w:top w:val="dotted" w:sz="8" w:space="0" w:color="auto"/>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309</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303</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1141</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1629</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2201</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2464</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9235</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1950</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2174</w:t>
            </w:r>
          </w:p>
        </w:tc>
        <w:tc>
          <w:tcPr>
            <w:tcW w:w="794" w:type="dxa"/>
            <w:tcBorders>
              <w:top w:val="dotted" w:sz="8" w:space="0" w:color="auto"/>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992</w:t>
            </w:r>
          </w:p>
        </w:tc>
        <w:tc>
          <w:tcPr>
            <w:tcW w:w="794" w:type="dxa"/>
            <w:tcBorders>
              <w:top w:val="dotted" w:sz="8" w:space="0" w:color="auto"/>
              <w:left w:val="nil"/>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1555</w:t>
            </w:r>
          </w:p>
        </w:tc>
      </w:tr>
      <w:tr w:rsidR="00CB2B0E" w:rsidRPr="00D767A0" w:rsidTr="00281BDF">
        <w:trPr>
          <w:trHeight w:val="225"/>
        </w:trPr>
        <w:tc>
          <w:tcPr>
            <w:tcW w:w="4252" w:type="dxa"/>
            <w:tcBorders>
              <w:top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 xml:space="preserve">Assistance for Indigenous Australians </w:t>
            </w:r>
            <w:proofErr w:type="spellStart"/>
            <w:r w:rsidR="000C47B2">
              <w:rPr>
                <w:rFonts w:cs="Arial"/>
                <w:color w:val="000000"/>
                <w:sz w:val="16"/>
                <w:szCs w:val="16"/>
              </w:rPr>
              <w:t>nec</w:t>
            </w:r>
            <w:proofErr w:type="spellEnd"/>
            <w:r w:rsidR="000C47B2">
              <w:rPr>
                <w:rFonts w:cs="Arial"/>
                <w:color w:val="000000"/>
                <w:sz w:val="16"/>
                <w:szCs w:val="16"/>
              </w:rPr>
              <w:t xml:space="preserve"> </w:t>
            </w:r>
            <w:r w:rsidRPr="00CB2B0E">
              <w:rPr>
                <w:rFonts w:cs="Arial"/>
                <w:color w:val="000000"/>
                <w:sz w:val="16"/>
                <w:szCs w:val="16"/>
              </w:rPr>
              <w:t>- as published</w:t>
            </w:r>
          </w:p>
        </w:tc>
        <w:tc>
          <w:tcPr>
            <w:tcW w:w="794" w:type="dxa"/>
            <w:tcBorders>
              <w:top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1275</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1429</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1336</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1403</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1304</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1418</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1703</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1317</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1180</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1162</w:t>
            </w:r>
          </w:p>
        </w:tc>
        <w:tc>
          <w:tcPr>
            <w:tcW w:w="794" w:type="dxa"/>
            <w:tcBorders>
              <w:top w:val="dotted" w:sz="8" w:space="0" w:color="auto"/>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1172</w:t>
            </w:r>
          </w:p>
        </w:tc>
      </w:tr>
      <w:tr w:rsidR="00CB2B0E" w:rsidRPr="00D767A0" w:rsidTr="000553AA">
        <w:trPr>
          <w:trHeight w:val="225"/>
        </w:trPr>
        <w:tc>
          <w:tcPr>
            <w:tcW w:w="4252" w:type="dxa"/>
            <w:shd w:val="clear" w:color="auto" w:fill="auto"/>
            <w:noWrap/>
            <w:vAlign w:val="center"/>
          </w:tcPr>
          <w:p w:rsidR="00CB2B0E" w:rsidRPr="00CB2B0E" w:rsidRDefault="00CB2B0E" w:rsidP="00921AC5">
            <w:pPr>
              <w:spacing w:before="0" w:after="0"/>
              <w:ind w:left="227"/>
              <w:rPr>
                <w:rFonts w:cs="Arial"/>
                <w:i/>
                <w:iCs/>
                <w:color w:val="808080"/>
                <w:sz w:val="16"/>
                <w:szCs w:val="16"/>
              </w:rPr>
            </w:pPr>
            <w:r w:rsidRPr="00CB2B0E">
              <w:rPr>
                <w:rFonts w:cs="Arial"/>
                <w:i/>
                <w:iCs/>
                <w:color w:val="808080"/>
                <w:sz w:val="16"/>
                <w:szCs w:val="16"/>
              </w:rPr>
              <w:t xml:space="preserve">Accounting change </w:t>
            </w:r>
          </w:p>
        </w:tc>
        <w:tc>
          <w:tcPr>
            <w:tcW w:w="794" w:type="dxa"/>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0553AA">
        <w:trPr>
          <w:trHeight w:val="225"/>
        </w:trPr>
        <w:tc>
          <w:tcPr>
            <w:tcW w:w="4252" w:type="dxa"/>
            <w:shd w:val="clear" w:color="auto" w:fill="auto"/>
            <w:noWrap/>
            <w:vAlign w:val="center"/>
          </w:tcPr>
          <w:p w:rsidR="00CB2B0E" w:rsidRPr="00CB2B0E" w:rsidRDefault="00CB2B0E" w:rsidP="00921AC5">
            <w:pPr>
              <w:spacing w:before="0" w:after="0"/>
              <w:ind w:left="340"/>
              <w:rPr>
                <w:rFonts w:cs="Arial"/>
                <w:i/>
                <w:iCs/>
                <w:color w:val="808080"/>
                <w:sz w:val="16"/>
                <w:szCs w:val="16"/>
              </w:rPr>
            </w:pPr>
            <w:r w:rsidRPr="00CB2B0E">
              <w:rPr>
                <w:rFonts w:cs="Arial"/>
                <w:i/>
                <w:iCs/>
                <w:color w:val="808080"/>
                <w:sz w:val="16"/>
                <w:szCs w:val="16"/>
              </w:rPr>
              <w:t>FBT inclusion</w:t>
            </w:r>
          </w:p>
        </w:tc>
        <w:tc>
          <w:tcPr>
            <w:tcW w:w="794" w:type="dxa"/>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0</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1</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0553AA">
        <w:trPr>
          <w:trHeight w:val="225"/>
        </w:trPr>
        <w:tc>
          <w:tcPr>
            <w:tcW w:w="4252" w:type="dxa"/>
            <w:shd w:val="clear" w:color="auto" w:fill="auto"/>
            <w:noWrap/>
            <w:vAlign w:val="center"/>
          </w:tcPr>
          <w:p w:rsidR="00CB2B0E" w:rsidRPr="00CB2B0E" w:rsidRDefault="00CB2B0E" w:rsidP="00921AC5">
            <w:pPr>
              <w:spacing w:before="0" w:after="0"/>
              <w:ind w:left="227"/>
              <w:rPr>
                <w:rFonts w:cs="Arial"/>
                <w:i/>
                <w:iCs/>
                <w:color w:val="808080"/>
                <w:sz w:val="16"/>
                <w:szCs w:val="16"/>
              </w:rPr>
            </w:pPr>
            <w:r w:rsidRPr="00CB2B0E">
              <w:rPr>
                <w:rFonts w:cs="Arial"/>
                <w:i/>
                <w:iCs/>
                <w:color w:val="808080"/>
                <w:sz w:val="16"/>
                <w:szCs w:val="16"/>
              </w:rPr>
              <w:t>Reclassification</w:t>
            </w:r>
          </w:p>
        </w:tc>
        <w:tc>
          <w:tcPr>
            <w:tcW w:w="794" w:type="dxa"/>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281BDF">
        <w:trPr>
          <w:trHeight w:val="225"/>
        </w:trPr>
        <w:tc>
          <w:tcPr>
            <w:tcW w:w="4252" w:type="dxa"/>
            <w:shd w:val="clear" w:color="auto" w:fill="auto"/>
            <w:noWrap/>
            <w:vAlign w:val="center"/>
          </w:tcPr>
          <w:p w:rsidR="00CB2B0E" w:rsidRPr="00CB2B0E" w:rsidRDefault="00CB2B0E" w:rsidP="00921AC5">
            <w:pPr>
              <w:spacing w:before="0" w:after="0"/>
              <w:ind w:left="340"/>
              <w:rPr>
                <w:rFonts w:cs="Arial"/>
                <w:i/>
                <w:iCs/>
                <w:color w:val="808080"/>
                <w:sz w:val="16"/>
                <w:szCs w:val="16"/>
              </w:rPr>
            </w:pPr>
            <w:r w:rsidRPr="00CB2B0E">
              <w:rPr>
                <w:rFonts w:cs="Arial"/>
                <w:i/>
                <w:iCs/>
                <w:color w:val="808080"/>
                <w:sz w:val="16"/>
                <w:szCs w:val="16"/>
              </w:rPr>
              <w:t>Operation sunlight - specific purpose payment</w:t>
            </w:r>
          </w:p>
        </w:tc>
        <w:tc>
          <w:tcPr>
            <w:tcW w:w="794" w:type="dxa"/>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-382</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p>
        </w:tc>
      </w:tr>
      <w:tr w:rsidR="00CB2B0E" w:rsidRPr="00D767A0" w:rsidTr="00281BDF">
        <w:trPr>
          <w:trHeight w:val="225"/>
        </w:trPr>
        <w:tc>
          <w:tcPr>
            <w:tcW w:w="4252" w:type="dxa"/>
            <w:tcBorders>
              <w:bottom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Assistance for Indigenous Australians</w:t>
            </w:r>
            <w:r w:rsidR="000C47B2">
              <w:rPr>
                <w:rFonts w:cs="Arial"/>
                <w:color w:val="000000"/>
                <w:sz w:val="16"/>
                <w:szCs w:val="16"/>
              </w:rPr>
              <w:t xml:space="preserve"> </w:t>
            </w:r>
            <w:proofErr w:type="spellStart"/>
            <w:r w:rsidR="000C47B2">
              <w:rPr>
                <w:rFonts w:cs="Arial"/>
                <w:color w:val="000000"/>
                <w:sz w:val="16"/>
                <w:szCs w:val="16"/>
              </w:rPr>
              <w:t>nec</w:t>
            </w:r>
            <w:proofErr w:type="spellEnd"/>
            <w:r w:rsidRPr="00CB2B0E">
              <w:rPr>
                <w:rFonts w:cs="Arial"/>
                <w:color w:val="000000"/>
                <w:sz w:val="16"/>
                <w:szCs w:val="16"/>
              </w:rPr>
              <w:t xml:space="preserve"> - total</w:t>
            </w:r>
          </w:p>
        </w:tc>
        <w:tc>
          <w:tcPr>
            <w:tcW w:w="794" w:type="dxa"/>
            <w:tcBorders>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1275</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1430</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1336</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1403</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1304</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1418</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1321</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1317</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1180</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1162</w:t>
            </w:r>
          </w:p>
        </w:tc>
        <w:tc>
          <w:tcPr>
            <w:tcW w:w="794" w:type="dxa"/>
            <w:tcBorders>
              <w:left w:val="nil"/>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1172</w:t>
            </w:r>
          </w:p>
        </w:tc>
      </w:tr>
      <w:tr w:rsidR="00CB2B0E" w:rsidRPr="00D767A0" w:rsidTr="00281BDF">
        <w:trPr>
          <w:trHeight w:val="225"/>
        </w:trPr>
        <w:tc>
          <w:tcPr>
            <w:tcW w:w="4252" w:type="dxa"/>
            <w:tcBorders>
              <w:top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General administration - as published</w:t>
            </w:r>
          </w:p>
        </w:tc>
        <w:tc>
          <w:tcPr>
            <w:tcW w:w="794" w:type="dxa"/>
            <w:tcBorders>
              <w:top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2233</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2398</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2346</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2193</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2380</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2818</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3163</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3234</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3241</w:t>
            </w:r>
          </w:p>
        </w:tc>
        <w:tc>
          <w:tcPr>
            <w:tcW w:w="794" w:type="dxa"/>
            <w:tcBorders>
              <w:top w:val="dotted" w:sz="8" w:space="0" w:color="auto"/>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3889</w:t>
            </w:r>
          </w:p>
        </w:tc>
        <w:tc>
          <w:tcPr>
            <w:tcW w:w="794" w:type="dxa"/>
            <w:tcBorders>
              <w:top w:val="dotted" w:sz="8" w:space="0" w:color="auto"/>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3863</w:t>
            </w:r>
          </w:p>
        </w:tc>
      </w:tr>
      <w:tr w:rsidR="00CB2B0E" w:rsidRPr="00D767A0" w:rsidTr="00281BDF">
        <w:trPr>
          <w:trHeight w:val="225"/>
        </w:trPr>
        <w:tc>
          <w:tcPr>
            <w:tcW w:w="4252" w:type="dxa"/>
            <w:shd w:val="clear" w:color="auto" w:fill="auto"/>
            <w:noWrap/>
            <w:vAlign w:val="center"/>
          </w:tcPr>
          <w:p w:rsidR="00CB2B0E" w:rsidRPr="00CB2B0E" w:rsidRDefault="00CB2B0E" w:rsidP="00921AC5">
            <w:pPr>
              <w:spacing w:before="0" w:after="0"/>
              <w:ind w:left="227"/>
              <w:rPr>
                <w:rFonts w:cs="Arial"/>
                <w:i/>
                <w:iCs/>
                <w:color w:val="808080"/>
                <w:sz w:val="16"/>
                <w:szCs w:val="16"/>
              </w:rPr>
            </w:pPr>
            <w:r w:rsidRPr="00CB2B0E">
              <w:rPr>
                <w:rFonts w:cs="Arial"/>
                <w:i/>
                <w:iCs/>
                <w:color w:val="808080"/>
                <w:sz w:val="16"/>
                <w:szCs w:val="16"/>
              </w:rPr>
              <w:t>Accounting change - FBT inclusion</w:t>
            </w:r>
          </w:p>
        </w:tc>
        <w:tc>
          <w:tcPr>
            <w:tcW w:w="794" w:type="dxa"/>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2</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1</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808080"/>
                <w:sz w:val="16"/>
                <w:szCs w:val="16"/>
              </w:rPr>
            </w:pPr>
            <w:r w:rsidRPr="00CB2B0E">
              <w:rPr>
                <w:rFonts w:cs="Arial"/>
                <w:i/>
                <w:iCs/>
                <w:color w:val="808080"/>
                <w:sz w:val="16"/>
                <w:szCs w:val="16"/>
              </w:rPr>
              <w:t>1</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 </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 </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 </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i/>
                <w:iCs/>
                <w:color w:val="000000"/>
                <w:sz w:val="16"/>
                <w:szCs w:val="16"/>
              </w:rPr>
            </w:pPr>
            <w:r w:rsidRPr="00CB2B0E">
              <w:rPr>
                <w:rFonts w:cs="Arial"/>
                <w:i/>
                <w:iCs/>
                <w:color w:val="000000"/>
                <w:sz w:val="16"/>
                <w:szCs w:val="16"/>
              </w:rPr>
              <w:t> </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 </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 </w:t>
            </w:r>
          </w:p>
        </w:tc>
        <w:tc>
          <w:tcPr>
            <w:tcW w:w="794" w:type="dxa"/>
            <w:tcBorders>
              <w:left w:val="nil"/>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 </w:t>
            </w:r>
          </w:p>
        </w:tc>
        <w:tc>
          <w:tcPr>
            <w:tcW w:w="794" w:type="dxa"/>
            <w:tcBorders>
              <w:lef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 </w:t>
            </w:r>
          </w:p>
        </w:tc>
      </w:tr>
      <w:tr w:rsidR="00CB2B0E" w:rsidRPr="00D767A0" w:rsidTr="0036184E">
        <w:trPr>
          <w:trHeight w:val="225"/>
        </w:trPr>
        <w:tc>
          <w:tcPr>
            <w:tcW w:w="4252" w:type="dxa"/>
            <w:tcBorders>
              <w:bottom w:val="dotted" w:sz="8" w:space="0" w:color="auto"/>
            </w:tcBorders>
            <w:shd w:val="clear" w:color="auto" w:fill="auto"/>
            <w:noWrap/>
            <w:vAlign w:val="center"/>
          </w:tcPr>
          <w:p w:rsidR="00CB2B0E" w:rsidRPr="00CB2B0E" w:rsidRDefault="00CB2B0E" w:rsidP="00921AC5">
            <w:pPr>
              <w:spacing w:before="0" w:after="0"/>
              <w:ind w:left="113"/>
              <w:rPr>
                <w:rFonts w:cs="Arial"/>
                <w:color w:val="000000"/>
                <w:sz w:val="16"/>
                <w:szCs w:val="16"/>
              </w:rPr>
            </w:pPr>
            <w:r w:rsidRPr="00CB2B0E">
              <w:rPr>
                <w:rFonts w:cs="Arial"/>
                <w:color w:val="000000"/>
                <w:sz w:val="16"/>
                <w:szCs w:val="16"/>
              </w:rPr>
              <w:t>General administration - total</w:t>
            </w:r>
          </w:p>
        </w:tc>
        <w:tc>
          <w:tcPr>
            <w:tcW w:w="794" w:type="dxa"/>
            <w:tcBorders>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2235</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2399</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2347</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2193</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2380</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2818</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3163</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3234</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3241</w:t>
            </w:r>
          </w:p>
        </w:tc>
        <w:tc>
          <w:tcPr>
            <w:tcW w:w="794" w:type="dxa"/>
            <w:tcBorders>
              <w:left w:val="nil"/>
              <w:bottom w:val="dotted" w:sz="8" w:space="0" w:color="auto"/>
              <w:right w:val="nil"/>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3889</w:t>
            </w:r>
          </w:p>
        </w:tc>
        <w:tc>
          <w:tcPr>
            <w:tcW w:w="794" w:type="dxa"/>
            <w:tcBorders>
              <w:left w:val="nil"/>
              <w:bottom w:val="dotted" w:sz="8" w:space="0" w:color="auto"/>
            </w:tcBorders>
            <w:shd w:val="clear" w:color="auto" w:fill="auto"/>
            <w:noWrap/>
            <w:vAlign w:val="center"/>
          </w:tcPr>
          <w:p w:rsidR="00CB2B0E" w:rsidRPr="00CB2B0E" w:rsidRDefault="00CB2B0E" w:rsidP="00921AC5">
            <w:pPr>
              <w:spacing w:before="0" w:after="0"/>
              <w:jc w:val="right"/>
              <w:rPr>
                <w:rFonts w:cs="Arial"/>
                <w:color w:val="000000"/>
                <w:sz w:val="16"/>
                <w:szCs w:val="16"/>
              </w:rPr>
            </w:pPr>
            <w:r w:rsidRPr="00CB2B0E">
              <w:rPr>
                <w:rFonts w:cs="Arial"/>
                <w:color w:val="000000"/>
                <w:sz w:val="16"/>
                <w:szCs w:val="16"/>
              </w:rPr>
              <w:t>3863</w:t>
            </w:r>
          </w:p>
        </w:tc>
      </w:tr>
      <w:tr w:rsidR="00CB2B0E" w:rsidRPr="00D767A0" w:rsidTr="0036184E">
        <w:trPr>
          <w:trHeight w:val="225"/>
        </w:trPr>
        <w:tc>
          <w:tcPr>
            <w:tcW w:w="4252" w:type="dxa"/>
            <w:tcBorders>
              <w:top w:val="dotted" w:sz="8" w:space="0" w:color="auto"/>
              <w:bottom w:val="single" w:sz="8" w:space="0" w:color="2B3B5F"/>
            </w:tcBorders>
            <w:shd w:val="clear" w:color="auto" w:fill="auto"/>
            <w:noWrap/>
            <w:vAlign w:val="center"/>
          </w:tcPr>
          <w:p w:rsidR="00CB2B0E" w:rsidRPr="00CB2B0E" w:rsidRDefault="00CB2B0E" w:rsidP="00921AC5">
            <w:pPr>
              <w:spacing w:before="0" w:after="0"/>
              <w:rPr>
                <w:rFonts w:cs="Arial"/>
                <w:b/>
                <w:bCs/>
                <w:color w:val="000000"/>
                <w:sz w:val="16"/>
                <w:szCs w:val="16"/>
              </w:rPr>
            </w:pPr>
            <w:r w:rsidRPr="00CB2B0E">
              <w:rPr>
                <w:rFonts w:cs="Arial"/>
                <w:b/>
                <w:bCs/>
                <w:color w:val="000000"/>
                <w:sz w:val="16"/>
                <w:szCs w:val="16"/>
              </w:rPr>
              <w:t>Social security and welfare - total</w:t>
            </w:r>
          </w:p>
        </w:tc>
        <w:tc>
          <w:tcPr>
            <w:tcW w:w="794" w:type="dxa"/>
            <w:tcBorders>
              <w:top w:val="dotted" w:sz="8" w:space="0" w:color="auto"/>
              <w:bottom w:val="single" w:sz="8" w:space="0" w:color="2B3B5F"/>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70258</w:t>
            </w:r>
          </w:p>
        </w:tc>
        <w:tc>
          <w:tcPr>
            <w:tcW w:w="794" w:type="dxa"/>
            <w:tcBorders>
              <w:top w:val="dotted" w:sz="8" w:space="0" w:color="auto"/>
              <w:left w:val="nil"/>
              <w:bottom w:val="single" w:sz="8" w:space="0" w:color="2B3B5F"/>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78995</w:t>
            </w:r>
          </w:p>
        </w:tc>
        <w:tc>
          <w:tcPr>
            <w:tcW w:w="794" w:type="dxa"/>
            <w:tcBorders>
              <w:top w:val="dotted" w:sz="8" w:space="0" w:color="auto"/>
              <w:left w:val="nil"/>
              <w:bottom w:val="single" w:sz="8" w:space="0" w:color="2B3B5F"/>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81299</w:t>
            </w:r>
          </w:p>
        </w:tc>
        <w:tc>
          <w:tcPr>
            <w:tcW w:w="794" w:type="dxa"/>
            <w:tcBorders>
              <w:top w:val="dotted" w:sz="8" w:space="0" w:color="auto"/>
              <w:left w:val="nil"/>
              <w:bottom w:val="single" w:sz="8" w:space="0" w:color="2B3B5F"/>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84659</w:t>
            </w:r>
          </w:p>
        </w:tc>
        <w:tc>
          <w:tcPr>
            <w:tcW w:w="794" w:type="dxa"/>
            <w:tcBorders>
              <w:top w:val="dotted" w:sz="8" w:space="0" w:color="auto"/>
              <w:left w:val="nil"/>
              <w:bottom w:val="single" w:sz="8" w:space="0" w:color="2B3B5F"/>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90355</w:t>
            </w:r>
          </w:p>
        </w:tc>
        <w:tc>
          <w:tcPr>
            <w:tcW w:w="794" w:type="dxa"/>
            <w:tcBorders>
              <w:top w:val="dotted" w:sz="8" w:space="0" w:color="auto"/>
              <w:left w:val="nil"/>
              <w:bottom w:val="single" w:sz="8" w:space="0" w:color="2B3B5F"/>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96856</w:t>
            </w:r>
          </w:p>
        </w:tc>
        <w:tc>
          <w:tcPr>
            <w:tcW w:w="794" w:type="dxa"/>
            <w:tcBorders>
              <w:top w:val="dotted" w:sz="8" w:space="0" w:color="auto"/>
              <w:left w:val="nil"/>
              <w:bottom w:val="single" w:sz="8" w:space="0" w:color="2B3B5F"/>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122237</w:t>
            </w:r>
          </w:p>
        </w:tc>
        <w:tc>
          <w:tcPr>
            <w:tcW w:w="794" w:type="dxa"/>
            <w:tcBorders>
              <w:top w:val="dotted" w:sz="8" w:space="0" w:color="auto"/>
              <w:left w:val="nil"/>
              <w:bottom w:val="single" w:sz="8" w:space="0" w:color="2B3B5F"/>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109197</w:t>
            </w:r>
          </w:p>
        </w:tc>
        <w:tc>
          <w:tcPr>
            <w:tcW w:w="794" w:type="dxa"/>
            <w:tcBorders>
              <w:top w:val="dotted" w:sz="8" w:space="0" w:color="auto"/>
              <w:left w:val="nil"/>
              <w:bottom w:val="single" w:sz="8" w:space="0" w:color="2B3B5F"/>
              <w:right w:val="nil"/>
            </w:tcBorders>
            <w:shd w:val="clear" w:color="auto" w:fill="auto"/>
            <w:noWrap/>
            <w:vAlign w:val="center"/>
          </w:tcPr>
          <w:p w:rsidR="00CB2B0E" w:rsidRPr="00CB2B0E" w:rsidRDefault="00436519" w:rsidP="00921AC5">
            <w:pPr>
              <w:spacing w:before="0" w:after="0"/>
              <w:jc w:val="right"/>
              <w:rPr>
                <w:rFonts w:cs="Arial"/>
                <w:b/>
                <w:bCs/>
                <w:color w:val="000000"/>
                <w:sz w:val="16"/>
                <w:szCs w:val="16"/>
              </w:rPr>
            </w:pPr>
            <w:r>
              <w:rPr>
                <w:rFonts w:cs="Arial"/>
                <w:b/>
                <w:bCs/>
                <w:color w:val="000000"/>
                <w:sz w:val="16"/>
                <w:szCs w:val="16"/>
              </w:rPr>
              <w:t>117093</w:t>
            </w:r>
          </w:p>
        </w:tc>
        <w:tc>
          <w:tcPr>
            <w:tcW w:w="794" w:type="dxa"/>
            <w:tcBorders>
              <w:top w:val="dotted" w:sz="8" w:space="0" w:color="auto"/>
              <w:left w:val="nil"/>
              <w:bottom w:val="single" w:sz="8" w:space="0" w:color="2B3B5F"/>
              <w:right w:val="nil"/>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126747</w:t>
            </w:r>
          </w:p>
        </w:tc>
        <w:tc>
          <w:tcPr>
            <w:tcW w:w="794" w:type="dxa"/>
            <w:tcBorders>
              <w:top w:val="dotted" w:sz="8" w:space="0" w:color="auto"/>
              <w:left w:val="nil"/>
              <w:bottom w:val="single" w:sz="8" w:space="0" w:color="2B3B5F"/>
            </w:tcBorders>
            <w:shd w:val="clear" w:color="auto" w:fill="auto"/>
            <w:noWrap/>
            <w:vAlign w:val="center"/>
          </w:tcPr>
          <w:p w:rsidR="00CB2B0E" w:rsidRPr="00CB2B0E" w:rsidRDefault="00CB2B0E" w:rsidP="00921AC5">
            <w:pPr>
              <w:spacing w:before="0" w:after="0"/>
              <w:jc w:val="right"/>
              <w:rPr>
                <w:rFonts w:cs="Arial"/>
                <w:b/>
                <w:bCs/>
                <w:color w:val="000000"/>
                <w:sz w:val="16"/>
                <w:szCs w:val="16"/>
              </w:rPr>
            </w:pPr>
            <w:r w:rsidRPr="00CB2B0E">
              <w:rPr>
                <w:rFonts w:cs="Arial"/>
                <w:b/>
                <w:bCs/>
                <w:color w:val="000000"/>
                <w:sz w:val="16"/>
                <w:szCs w:val="16"/>
              </w:rPr>
              <w:t>131901</w:t>
            </w:r>
          </w:p>
        </w:tc>
      </w:tr>
    </w:tbl>
    <w:p w:rsidR="004F24C8" w:rsidRDefault="004F24C8">
      <w:r>
        <w:br w:type="page"/>
      </w:r>
    </w:p>
    <w:tbl>
      <w:tblPr>
        <w:tblpPr w:leftFromText="180" w:rightFromText="180" w:vertAnchor="text" w:tblpX="358" w:tblpY="1"/>
        <w:tblOverlap w:val="never"/>
        <w:tblW w:w="12986" w:type="dxa"/>
        <w:tblLook w:val="04A0" w:firstRow="1" w:lastRow="0" w:firstColumn="1" w:lastColumn="0" w:noHBand="0" w:noVBand="1"/>
      </w:tblPr>
      <w:tblGrid>
        <w:gridCol w:w="4252"/>
        <w:gridCol w:w="794"/>
        <w:gridCol w:w="794"/>
        <w:gridCol w:w="794"/>
        <w:gridCol w:w="794"/>
        <w:gridCol w:w="794"/>
        <w:gridCol w:w="794"/>
        <w:gridCol w:w="794"/>
        <w:gridCol w:w="794"/>
        <w:gridCol w:w="794"/>
        <w:gridCol w:w="794"/>
        <w:gridCol w:w="794"/>
      </w:tblGrid>
      <w:tr w:rsidR="004F24C8" w:rsidRPr="00D767A0" w:rsidTr="00885DF3">
        <w:trPr>
          <w:trHeight w:val="225"/>
        </w:trPr>
        <w:tc>
          <w:tcPr>
            <w:tcW w:w="4252" w:type="dxa"/>
            <w:tcBorders>
              <w:top w:val="single" w:sz="8" w:space="0" w:color="2B3B5F"/>
              <w:bottom w:val="dotted" w:sz="8" w:space="0" w:color="auto"/>
            </w:tcBorders>
            <w:shd w:val="clear" w:color="auto" w:fill="95A4C6"/>
            <w:noWrap/>
            <w:vAlign w:val="center"/>
          </w:tcPr>
          <w:p w:rsidR="004F24C8" w:rsidRPr="004F24C8" w:rsidRDefault="004F24C8" w:rsidP="004F24C8">
            <w:pPr>
              <w:spacing w:before="0" w:after="0"/>
              <w:rPr>
                <w:rFonts w:cs="Arial"/>
                <w:color w:val="000000"/>
                <w:sz w:val="16"/>
                <w:szCs w:val="16"/>
              </w:rPr>
            </w:pPr>
          </w:p>
        </w:tc>
        <w:tc>
          <w:tcPr>
            <w:tcW w:w="794" w:type="dxa"/>
            <w:tcBorders>
              <w:top w:val="single" w:sz="8" w:space="0" w:color="2B3B5F"/>
              <w:bottom w:val="dotted" w:sz="8" w:space="0" w:color="auto"/>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2002-03</w:t>
            </w:r>
          </w:p>
        </w:tc>
        <w:tc>
          <w:tcPr>
            <w:tcW w:w="794" w:type="dxa"/>
            <w:tcBorders>
              <w:top w:val="single" w:sz="8" w:space="0" w:color="2B3B5F"/>
              <w:bottom w:val="dotted" w:sz="8" w:space="0" w:color="auto"/>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2003-04</w:t>
            </w:r>
          </w:p>
        </w:tc>
        <w:tc>
          <w:tcPr>
            <w:tcW w:w="794" w:type="dxa"/>
            <w:tcBorders>
              <w:top w:val="single" w:sz="8" w:space="0" w:color="2B3B5F"/>
              <w:bottom w:val="dotted" w:sz="8" w:space="0" w:color="auto"/>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2004-05</w:t>
            </w:r>
          </w:p>
        </w:tc>
        <w:tc>
          <w:tcPr>
            <w:tcW w:w="794" w:type="dxa"/>
            <w:tcBorders>
              <w:top w:val="single" w:sz="8" w:space="0" w:color="2B3B5F"/>
              <w:bottom w:val="dotted" w:sz="8" w:space="0" w:color="auto"/>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2005-06</w:t>
            </w:r>
          </w:p>
        </w:tc>
        <w:tc>
          <w:tcPr>
            <w:tcW w:w="794" w:type="dxa"/>
            <w:tcBorders>
              <w:top w:val="single" w:sz="8" w:space="0" w:color="2B3B5F"/>
              <w:bottom w:val="dotted" w:sz="8" w:space="0" w:color="auto"/>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2006-07</w:t>
            </w:r>
          </w:p>
        </w:tc>
        <w:tc>
          <w:tcPr>
            <w:tcW w:w="794" w:type="dxa"/>
            <w:tcBorders>
              <w:top w:val="single" w:sz="8" w:space="0" w:color="2B3B5F"/>
              <w:bottom w:val="dotted" w:sz="8" w:space="0" w:color="auto"/>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2007-08</w:t>
            </w:r>
          </w:p>
        </w:tc>
        <w:tc>
          <w:tcPr>
            <w:tcW w:w="794" w:type="dxa"/>
            <w:tcBorders>
              <w:top w:val="single" w:sz="8" w:space="0" w:color="2B3B5F"/>
              <w:bottom w:val="dotted" w:sz="8" w:space="0" w:color="auto"/>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2008-09</w:t>
            </w:r>
          </w:p>
        </w:tc>
        <w:tc>
          <w:tcPr>
            <w:tcW w:w="794" w:type="dxa"/>
            <w:tcBorders>
              <w:top w:val="single" w:sz="8" w:space="0" w:color="2B3B5F"/>
              <w:bottom w:val="dotted" w:sz="8" w:space="0" w:color="auto"/>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2009-10</w:t>
            </w:r>
          </w:p>
        </w:tc>
        <w:tc>
          <w:tcPr>
            <w:tcW w:w="794" w:type="dxa"/>
            <w:tcBorders>
              <w:top w:val="single" w:sz="8" w:space="0" w:color="2B3B5F"/>
              <w:bottom w:val="dotted" w:sz="8" w:space="0" w:color="auto"/>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2010-11</w:t>
            </w:r>
          </w:p>
        </w:tc>
        <w:tc>
          <w:tcPr>
            <w:tcW w:w="794" w:type="dxa"/>
            <w:tcBorders>
              <w:top w:val="single" w:sz="8" w:space="0" w:color="2B3B5F"/>
              <w:bottom w:val="dotted" w:sz="8" w:space="0" w:color="auto"/>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2011-12</w:t>
            </w:r>
          </w:p>
        </w:tc>
        <w:tc>
          <w:tcPr>
            <w:tcW w:w="794" w:type="dxa"/>
            <w:tcBorders>
              <w:top w:val="single" w:sz="8" w:space="0" w:color="2B3B5F"/>
              <w:bottom w:val="dotted" w:sz="8" w:space="0" w:color="auto"/>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2012-13</w:t>
            </w:r>
          </w:p>
        </w:tc>
      </w:tr>
      <w:tr w:rsidR="004F24C8" w:rsidRPr="00D767A0" w:rsidTr="0036184E">
        <w:trPr>
          <w:trHeight w:val="225"/>
        </w:trPr>
        <w:tc>
          <w:tcPr>
            <w:tcW w:w="4252" w:type="dxa"/>
            <w:tcBorders>
              <w:top w:val="dotted" w:sz="8" w:space="0" w:color="auto"/>
              <w:bottom w:val="dotted" w:sz="8" w:space="0" w:color="auto"/>
            </w:tcBorders>
            <w:shd w:val="clear" w:color="auto" w:fill="auto"/>
            <w:noWrap/>
            <w:vAlign w:val="center"/>
          </w:tcPr>
          <w:p w:rsidR="004F24C8" w:rsidRPr="004F24C8" w:rsidRDefault="004F24C8" w:rsidP="004F24C8">
            <w:pPr>
              <w:spacing w:before="0" w:after="0"/>
              <w:rPr>
                <w:rFonts w:cs="Arial"/>
                <w:b/>
                <w:bCs/>
                <w:color w:val="000000"/>
                <w:sz w:val="16"/>
                <w:szCs w:val="16"/>
              </w:rPr>
            </w:pPr>
            <w:r w:rsidRPr="004F24C8">
              <w:rPr>
                <w:rFonts w:cs="Arial"/>
                <w:b/>
                <w:bCs/>
                <w:color w:val="000000"/>
                <w:sz w:val="16"/>
                <w:szCs w:val="16"/>
              </w:rPr>
              <w:t>Housing and community</w:t>
            </w:r>
            <w:r w:rsidR="00C527B5">
              <w:rPr>
                <w:rFonts w:cs="Arial"/>
                <w:b/>
                <w:bCs/>
                <w:color w:val="000000"/>
                <w:sz w:val="16"/>
                <w:szCs w:val="16"/>
              </w:rPr>
              <w:t xml:space="preserve"> am</w:t>
            </w:r>
            <w:r w:rsidR="000C47B2">
              <w:rPr>
                <w:rFonts w:cs="Arial"/>
                <w:b/>
                <w:bCs/>
                <w:color w:val="000000"/>
                <w:sz w:val="16"/>
                <w:szCs w:val="16"/>
              </w:rPr>
              <w:t>enities</w:t>
            </w:r>
            <w:r w:rsidRPr="004F24C8">
              <w:rPr>
                <w:rFonts w:cs="Arial"/>
                <w:b/>
                <w:bCs/>
                <w:color w:val="000000"/>
                <w:sz w:val="16"/>
                <w:szCs w:val="16"/>
              </w:rPr>
              <w:t xml:space="preserve"> - as published</w:t>
            </w:r>
          </w:p>
        </w:tc>
        <w:tc>
          <w:tcPr>
            <w:tcW w:w="794" w:type="dxa"/>
            <w:tcBorders>
              <w:top w:val="dotted" w:sz="8" w:space="0" w:color="auto"/>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1763</w:t>
            </w:r>
          </w:p>
        </w:tc>
        <w:tc>
          <w:tcPr>
            <w:tcW w:w="794" w:type="dxa"/>
            <w:tcBorders>
              <w:top w:val="dotted" w:sz="8" w:space="0" w:color="auto"/>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1634</w:t>
            </w:r>
          </w:p>
        </w:tc>
        <w:tc>
          <w:tcPr>
            <w:tcW w:w="794" w:type="dxa"/>
            <w:tcBorders>
              <w:top w:val="dotted" w:sz="8" w:space="0" w:color="auto"/>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2012</w:t>
            </w:r>
          </w:p>
        </w:tc>
        <w:tc>
          <w:tcPr>
            <w:tcW w:w="794" w:type="dxa"/>
            <w:tcBorders>
              <w:top w:val="dotted" w:sz="8" w:space="0" w:color="auto"/>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2248</w:t>
            </w:r>
          </w:p>
        </w:tc>
        <w:tc>
          <w:tcPr>
            <w:tcW w:w="794" w:type="dxa"/>
            <w:tcBorders>
              <w:top w:val="dotted" w:sz="8" w:space="0" w:color="auto"/>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2909</w:t>
            </w:r>
          </w:p>
        </w:tc>
        <w:tc>
          <w:tcPr>
            <w:tcW w:w="794" w:type="dxa"/>
            <w:tcBorders>
              <w:top w:val="dotted" w:sz="8" w:space="0" w:color="auto"/>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2910</w:t>
            </w:r>
          </w:p>
        </w:tc>
        <w:tc>
          <w:tcPr>
            <w:tcW w:w="794" w:type="dxa"/>
            <w:tcBorders>
              <w:top w:val="dotted" w:sz="8" w:space="0" w:color="auto"/>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5080</w:t>
            </w:r>
          </w:p>
        </w:tc>
        <w:tc>
          <w:tcPr>
            <w:tcW w:w="794" w:type="dxa"/>
            <w:tcBorders>
              <w:top w:val="dotted" w:sz="8" w:space="0" w:color="auto"/>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9029</w:t>
            </w:r>
          </w:p>
        </w:tc>
        <w:tc>
          <w:tcPr>
            <w:tcW w:w="794" w:type="dxa"/>
            <w:tcBorders>
              <w:top w:val="dotted" w:sz="8" w:space="0" w:color="auto"/>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5543</w:t>
            </w:r>
          </w:p>
        </w:tc>
        <w:tc>
          <w:tcPr>
            <w:tcW w:w="794" w:type="dxa"/>
            <w:tcBorders>
              <w:top w:val="dotted" w:sz="8" w:space="0" w:color="auto"/>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6180</w:t>
            </w:r>
          </w:p>
        </w:tc>
        <w:tc>
          <w:tcPr>
            <w:tcW w:w="794" w:type="dxa"/>
            <w:tcBorders>
              <w:top w:val="dotted" w:sz="8" w:space="0" w:color="auto"/>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6766</w:t>
            </w:r>
          </w:p>
        </w:tc>
      </w:tr>
      <w:tr w:rsidR="004F24C8" w:rsidRPr="00D767A0" w:rsidTr="0036184E">
        <w:trPr>
          <w:trHeight w:val="225"/>
        </w:trPr>
        <w:tc>
          <w:tcPr>
            <w:tcW w:w="4252" w:type="dxa"/>
            <w:tcBorders>
              <w:top w:val="dotted" w:sz="8" w:space="0" w:color="auto"/>
            </w:tcBorders>
            <w:shd w:val="clear" w:color="auto" w:fill="auto"/>
            <w:noWrap/>
            <w:vAlign w:val="center"/>
          </w:tcPr>
          <w:p w:rsidR="004F24C8" w:rsidRPr="004F24C8" w:rsidRDefault="004F24C8" w:rsidP="004F24C8">
            <w:pPr>
              <w:spacing w:before="0" w:after="0"/>
              <w:ind w:left="113"/>
              <w:rPr>
                <w:rFonts w:cs="Arial"/>
                <w:color w:val="000000"/>
                <w:sz w:val="16"/>
                <w:szCs w:val="16"/>
              </w:rPr>
            </w:pPr>
            <w:r w:rsidRPr="004F24C8">
              <w:rPr>
                <w:rFonts w:cs="Arial"/>
                <w:color w:val="000000"/>
                <w:sz w:val="16"/>
                <w:szCs w:val="16"/>
              </w:rPr>
              <w:t>Housing - as published</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1381</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1247</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1432</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1634</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1679</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1646</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3430</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7944</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4352</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3387</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2844</w:t>
            </w:r>
          </w:p>
        </w:tc>
      </w:tr>
      <w:tr w:rsidR="004F24C8" w:rsidRPr="00D767A0" w:rsidTr="0036184E">
        <w:trPr>
          <w:trHeight w:val="225"/>
        </w:trPr>
        <w:tc>
          <w:tcPr>
            <w:tcW w:w="4252" w:type="dxa"/>
            <w:shd w:val="clear" w:color="auto" w:fill="auto"/>
            <w:noWrap/>
            <w:vAlign w:val="center"/>
          </w:tcPr>
          <w:p w:rsidR="004F24C8" w:rsidRPr="004F24C8" w:rsidRDefault="004F24C8" w:rsidP="004F24C8">
            <w:pPr>
              <w:spacing w:before="0" w:after="0"/>
              <w:ind w:left="227"/>
              <w:rPr>
                <w:rFonts w:cs="Arial"/>
                <w:i/>
                <w:iCs/>
                <w:color w:val="808080"/>
                <w:sz w:val="16"/>
                <w:szCs w:val="16"/>
              </w:rPr>
            </w:pPr>
            <w:r w:rsidRPr="004F24C8">
              <w:rPr>
                <w:rFonts w:cs="Arial"/>
                <w:i/>
                <w:iCs/>
                <w:color w:val="808080"/>
                <w:sz w:val="16"/>
                <w:szCs w:val="16"/>
              </w:rPr>
              <w:t>Reclassification</w:t>
            </w: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r>
      <w:tr w:rsidR="00E710B4" w:rsidRPr="00D767A0" w:rsidTr="0036184E">
        <w:trPr>
          <w:trHeight w:val="225"/>
        </w:trPr>
        <w:tc>
          <w:tcPr>
            <w:tcW w:w="4252" w:type="dxa"/>
            <w:shd w:val="clear" w:color="auto" w:fill="auto"/>
            <w:noWrap/>
            <w:vAlign w:val="center"/>
          </w:tcPr>
          <w:p w:rsidR="00E710B4" w:rsidRPr="004F24C8" w:rsidRDefault="00D67E15" w:rsidP="004F24C8">
            <w:pPr>
              <w:spacing w:before="0" w:after="0"/>
              <w:ind w:left="340"/>
              <w:rPr>
                <w:rFonts w:cs="Arial"/>
                <w:i/>
                <w:iCs/>
                <w:color w:val="808080"/>
                <w:sz w:val="16"/>
                <w:szCs w:val="16"/>
              </w:rPr>
            </w:pPr>
            <w:r>
              <w:rPr>
                <w:rFonts w:cs="Arial"/>
                <w:i/>
                <w:iCs/>
                <w:color w:val="808080"/>
                <w:sz w:val="16"/>
                <w:szCs w:val="16"/>
              </w:rPr>
              <w:t>Operation sunlight -</w:t>
            </w:r>
            <w:r w:rsidR="00E710B4">
              <w:rPr>
                <w:rFonts w:cs="Arial"/>
                <w:i/>
                <w:iCs/>
                <w:color w:val="808080"/>
                <w:sz w:val="16"/>
                <w:szCs w:val="16"/>
              </w:rPr>
              <w:t xml:space="preserve"> specific purpose payments</w:t>
            </w:r>
          </w:p>
        </w:tc>
        <w:tc>
          <w:tcPr>
            <w:tcW w:w="794" w:type="dxa"/>
            <w:shd w:val="clear" w:color="auto" w:fill="auto"/>
            <w:noWrap/>
            <w:vAlign w:val="center"/>
          </w:tcPr>
          <w:p w:rsidR="00E710B4" w:rsidRPr="004F24C8" w:rsidRDefault="00E710B4" w:rsidP="004F24C8">
            <w:pPr>
              <w:spacing w:before="0" w:after="0"/>
              <w:jc w:val="right"/>
              <w:rPr>
                <w:rFonts w:cs="Arial"/>
                <w:i/>
                <w:iCs/>
                <w:color w:val="808080"/>
                <w:sz w:val="16"/>
                <w:szCs w:val="16"/>
              </w:rPr>
            </w:pPr>
          </w:p>
        </w:tc>
        <w:tc>
          <w:tcPr>
            <w:tcW w:w="794" w:type="dxa"/>
            <w:shd w:val="clear" w:color="auto" w:fill="auto"/>
            <w:noWrap/>
            <w:vAlign w:val="center"/>
          </w:tcPr>
          <w:p w:rsidR="00E710B4" w:rsidRPr="004F24C8" w:rsidRDefault="00E710B4" w:rsidP="004F24C8">
            <w:pPr>
              <w:spacing w:before="0" w:after="0"/>
              <w:jc w:val="right"/>
              <w:rPr>
                <w:rFonts w:cs="Arial"/>
                <w:i/>
                <w:iCs/>
                <w:color w:val="808080"/>
                <w:sz w:val="16"/>
                <w:szCs w:val="16"/>
              </w:rPr>
            </w:pPr>
          </w:p>
        </w:tc>
        <w:tc>
          <w:tcPr>
            <w:tcW w:w="794" w:type="dxa"/>
            <w:shd w:val="clear" w:color="auto" w:fill="auto"/>
            <w:noWrap/>
            <w:vAlign w:val="center"/>
          </w:tcPr>
          <w:p w:rsidR="00E710B4" w:rsidRPr="004F24C8" w:rsidRDefault="00E710B4" w:rsidP="004F24C8">
            <w:pPr>
              <w:spacing w:before="0" w:after="0"/>
              <w:jc w:val="right"/>
              <w:rPr>
                <w:rFonts w:cs="Arial"/>
                <w:i/>
                <w:iCs/>
                <w:color w:val="808080"/>
                <w:sz w:val="16"/>
                <w:szCs w:val="16"/>
              </w:rPr>
            </w:pPr>
          </w:p>
        </w:tc>
        <w:tc>
          <w:tcPr>
            <w:tcW w:w="794" w:type="dxa"/>
            <w:shd w:val="clear" w:color="auto" w:fill="auto"/>
            <w:noWrap/>
            <w:vAlign w:val="center"/>
          </w:tcPr>
          <w:p w:rsidR="00E710B4" w:rsidRPr="004F24C8" w:rsidRDefault="00E710B4" w:rsidP="004F24C8">
            <w:pPr>
              <w:spacing w:before="0" w:after="0"/>
              <w:jc w:val="right"/>
              <w:rPr>
                <w:rFonts w:cs="Arial"/>
                <w:i/>
                <w:iCs/>
                <w:color w:val="808080"/>
                <w:sz w:val="16"/>
                <w:szCs w:val="16"/>
              </w:rPr>
            </w:pPr>
          </w:p>
        </w:tc>
        <w:tc>
          <w:tcPr>
            <w:tcW w:w="794" w:type="dxa"/>
            <w:shd w:val="clear" w:color="auto" w:fill="auto"/>
            <w:noWrap/>
            <w:vAlign w:val="center"/>
          </w:tcPr>
          <w:p w:rsidR="00E710B4" w:rsidRPr="004F24C8" w:rsidRDefault="00E710B4" w:rsidP="004F24C8">
            <w:pPr>
              <w:spacing w:before="0" w:after="0"/>
              <w:jc w:val="right"/>
              <w:rPr>
                <w:rFonts w:cs="Arial"/>
                <w:i/>
                <w:iCs/>
                <w:color w:val="808080"/>
                <w:sz w:val="16"/>
                <w:szCs w:val="16"/>
              </w:rPr>
            </w:pPr>
          </w:p>
        </w:tc>
        <w:tc>
          <w:tcPr>
            <w:tcW w:w="794" w:type="dxa"/>
            <w:shd w:val="clear" w:color="auto" w:fill="auto"/>
            <w:noWrap/>
            <w:vAlign w:val="center"/>
          </w:tcPr>
          <w:p w:rsidR="00E710B4" w:rsidRPr="004F24C8" w:rsidRDefault="00E710B4" w:rsidP="004F24C8">
            <w:pPr>
              <w:spacing w:before="0" w:after="0"/>
              <w:jc w:val="right"/>
              <w:rPr>
                <w:rFonts w:cs="Arial"/>
                <w:i/>
                <w:iCs/>
                <w:color w:val="808080"/>
                <w:sz w:val="16"/>
                <w:szCs w:val="16"/>
              </w:rPr>
            </w:pPr>
          </w:p>
        </w:tc>
        <w:tc>
          <w:tcPr>
            <w:tcW w:w="794" w:type="dxa"/>
            <w:shd w:val="clear" w:color="auto" w:fill="auto"/>
            <w:noWrap/>
            <w:vAlign w:val="center"/>
          </w:tcPr>
          <w:p w:rsidR="00E710B4" w:rsidRPr="004F24C8" w:rsidRDefault="00E710B4" w:rsidP="004F24C8">
            <w:pPr>
              <w:spacing w:before="0" w:after="0"/>
              <w:jc w:val="right"/>
              <w:rPr>
                <w:rFonts w:cs="Arial"/>
                <w:i/>
                <w:iCs/>
                <w:color w:val="808080"/>
                <w:sz w:val="16"/>
                <w:szCs w:val="16"/>
              </w:rPr>
            </w:pPr>
            <w:r>
              <w:rPr>
                <w:rFonts w:cs="Arial"/>
                <w:i/>
                <w:iCs/>
                <w:color w:val="808080"/>
                <w:sz w:val="16"/>
                <w:szCs w:val="16"/>
              </w:rPr>
              <w:t>344</w:t>
            </w:r>
          </w:p>
        </w:tc>
        <w:tc>
          <w:tcPr>
            <w:tcW w:w="794" w:type="dxa"/>
            <w:shd w:val="clear" w:color="auto" w:fill="auto"/>
            <w:noWrap/>
            <w:vAlign w:val="center"/>
          </w:tcPr>
          <w:p w:rsidR="00E710B4" w:rsidRPr="004F24C8" w:rsidRDefault="00E710B4" w:rsidP="004F24C8">
            <w:pPr>
              <w:spacing w:before="0" w:after="0"/>
              <w:jc w:val="right"/>
              <w:rPr>
                <w:rFonts w:cs="Arial"/>
                <w:color w:val="000000"/>
                <w:sz w:val="16"/>
                <w:szCs w:val="16"/>
              </w:rPr>
            </w:pPr>
          </w:p>
        </w:tc>
        <w:tc>
          <w:tcPr>
            <w:tcW w:w="794" w:type="dxa"/>
            <w:shd w:val="clear" w:color="auto" w:fill="auto"/>
            <w:noWrap/>
            <w:vAlign w:val="center"/>
          </w:tcPr>
          <w:p w:rsidR="00E710B4" w:rsidRPr="004F24C8" w:rsidRDefault="00E710B4" w:rsidP="004F24C8">
            <w:pPr>
              <w:spacing w:before="0" w:after="0"/>
              <w:jc w:val="right"/>
              <w:rPr>
                <w:rFonts w:cs="Arial"/>
                <w:color w:val="000000"/>
                <w:sz w:val="16"/>
                <w:szCs w:val="16"/>
              </w:rPr>
            </w:pPr>
          </w:p>
        </w:tc>
        <w:tc>
          <w:tcPr>
            <w:tcW w:w="794" w:type="dxa"/>
            <w:shd w:val="clear" w:color="auto" w:fill="auto"/>
            <w:noWrap/>
            <w:vAlign w:val="center"/>
          </w:tcPr>
          <w:p w:rsidR="00E710B4" w:rsidRPr="004F24C8" w:rsidRDefault="00E710B4" w:rsidP="004F24C8">
            <w:pPr>
              <w:spacing w:before="0" w:after="0"/>
              <w:jc w:val="right"/>
              <w:rPr>
                <w:rFonts w:cs="Arial"/>
                <w:color w:val="000000"/>
                <w:sz w:val="16"/>
                <w:szCs w:val="16"/>
              </w:rPr>
            </w:pPr>
          </w:p>
        </w:tc>
        <w:tc>
          <w:tcPr>
            <w:tcW w:w="794" w:type="dxa"/>
            <w:shd w:val="clear" w:color="auto" w:fill="auto"/>
            <w:noWrap/>
            <w:vAlign w:val="center"/>
          </w:tcPr>
          <w:p w:rsidR="00E710B4" w:rsidRPr="004F24C8" w:rsidRDefault="00E710B4" w:rsidP="004F24C8">
            <w:pPr>
              <w:spacing w:before="0" w:after="0"/>
              <w:jc w:val="right"/>
              <w:rPr>
                <w:rFonts w:cs="Arial"/>
                <w:color w:val="000000"/>
                <w:sz w:val="16"/>
                <w:szCs w:val="16"/>
              </w:rPr>
            </w:pPr>
          </w:p>
        </w:tc>
      </w:tr>
      <w:tr w:rsidR="004F24C8" w:rsidRPr="00D767A0" w:rsidTr="0036184E">
        <w:trPr>
          <w:trHeight w:val="225"/>
        </w:trPr>
        <w:tc>
          <w:tcPr>
            <w:tcW w:w="4252" w:type="dxa"/>
            <w:shd w:val="clear" w:color="auto" w:fill="auto"/>
            <w:noWrap/>
            <w:vAlign w:val="center"/>
          </w:tcPr>
          <w:p w:rsidR="004F24C8" w:rsidRPr="004F24C8" w:rsidRDefault="00E710B4" w:rsidP="004F24C8">
            <w:pPr>
              <w:spacing w:before="0" w:after="0"/>
              <w:ind w:left="340"/>
              <w:rPr>
                <w:rFonts w:cs="Arial"/>
                <w:i/>
                <w:iCs/>
                <w:color w:val="808080"/>
                <w:sz w:val="16"/>
                <w:szCs w:val="16"/>
              </w:rPr>
            </w:pPr>
            <w:r>
              <w:rPr>
                <w:rFonts w:cs="Arial"/>
                <w:i/>
                <w:iCs/>
                <w:color w:val="808080"/>
                <w:sz w:val="16"/>
                <w:szCs w:val="16"/>
              </w:rPr>
              <w:t>O</w:t>
            </w:r>
            <w:r w:rsidR="004F24C8" w:rsidRPr="004F24C8">
              <w:rPr>
                <w:rFonts w:cs="Arial"/>
                <w:i/>
                <w:iCs/>
                <w:color w:val="808080"/>
                <w:sz w:val="16"/>
                <w:szCs w:val="16"/>
              </w:rPr>
              <w:t>peration sunlight - crisis accommodation assistance</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40</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40</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40</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41</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41</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42</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21</w:t>
            </w: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r>
      <w:tr w:rsidR="004F24C8" w:rsidRPr="00D767A0" w:rsidTr="0036184E">
        <w:trPr>
          <w:trHeight w:val="225"/>
        </w:trPr>
        <w:tc>
          <w:tcPr>
            <w:tcW w:w="4252" w:type="dxa"/>
            <w:shd w:val="clear" w:color="auto" w:fill="auto"/>
            <w:noWrap/>
            <w:vAlign w:val="center"/>
          </w:tcPr>
          <w:p w:rsidR="004F24C8" w:rsidRPr="004F24C8" w:rsidRDefault="00E710B4" w:rsidP="004F24C8">
            <w:pPr>
              <w:spacing w:before="0" w:after="0"/>
              <w:ind w:left="340"/>
              <w:rPr>
                <w:rFonts w:cs="Arial"/>
                <w:i/>
                <w:iCs/>
                <w:color w:val="808080"/>
                <w:sz w:val="16"/>
                <w:szCs w:val="16"/>
              </w:rPr>
            </w:pPr>
            <w:r>
              <w:rPr>
                <w:rFonts w:cs="Arial"/>
                <w:i/>
                <w:iCs/>
                <w:color w:val="808080"/>
                <w:sz w:val="16"/>
                <w:szCs w:val="16"/>
              </w:rPr>
              <w:t>O</w:t>
            </w:r>
            <w:r w:rsidR="004F24C8" w:rsidRPr="004F24C8">
              <w:rPr>
                <w:rFonts w:cs="Arial"/>
                <w:i/>
                <w:iCs/>
                <w:color w:val="808080"/>
                <w:sz w:val="16"/>
                <w:szCs w:val="16"/>
              </w:rPr>
              <w:t>peration sunlight - supported accommodation assistance</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167</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171</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175</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179</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177</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186</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96</w:t>
            </w: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r>
      <w:tr w:rsidR="004F24C8" w:rsidRPr="00D767A0" w:rsidTr="0036184E">
        <w:trPr>
          <w:trHeight w:val="225"/>
        </w:trPr>
        <w:tc>
          <w:tcPr>
            <w:tcW w:w="4252" w:type="dxa"/>
            <w:tcBorders>
              <w:bottom w:val="dotted" w:sz="8" w:space="0" w:color="auto"/>
            </w:tcBorders>
            <w:shd w:val="clear" w:color="auto" w:fill="auto"/>
            <w:noWrap/>
            <w:vAlign w:val="center"/>
          </w:tcPr>
          <w:p w:rsidR="004F24C8" w:rsidRPr="004F24C8" w:rsidRDefault="004F24C8" w:rsidP="004F24C8">
            <w:pPr>
              <w:spacing w:before="0" w:after="0"/>
              <w:ind w:left="113"/>
              <w:rPr>
                <w:rFonts w:cs="Arial"/>
                <w:color w:val="000000"/>
                <w:sz w:val="16"/>
                <w:szCs w:val="16"/>
              </w:rPr>
            </w:pPr>
            <w:r w:rsidRPr="004F24C8">
              <w:rPr>
                <w:rFonts w:cs="Arial"/>
                <w:color w:val="000000"/>
                <w:sz w:val="16"/>
                <w:szCs w:val="16"/>
              </w:rPr>
              <w:t>Housing -</w:t>
            </w:r>
            <w:r w:rsidR="00D67E15">
              <w:rPr>
                <w:rFonts w:cs="Arial"/>
                <w:color w:val="000000"/>
                <w:sz w:val="16"/>
                <w:szCs w:val="16"/>
              </w:rPr>
              <w:t xml:space="preserve"> </w:t>
            </w:r>
            <w:r w:rsidRPr="004F24C8">
              <w:rPr>
                <w:rFonts w:cs="Arial"/>
                <w:color w:val="000000"/>
                <w:sz w:val="16"/>
                <w:szCs w:val="16"/>
              </w:rPr>
              <w:t>total</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1588</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1458</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1647</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1853</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1897</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1874</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3891</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7944</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4352</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3387</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2844</w:t>
            </w:r>
          </w:p>
        </w:tc>
      </w:tr>
      <w:tr w:rsidR="004F24C8" w:rsidRPr="00D767A0" w:rsidTr="0036184E">
        <w:trPr>
          <w:trHeight w:val="225"/>
        </w:trPr>
        <w:tc>
          <w:tcPr>
            <w:tcW w:w="4252" w:type="dxa"/>
            <w:tcBorders>
              <w:top w:val="dotted" w:sz="8" w:space="0" w:color="auto"/>
            </w:tcBorders>
            <w:shd w:val="clear" w:color="auto" w:fill="auto"/>
            <w:noWrap/>
            <w:vAlign w:val="center"/>
          </w:tcPr>
          <w:p w:rsidR="004F24C8" w:rsidRPr="004F24C8" w:rsidRDefault="004F24C8" w:rsidP="004F24C8">
            <w:pPr>
              <w:spacing w:before="0" w:after="0"/>
              <w:ind w:left="113"/>
              <w:rPr>
                <w:rFonts w:cs="Arial"/>
                <w:color w:val="000000"/>
                <w:sz w:val="16"/>
                <w:szCs w:val="16"/>
              </w:rPr>
            </w:pPr>
            <w:r w:rsidRPr="004F24C8">
              <w:rPr>
                <w:rFonts w:cs="Arial"/>
                <w:color w:val="000000"/>
                <w:sz w:val="16"/>
                <w:szCs w:val="16"/>
              </w:rPr>
              <w:t>Urban and regional development - as published</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113</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138</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192</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175</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151</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164</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139</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263</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354</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595</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531</w:t>
            </w:r>
          </w:p>
        </w:tc>
      </w:tr>
      <w:tr w:rsidR="004F24C8" w:rsidRPr="00D767A0" w:rsidTr="000553AA">
        <w:trPr>
          <w:trHeight w:val="225"/>
        </w:trPr>
        <w:tc>
          <w:tcPr>
            <w:tcW w:w="4252" w:type="dxa"/>
            <w:shd w:val="clear" w:color="auto" w:fill="auto"/>
            <w:noWrap/>
            <w:vAlign w:val="center"/>
          </w:tcPr>
          <w:p w:rsidR="004F24C8" w:rsidRPr="004F24C8" w:rsidRDefault="004F24C8" w:rsidP="004F24C8">
            <w:pPr>
              <w:spacing w:before="0" w:after="0"/>
              <w:ind w:left="227"/>
              <w:rPr>
                <w:rFonts w:cs="Arial"/>
                <w:i/>
                <w:iCs/>
                <w:color w:val="808080"/>
                <w:sz w:val="16"/>
                <w:szCs w:val="16"/>
              </w:rPr>
            </w:pPr>
            <w:r w:rsidRPr="004F24C8">
              <w:rPr>
                <w:rFonts w:cs="Arial"/>
                <w:i/>
                <w:iCs/>
                <w:color w:val="808080"/>
                <w:sz w:val="16"/>
                <w:szCs w:val="16"/>
              </w:rPr>
              <w:t>Reclassification</w:t>
            </w:r>
          </w:p>
        </w:tc>
        <w:tc>
          <w:tcPr>
            <w:tcW w:w="794" w:type="dxa"/>
            <w:shd w:val="clear" w:color="auto" w:fill="auto"/>
            <w:noWrap/>
            <w:vAlign w:val="center"/>
          </w:tcPr>
          <w:p w:rsidR="004F24C8" w:rsidRPr="004F24C8" w:rsidRDefault="004F24C8" w:rsidP="004F24C8">
            <w:pPr>
              <w:spacing w:before="0" w:after="0"/>
              <w:jc w:val="right"/>
              <w:rPr>
                <w:rFonts w:cs="Arial"/>
                <w:i/>
                <w:iCs/>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i/>
                <w:iCs/>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i/>
                <w:iCs/>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i/>
                <w:iCs/>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i/>
                <w:iCs/>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i/>
                <w:iCs/>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i/>
                <w:iCs/>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r>
      <w:tr w:rsidR="004F24C8" w:rsidRPr="00D767A0" w:rsidTr="00885DF3">
        <w:trPr>
          <w:trHeight w:val="225"/>
        </w:trPr>
        <w:tc>
          <w:tcPr>
            <w:tcW w:w="4252" w:type="dxa"/>
            <w:shd w:val="clear" w:color="auto" w:fill="auto"/>
            <w:noWrap/>
            <w:vAlign w:val="center"/>
          </w:tcPr>
          <w:p w:rsidR="004F24C8" w:rsidRPr="004F24C8" w:rsidRDefault="004F24C8" w:rsidP="004F24C8">
            <w:pPr>
              <w:spacing w:before="0" w:after="0"/>
              <w:ind w:left="340"/>
              <w:rPr>
                <w:rFonts w:cs="Arial"/>
                <w:i/>
                <w:iCs/>
                <w:color w:val="808080"/>
                <w:sz w:val="16"/>
                <w:szCs w:val="16"/>
              </w:rPr>
            </w:pPr>
            <w:r w:rsidRPr="004F24C8">
              <w:rPr>
                <w:rFonts w:cs="Arial"/>
                <w:i/>
                <w:iCs/>
                <w:color w:val="808080"/>
                <w:sz w:val="16"/>
                <w:szCs w:val="16"/>
              </w:rPr>
              <w:t>Operation sunlight - services to territories</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30</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31</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107</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100</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103</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102</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141</w:t>
            </w: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r>
      <w:tr w:rsidR="004F24C8" w:rsidRPr="00D767A0" w:rsidTr="00885DF3">
        <w:trPr>
          <w:trHeight w:val="225"/>
        </w:trPr>
        <w:tc>
          <w:tcPr>
            <w:tcW w:w="4252" w:type="dxa"/>
            <w:tcBorders>
              <w:bottom w:val="dotted" w:sz="8" w:space="0" w:color="auto"/>
            </w:tcBorders>
            <w:shd w:val="clear" w:color="auto" w:fill="auto"/>
            <w:noWrap/>
            <w:vAlign w:val="center"/>
          </w:tcPr>
          <w:p w:rsidR="004F24C8" w:rsidRPr="004F24C8" w:rsidRDefault="004F24C8" w:rsidP="004F24C8">
            <w:pPr>
              <w:spacing w:before="0" w:after="0"/>
              <w:ind w:left="113"/>
              <w:rPr>
                <w:rFonts w:cs="Arial"/>
                <w:color w:val="000000"/>
                <w:sz w:val="16"/>
                <w:szCs w:val="16"/>
              </w:rPr>
            </w:pPr>
            <w:r w:rsidRPr="004F24C8">
              <w:rPr>
                <w:rFonts w:cs="Arial"/>
                <w:color w:val="000000"/>
                <w:sz w:val="16"/>
                <w:szCs w:val="16"/>
              </w:rPr>
              <w:t>Urban and regional development - total</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143</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169</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299</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275</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254</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266</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280</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263</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354</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595</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531</w:t>
            </w:r>
          </w:p>
        </w:tc>
      </w:tr>
      <w:tr w:rsidR="004F24C8" w:rsidRPr="00D767A0" w:rsidTr="00885DF3">
        <w:trPr>
          <w:trHeight w:val="225"/>
        </w:trPr>
        <w:tc>
          <w:tcPr>
            <w:tcW w:w="4252" w:type="dxa"/>
            <w:tcBorders>
              <w:top w:val="dotted" w:sz="8" w:space="0" w:color="auto"/>
            </w:tcBorders>
            <w:shd w:val="clear" w:color="auto" w:fill="auto"/>
            <w:noWrap/>
            <w:vAlign w:val="center"/>
          </w:tcPr>
          <w:p w:rsidR="004F24C8" w:rsidRPr="004F24C8" w:rsidRDefault="004F24C8" w:rsidP="004F24C8">
            <w:pPr>
              <w:spacing w:before="0" w:after="0"/>
              <w:ind w:left="113"/>
              <w:rPr>
                <w:rFonts w:cs="Arial"/>
                <w:color w:val="000000"/>
                <w:sz w:val="16"/>
                <w:szCs w:val="16"/>
              </w:rPr>
            </w:pPr>
            <w:r w:rsidRPr="004F24C8">
              <w:rPr>
                <w:rFonts w:cs="Arial"/>
                <w:color w:val="000000"/>
                <w:sz w:val="16"/>
                <w:szCs w:val="16"/>
              </w:rPr>
              <w:t>Environment protection - as published</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268</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250</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388</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439</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1079</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1100</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1511</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822</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837</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2197</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3391</w:t>
            </w:r>
          </w:p>
        </w:tc>
      </w:tr>
      <w:tr w:rsidR="004F24C8" w:rsidRPr="00D767A0" w:rsidTr="000553AA">
        <w:trPr>
          <w:trHeight w:val="225"/>
        </w:trPr>
        <w:tc>
          <w:tcPr>
            <w:tcW w:w="4252" w:type="dxa"/>
            <w:shd w:val="clear" w:color="auto" w:fill="auto"/>
            <w:noWrap/>
            <w:vAlign w:val="center"/>
          </w:tcPr>
          <w:p w:rsidR="004F24C8" w:rsidRPr="004F24C8" w:rsidRDefault="004F24C8" w:rsidP="004F24C8">
            <w:pPr>
              <w:spacing w:before="0" w:after="0"/>
              <w:ind w:left="227"/>
              <w:rPr>
                <w:rFonts w:cs="Arial"/>
                <w:i/>
                <w:iCs/>
                <w:color w:val="808080"/>
                <w:sz w:val="16"/>
                <w:szCs w:val="16"/>
              </w:rPr>
            </w:pPr>
            <w:r w:rsidRPr="004F24C8">
              <w:rPr>
                <w:rFonts w:cs="Arial"/>
                <w:i/>
                <w:iCs/>
                <w:color w:val="808080"/>
                <w:sz w:val="16"/>
                <w:szCs w:val="16"/>
              </w:rPr>
              <w:t>Reclassification</w:t>
            </w: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r>
      <w:tr w:rsidR="004F24C8" w:rsidRPr="00D767A0" w:rsidTr="00885DF3">
        <w:trPr>
          <w:trHeight w:val="225"/>
        </w:trPr>
        <w:tc>
          <w:tcPr>
            <w:tcW w:w="4252" w:type="dxa"/>
            <w:shd w:val="clear" w:color="auto" w:fill="auto"/>
            <w:noWrap/>
            <w:vAlign w:val="center"/>
          </w:tcPr>
          <w:p w:rsidR="004F24C8" w:rsidRPr="004F24C8" w:rsidRDefault="00577E17" w:rsidP="004F24C8">
            <w:pPr>
              <w:spacing w:before="0" w:after="0"/>
              <w:ind w:left="340"/>
              <w:rPr>
                <w:rFonts w:cs="Arial"/>
                <w:i/>
                <w:iCs/>
                <w:color w:val="808080"/>
                <w:sz w:val="16"/>
                <w:szCs w:val="16"/>
              </w:rPr>
            </w:pPr>
            <w:r>
              <w:rPr>
                <w:rFonts w:cs="Arial"/>
                <w:i/>
                <w:iCs/>
                <w:color w:val="808080"/>
                <w:sz w:val="16"/>
                <w:szCs w:val="16"/>
              </w:rPr>
              <w:t>O</w:t>
            </w:r>
            <w:r w:rsidR="004F24C8" w:rsidRPr="004F24C8">
              <w:rPr>
                <w:rFonts w:cs="Arial"/>
                <w:i/>
                <w:iCs/>
                <w:color w:val="808080"/>
                <w:sz w:val="16"/>
                <w:szCs w:val="16"/>
              </w:rPr>
              <w:t>peration sunlight - Australian Antarctic Division</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-92</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-91</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-107</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-124</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-128</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-136</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-151</w:t>
            </w: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r>
      <w:tr w:rsidR="004F24C8" w:rsidRPr="00D767A0" w:rsidTr="00885DF3">
        <w:trPr>
          <w:trHeight w:val="225"/>
        </w:trPr>
        <w:tc>
          <w:tcPr>
            <w:tcW w:w="4252" w:type="dxa"/>
            <w:tcBorders>
              <w:bottom w:val="dotted" w:sz="8" w:space="0" w:color="auto"/>
            </w:tcBorders>
            <w:shd w:val="clear" w:color="auto" w:fill="auto"/>
            <w:noWrap/>
            <w:vAlign w:val="center"/>
          </w:tcPr>
          <w:p w:rsidR="004F24C8" w:rsidRPr="004F24C8" w:rsidRDefault="004F24C8" w:rsidP="004F24C8">
            <w:pPr>
              <w:spacing w:before="0" w:after="0"/>
              <w:ind w:left="113"/>
              <w:rPr>
                <w:rFonts w:cs="Arial"/>
                <w:color w:val="000000"/>
                <w:sz w:val="16"/>
                <w:szCs w:val="16"/>
              </w:rPr>
            </w:pPr>
            <w:r w:rsidRPr="004F24C8">
              <w:rPr>
                <w:rFonts w:cs="Arial"/>
                <w:color w:val="000000"/>
                <w:sz w:val="16"/>
                <w:szCs w:val="16"/>
              </w:rPr>
              <w:t>Environment protection - total</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176</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159</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281</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315</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951</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964</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1360</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822</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837</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2197</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3391</w:t>
            </w:r>
          </w:p>
        </w:tc>
      </w:tr>
      <w:tr w:rsidR="004F24C8" w:rsidRPr="00D767A0" w:rsidTr="00885DF3">
        <w:trPr>
          <w:trHeight w:val="225"/>
        </w:trPr>
        <w:tc>
          <w:tcPr>
            <w:tcW w:w="4252"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rPr>
                <w:rFonts w:cs="Arial"/>
                <w:b/>
                <w:bCs/>
                <w:color w:val="000000"/>
                <w:sz w:val="16"/>
                <w:szCs w:val="16"/>
              </w:rPr>
            </w:pPr>
            <w:r w:rsidRPr="004F24C8">
              <w:rPr>
                <w:rFonts w:cs="Arial"/>
                <w:b/>
                <w:bCs/>
                <w:color w:val="000000"/>
                <w:sz w:val="16"/>
                <w:szCs w:val="16"/>
              </w:rPr>
              <w:t>Housing and community</w:t>
            </w:r>
            <w:r w:rsidR="000C47B2">
              <w:rPr>
                <w:rFonts w:cs="Arial"/>
                <w:b/>
                <w:bCs/>
                <w:color w:val="000000"/>
                <w:sz w:val="16"/>
                <w:szCs w:val="16"/>
              </w:rPr>
              <w:t xml:space="preserve"> amenities </w:t>
            </w:r>
            <w:r w:rsidRPr="004F24C8">
              <w:rPr>
                <w:rFonts w:cs="Arial"/>
                <w:b/>
                <w:bCs/>
                <w:color w:val="000000"/>
                <w:sz w:val="16"/>
                <w:szCs w:val="16"/>
              </w:rPr>
              <w:t xml:space="preserve"> - total</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1908</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1786</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2227</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2443</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3102</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3103</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5530</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9029</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5543</w:t>
            </w:r>
          </w:p>
        </w:tc>
        <w:tc>
          <w:tcPr>
            <w:tcW w:w="794" w:type="dxa"/>
            <w:tcBorders>
              <w:top w:val="dotted" w:sz="8" w:space="0" w:color="auto"/>
              <w:bottom w:val="single" w:sz="8" w:space="0" w:color="2B3B5F"/>
            </w:tcBorders>
            <w:shd w:val="clear" w:color="auto" w:fill="auto"/>
            <w:noWrap/>
            <w:vAlign w:val="center"/>
          </w:tcPr>
          <w:p w:rsidR="004F24C8" w:rsidRPr="004F24C8" w:rsidRDefault="00600404" w:rsidP="004F24C8">
            <w:pPr>
              <w:spacing w:before="0" w:after="0"/>
              <w:jc w:val="right"/>
              <w:rPr>
                <w:rFonts w:cs="Arial"/>
                <w:b/>
                <w:bCs/>
                <w:color w:val="000000"/>
                <w:sz w:val="16"/>
                <w:szCs w:val="16"/>
              </w:rPr>
            </w:pPr>
            <w:r>
              <w:rPr>
                <w:rFonts w:cs="Arial"/>
                <w:b/>
                <w:bCs/>
                <w:color w:val="000000"/>
                <w:sz w:val="16"/>
                <w:szCs w:val="16"/>
              </w:rPr>
              <w:t>6180</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6766</w:t>
            </w:r>
          </w:p>
        </w:tc>
      </w:tr>
      <w:tr w:rsidR="00512130" w:rsidRPr="004F24C8" w:rsidTr="00512130">
        <w:trPr>
          <w:trHeight w:val="489"/>
        </w:trPr>
        <w:tc>
          <w:tcPr>
            <w:tcW w:w="12986" w:type="dxa"/>
            <w:gridSpan w:val="12"/>
            <w:tcBorders>
              <w:top w:val="single" w:sz="8" w:space="0" w:color="2B3B5F"/>
            </w:tcBorders>
            <w:shd w:val="clear" w:color="auto" w:fill="auto"/>
            <w:noWrap/>
            <w:vAlign w:val="center"/>
          </w:tcPr>
          <w:p w:rsidR="00512130" w:rsidRPr="004F24C8" w:rsidRDefault="00512130" w:rsidP="004F24C8">
            <w:pPr>
              <w:spacing w:before="0" w:after="0"/>
              <w:jc w:val="right"/>
              <w:rPr>
                <w:rFonts w:cs="Arial"/>
                <w:bCs/>
                <w:color w:val="000000"/>
                <w:sz w:val="16"/>
                <w:szCs w:val="16"/>
              </w:rPr>
            </w:pPr>
          </w:p>
        </w:tc>
      </w:tr>
      <w:tr w:rsidR="0036184E" w:rsidRPr="004F24C8" w:rsidTr="0036184E">
        <w:trPr>
          <w:trHeight w:val="225"/>
        </w:trPr>
        <w:tc>
          <w:tcPr>
            <w:tcW w:w="4252" w:type="dxa"/>
            <w:tcBorders>
              <w:top w:val="single" w:sz="8" w:space="0" w:color="2B3B5F"/>
              <w:bottom w:val="dotted" w:sz="8" w:space="0" w:color="auto"/>
            </w:tcBorders>
            <w:shd w:val="clear" w:color="auto" w:fill="95A4C6"/>
            <w:noWrap/>
            <w:vAlign w:val="center"/>
          </w:tcPr>
          <w:p w:rsidR="0036184E" w:rsidRPr="008D02A0" w:rsidRDefault="0036184E" w:rsidP="0036184E">
            <w:pPr>
              <w:spacing w:before="0" w:after="0"/>
              <w:rPr>
                <w:rFonts w:cs="Arial"/>
                <w:color w:val="000000"/>
                <w:sz w:val="16"/>
                <w:szCs w:val="16"/>
              </w:rPr>
            </w:pPr>
          </w:p>
        </w:tc>
        <w:tc>
          <w:tcPr>
            <w:tcW w:w="794" w:type="dxa"/>
            <w:tcBorders>
              <w:top w:val="single" w:sz="8" w:space="0" w:color="2B3B5F"/>
              <w:bottom w:val="dotted" w:sz="8" w:space="0" w:color="auto"/>
            </w:tcBorders>
            <w:shd w:val="clear" w:color="auto" w:fill="95A4C6"/>
            <w:noWrap/>
            <w:vAlign w:val="center"/>
          </w:tcPr>
          <w:p w:rsidR="0036184E" w:rsidRPr="008D02A0" w:rsidRDefault="0036184E" w:rsidP="0036184E">
            <w:pPr>
              <w:spacing w:before="0" w:after="0"/>
              <w:jc w:val="right"/>
              <w:rPr>
                <w:rFonts w:cs="Arial"/>
                <w:color w:val="000000"/>
                <w:sz w:val="16"/>
                <w:szCs w:val="16"/>
              </w:rPr>
            </w:pPr>
            <w:r w:rsidRPr="008D02A0">
              <w:rPr>
                <w:rFonts w:cs="Arial"/>
                <w:color w:val="000000"/>
                <w:sz w:val="16"/>
                <w:szCs w:val="16"/>
              </w:rPr>
              <w:t>2002-03</w:t>
            </w:r>
          </w:p>
        </w:tc>
        <w:tc>
          <w:tcPr>
            <w:tcW w:w="794" w:type="dxa"/>
            <w:tcBorders>
              <w:top w:val="single" w:sz="8" w:space="0" w:color="2B3B5F"/>
              <w:bottom w:val="dotted" w:sz="8" w:space="0" w:color="auto"/>
            </w:tcBorders>
            <w:shd w:val="clear" w:color="auto" w:fill="95A4C6"/>
            <w:noWrap/>
            <w:vAlign w:val="center"/>
          </w:tcPr>
          <w:p w:rsidR="0036184E" w:rsidRPr="008D02A0" w:rsidRDefault="0036184E" w:rsidP="0036184E">
            <w:pPr>
              <w:spacing w:before="0" w:after="0"/>
              <w:jc w:val="right"/>
              <w:rPr>
                <w:rFonts w:cs="Arial"/>
                <w:color w:val="000000"/>
                <w:sz w:val="16"/>
                <w:szCs w:val="16"/>
              </w:rPr>
            </w:pPr>
            <w:r w:rsidRPr="008D02A0">
              <w:rPr>
                <w:rFonts w:cs="Arial"/>
                <w:color w:val="000000"/>
                <w:sz w:val="16"/>
                <w:szCs w:val="16"/>
              </w:rPr>
              <w:t>2003-04</w:t>
            </w:r>
          </w:p>
        </w:tc>
        <w:tc>
          <w:tcPr>
            <w:tcW w:w="794" w:type="dxa"/>
            <w:tcBorders>
              <w:top w:val="single" w:sz="8" w:space="0" w:color="2B3B5F"/>
              <w:bottom w:val="dotted" w:sz="8" w:space="0" w:color="auto"/>
            </w:tcBorders>
            <w:shd w:val="clear" w:color="auto" w:fill="95A4C6"/>
            <w:noWrap/>
            <w:vAlign w:val="center"/>
          </w:tcPr>
          <w:p w:rsidR="0036184E" w:rsidRPr="008D02A0" w:rsidRDefault="0036184E" w:rsidP="0036184E">
            <w:pPr>
              <w:spacing w:before="0" w:after="0"/>
              <w:jc w:val="right"/>
              <w:rPr>
                <w:rFonts w:cs="Arial"/>
                <w:color w:val="000000"/>
                <w:sz w:val="16"/>
                <w:szCs w:val="16"/>
              </w:rPr>
            </w:pPr>
            <w:r w:rsidRPr="008D02A0">
              <w:rPr>
                <w:rFonts w:cs="Arial"/>
                <w:color w:val="000000"/>
                <w:sz w:val="16"/>
                <w:szCs w:val="16"/>
              </w:rPr>
              <w:t>2004-05</w:t>
            </w:r>
          </w:p>
        </w:tc>
        <w:tc>
          <w:tcPr>
            <w:tcW w:w="794" w:type="dxa"/>
            <w:tcBorders>
              <w:top w:val="single" w:sz="8" w:space="0" w:color="2B3B5F"/>
              <w:bottom w:val="dotted" w:sz="8" w:space="0" w:color="auto"/>
            </w:tcBorders>
            <w:shd w:val="clear" w:color="auto" w:fill="95A4C6"/>
            <w:noWrap/>
            <w:vAlign w:val="center"/>
          </w:tcPr>
          <w:p w:rsidR="0036184E" w:rsidRPr="008D02A0" w:rsidRDefault="0036184E" w:rsidP="0036184E">
            <w:pPr>
              <w:spacing w:before="0" w:after="0"/>
              <w:jc w:val="right"/>
              <w:rPr>
                <w:rFonts w:cs="Arial"/>
                <w:color w:val="000000"/>
                <w:sz w:val="16"/>
                <w:szCs w:val="16"/>
              </w:rPr>
            </w:pPr>
            <w:r w:rsidRPr="008D02A0">
              <w:rPr>
                <w:rFonts w:cs="Arial"/>
                <w:color w:val="000000"/>
                <w:sz w:val="16"/>
                <w:szCs w:val="16"/>
              </w:rPr>
              <w:t>2005-06</w:t>
            </w:r>
          </w:p>
        </w:tc>
        <w:tc>
          <w:tcPr>
            <w:tcW w:w="794" w:type="dxa"/>
            <w:tcBorders>
              <w:top w:val="single" w:sz="8" w:space="0" w:color="2B3B5F"/>
              <w:bottom w:val="dotted" w:sz="8" w:space="0" w:color="auto"/>
            </w:tcBorders>
            <w:shd w:val="clear" w:color="auto" w:fill="95A4C6"/>
            <w:noWrap/>
            <w:vAlign w:val="center"/>
          </w:tcPr>
          <w:p w:rsidR="0036184E" w:rsidRPr="008D02A0" w:rsidRDefault="0036184E" w:rsidP="0036184E">
            <w:pPr>
              <w:spacing w:before="0" w:after="0"/>
              <w:jc w:val="right"/>
              <w:rPr>
                <w:rFonts w:cs="Arial"/>
                <w:color w:val="000000"/>
                <w:sz w:val="16"/>
                <w:szCs w:val="16"/>
              </w:rPr>
            </w:pPr>
            <w:r w:rsidRPr="008D02A0">
              <w:rPr>
                <w:rFonts w:cs="Arial"/>
                <w:color w:val="000000"/>
                <w:sz w:val="16"/>
                <w:szCs w:val="16"/>
              </w:rPr>
              <w:t>2006-07</w:t>
            </w:r>
          </w:p>
        </w:tc>
        <w:tc>
          <w:tcPr>
            <w:tcW w:w="794" w:type="dxa"/>
            <w:tcBorders>
              <w:top w:val="single" w:sz="8" w:space="0" w:color="2B3B5F"/>
              <w:bottom w:val="dotted" w:sz="8" w:space="0" w:color="auto"/>
            </w:tcBorders>
            <w:shd w:val="clear" w:color="auto" w:fill="95A4C6"/>
            <w:noWrap/>
            <w:vAlign w:val="center"/>
          </w:tcPr>
          <w:p w:rsidR="0036184E" w:rsidRPr="008D02A0" w:rsidRDefault="0036184E" w:rsidP="0036184E">
            <w:pPr>
              <w:spacing w:before="0" w:after="0"/>
              <w:jc w:val="right"/>
              <w:rPr>
                <w:rFonts w:cs="Arial"/>
                <w:color w:val="000000"/>
                <w:sz w:val="16"/>
                <w:szCs w:val="16"/>
              </w:rPr>
            </w:pPr>
            <w:r w:rsidRPr="008D02A0">
              <w:rPr>
                <w:rFonts w:cs="Arial"/>
                <w:color w:val="000000"/>
                <w:sz w:val="16"/>
                <w:szCs w:val="16"/>
              </w:rPr>
              <w:t>2007-08</w:t>
            </w:r>
          </w:p>
        </w:tc>
        <w:tc>
          <w:tcPr>
            <w:tcW w:w="794" w:type="dxa"/>
            <w:tcBorders>
              <w:top w:val="single" w:sz="8" w:space="0" w:color="2B3B5F"/>
              <w:bottom w:val="dotted" w:sz="8" w:space="0" w:color="auto"/>
            </w:tcBorders>
            <w:shd w:val="clear" w:color="auto" w:fill="95A4C6"/>
            <w:noWrap/>
            <w:vAlign w:val="center"/>
          </w:tcPr>
          <w:p w:rsidR="0036184E" w:rsidRPr="008D02A0" w:rsidRDefault="0036184E" w:rsidP="0036184E">
            <w:pPr>
              <w:spacing w:before="0" w:after="0"/>
              <w:jc w:val="right"/>
              <w:rPr>
                <w:rFonts w:cs="Arial"/>
                <w:color w:val="000000"/>
                <w:sz w:val="16"/>
                <w:szCs w:val="16"/>
              </w:rPr>
            </w:pPr>
            <w:r w:rsidRPr="008D02A0">
              <w:rPr>
                <w:rFonts w:cs="Arial"/>
                <w:color w:val="000000"/>
                <w:sz w:val="16"/>
                <w:szCs w:val="16"/>
              </w:rPr>
              <w:t>2008-09</w:t>
            </w:r>
          </w:p>
        </w:tc>
        <w:tc>
          <w:tcPr>
            <w:tcW w:w="794" w:type="dxa"/>
            <w:tcBorders>
              <w:top w:val="single" w:sz="8" w:space="0" w:color="2B3B5F"/>
              <w:bottom w:val="dotted" w:sz="8" w:space="0" w:color="auto"/>
            </w:tcBorders>
            <w:shd w:val="clear" w:color="auto" w:fill="95A4C6"/>
            <w:noWrap/>
            <w:vAlign w:val="center"/>
          </w:tcPr>
          <w:p w:rsidR="0036184E" w:rsidRPr="008D02A0" w:rsidRDefault="0036184E" w:rsidP="0036184E">
            <w:pPr>
              <w:spacing w:before="0" w:after="0"/>
              <w:jc w:val="right"/>
              <w:rPr>
                <w:rFonts w:cs="Arial"/>
                <w:color w:val="000000"/>
                <w:sz w:val="16"/>
                <w:szCs w:val="16"/>
              </w:rPr>
            </w:pPr>
            <w:r w:rsidRPr="008D02A0">
              <w:rPr>
                <w:rFonts w:cs="Arial"/>
                <w:color w:val="000000"/>
                <w:sz w:val="16"/>
                <w:szCs w:val="16"/>
              </w:rPr>
              <w:t>2009-10</w:t>
            </w:r>
          </w:p>
        </w:tc>
        <w:tc>
          <w:tcPr>
            <w:tcW w:w="794" w:type="dxa"/>
            <w:tcBorders>
              <w:top w:val="single" w:sz="8" w:space="0" w:color="2B3B5F"/>
              <w:bottom w:val="dotted" w:sz="8" w:space="0" w:color="auto"/>
            </w:tcBorders>
            <w:shd w:val="clear" w:color="auto" w:fill="95A4C6"/>
            <w:noWrap/>
            <w:vAlign w:val="center"/>
          </w:tcPr>
          <w:p w:rsidR="0036184E" w:rsidRPr="008D02A0" w:rsidRDefault="0036184E" w:rsidP="0036184E">
            <w:pPr>
              <w:spacing w:before="0" w:after="0"/>
              <w:jc w:val="right"/>
              <w:rPr>
                <w:rFonts w:cs="Arial"/>
                <w:color w:val="000000"/>
                <w:sz w:val="16"/>
                <w:szCs w:val="16"/>
              </w:rPr>
            </w:pPr>
            <w:r w:rsidRPr="008D02A0">
              <w:rPr>
                <w:rFonts w:cs="Arial"/>
                <w:color w:val="000000"/>
                <w:sz w:val="16"/>
                <w:szCs w:val="16"/>
              </w:rPr>
              <w:t>2010-11</w:t>
            </w:r>
          </w:p>
        </w:tc>
        <w:tc>
          <w:tcPr>
            <w:tcW w:w="794" w:type="dxa"/>
            <w:tcBorders>
              <w:top w:val="single" w:sz="8" w:space="0" w:color="2B3B5F"/>
              <w:bottom w:val="dotted" w:sz="8" w:space="0" w:color="auto"/>
            </w:tcBorders>
            <w:shd w:val="clear" w:color="auto" w:fill="95A4C6"/>
            <w:noWrap/>
            <w:vAlign w:val="center"/>
          </w:tcPr>
          <w:p w:rsidR="0036184E" w:rsidRPr="008D02A0" w:rsidRDefault="0036184E" w:rsidP="0036184E">
            <w:pPr>
              <w:spacing w:before="0" w:after="0"/>
              <w:jc w:val="right"/>
              <w:rPr>
                <w:rFonts w:cs="Arial"/>
                <w:color w:val="000000"/>
                <w:sz w:val="16"/>
                <w:szCs w:val="16"/>
              </w:rPr>
            </w:pPr>
            <w:r w:rsidRPr="008D02A0">
              <w:rPr>
                <w:rFonts w:cs="Arial"/>
                <w:color w:val="000000"/>
                <w:sz w:val="16"/>
                <w:szCs w:val="16"/>
              </w:rPr>
              <w:t>2011-12</w:t>
            </w:r>
          </w:p>
        </w:tc>
        <w:tc>
          <w:tcPr>
            <w:tcW w:w="794" w:type="dxa"/>
            <w:tcBorders>
              <w:top w:val="single" w:sz="8" w:space="0" w:color="2B3B5F"/>
              <w:bottom w:val="dotted" w:sz="8" w:space="0" w:color="auto"/>
            </w:tcBorders>
            <w:shd w:val="clear" w:color="auto" w:fill="95A4C6"/>
            <w:noWrap/>
            <w:vAlign w:val="center"/>
          </w:tcPr>
          <w:p w:rsidR="0036184E" w:rsidRPr="008D02A0" w:rsidRDefault="0036184E" w:rsidP="0036184E">
            <w:pPr>
              <w:spacing w:before="0" w:after="0"/>
              <w:jc w:val="right"/>
              <w:rPr>
                <w:rFonts w:cs="Arial"/>
                <w:color w:val="000000"/>
                <w:sz w:val="16"/>
                <w:szCs w:val="16"/>
              </w:rPr>
            </w:pPr>
            <w:r w:rsidRPr="008D02A0">
              <w:rPr>
                <w:rFonts w:cs="Arial"/>
                <w:color w:val="000000"/>
                <w:sz w:val="16"/>
                <w:szCs w:val="16"/>
              </w:rPr>
              <w:t>2012-13</w:t>
            </w:r>
          </w:p>
        </w:tc>
      </w:tr>
      <w:tr w:rsidR="0036184E" w:rsidRPr="004F24C8" w:rsidTr="0036184E">
        <w:trPr>
          <w:trHeight w:val="225"/>
        </w:trPr>
        <w:tc>
          <w:tcPr>
            <w:tcW w:w="4252" w:type="dxa"/>
            <w:tcBorders>
              <w:top w:val="dotted" w:sz="8" w:space="0" w:color="auto"/>
              <w:bottom w:val="dotted" w:sz="8" w:space="0" w:color="auto"/>
            </w:tcBorders>
            <w:shd w:val="clear" w:color="auto" w:fill="auto"/>
            <w:noWrap/>
            <w:vAlign w:val="center"/>
          </w:tcPr>
          <w:p w:rsidR="0036184E" w:rsidRPr="008D02A0" w:rsidRDefault="0036184E" w:rsidP="0036184E">
            <w:pPr>
              <w:spacing w:before="0" w:after="0"/>
              <w:rPr>
                <w:rFonts w:cs="Arial"/>
                <w:b/>
                <w:bCs/>
                <w:color w:val="000000"/>
                <w:sz w:val="16"/>
                <w:szCs w:val="16"/>
              </w:rPr>
            </w:pPr>
            <w:r w:rsidRPr="008D02A0">
              <w:rPr>
                <w:rFonts w:cs="Arial"/>
                <w:b/>
                <w:bCs/>
                <w:color w:val="000000"/>
                <w:sz w:val="16"/>
                <w:szCs w:val="16"/>
              </w:rPr>
              <w:t>Mining, manufacturing and construction - as published</w:t>
            </w:r>
          </w:p>
        </w:tc>
        <w:tc>
          <w:tcPr>
            <w:tcW w:w="794" w:type="dxa"/>
            <w:tcBorders>
              <w:top w:val="dotted" w:sz="8" w:space="0" w:color="auto"/>
              <w:bottom w:val="dotted" w:sz="8" w:space="0" w:color="auto"/>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1502</w:t>
            </w:r>
          </w:p>
        </w:tc>
        <w:tc>
          <w:tcPr>
            <w:tcW w:w="794" w:type="dxa"/>
            <w:tcBorders>
              <w:top w:val="dotted" w:sz="8" w:space="0" w:color="auto"/>
              <w:bottom w:val="dotted" w:sz="8" w:space="0" w:color="auto"/>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1589</w:t>
            </w:r>
          </w:p>
        </w:tc>
        <w:tc>
          <w:tcPr>
            <w:tcW w:w="794" w:type="dxa"/>
            <w:tcBorders>
              <w:top w:val="dotted" w:sz="8" w:space="0" w:color="auto"/>
              <w:bottom w:val="dotted" w:sz="8" w:space="0" w:color="auto"/>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1702</w:t>
            </w:r>
          </w:p>
        </w:tc>
        <w:tc>
          <w:tcPr>
            <w:tcW w:w="794" w:type="dxa"/>
            <w:tcBorders>
              <w:top w:val="dotted" w:sz="8" w:space="0" w:color="auto"/>
              <w:bottom w:val="dotted" w:sz="8" w:space="0" w:color="auto"/>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1905</w:t>
            </w:r>
          </w:p>
        </w:tc>
        <w:tc>
          <w:tcPr>
            <w:tcW w:w="794" w:type="dxa"/>
            <w:tcBorders>
              <w:top w:val="dotted" w:sz="8" w:space="0" w:color="auto"/>
              <w:bottom w:val="dotted" w:sz="8" w:space="0" w:color="auto"/>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1920</w:t>
            </w:r>
          </w:p>
        </w:tc>
        <w:tc>
          <w:tcPr>
            <w:tcW w:w="794" w:type="dxa"/>
            <w:tcBorders>
              <w:top w:val="dotted" w:sz="8" w:space="0" w:color="auto"/>
              <w:bottom w:val="dotted" w:sz="8" w:space="0" w:color="auto"/>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1410</w:t>
            </w:r>
          </w:p>
        </w:tc>
        <w:tc>
          <w:tcPr>
            <w:tcW w:w="794" w:type="dxa"/>
            <w:tcBorders>
              <w:top w:val="dotted" w:sz="8" w:space="0" w:color="auto"/>
              <w:bottom w:val="dotted" w:sz="8" w:space="0" w:color="auto"/>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1911</w:t>
            </w:r>
          </w:p>
        </w:tc>
        <w:tc>
          <w:tcPr>
            <w:tcW w:w="794" w:type="dxa"/>
            <w:tcBorders>
              <w:top w:val="dotted" w:sz="8" w:space="0" w:color="auto"/>
              <w:bottom w:val="dotted" w:sz="8" w:space="0" w:color="auto"/>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1630</w:t>
            </w:r>
          </w:p>
        </w:tc>
        <w:tc>
          <w:tcPr>
            <w:tcW w:w="794" w:type="dxa"/>
            <w:tcBorders>
              <w:top w:val="dotted" w:sz="8" w:space="0" w:color="auto"/>
              <w:bottom w:val="dotted" w:sz="8" w:space="0" w:color="auto"/>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1456</w:t>
            </w:r>
          </w:p>
        </w:tc>
        <w:tc>
          <w:tcPr>
            <w:tcW w:w="794" w:type="dxa"/>
            <w:tcBorders>
              <w:top w:val="dotted" w:sz="8" w:space="0" w:color="auto"/>
              <w:bottom w:val="dotted" w:sz="8" w:space="0" w:color="auto"/>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2245</w:t>
            </w:r>
          </w:p>
        </w:tc>
        <w:tc>
          <w:tcPr>
            <w:tcW w:w="794" w:type="dxa"/>
            <w:tcBorders>
              <w:top w:val="dotted" w:sz="8" w:space="0" w:color="auto"/>
              <w:bottom w:val="dotted" w:sz="8" w:space="0" w:color="auto"/>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2920</w:t>
            </w:r>
          </w:p>
        </w:tc>
      </w:tr>
      <w:tr w:rsidR="0036184E" w:rsidRPr="004F24C8" w:rsidTr="0036184E">
        <w:trPr>
          <w:trHeight w:val="225"/>
        </w:trPr>
        <w:tc>
          <w:tcPr>
            <w:tcW w:w="4252" w:type="dxa"/>
            <w:tcBorders>
              <w:top w:val="dotted" w:sz="8" w:space="0" w:color="auto"/>
            </w:tcBorders>
            <w:shd w:val="clear" w:color="auto" w:fill="auto"/>
            <w:noWrap/>
            <w:vAlign w:val="center"/>
          </w:tcPr>
          <w:p w:rsidR="0036184E" w:rsidRPr="008D02A0" w:rsidRDefault="0036184E" w:rsidP="0036184E">
            <w:pPr>
              <w:spacing w:before="0" w:after="0"/>
              <w:ind w:left="227"/>
              <w:rPr>
                <w:rFonts w:cs="Arial"/>
                <w:i/>
                <w:iCs/>
                <w:color w:val="808080"/>
                <w:sz w:val="16"/>
                <w:szCs w:val="16"/>
              </w:rPr>
            </w:pPr>
            <w:r w:rsidRPr="008D02A0">
              <w:rPr>
                <w:rFonts w:cs="Arial"/>
                <w:i/>
                <w:iCs/>
                <w:color w:val="808080"/>
                <w:sz w:val="16"/>
                <w:szCs w:val="16"/>
              </w:rPr>
              <w:t>Accounting change</w:t>
            </w:r>
          </w:p>
        </w:tc>
        <w:tc>
          <w:tcPr>
            <w:tcW w:w="794" w:type="dxa"/>
            <w:tcBorders>
              <w:top w:val="dotted" w:sz="8" w:space="0" w:color="auto"/>
            </w:tcBorders>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tcBorders>
              <w:top w:val="dotted" w:sz="8" w:space="0" w:color="auto"/>
            </w:tcBorders>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tcBorders>
              <w:top w:val="dotted" w:sz="8" w:space="0" w:color="auto"/>
            </w:tcBorders>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tcBorders>
              <w:top w:val="dotted" w:sz="8" w:space="0" w:color="auto"/>
            </w:tcBorders>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tcBorders>
              <w:top w:val="dotted" w:sz="8" w:space="0" w:color="auto"/>
            </w:tcBorders>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tcBorders>
              <w:top w:val="dotted" w:sz="8" w:space="0" w:color="auto"/>
            </w:tcBorders>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tcBorders>
              <w:top w:val="dotted" w:sz="8" w:space="0" w:color="auto"/>
            </w:tcBorders>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tcBorders>
              <w:top w:val="dotted" w:sz="8" w:space="0" w:color="auto"/>
            </w:tcBorders>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tcBorders>
              <w:top w:val="dotted" w:sz="8" w:space="0" w:color="auto"/>
            </w:tcBorders>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tcBorders>
              <w:top w:val="dotted" w:sz="8" w:space="0" w:color="auto"/>
            </w:tcBorders>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tcBorders>
              <w:top w:val="dotted" w:sz="8" w:space="0" w:color="auto"/>
            </w:tcBorders>
            <w:shd w:val="clear" w:color="auto" w:fill="auto"/>
            <w:noWrap/>
            <w:vAlign w:val="center"/>
          </w:tcPr>
          <w:p w:rsidR="0036184E" w:rsidRPr="008D02A0" w:rsidRDefault="0036184E" w:rsidP="0036184E">
            <w:pPr>
              <w:spacing w:before="0" w:after="0"/>
              <w:jc w:val="right"/>
              <w:rPr>
                <w:rFonts w:cs="Arial"/>
                <w:color w:val="000000"/>
                <w:sz w:val="16"/>
                <w:szCs w:val="16"/>
              </w:rPr>
            </w:pPr>
          </w:p>
        </w:tc>
      </w:tr>
      <w:tr w:rsidR="0036184E" w:rsidRPr="004F24C8" w:rsidTr="0036184E">
        <w:trPr>
          <w:trHeight w:val="225"/>
        </w:trPr>
        <w:tc>
          <w:tcPr>
            <w:tcW w:w="4252" w:type="dxa"/>
            <w:shd w:val="clear" w:color="auto" w:fill="auto"/>
            <w:noWrap/>
            <w:vAlign w:val="center"/>
          </w:tcPr>
          <w:p w:rsidR="0036184E" w:rsidRPr="008D02A0" w:rsidRDefault="0036184E" w:rsidP="0036184E">
            <w:pPr>
              <w:spacing w:before="0" w:after="0"/>
              <w:ind w:left="340"/>
              <w:rPr>
                <w:rFonts w:cs="Arial"/>
                <w:i/>
                <w:iCs/>
                <w:color w:val="808080"/>
                <w:sz w:val="16"/>
                <w:szCs w:val="16"/>
              </w:rPr>
            </w:pPr>
            <w:r w:rsidRPr="008D02A0">
              <w:rPr>
                <w:rFonts w:cs="Arial"/>
                <w:i/>
                <w:iCs/>
                <w:color w:val="808080"/>
                <w:sz w:val="16"/>
                <w:szCs w:val="16"/>
              </w:rPr>
              <w:t>FBT inclusion</w:t>
            </w:r>
          </w:p>
        </w:tc>
        <w:tc>
          <w:tcPr>
            <w:tcW w:w="794" w:type="dxa"/>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0</w:t>
            </w:r>
          </w:p>
        </w:tc>
        <w:tc>
          <w:tcPr>
            <w:tcW w:w="794" w:type="dxa"/>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0</w:t>
            </w:r>
          </w:p>
        </w:tc>
        <w:tc>
          <w:tcPr>
            <w:tcW w:w="794" w:type="dxa"/>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5</w:t>
            </w: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r>
      <w:tr w:rsidR="0036184E" w:rsidRPr="004F24C8" w:rsidTr="0036184E">
        <w:trPr>
          <w:trHeight w:val="225"/>
        </w:trPr>
        <w:tc>
          <w:tcPr>
            <w:tcW w:w="4252" w:type="dxa"/>
            <w:shd w:val="clear" w:color="auto" w:fill="auto"/>
            <w:noWrap/>
            <w:vAlign w:val="center"/>
          </w:tcPr>
          <w:p w:rsidR="0036184E" w:rsidRPr="008D02A0" w:rsidRDefault="0036184E" w:rsidP="0036184E">
            <w:pPr>
              <w:spacing w:before="0" w:after="0"/>
              <w:ind w:left="227"/>
              <w:rPr>
                <w:rFonts w:cs="Arial"/>
                <w:i/>
                <w:iCs/>
                <w:color w:val="808080"/>
                <w:sz w:val="16"/>
                <w:szCs w:val="16"/>
              </w:rPr>
            </w:pPr>
            <w:r w:rsidRPr="008D02A0">
              <w:rPr>
                <w:rFonts w:cs="Arial"/>
                <w:i/>
                <w:iCs/>
                <w:color w:val="808080"/>
                <w:sz w:val="16"/>
                <w:szCs w:val="16"/>
              </w:rPr>
              <w:t>Reclassification</w:t>
            </w: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r>
      <w:tr w:rsidR="0036184E" w:rsidRPr="004F24C8" w:rsidTr="0036184E">
        <w:trPr>
          <w:trHeight w:val="225"/>
        </w:trPr>
        <w:tc>
          <w:tcPr>
            <w:tcW w:w="4252" w:type="dxa"/>
            <w:shd w:val="clear" w:color="auto" w:fill="auto"/>
            <w:noWrap/>
            <w:vAlign w:val="center"/>
          </w:tcPr>
          <w:p w:rsidR="0036184E" w:rsidRPr="008D02A0" w:rsidRDefault="0036184E" w:rsidP="0036184E">
            <w:pPr>
              <w:spacing w:before="0" w:after="0"/>
              <w:ind w:left="340"/>
              <w:rPr>
                <w:rFonts w:cs="Arial"/>
                <w:i/>
                <w:iCs/>
                <w:color w:val="808080"/>
                <w:sz w:val="16"/>
                <w:szCs w:val="16"/>
              </w:rPr>
            </w:pPr>
            <w:r w:rsidRPr="008D02A0">
              <w:rPr>
                <w:rFonts w:cs="Arial"/>
                <w:i/>
                <w:iCs/>
                <w:color w:val="808080"/>
                <w:sz w:val="16"/>
                <w:szCs w:val="16"/>
              </w:rPr>
              <w:t>Operation sunlight  - trade, education and investment development</w:t>
            </w:r>
          </w:p>
        </w:tc>
        <w:tc>
          <w:tcPr>
            <w:tcW w:w="794" w:type="dxa"/>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-182</w:t>
            </w:r>
          </w:p>
        </w:tc>
        <w:tc>
          <w:tcPr>
            <w:tcW w:w="794" w:type="dxa"/>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-179</w:t>
            </w:r>
          </w:p>
        </w:tc>
        <w:tc>
          <w:tcPr>
            <w:tcW w:w="794" w:type="dxa"/>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-183</w:t>
            </w:r>
          </w:p>
        </w:tc>
        <w:tc>
          <w:tcPr>
            <w:tcW w:w="794" w:type="dxa"/>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-196</w:t>
            </w:r>
          </w:p>
        </w:tc>
        <w:tc>
          <w:tcPr>
            <w:tcW w:w="794" w:type="dxa"/>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-195</w:t>
            </w:r>
          </w:p>
        </w:tc>
        <w:tc>
          <w:tcPr>
            <w:tcW w:w="794" w:type="dxa"/>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-194</w:t>
            </w:r>
          </w:p>
        </w:tc>
        <w:tc>
          <w:tcPr>
            <w:tcW w:w="794" w:type="dxa"/>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-206</w:t>
            </w: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shd w:val="clear" w:color="auto" w:fill="auto"/>
            <w:noWrap/>
            <w:vAlign w:val="center"/>
          </w:tcPr>
          <w:p w:rsidR="0036184E" w:rsidRPr="008D02A0" w:rsidRDefault="0036184E" w:rsidP="0036184E">
            <w:pPr>
              <w:spacing w:before="0" w:after="0"/>
              <w:jc w:val="right"/>
              <w:rPr>
                <w:rFonts w:cs="Arial"/>
                <w:color w:val="000000"/>
                <w:sz w:val="16"/>
                <w:szCs w:val="16"/>
              </w:rPr>
            </w:pPr>
          </w:p>
        </w:tc>
      </w:tr>
      <w:tr w:rsidR="0036184E" w:rsidRPr="004F24C8" w:rsidTr="0036184E">
        <w:trPr>
          <w:trHeight w:val="225"/>
        </w:trPr>
        <w:tc>
          <w:tcPr>
            <w:tcW w:w="4252" w:type="dxa"/>
            <w:tcBorders>
              <w:bottom w:val="dotted" w:sz="8" w:space="0" w:color="auto"/>
            </w:tcBorders>
            <w:shd w:val="clear" w:color="auto" w:fill="auto"/>
            <w:noWrap/>
            <w:vAlign w:val="center"/>
          </w:tcPr>
          <w:p w:rsidR="0036184E" w:rsidRPr="008D02A0" w:rsidRDefault="0036184E" w:rsidP="0036184E">
            <w:pPr>
              <w:spacing w:before="0" w:after="0"/>
              <w:ind w:left="340"/>
              <w:rPr>
                <w:rFonts w:cs="Arial"/>
                <w:i/>
                <w:iCs/>
                <w:color w:val="808080"/>
                <w:sz w:val="16"/>
                <w:szCs w:val="16"/>
              </w:rPr>
            </w:pPr>
            <w:r w:rsidRPr="008D02A0">
              <w:rPr>
                <w:rFonts w:cs="Arial"/>
                <w:i/>
                <w:iCs/>
                <w:color w:val="808080"/>
                <w:sz w:val="16"/>
                <w:szCs w:val="16"/>
              </w:rPr>
              <w:t>Operation sunlight - export development grant scheme</w:t>
            </w:r>
          </w:p>
        </w:tc>
        <w:tc>
          <w:tcPr>
            <w:tcW w:w="794" w:type="dxa"/>
            <w:tcBorders>
              <w:bottom w:val="dotted" w:sz="8" w:space="0" w:color="auto"/>
            </w:tcBorders>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-150</w:t>
            </w:r>
          </w:p>
        </w:tc>
        <w:tc>
          <w:tcPr>
            <w:tcW w:w="794" w:type="dxa"/>
            <w:tcBorders>
              <w:bottom w:val="dotted" w:sz="8" w:space="0" w:color="auto"/>
            </w:tcBorders>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-151</w:t>
            </w:r>
          </w:p>
        </w:tc>
        <w:tc>
          <w:tcPr>
            <w:tcW w:w="794" w:type="dxa"/>
            <w:tcBorders>
              <w:bottom w:val="dotted" w:sz="8" w:space="0" w:color="auto"/>
            </w:tcBorders>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-131</w:t>
            </w:r>
          </w:p>
        </w:tc>
        <w:tc>
          <w:tcPr>
            <w:tcW w:w="794" w:type="dxa"/>
            <w:tcBorders>
              <w:bottom w:val="dotted" w:sz="8" w:space="0" w:color="auto"/>
            </w:tcBorders>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-146</w:t>
            </w:r>
          </w:p>
        </w:tc>
        <w:tc>
          <w:tcPr>
            <w:tcW w:w="794" w:type="dxa"/>
            <w:tcBorders>
              <w:bottom w:val="dotted" w:sz="8" w:space="0" w:color="auto"/>
            </w:tcBorders>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-154</w:t>
            </w:r>
          </w:p>
        </w:tc>
        <w:tc>
          <w:tcPr>
            <w:tcW w:w="794" w:type="dxa"/>
            <w:tcBorders>
              <w:bottom w:val="dotted" w:sz="8" w:space="0" w:color="auto"/>
            </w:tcBorders>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-161</w:t>
            </w:r>
          </w:p>
        </w:tc>
        <w:tc>
          <w:tcPr>
            <w:tcW w:w="794" w:type="dxa"/>
            <w:tcBorders>
              <w:bottom w:val="dotted" w:sz="8" w:space="0" w:color="auto"/>
            </w:tcBorders>
            <w:shd w:val="clear" w:color="auto" w:fill="auto"/>
            <w:noWrap/>
            <w:vAlign w:val="center"/>
          </w:tcPr>
          <w:p w:rsidR="0036184E" w:rsidRPr="008D02A0" w:rsidRDefault="0036184E" w:rsidP="0036184E">
            <w:pPr>
              <w:spacing w:before="0" w:after="0"/>
              <w:jc w:val="right"/>
              <w:rPr>
                <w:rFonts w:cs="Arial"/>
                <w:i/>
                <w:iCs/>
                <w:color w:val="808080"/>
                <w:sz w:val="16"/>
                <w:szCs w:val="16"/>
              </w:rPr>
            </w:pPr>
            <w:r w:rsidRPr="008D02A0">
              <w:rPr>
                <w:rFonts w:cs="Arial"/>
                <w:i/>
                <w:iCs/>
                <w:color w:val="808080"/>
                <w:sz w:val="16"/>
                <w:szCs w:val="16"/>
              </w:rPr>
              <w:t>-200</w:t>
            </w:r>
          </w:p>
        </w:tc>
        <w:tc>
          <w:tcPr>
            <w:tcW w:w="794" w:type="dxa"/>
            <w:tcBorders>
              <w:bottom w:val="dotted" w:sz="8" w:space="0" w:color="auto"/>
            </w:tcBorders>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tcBorders>
              <w:bottom w:val="dotted" w:sz="8" w:space="0" w:color="auto"/>
            </w:tcBorders>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tcBorders>
              <w:bottom w:val="dotted" w:sz="8" w:space="0" w:color="auto"/>
            </w:tcBorders>
            <w:shd w:val="clear" w:color="auto" w:fill="auto"/>
            <w:noWrap/>
            <w:vAlign w:val="center"/>
          </w:tcPr>
          <w:p w:rsidR="0036184E" w:rsidRPr="008D02A0" w:rsidRDefault="0036184E" w:rsidP="0036184E">
            <w:pPr>
              <w:spacing w:before="0" w:after="0"/>
              <w:jc w:val="right"/>
              <w:rPr>
                <w:rFonts w:cs="Arial"/>
                <w:color w:val="000000"/>
                <w:sz w:val="16"/>
                <w:szCs w:val="16"/>
              </w:rPr>
            </w:pPr>
          </w:p>
        </w:tc>
        <w:tc>
          <w:tcPr>
            <w:tcW w:w="794" w:type="dxa"/>
            <w:tcBorders>
              <w:bottom w:val="dotted" w:sz="8" w:space="0" w:color="auto"/>
            </w:tcBorders>
            <w:shd w:val="clear" w:color="auto" w:fill="auto"/>
            <w:noWrap/>
            <w:vAlign w:val="center"/>
          </w:tcPr>
          <w:p w:rsidR="0036184E" w:rsidRPr="008D02A0" w:rsidRDefault="0036184E" w:rsidP="0036184E">
            <w:pPr>
              <w:spacing w:before="0" w:after="0"/>
              <w:jc w:val="right"/>
              <w:rPr>
                <w:rFonts w:cs="Arial"/>
                <w:color w:val="000000"/>
                <w:sz w:val="16"/>
                <w:szCs w:val="16"/>
              </w:rPr>
            </w:pPr>
          </w:p>
        </w:tc>
      </w:tr>
      <w:tr w:rsidR="0036184E" w:rsidRPr="004F24C8" w:rsidTr="0036184E">
        <w:trPr>
          <w:trHeight w:val="225"/>
        </w:trPr>
        <w:tc>
          <w:tcPr>
            <w:tcW w:w="4252" w:type="dxa"/>
            <w:tcBorders>
              <w:top w:val="dotted" w:sz="8" w:space="0" w:color="auto"/>
              <w:bottom w:val="single" w:sz="8" w:space="0" w:color="2B3B5F"/>
            </w:tcBorders>
            <w:shd w:val="clear" w:color="auto" w:fill="auto"/>
            <w:noWrap/>
            <w:vAlign w:val="center"/>
          </w:tcPr>
          <w:p w:rsidR="0036184E" w:rsidRPr="008D02A0" w:rsidRDefault="0036184E" w:rsidP="0036184E">
            <w:pPr>
              <w:spacing w:before="0" w:after="0"/>
              <w:rPr>
                <w:rFonts w:cs="Arial"/>
                <w:b/>
                <w:bCs/>
                <w:color w:val="000000"/>
                <w:sz w:val="16"/>
                <w:szCs w:val="16"/>
              </w:rPr>
            </w:pPr>
            <w:r w:rsidRPr="008D02A0">
              <w:rPr>
                <w:rFonts w:cs="Arial"/>
                <w:b/>
                <w:bCs/>
                <w:color w:val="000000"/>
                <w:sz w:val="16"/>
                <w:szCs w:val="16"/>
              </w:rPr>
              <w:t>Mining, manufacturing and construction - total</w:t>
            </w:r>
          </w:p>
        </w:tc>
        <w:tc>
          <w:tcPr>
            <w:tcW w:w="794" w:type="dxa"/>
            <w:tcBorders>
              <w:top w:val="dotted" w:sz="8" w:space="0" w:color="auto"/>
              <w:bottom w:val="single" w:sz="8" w:space="0" w:color="2B3B5F"/>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1169</w:t>
            </w:r>
          </w:p>
        </w:tc>
        <w:tc>
          <w:tcPr>
            <w:tcW w:w="794" w:type="dxa"/>
            <w:tcBorders>
              <w:top w:val="dotted" w:sz="8" w:space="0" w:color="auto"/>
              <w:bottom w:val="single" w:sz="8" w:space="0" w:color="2B3B5F"/>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1259</w:t>
            </w:r>
          </w:p>
        </w:tc>
        <w:tc>
          <w:tcPr>
            <w:tcW w:w="794" w:type="dxa"/>
            <w:tcBorders>
              <w:top w:val="dotted" w:sz="8" w:space="0" w:color="auto"/>
              <w:bottom w:val="single" w:sz="8" w:space="0" w:color="2B3B5F"/>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1393</w:t>
            </w:r>
          </w:p>
        </w:tc>
        <w:tc>
          <w:tcPr>
            <w:tcW w:w="794" w:type="dxa"/>
            <w:tcBorders>
              <w:top w:val="dotted" w:sz="8" w:space="0" w:color="auto"/>
              <w:bottom w:val="single" w:sz="8" w:space="0" w:color="2B3B5F"/>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1564</w:t>
            </w:r>
          </w:p>
        </w:tc>
        <w:tc>
          <w:tcPr>
            <w:tcW w:w="794" w:type="dxa"/>
            <w:tcBorders>
              <w:top w:val="dotted" w:sz="8" w:space="0" w:color="auto"/>
              <w:bottom w:val="single" w:sz="8" w:space="0" w:color="2B3B5F"/>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1570</w:t>
            </w:r>
          </w:p>
        </w:tc>
        <w:tc>
          <w:tcPr>
            <w:tcW w:w="794" w:type="dxa"/>
            <w:tcBorders>
              <w:top w:val="dotted" w:sz="8" w:space="0" w:color="auto"/>
              <w:bottom w:val="single" w:sz="8" w:space="0" w:color="2B3B5F"/>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1055</w:t>
            </w:r>
          </w:p>
        </w:tc>
        <w:tc>
          <w:tcPr>
            <w:tcW w:w="794" w:type="dxa"/>
            <w:tcBorders>
              <w:top w:val="dotted" w:sz="8" w:space="0" w:color="auto"/>
              <w:bottom w:val="single" w:sz="8" w:space="0" w:color="2B3B5F"/>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1505</w:t>
            </w:r>
          </w:p>
        </w:tc>
        <w:tc>
          <w:tcPr>
            <w:tcW w:w="794" w:type="dxa"/>
            <w:tcBorders>
              <w:top w:val="dotted" w:sz="8" w:space="0" w:color="auto"/>
              <w:bottom w:val="single" w:sz="8" w:space="0" w:color="2B3B5F"/>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1630</w:t>
            </w:r>
          </w:p>
        </w:tc>
        <w:tc>
          <w:tcPr>
            <w:tcW w:w="794" w:type="dxa"/>
            <w:tcBorders>
              <w:top w:val="dotted" w:sz="8" w:space="0" w:color="auto"/>
              <w:bottom w:val="single" w:sz="8" w:space="0" w:color="2B3B5F"/>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1456</w:t>
            </w:r>
          </w:p>
        </w:tc>
        <w:tc>
          <w:tcPr>
            <w:tcW w:w="794" w:type="dxa"/>
            <w:tcBorders>
              <w:top w:val="dotted" w:sz="8" w:space="0" w:color="auto"/>
              <w:bottom w:val="single" w:sz="8" w:space="0" w:color="2B3B5F"/>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2245</w:t>
            </w:r>
          </w:p>
        </w:tc>
        <w:tc>
          <w:tcPr>
            <w:tcW w:w="794" w:type="dxa"/>
            <w:tcBorders>
              <w:top w:val="dotted" w:sz="8" w:space="0" w:color="auto"/>
              <w:bottom w:val="single" w:sz="8" w:space="0" w:color="2B3B5F"/>
            </w:tcBorders>
            <w:shd w:val="clear" w:color="auto" w:fill="auto"/>
            <w:noWrap/>
            <w:vAlign w:val="center"/>
          </w:tcPr>
          <w:p w:rsidR="0036184E" w:rsidRPr="008D02A0" w:rsidRDefault="0036184E" w:rsidP="0036184E">
            <w:pPr>
              <w:spacing w:before="0" w:after="0"/>
              <w:jc w:val="right"/>
              <w:rPr>
                <w:rFonts w:cs="Arial"/>
                <w:b/>
                <w:bCs/>
                <w:color w:val="000000"/>
                <w:sz w:val="16"/>
                <w:szCs w:val="16"/>
              </w:rPr>
            </w:pPr>
            <w:r w:rsidRPr="008D02A0">
              <w:rPr>
                <w:rFonts w:cs="Arial"/>
                <w:b/>
                <w:bCs/>
                <w:color w:val="000000"/>
                <w:sz w:val="16"/>
                <w:szCs w:val="16"/>
              </w:rPr>
              <w:t>2920</w:t>
            </w:r>
          </w:p>
        </w:tc>
      </w:tr>
    </w:tbl>
    <w:p w:rsidR="0036184E" w:rsidRDefault="0036184E">
      <w:r>
        <w:br w:type="page"/>
      </w:r>
    </w:p>
    <w:tbl>
      <w:tblPr>
        <w:tblpPr w:leftFromText="180" w:rightFromText="180" w:vertAnchor="text" w:tblpX="358" w:tblpY="1"/>
        <w:tblOverlap w:val="never"/>
        <w:tblW w:w="12986" w:type="dxa"/>
        <w:tblLook w:val="04A0" w:firstRow="1" w:lastRow="0" w:firstColumn="1" w:lastColumn="0" w:noHBand="0" w:noVBand="1"/>
      </w:tblPr>
      <w:tblGrid>
        <w:gridCol w:w="4252"/>
        <w:gridCol w:w="794"/>
        <w:gridCol w:w="794"/>
        <w:gridCol w:w="794"/>
        <w:gridCol w:w="794"/>
        <w:gridCol w:w="794"/>
        <w:gridCol w:w="794"/>
        <w:gridCol w:w="794"/>
        <w:gridCol w:w="794"/>
        <w:gridCol w:w="794"/>
        <w:gridCol w:w="794"/>
        <w:gridCol w:w="794"/>
      </w:tblGrid>
      <w:tr w:rsidR="0036184E" w:rsidRPr="004F24C8" w:rsidTr="0036184E">
        <w:trPr>
          <w:trHeight w:val="225"/>
        </w:trPr>
        <w:tc>
          <w:tcPr>
            <w:tcW w:w="4252" w:type="dxa"/>
            <w:tcBorders>
              <w:bottom w:val="single" w:sz="8" w:space="0" w:color="2B3B5F"/>
            </w:tcBorders>
            <w:shd w:val="clear" w:color="auto" w:fill="auto"/>
            <w:noWrap/>
            <w:vAlign w:val="center"/>
          </w:tcPr>
          <w:p w:rsidR="0036184E" w:rsidRPr="004F24C8" w:rsidRDefault="0036184E" w:rsidP="004F24C8">
            <w:pPr>
              <w:spacing w:before="0" w:after="0"/>
              <w:rPr>
                <w:rFonts w:cs="Arial"/>
                <w:bCs/>
                <w:color w:val="000000"/>
                <w:sz w:val="16"/>
                <w:szCs w:val="16"/>
              </w:rPr>
            </w:pPr>
          </w:p>
        </w:tc>
        <w:tc>
          <w:tcPr>
            <w:tcW w:w="794" w:type="dxa"/>
            <w:tcBorders>
              <w:bottom w:val="single" w:sz="8" w:space="0" w:color="2B3B5F"/>
            </w:tcBorders>
            <w:shd w:val="clear" w:color="auto" w:fill="auto"/>
            <w:noWrap/>
            <w:vAlign w:val="center"/>
          </w:tcPr>
          <w:p w:rsidR="0036184E" w:rsidRPr="004F24C8" w:rsidRDefault="0036184E" w:rsidP="004F24C8">
            <w:pPr>
              <w:spacing w:before="0" w:after="0"/>
              <w:jc w:val="right"/>
              <w:rPr>
                <w:rFonts w:cs="Arial"/>
                <w:bCs/>
                <w:color w:val="000000"/>
                <w:sz w:val="16"/>
                <w:szCs w:val="16"/>
              </w:rPr>
            </w:pPr>
          </w:p>
        </w:tc>
        <w:tc>
          <w:tcPr>
            <w:tcW w:w="794" w:type="dxa"/>
            <w:tcBorders>
              <w:bottom w:val="single" w:sz="8" w:space="0" w:color="2B3B5F"/>
            </w:tcBorders>
            <w:shd w:val="clear" w:color="auto" w:fill="auto"/>
            <w:noWrap/>
            <w:vAlign w:val="center"/>
          </w:tcPr>
          <w:p w:rsidR="0036184E" w:rsidRPr="004F24C8" w:rsidRDefault="0036184E" w:rsidP="004F24C8">
            <w:pPr>
              <w:spacing w:before="0" w:after="0"/>
              <w:jc w:val="right"/>
              <w:rPr>
                <w:rFonts w:cs="Arial"/>
                <w:bCs/>
                <w:color w:val="000000"/>
                <w:sz w:val="16"/>
                <w:szCs w:val="16"/>
              </w:rPr>
            </w:pPr>
          </w:p>
        </w:tc>
        <w:tc>
          <w:tcPr>
            <w:tcW w:w="794" w:type="dxa"/>
            <w:tcBorders>
              <w:bottom w:val="single" w:sz="8" w:space="0" w:color="2B3B5F"/>
            </w:tcBorders>
            <w:shd w:val="clear" w:color="auto" w:fill="auto"/>
            <w:noWrap/>
            <w:vAlign w:val="center"/>
          </w:tcPr>
          <w:p w:rsidR="0036184E" w:rsidRPr="004F24C8" w:rsidRDefault="0036184E" w:rsidP="004F24C8">
            <w:pPr>
              <w:spacing w:before="0" w:after="0"/>
              <w:jc w:val="right"/>
              <w:rPr>
                <w:rFonts w:cs="Arial"/>
                <w:bCs/>
                <w:color w:val="000000"/>
                <w:sz w:val="16"/>
                <w:szCs w:val="16"/>
              </w:rPr>
            </w:pPr>
          </w:p>
        </w:tc>
        <w:tc>
          <w:tcPr>
            <w:tcW w:w="794" w:type="dxa"/>
            <w:tcBorders>
              <w:bottom w:val="single" w:sz="8" w:space="0" w:color="2B3B5F"/>
            </w:tcBorders>
            <w:shd w:val="clear" w:color="auto" w:fill="auto"/>
            <w:noWrap/>
            <w:vAlign w:val="center"/>
          </w:tcPr>
          <w:p w:rsidR="0036184E" w:rsidRPr="004F24C8" w:rsidRDefault="0036184E" w:rsidP="004F24C8">
            <w:pPr>
              <w:spacing w:before="0" w:after="0"/>
              <w:jc w:val="right"/>
              <w:rPr>
                <w:rFonts w:cs="Arial"/>
                <w:bCs/>
                <w:color w:val="000000"/>
                <w:sz w:val="16"/>
                <w:szCs w:val="16"/>
              </w:rPr>
            </w:pPr>
          </w:p>
        </w:tc>
        <w:tc>
          <w:tcPr>
            <w:tcW w:w="794" w:type="dxa"/>
            <w:tcBorders>
              <w:bottom w:val="single" w:sz="8" w:space="0" w:color="2B3B5F"/>
            </w:tcBorders>
            <w:shd w:val="clear" w:color="auto" w:fill="auto"/>
            <w:noWrap/>
            <w:vAlign w:val="center"/>
          </w:tcPr>
          <w:p w:rsidR="0036184E" w:rsidRPr="004F24C8" w:rsidRDefault="0036184E" w:rsidP="004F24C8">
            <w:pPr>
              <w:spacing w:before="0" w:after="0"/>
              <w:jc w:val="right"/>
              <w:rPr>
                <w:rFonts w:cs="Arial"/>
                <w:bCs/>
                <w:color w:val="000000"/>
                <w:sz w:val="16"/>
                <w:szCs w:val="16"/>
              </w:rPr>
            </w:pPr>
          </w:p>
        </w:tc>
        <w:tc>
          <w:tcPr>
            <w:tcW w:w="794" w:type="dxa"/>
            <w:tcBorders>
              <w:bottom w:val="single" w:sz="8" w:space="0" w:color="2B3B5F"/>
            </w:tcBorders>
            <w:shd w:val="clear" w:color="auto" w:fill="auto"/>
            <w:noWrap/>
            <w:vAlign w:val="center"/>
          </w:tcPr>
          <w:p w:rsidR="0036184E" w:rsidRPr="004F24C8" w:rsidRDefault="0036184E" w:rsidP="004F24C8">
            <w:pPr>
              <w:spacing w:before="0" w:after="0"/>
              <w:jc w:val="right"/>
              <w:rPr>
                <w:rFonts w:cs="Arial"/>
                <w:bCs/>
                <w:color w:val="000000"/>
                <w:sz w:val="16"/>
                <w:szCs w:val="16"/>
              </w:rPr>
            </w:pPr>
          </w:p>
        </w:tc>
        <w:tc>
          <w:tcPr>
            <w:tcW w:w="794" w:type="dxa"/>
            <w:tcBorders>
              <w:bottom w:val="single" w:sz="8" w:space="0" w:color="2B3B5F"/>
            </w:tcBorders>
            <w:shd w:val="clear" w:color="auto" w:fill="auto"/>
            <w:noWrap/>
            <w:vAlign w:val="center"/>
          </w:tcPr>
          <w:p w:rsidR="0036184E" w:rsidRPr="004F24C8" w:rsidRDefault="0036184E" w:rsidP="004F24C8">
            <w:pPr>
              <w:spacing w:before="0" w:after="0"/>
              <w:jc w:val="right"/>
              <w:rPr>
                <w:rFonts w:cs="Arial"/>
                <w:bCs/>
                <w:color w:val="000000"/>
                <w:sz w:val="16"/>
                <w:szCs w:val="16"/>
              </w:rPr>
            </w:pPr>
          </w:p>
        </w:tc>
        <w:tc>
          <w:tcPr>
            <w:tcW w:w="794" w:type="dxa"/>
            <w:tcBorders>
              <w:bottom w:val="single" w:sz="8" w:space="0" w:color="2B3B5F"/>
            </w:tcBorders>
            <w:shd w:val="clear" w:color="auto" w:fill="auto"/>
            <w:noWrap/>
            <w:vAlign w:val="center"/>
          </w:tcPr>
          <w:p w:rsidR="0036184E" w:rsidRPr="004F24C8" w:rsidRDefault="0036184E" w:rsidP="004F24C8">
            <w:pPr>
              <w:spacing w:before="0" w:after="0"/>
              <w:jc w:val="right"/>
              <w:rPr>
                <w:rFonts w:cs="Arial"/>
                <w:bCs/>
                <w:color w:val="000000"/>
                <w:sz w:val="16"/>
                <w:szCs w:val="16"/>
              </w:rPr>
            </w:pPr>
          </w:p>
        </w:tc>
        <w:tc>
          <w:tcPr>
            <w:tcW w:w="794" w:type="dxa"/>
            <w:tcBorders>
              <w:bottom w:val="single" w:sz="8" w:space="0" w:color="2B3B5F"/>
            </w:tcBorders>
            <w:shd w:val="clear" w:color="auto" w:fill="auto"/>
            <w:noWrap/>
            <w:vAlign w:val="center"/>
          </w:tcPr>
          <w:p w:rsidR="0036184E" w:rsidRPr="004F24C8" w:rsidRDefault="0036184E" w:rsidP="004F24C8">
            <w:pPr>
              <w:spacing w:before="0" w:after="0"/>
              <w:jc w:val="right"/>
              <w:rPr>
                <w:rFonts w:cs="Arial"/>
                <w:bCs/>
                <w:color w:val="000000"/>
                <w:sz w:val="16"/>
                <w:szCs w:val="16"/>
              </w:rPr>
            </w:pPr>
          </w:p>
        </w:tc>
        <w:tc>
          <w:tcPr>
            <w:tcW w:w="794" w:type="dxa"/>
            <w:tcBorders>
              <w:bottom w:val="single" w:sz="8" w:space="0" w:color="2B3B5F"/>
            </w:tcBorders>
            <w:shd w:val="clear" w:color="auto" w:fill="auto"/>
            <w:noWrap/>
            <w:vAlign w:val="center"/>
          </w:tcPr>
          <w:p w:rsidR="0036184E" w:rsidRPr="004F24C8" w:rsidRDefault="0036184E" w:rsidP="004F24C8">
            <w:pPr>
              <w:spacing w:before="0" w:after="0"/>
              <w:jc w:val="right"/>
              <w:rPr>
                <w:rFonts w:cs="Arial"/>
                <w:bCs/>
                <w:color w:val="000000"/>
                <w:sz w:val="16"/>
                <w:szCs w:val="16"/>
              </w:rPr>
            </w:pPr>
          </w:p>
        </w:tc>
        <w:tc>
          <w:tcPr>
            <w:tcW w:w="794" w:type="dxa"/>
            <w:tcBorders>
              <w:bottom w:val="single" w:sz="8" w:space="0" w:color="2B3B5F"/>
            </w:tcBorders>
            <w:shd w:val="clear" w:color="auto" w:fill="auto"/>
            <w:noWrap/>
            <w:vAlign w:val="center"/>
          </w:tcPr>
          <w:p w:rsidR="0036184E" w:rsidRPr="004F24C8" w:rsidRDefault="0036184E" w:rsidP="004F24C8">
            <w:pPr>
              <w:spacing w:before="0" w:after="0"/>
              <w:jc w:val="right"/>
              <w:rPr>
                <w:rFonts w:cs="Arial"/>
                <w:bCs/>
                <w:color w:val="000000"/>
                <w:sz w:val="16"/>
                <w:szCs w:val="16"/>
              </w:rPr>
            </w:pPr>
          </w:p>
        </w:tc>
      </w:tr>
      <w:tr w:rsidR="004F24C8" w:rsidRPr="00D767A0" w:rsidTr="0036184E">
        <w:trPr>
          <w:trHeight w:val="225"/>
        </w:trPr>
        <w:tc>
          <w:tcPr>
            <w:tcW w:w="4252" w:type="dxa"/>
            <w:tcBorders>
              <w:top w:val="single" w:sz="8" w:space="0" w:color="2B3B5F"/>
            </w:tcBorders>
            <w:shd w:val="clear" w:color="auto" w:fill="95A4C6"/>
            <w:noWrap/>
            <w:vAlign w:val="center"/>
          </w:tcPr>
          <w:p w:rsidR="004F24C8" w:rsidRPr="004F24C8" w:rsidRDefault="004F24C8" w:rsidP="004F24C8">
            <w:pPr>
              <w:spacing w:before="0" w:after="0"/>
              <w:rPr>
                <w:rFonts w:cs="Arial"/>
                <w:color w:val="000000"/>
                <w:sz w:val="16"/>
                <w:szCs w:val="16"/>
              </w:rPr>
            </w:pPr>
          </w:p>
        </w:tc>
        <w:tc>
          <w:tcPr>
            <w:tcW w:w="794" w:type="dxa"/>
            <w:tcBorders>
              <w:top w:val="single" w:sz="8" w:space="0" w:color="2B3B5F"/>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2002-03</w:t>
            </w:r>
          </w:p>
        </w:tc>
        <w:tc>
          <w:tcPr>
            <w:tcW w:w="794" w:type="dxa"/>
            <w:tcBorders>
              <w:top w:val="single" w:sz="8" w:space="0" w:color="2B3B5F"/>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2003-04</w:t>
            </w:r>
          </w:p>
        </w:tc>
        <w:tc>
          <w:tcPr>
            <w:tcW w:w="794" w:type="dxa"/>
            <w:tcBorders>
              <w:top w:val="single" w:sz="8" w:space="0" w:color="2B3B5F"/>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2004-05</w:t>
            </w:r>
          </w:p>
        </w:tc>
        <w:tc>
          <w:tcPr>
            <w:tcW w:w="794" w:type="dxa"/>
            <w:tcBorders>
              <w:top w:val="single" w:sz="8" w:space="0" w:color="2B3B5F"/>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2005-06</w:t>
            </w:r>
          </w:p>
        </w:tc>
        <w:tc>
          <w:tcPr>
            <w:tcW w:w="794" w:type="dxa"/>
            <w:tcBorders>
              <w:top w:val="single" w:sz="8" w:space="0" w:color="2B3B5F"/>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2006-07</w:t>
            </w:r>
          </w:p>
        </w:tc>
        <w:tc>
          <w:tcPr>
            <w:tcW w:w="794" w:type="dxa"/>
            <w:tcBorders>
              <w:top w:val="single" w:sz="8" w:space="0" w:color="2B3B5F"/>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2007-08</w:t>
            </w:r>
          </w:p>
        </w:tc>
        <w:tc>
          <w:tcPr>
            <w:tcW w:w="794" w:type="dxa"/>
            <w:tcBorders>
              <w:top w:val="single" w:sz="8" w:space="0" w:color="2B3B5F"/>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2008-09</w:t>
            </w:r>
          </w:p>
        </w:tc>
        <w:tc>
          <w:tcPr>
            <w:tcW w:w="794" w:type="dxa"/>
            <w:tcBorders>
              <w:top w:val="single" w:sz="8" w:space="0" w:color="2B3B5F"/>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2009-10</w:t>
            </w:r>
          </w:p>
        </w:tc>
        <w:tc>
          <w:tcPr>
            <w:tcW w:w="794" w:type="dxa"/>
            <w:tcBorders>
              <w:top w:val="single" w:sz="8" w:space="0" w:color="2B3B5F"/>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2010-11</w:t>
            </w:r>
          </w:p>
        </w:tc>
        <w:tc>
          <w:tcPr>
            <w:tcW w:w="794" w:type="dxa"/>
            <w:tcBorders>
              <w:top w:val="single" w:sz="8" w:space="0" w:color="2B3B5F"/>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2011-12</w:t>
            </w:r>
          </w:p>
        </w:tc>
        <w:tc>
          <w:tcPr>
            <w:tcW w:w="794" w:type="dxa"/>
            <w:tcBorders>
              <w:top w:val="single" w:sz="8" w:space="0" w:color="2B3B5F"/>
            </w:tcBorders>
            <w:shd w:val="clear" w:color="auto" w:fill="95A4C6"/>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2012-13</w:t>
            </w:r>
          </w:p>
        </w:tc>
      </w:tr>
      <w:tr w:rsidR="004F24C8" w:rsidRPr="00D767A0" w:rsidTr="00885DF3">
        <w:trPr>
          <w:trHeight w:val="225"/>
        </w:trPr>
        <w:tc>
          <w:tcPr>
            <w:tcW w:w="4252" w:type="dxa"/>
            <w:tcBorders>
              <w:bottom w:val="dotted" w:sz="8" w:space="0" w:color="auto"/>
            </w:tcBorders>
            <w:shd w:val="clear" w:color="auto" w:fill="auto"/>
            <w:noWrap/>
            <w:vAlign w:val="center"/>
          </w:tcPr>
          <w:p w:rsidR="004F24C8" w:rsidRPr="004F24C8" w:rsidRDefault="004F24C8" w:rsidP="004F24C8">
            <w:pPr>
              <w:spacing w:before="0" w:after="0"/>
              <w:rPr>
                <w:rFonts w:cs="Arial"/>
                <w:b/>
                <w:bCs/>
                <w:color w:val="000000"/>
                <w:sz w:val="16"/>
                <w:szCs w:val="16"/>
              </w:rPr>
            </w:pPr>
            <w:r w:rsidRPr="004F24C8">
              <w:rPr>
                <w:rFonts w:cs="Arial"/>
                <w:b/>
                <w:bCs/>
                <w:color w:val="000000"/>
                <w:sz w:val="16"/>
                <w:szCs w:val="16"/>
              </w:rPr>
              <w:t>Recreation and culture - as published</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2062</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2168</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2246</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2585</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2561</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3207</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3107</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3280</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3252</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3809</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3625</w:t>
            </w:r>
          </w:p>
        </w:tc>
      </w:tr>
      <w:tr w:rsidR="004F24C8" w:rsidRPr="00D767A0" w:rsidTr="00885DF3">
        <w:trPr>
          <w:trHeight w:val="225"/>
        </w:trPr>
        <w:tc>
          <w:tcPr>
            <w:tcW w:w="4252" w:type="dxa"/>
            <w:tcBorders>
              <w:top w:val="dotted" w:sz="8" w:space="0" w:color="auto"/>
            </w:tcBorders>
            <w:shd w:val="clear" w:color="auto" w:fill="auto"/>
            <w:noWrap/>
            <w:vAlign w:val="center"/>
          </w:tcPr>
          <w:p w:rsidR="004F24C8" w:rsidRPr="004F24C8" w:rsidRDefault="004F24C8" w:rsidP="004F24C8">
            <w:pPr>
              <w:spacing w:before="0" w:after="0"/>
              <w:ind w:left="113"/>
              <w:rPr>
                <w:rFonts w:cs="Arial"/>
                <w:color w:val="000000"/>
                <w:sz w:val="16"/>
                <w:szCs w:val="16"/>
              </w:rPr>
            </w:pPr>
            <w:r w:rsidRPr="004F24C8">
              <w:rPr>
                <w:rFonts w:cs="Arial"/>
                <w:color w:val="000000"/>
                <w:sz w:val="16"/>
                <w:szCs w:val="16"/>
              </w:rPr>
              <w:t>Broadcasting - as published</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1030</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1097</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1153</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1245</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1226</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1320</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1495</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1464</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1489</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1608</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1665</w:t>
            </w:r>
          </w:p>
        </w:tc>
      </w:tr>
      <w:tr w:rsidR="004F24C8" w:rsidRPr="00D767A0" w:rsidTr="00885DF3">
        <w:trPr>
          <w:trHeight w:val="225"/>
        </w:trPr>
        <w:tc>
          <w:tcPr>
            <w:tcW w:w="4252" w:type="dxa"/>
            <w:shd w:val="clear" w:color="auto" w:fill="auto"/>
            <w:noWrap/>
            <w:vAlign w:val="center"/>
          </w:tcPr>
          <w:p w:rsidR="004F24C8" w:rsidRPr="004F24C8" w:rsidRDefault="004F24C8" w:rsidP="004F24C8">
            <w:pPr>
              <w:spacing w:before="0" w:after="0"/>
              <w:ind w:left="227"/>
              <w:rPr>
                <w:rFonts w:cs="Arial"/>
                <w:i/>
                <w:iCs/>
                <w:color w:val="808080"/>
                <w:sz w:val="16"/>
                <w:szCs w:val="16"/>
              </w:rPr>
            </w:pPr>
            <w:r w:rsidRPr="004F24C8">
              <w:rPr>
                <w:rFonts w:cs="Arial"/>
                <w:i/>
                <w:iCs/>
                <w:color w:val="808080"/>
                <w:sz w:val="16"/>
                <w:szCs w:val="16"/>
              </w:rPr>
              <w:t>Accounting change - FBT inclusion</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4</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4</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10</w:t>
            </w: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r>
      <w:tr w:rsidR="004F24C8" w:rsidRPr="00D767A0" w:rsidTr="00885DF3">
        <w:trPr>
          <w:trHeight w:val="225"/>
        </w:trPr>
        <w:tc>
          <w:tcPr>
            <w:tcW w:w="4252" w:type="dxa"/>
            <w:tcBorders>
              <w:bottom w:val="dotted" w:sz="8" w:space="0" w:color="auto"/>
            </w:tcBorders>
            <w:shd w:val="clear" w:color="auto" w:fill="auto"/>
            <w:noWrap/>
            <w:vAlign w:val="center"/>
          </w:tcPr>
          <w:p w:rsidR="004F24C8" w:rsidRPr="004F24C8" w:rsidRDefault="004F24C8" w:rsidP="004F24C8">
            <w:pPr>
              <w:spacing w:before="0" w:after="0"/>
              <w:ind w:left="113"/>
              <w:rPr>
                <w:rFonts w:cs="Arial"/>
                <w:color w:val="000000"/>
                <w:sz w:val="16"/>
                <w:szCs w:val="16"/>
              </w:rPr>
            </w:pPr>
            <w:r w:rsidRPr="004F24C8">
              <w:rPr>
                <w:rFonts w:cs="Arial"/>
                <w:color w:val="000000"/>
                <w:sz w:val="16"/>
                <w:szCs w:val="16"/>
              </w:rPr>
              <w:t>Broadcasting - total</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1034</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1101</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1163</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1245</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1226</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1320</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1495</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1464</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1489</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1608</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1665</w:t>
            </w:r>
          </w:p>
        </w:tc>
      </w:tr>
      <w:tr w:rsidR="004F24C8" w:rsidRPr="00D767A0" w:rsidTr="00885DF3">
        <w:trPr>
          <w:trHeight w:val="225"/>
        </w:trPr>
        <w:tc>
          <w:tcPr>
            <w:tcW w:w="4252" w:type="dxa"/>
            <w:tcBorders>
              <w:top w:val="dotted" w:sz="8" w:space="0" w:color="auto"/>
            </w:tcBorders>
            <w:shd w:val="clear" w:color="auto" w:fill="auto"/>
            <w:noWrap/>
            <w:vAlign w:val="center"/>
          </w:tcPr>
          <w:p w:rsidR="004F24C8" w:rsidRPr="004F24C8" w:rsidRDefault="004F24C8" w:rsidP="004F24C8">
            <w:pPr>
              <w:spacing w:before="0" w:after="0"/>
              <w:ind w:left="113"/>
              <w:rPr>
                <w:rFonts w:cs="Arial"/>
                <w:color w:val="000000"/>
                <w:sz w:val="16"/>
                <w:szCs w:val="16"/>
              </w:rPr>
            </w:pPr>
            <w:r w:rsidRPr="004F24C8">
              <w:rPr>
                <w:rFonts w:cs="Arial"/>
                <w:color w:val="000000"/>
                <w:sz w:val="16"/>
                <w:szCs w:val="16"/>
              </w:rPr>
              <w:t>Arts and cultural heritage - as published</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671</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679</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686</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812</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829</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1267</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1092</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1037</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1081</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1221</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1167</w:t>
            </w:r>
          </w:p>
        </w:tc>
      </w:tr>
      <w:tr w:rsidR="004F24C8" w:rsidRPr="00D767A0" w:rsidTr="00885DF3">
        <w:trPr>
          <w:trHeight w:val="225"/>
        </w:trPr>
        <w:tc>
          <w:tcPr>
            <w:tcW w:w="4252" w:type="dxa"/>
            <w:shd w:val="clear" w:color="auto" w:fill="auto"/>
            <w:noWrap/>
            <w:vAlign w:val="center"/>
          </w:tcPr>
          <w:p w:rsidR="004F24C8" w:rsidRPr="004F24C8" w:rsidRDefault="004F24C8" w:rsidP="004F24C8">
            <w:pPr>
              <w:spacing w:before="0" w:after="0"/>
              <w:ind w:left="227"/>
              <w:rPr>
                <w:rFonts w:cs="Arial"/>
                <w:i/>
                <w:iCs/>
                <w:color w:val="808080"/>
                <w:sz w:val="16"/>
                <w:szCs w:val="16"/>
              </w:rPr>
            </w:pPr>
            <w:r w:rsidRPr="004F24C8">
              <w:rPr>
                <w:rFonts w:cs="Arial"/>
                <w:i/>
                <w:iCs/>
                <w:color w:val="808080"/>
                <w:sz w:val="16"/>
                <w:szCs w:val="16"/>
              </w:rPr>
              <w:t>Accounting change - FBT inclusion</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0</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0</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6</w:t>
            </w: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r>
      <w:tr w:rsidR="004F24C8" w:rsidRPr="00D767A0" w:rsidTr="00885DF3">
        <w:trPr>
          <w:trHeight w:val="225"/>
        </w:trPr>
        <w:tc>
          <w:tcPr>
            <w:tcW w:w="4252" w:type="dxa"/>
            <w:tcBorders>
              <w:bottom w:val="dotted" w:sz="8" w:space="0" w:color="auto"/>
            </w:tcBorders>
            <w:shd w:val="clear" w:color="auto" w:fill="auto"/>
            <w:noWrap/>
            <w:vAlign w:val="center"/>
          </w:tcPr>
          <w:p w:rsidR="004F24C8" w:rsidRPr="004F24C8" w:rsidRDefault="004F24C8" w:rsidP="004F24C8">
            <w:pPr>
              <w:spacing w:before="0" w:after="0"/>
              <w:ind w:left="113"/>
              <w:rPr>
                <w:rFonts w:cs="Arial"/>
                <w:color w:val="000000"/>
                <w:sz w:val="16"/>
                <w:szCs w:val="16"/>
              </w:rPr>
            </w:pPr>
            <w:r w:rsidRPr="004F24C8">
              <w:rPr>
                <w:rFonts w:cs="Arial"/>
                <w:color w:val="000000"/>
                <w:sz w:val="16"/>
                <w:szCs w:val="16"/>
              </w:rPr>
              <w:t>Arts and cultural heritage - total</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671</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679</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692</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812</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829</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1267</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1092</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1037</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1081</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1221</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1167</w:t>
            </w:r>
          </w:p>
        </w:tc>
      </w:tr>
      <w:tr w:rsidR="004F24C8" w:rsidRPr="00D767A0" w:rsidTr="00885DF3">
        <w:trPr>
          <w:trHeight w:val="225"/>
        </w:trPr>
        <w:tc>
          <w:tcPr>
            <w:tcW w:w="4252" w:type="dxa"/>
            <w:tcBorders>
              <w:top w:val="dotted" w:sz="8" w:space="0" w:color="auto"/>
            </w:tcBorders>
            <w:shd w:val="clear" w:color="auto" w:fill="auto"/>
            <w:noWrap/>
            <w:vAlign w:val="center"/>
          </w:tcPr>
          <w:p w:rsidR="004F24C8" w:rsidRPr="004F24C8" w:rsidRDefault="004F24C8" w:rsidP="004F24C8">
            <w:pPr>
              <w:spacing w:before="0" w:after="0"/>
              <w:ind w:left="113"/>
              <w:rPr>
                <w:rFonts w:cs="Arial"/>
                <w:color w:val="000000"/>
                <w:sz w:val="16"/>
                <w:szCs w:val="16"/>
              </w:rPr>
            </w:pPr>
            <w:r w:rsidRPr="004F24C8">
              <w:rPr>
                <w:rFonts w:cs="Arial"/>
                <w:color w:val="000000"/>
                <w:sz w:val="16"/>
                <w:szCs w:val="16"/>
              </w:rPr>
              <w:t>Sport and recreation - as published</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151</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207</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194</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314</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273</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450</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339</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351</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349</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523</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403</w:t>
            </w:r>
          </w:p>
        </w:tc>
      </w:tr>
      <w:tr w:rsidR="004F24C8" w:rsidRPr="00D767A0" w:rsidTr="00885DF3">
        <w:trPr>
          <w:trHeight w:val="225"/>
        </w:trPr>
        <w:tc>
          <w:tcPr>
            <w:tcW w:w="4252" w:type="dxa"/>
            <w:shd w:val="clear" w:color="auto" w:fill="auto"/>
            <w:noWrap/>
            <w:vAlign w:val="center"/>
          </w:tcPr>
          <w:p w:rsidR="004F24C8" w:rsidRPr="004F24C8" w:rsidRDefault="004F24C8" w:rsidP="004F24C8">
            <w:pPr>
              <w:spacing w:before="0" w:after="0"/>
              <w:ind w:left="227"/>
              <w:rPr>
                <w:rFonts w:cs="Arial"/>
                <w:i/>
                <w:iCs/>
                <w:color w:val="808080"/>
                <w:sz w:val="16"/>
                <w:szCs w:val="16"/>
              </w:rPr>
            </w:pPr>
            <w:r w:rsidRPr="004F24C8">
              <w:rPr>
                <w:rFonts w:cs="Arial"/>
                <w:i/>
                <w:iCs/>
                <w:color w:val="808080"/>
                <w:sz w:val="16"/>
                <w:szCs w:val="16"/>
              </w:rPr>
              <w:t>Accounting change - FBT inclusion</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0</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0</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2</w:t>
            </w: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r>
      <w:tr w:rsidR="004F24C8" w:rsidRPr="00D767A0" w:rsidTr="00885DF3">
        <w:trPr>
          <w:trHeight w:val="225"/>
        </w:trPr>
        <w:tc>
          <w:tcPr>
            <w:tcW w:w="4252" w:type="dxa"/>
            <w:tcBorders>
              <w:bottom w:val="dotted" w:sz="8" w:space="0" w:color="auto"/>
            </w:tcBorders>
            <w:shd w:val="clear" w:color="auto" w:fill="auto"/>
            <w:noWrap/>
            <w:vAlign w:val="center"/>
          </w:tcPr>
          <w:p w:rsidR="004F24C8" w:rsidRPr="004F24C8" w:rsidRDefault="004F24C8" w:rsidP="004F24C8">
            <w:pPr>
              <w:spacing w:before="0" w:after="0"/>
              <w:ind w:left="113"/>
              <w:rPr>
                <w:rFonts w:cs="Arial"/>
                <w:color w:val="000000"/>
                <w:sz w:val="16"/>
                <w:szCs w:val="16"/>
              </w:rPr>
            </w:pPr>
            <w:r w:rsidRPr="004F24C8">
              <w:rPr>
                <w:rFonts w:cs="Arial"/>
                <w:color w:val="000000"/>
                <w:sz w:val="16"/>
                <w:szCs w:val="16"/>
              </w:rPr>
              <w:t>Sport and recreation - total</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151</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207</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196</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314</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273</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450</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339</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351</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349</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523</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403</w:t>
            </w:r>
          </w:p>
        </w:tc>
      </w:tr>
      <w:tr w:rsidR="004F24C8" w:rsidRPr="00D767A0" w:rsidTr="00885DF3">
        <w:trPr>
          <w:trHeight w:val="225"/>
        </w:trPr>
        <w:tc>
          <w:tcPr>
            <w:tcW w:w="4252" w:type="dxa"/>
            <w:tcBorders>
              <w:top w:val="dotted" w:sz="8" w:space="0" w:color="auto"/>
            </w:tcBorders>
            <w:shd w:val="clear" w:color="auto" w:fill="auto"/>
            <w:noWrap/>
            <w:vAlign w:val="center"/>
          </w:tcPr>
          <w:p w:rsidR="004F24C8" w:rsidRPr="004F24C8" w:rsidRDefault="004F24C8" w:rsidP="004F24C8">
            <w:pPr>
              <w:spacing w:before="0" w:after="0"/>
              <w:ind w:left="113"/>
              <w:rPr>
                <w:rFonts w:cs="Arial"/>
                <w:color w:val="000000"/>
                <w:sz w:val="16"/>
                <w:szCs w:val="16"/>
              </w:rPr>
            </w:pPr>
            <w:r w:rsidRPr="004F24C8">
              <w:rPr>
                <w:rFonts w:cs="Arial"/>
                <w:color w:val="000000"/>
                <w:sz w:val="16"/>
                <w:szCs w:val="16"/>
              </w:rPr>
              <w:t>National estate and parks - as published</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210</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185</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212</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213</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232</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171</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180</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428</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333</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457</w:t>
            </w:r>
          </w:p>
        </w:tc>
        <w:tc>
          <w:tcPr>
            <w:tcW w:w="794" w:type="dxa"/>
            <w:tcBorders>
              <w:top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389</w:t>
            </w:r>
          </w:p>
        </w:tc>
      </w:tr>
      <w:tr w:rsidR="004F24C8" w:rsidRPr="00D767A0" w:rsidTr="000553AA">
        <w:trPr>
          <w:trHeight w:val="225"/>
        </w:trPr>
        <w:tc>
          <w:tcPr>
            <w:tcW w:w="4252" w:type="dxa"/>
            <w:shd w:val="clear" w:color="auto" w:fill="auto"/>
            <w:noWrap/>
            <w:vAlign w:val="center"/>
          </w:tcPr>
          <w:p w:rsidR="004F24C8" w:rsidRPr="004F24C8" w:rsidRDefault="004F24C8" w:rsidP="004F24C8">
            <w:pPr>
              <w:spacing w:before="0" w:after="0"/>
              <w:ind w:left="227"/>
              <w:rPr>
                <w:rFonts w:cs="Arial"/>
                <w:i/>
                <w:iCs/>
                <w:color w:val="808080"/>
                <w:sz w:val="16"/>
                <w:szCs w:val="16"/>
              </w:rPr>
            </w:pPr>
            <w:r w:rsidRPr="004F24C8">
              <w:rPr>
                <w:rFonts w:cs="Arial"/>
                <w:i/>
                <w:iCs/>
                <w:color w:val="808080"/>
                <w:sz w:val="16"/>
                <w:szCs w:val="16"/>
              </w:rPr>
              <w:t>Accounting change</w:t>
            </w: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r>
      <w:tr w:rsidR="004F24C8" w:rsidRPr="00D767A0" w:rsidTr="000553AA">
        <w:trPr>
          <w:trHeight w:val="225"/>
        </w:trPr>
        <w:tc>
          <w:tcPr>
            <w:tcW w:w="4252" w:type="dxa"/>
            <w:shd w:val="clear" w:color="auto" w:fill="auto"/>
            <w:noWrap/>
            <w:vAlign w:val="center"/>
          </w:tcPr>
          <w:p w:rsidR="004F24C8" w:rsidRPr="004F24C8" w:rsidRDefault="004F24C8" w:rsidP="004F24C8">
            <w:pPr>
              <w:spacing w:before="0" w:after="0"/>
              <w:ind w:left="340"/>
              <w:rPr>
                <w:rFonts w:cs="Arial"/>
                <w:i/>
                <w:iCs/>
                <w:color w:val="808080"/>
                <w:sz w:val="16"/>
                <w:szCs w:val="16"/>
              </w:rPr>
            </w:pPr>
            <w:r w:rsidRPr="004F24C8">
              <w:rPr>
                <w:rFonts w:cs="Arial"/>
                <w:i/>
                <w:iCs/>
                <w:color w:val="808080"/>
                <w:sz w:val="16"/>
                <w:szCs w:val="16"/>
              </w:rPr>
              <w:t>FBT inclusion</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0</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0</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2</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r>
      <w:tr w:rsidR="004F24C8" w:rsidRPr="00D767A0" w:rsidTr="000553AA">
        <w:trPr>
          <w:trHeight w:val="225"/>
        </w:trPr>
        <w:tc>
          <w:tcPr>
            <w:tcW w:w="4252" w:type="dxa"/>
            <w:shd w:val="clear" w:color="auto" w:fill="auto"/>
            <w:noWrap/>
            <w:vAlign w:val="center"/>
          </w:tcPr>
          <w:p w:rsidR="004F24C8" w:rsidRPr="004F24C8" w:rsidRDefault="004F24C8" w:rsidP="004F24C8">
            <w:pPr>
              <w:spacing w:before="0" w:after="0"/>
              <w:ind w:left="227"/>
              <w:rPr>
                <w:rFonts w:cs="Arial"/>
                <w:i/>
                <w:iCs/>
                <w:color w:val="808080"/>
                <w:sz w:val="16"/>
                <w:szCs w:val="16"/>
              </w:rPr>
            </w:pPr>
            <w:r w:rsidRPr="004F24C8">
              <w:rPr>
                <w:rFonts w:cs="Arial"/>
                <w:i/>
                <w:iCs/>
                <w:color w:val="808080"/>
                <w:sz w:val="16"/>
                <w:szCs w:val="16"/>
              </w:rPr>
              <w:t>Reclassification</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r>
      <w:tr w:rsidR="004F24C8" w:rsidRPr="00D767A0" w:rsidTr="00885DF3">
        <w:trPr>
          <w:trHeight w:val="225"/>
        </w:trPr>
        <w:tc>
          <w:tcPr>
            <w:tcW w:w="4252" w:type="dxa"/>
            <w:shd w:val="clear" w:color="auto" w:fill="auto"/>
            <w:noWrap/>
            <w:vAlign w:val="center"/>
          </w:tcPr>
          <w:p w:rsidR="004F24C8" w:rsidRPr="004F24C8" w:rsidRDefault="00577E17" w:rsidP="004F24C8">
            <w:pPr>
              <w:spacing w:before="0" w:after="0"/>
              <w:ind w:left="340"/>
              <w:rPr>
                <w:rFonts w:cs="Arial"/>
                <w:i/>
                <w:iCs/>
                <w:color w:val="808080"/>
                <w:sz w:val="16"/>
                <w:szCs w:val="16"/>
              </w:rPr>
            </w:pPr>
            <w:r>
              <w:rPr>
                <w:rFonts w:cs="Arial"/>
                <w:i/>
                <w:iCs/>
                <w:color w:val="808080"/>
                <w:sz w:val="16"/>
                <w:szCs w:val="16"/>
              </w:rPr>
              <w:t>O</w:t>
            </w:r>
            <w:r w:rsidR="004F24C8" w:rsidRPr="004F24C8">
              <w:rPr>
                <w:rFonts w:cs="Arial"/>
                <w:i/>
                <w:iCs/>
                <w:color w:val="808080"/>
                <w:sz w:val="16"/>
                <w:szCs w:val="16"/>
              </w:rPr>
              <w:t>peration sunlight - Australian Antarctic Division</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92</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91</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107</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124</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128</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136</w:t>
            </w:r>
          </w:p>
        </w:tc>
        <w:tc>
          <w:tcPr>
            <w:tcW w:w="794" w:type="dxa"/>
            <w:shd w:val="clear" w:color="auto" w:fill="auto"/>
            <w:noWrap/>
            <w:vAlign w:val="center"/>
          </w:tcPr>
          <w:p w:rsidR="004F24C8" w:rsidRPr="004F24C8" w:rsidRDefault="004F24C8" w:rsidP="004F24C8">
            <w:pPr>
              <w:spacing w:before="0" w:after="0"/>
              <w:jc w:val="right"/>
              <w:rPr>
                <w:rFonts w:cs="Arial"/>
                <w:i/>
                <w:iCs/>
                <w:color w:val="808080"/>
                <w:sz w:val="16"/>
                <w:szCs w:val="16"/>
              </w:rPr>
            </w:pPr>
            <w:r w:rsidRPr="004F24C8">
              <w:rPr>
                <w:rFonts w:cs="Arial"/>
                <w:i/>
                <w:iCs/>
                <w:color w:val="808080"/>
                <w:sz w:val="16"/>
                <w:szCs w:val="16"/>
              </w:rPr>
              <w:t>151</w:t>
            </w: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c>
          <w:tcPr>
            <w:tcW w:w="794" w:type="dxa"/>
            <w:shd w:val="clear" w:color="auto" w:fill="auto"/>
            <w:noWrap/>
            <w:vAlign w:val="center"/>
          </w:tcPr>
          <w:p w:rsidR="004F24C8" w:rsidRPr="004F24C8" w:rsidRDefault="004F24C8" w:rsidP="004F24C8">
            <w:pPr>
              <w:spacing w:before="0" w:after="0"/>
              <w:jc w:val="right"/>
              <w:rPr>
                <w:rFonts w:cs="Arial"/>
                <w:color w:val="000000"/>
                <w:sz w:val="16"/>
                <w:szCs w:val="16"/>
              </w:rPr>
            </w:pPr>
          </w:p>
        </w:tc>
      </w:tr>
      <w:tr w:rsidR="004F24C8" w:rsidRPr="00D767A0" w:rsidTr="0036184E">
        <w:trPr>
          <w:trHeight w:val="225"/>
        </w:trPr>
        <w:tc>
          <w:tcPr>
            <w:tcW w:w="4252" w:type="dxa"/>
            <w:tcBorders>
              <w:bottom w:val="dotted" w:sz="8" w:space="0" w:color="auto"/>
            </w:tcBorders>
            <w:shd w:val="clear" w:color="auto" w:fill="auto"/>
            <w:noWrap/>
            <w:vAlign w:val="center"/>
          </w:tcPr>
          <w:p w:rsidR="004F24C8" w:rsidRPr="004F24C8" w:rsidRDefault="004F24C8" w:rsidP="004F24C8">
            <w:pPr>
              <w:spacing w:before="0" w:after="0"/>
              <w:ind w:left="113"/>
              <w:rPr>
                <w:rFonts w:cs="Arial"/>
                <w:color w:val="000000"/>
                <w:sz w:val="16"/>
                <w:szCs w:val="16"/>
              </w:rPr>
            </w:pPr>
            <w:r w:rsidRPr="004F24C8">
              <w:rPr>
                <w:rFonts w:cs="Arial"/>
                <w:color w:val="000000"/>
                <w:sz w:val="16"/>
                <w:szCs w:val="16"/>
              </w:rPr>
              <w:t>National estate and parks - total</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302</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276</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321</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337</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360</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307</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331</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428</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333</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457</w:t>
            </w:r>
          </w:p>
        </w:tc>
        <w:tc>
          <w:tcPr>
            <w:tcW w:w="794" w:type="dxa"/>
            <w:tcBorders>
              <w:bottom w:val="dotted" w:sz="8" w:space="0" w:color="auto"/>
            </w:tcBorders>
            <w:shd w:val="clear" w:color="auto" w:fill="auto"/>
            <w:noWrap/>
            <w:vAlign w:val="center"/>
          </w:tcPr>
          <w:p w:rsidR="004F24C8" w:rsidRPr="004F24C8" w:rsidRDefault="004F24C8" w:rsidP="004F24C8">
            <w:pPr>
              <w:spacing w:before="0" w:after="0"/>
              <w:jc w:val="right"/>
              <w:rPr>
                <w:rFonts w:cs="Arial"/>
                <w:color w:val="000000"/>
                <w:sz w:val="16"/>
                <w:szCs w:val="16"/>
              </w:rPr>
            </w:pPr>
            <w:r w:rsidRPr="004F24C8">
              <w:rPr>
                <w:rFonts w:cs="Arial"/>
                <w:color w:val="000000"/>
                <w:sz w:val="16"/>
                <w:szCs w:val="16"/>
              </w:rPr>
              <w:t>389</w:t>
            </w:r>
          </w:p>
        </w:tc>
      </w:tr>
      <w:tr w:rsidR="004F24C8" w:rsidRPr="00D767A0" w:rsidTr="0036184E">
        <w:trPr>
          <w:trHeight w:val="225"/>
        </w:trPr>
        <w:tc>
          <w:tcPr>
            <w:tcW w:w="4252"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rPr>
                <w:rFonts w:cs="Arial"/>
                <w:b/>
                <w:bCs/>
                <w:color w:val="000000"/>
                <w:sz w:val="16"/>
                <w:szCs w:val="16"/>
              </w:rPr>
            </w:pPr>
            <w:r w:rsidRPr="004F24C8">
              <w:rPr>
                <w:rFonts w:cs="Arial"/>
                <w:b/>
                <w:bCs/>
                <w:color w:val="000000"/>
                <w:sz w:val="16"/>
                <w:szCs w:val="16"/>
              </w:rPr>
              <w:t>Recreation and culture - total</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2159</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2264</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2372</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2708</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2688</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3344</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3257</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3280</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3252</w:t>
            </w:r>
          </w:p>
        </w:tc>
        <w:tc>
          <w:tcPr>
            <w:tcW w:w="794" w:type="dxa"/>
            <w:tcBorders>
              <w:top w:val="dotted" w:sz="8" w:space="0" w:color="auto"/>
              <w:bottom w:val="single" w:sz="8" w:space="0" w:color="2B3B5F"/>
            </w:tcBorders>
            <w:shd w:val="clear" w:color="auto" w:fill="auto"/>
            <w:noWrap/>
            <w:vAlign w:val="center"/>
          </w:tcPr>
          <w:p w:rsidR="004F24C8" w:rsidRPr="004F24C8" w:rsidRDefault="004F24C8" w:rsidP="004F24C8">
            <w:pPr>
              <w:spacing w:before="0" w:after="0"/>
              <w:jc w:val="right"/>
              <w:rPr>
                <w:rFonts w:cs="Arial"/>
                <w:b/>
                <w:bCs/>
                <w:color w:val="000000"/>
                <w:sz w:val="16"/>
                <w:szCs w:val="16"/>
              </w:rPr>
            </w:pPr>
            <w:r w:rsidRPr="004F24C8">
              <w:rPr>
                <w:rFonts w:cs="Arial"/>
                <w:b/>
                <w:bCs/>
                <w:color w:val="000000"/>
                <w:sz w:val="16"/>
                <w:szCs w:val="16"/>
              </w:rPr>
              <w:t>3809</w:t>
            </w:r>
          </w:p>
        </w:tc>
        <w:tc>
          <w:tcPr>
            <w:tcW w:w="794" w:type="dxa"/>
            <w:tcBorders>
              <w:top w:val="dotted" w:sz="8" w:space="0" w:color="auto"/>
              <w:bottom w:val="single" w:sz="8" w:space="0" w:color="2B3B5F"/>
            </w:tcBorders>
            <w:shd w:val="clear" w:color="auto" w:fill="auto"/>
            <w:noWrap/>
            <w:vAlign w:val="center"/>
          </w:tcPr>
          <w:p w:rsidR="004F24C8" w:rsidRPr="004F24C8" w:rsidRDefault="00ED648E" w:rsidP="004F24C8">
            <w:pPr>
              <w:spacing w:before="0" w:after="0"/>
              <w:jc w:val="right"/>
              <w:rPr>
                <w:rFonts w:cs="Arial"/>
                <w:b/>
                <w:bCs/>
                <w:color w:val="000000"/>
                <w:sz w:val="16"/>
                <w:szCs w:val="16"/>
              </w:rPr>
            </w:pPr>
            <w:r>
              <w:rPr>
                <w:rFonts w:cs="Arial"/>
                <w:b/>
                <w:bCs/>
                <w:color w:val="000000"/>
                <w:sz w:val="16"/>
                <w:szCs w:val="16"/>
              </w:rPr>
              <w:t>3625</w:t>
            </w:r>
          </w:p>
        </w:tc>
      </w:tr>
    </w:tbl>
    <w:p w:rsidR="008D02A0" w:rsidRDefault="008D02A0"/>
    <w:tbl>
      <w:tblPr>
        <w:tblpPr w:leftFromText="180" w:rightFromText="180" w:vertAnchor="text" w:tblpX="358" w:tblpY="1"/>
        <w:tblOverlap w:val="never"/>
        <w:tblW w:w="12986" w:type="dxa"/>
        <w:tblLook w:val="04A0" w:firstRow="1" w:lastRow="0" w:firstColumn="1" w:lastColumn="0" w:noHBand="0" w:noVBand="1"/>
      </w:tblPr>
      <w:tblGrid>
        <w:gridCol w:w="4252"/>
        <w:gridCol w:w="794"/>
        <w:gridCol w:w="794"/>
        <w:gridCol w:w="794"/>
        <w:gridCol w:w="794"/>
        <w:gridCol w:w="794"/>
        <w:gridCol w:w="794"/>
        <w:gridCol w:w="794"/>
        <w:gridCol w:w="794"/>
        <w:gridCol w:w="794"/>
        <w:gridCol w:w="794"/>
        <w:gridCol w:w="794"/>
      </w:tblGrid>
      <w:tr w:rsidR="00512130" w:rsidRPr="00D767A0" w:rsidTr="00512130">
        <w:trPr>
          <w:trHeight w:val="469"/>
        </w:trPr>
        <w:tc>
          <w:tcPr>
            <w:tcW w:w="12986" w:type="dxa"/>
            <w:gridSpan w:val="12"/>
            <w:shd w:val="clear" w:color="auto" w:fill="auto"/>
            <w:noWrap/>
            <w:vAlign w:val="center"/>
          </w:tcPr>
          <w:p w:rsidR="00512130" w:rsidRPr="008D02A0" w:rsidRDefault="00512130" w:rsidP="00554167">
            <w:pPr>
              <w:spacing w:before="0" w:after="0"/>
              <w:jc w:val="right"/>
              <w:rPr>
                <w:rFonts w:cs="Arial"/>
                <w:color w:val="000000"/>
                <w:sz w:val="16"/>
                <w:szCs w:val="16"/>
              </w:rPr>
            </w:pPr>
          </w:p>
        </w:tc>
      </w:tr>
      <w:tr w:rsidR="008D02A0" w:rsidRPr="00D767A0" w:rsidTr="004744C5">
        <w:trPr>
          <w:trHeight w:val="225"/>
        </w:trPr>
        <w:tc>
          <w:tcPr>
            <w:tcW w:w="4252" w:type="dxa"/>
            <w:tcBorders>
              <w:top w:val="single" w:sz="8" w:space="0" w:color="2B3B5F"/>
              <w:bottom w:val="dotted" w:sz="8" w:space="0" w:color="auto"/>
            </w:tcBorders>
            <w:shd w:val="clear" w:color="auto" w:fill="95A4C6"/>
            <w:noWrap/>
            <w:vAlign w:val="center"/>
          </w:tcPr>
          <w:p w:rsidR="008D02A0" w:rsidRPr="008D02A0" w:rsidRDefault="008D02A0" w:rsidP="008D02A0">
            <w:pPr>
              <w:spacing w:before="0" w:after="0"/>
              <w:rPr>
                <w:rFonts w:cs="Arial"/>
                <w:color w:val="000000"/>
                <w:sz w:val="16"/>
                <w:szCs w:val="16"/>
              </w:rPr>
            </w:pPr>
          </w:p>
        </w:tc>
        <w:tc>
          <w:tcPr>
            <w:tcW w:w="794" w:type="dxa"/>
            <w:tcBorders>
              <w:top w:val="single" w:sz="8" w:space="0" w:color="2B3B5F"/>
              <w:bottom w:val="dotted" w:sz="8" w:space="0" w:color="auto"/>
            </w:tcBorders>
            <w:shd w:val="clear" w:color="auto" w:fill="95A4C6"/>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2002-03</w:t>
            </w:r>
          </w:p>
        </w:tc>
        <w:tc>
          <w:tcPr>
            <w:tcW w:w="794" w:type="dxa"/>
            <w:tcBorders>
              <w:top w:val="single" w:sz="8" w:space="0" w:color="2B3B5F"/>
              <w:bottom w:val="dotted" w:sz="8" w:space="0" w:color="auto"/>
            </w:tcBorders>
            <w:shd w:val="clear" w:color="auto" w:fill="95A4C6"/>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2003-04</w:t>
            </w:r>
          </w:p>
        </w:tc>
        <w:tc>
          <w:tcPr>
            <w:tcW w:w="794" w:type="dxa"/>
            <w:tcBorders>
              <w:top w:val="single" w:sz="8" w:space="0" w:color="2B3B5F"/>
              <w:bottom w:val="dotted" w:sz="8" w:space="0" w:color="auto"/>
            </w:tcBorders>
            <w:shd w:val="clear" w:color="auto" w:fill="95A4C6"/>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2004-05</w:t>
            </w:r>
          </w:p>
        </w:tc>
        <w:tc>
          <w:tcPr>
            <w:tcW w:w="794" w:type="dxa"/>
            <w:tcBorders>
              <w:top w:val="single" w:sz="8" w:space="0" w:color="2B3B5F"/>
              <w:bottom w:val="dotted" w:sz="8" w:space="0" w:color="auto"/>
            </w:tcBorders>
            <w:shd w:val="clear" w:color="auto" w:fill="95A4C6"/>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2005-06</w:t>
            </w:r>
          </w:p>
        </w:tc>
        <w:tc>
          <w:tcPr>
            <w:tcW w:w="794" w:type="dxa"/>
            <w:tcBorders>
              <w:top w:val="single" w:sz="8" w:space="0" w:color="2B3B5F"/>
              <w:bottom w:val="dotted" w:sz="8" w:space="0" w:color="auto"/>
            </w:tcBorders>
            <w:shd w:val="clear" w:color="auto" w:fill="95A4C6"/>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2006-07</w:t>
            </w:r>
          </w:p>
        </w:tc>
        <w:tc>
          <w:tcPr>
            <w:tcW w:w="794" w:type="dxa"/>
            <w:tcBorders>
              <w:top w:val="single" w:sz="8" w:space="0" w:color="2B3B5F"/>
              <w:bottom w:val="dotted" w:sz="8" w:space="0" w:color="auto"/>
            </w:tcBorders>
            <w:shd w:val="clear" w:color="auto" w:fill="95A4C6"/>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2007-08</w:t>
            </w:r>
          </w:p>
        </w:tc>
        <w:tc>
          <w:tcPr>
            <w:tcW w:w="794" w:type="dxa"/>
            <w:tcBorders>
              <w:top w:val="single" w:sz="8" w:space="0" w:color="2B3B5F"/>
              <w:bottom w:val="dotted" w:sz="8" w:space="0" w:color="auto"/>
            </w:tcBorders>
            <w:shd w:val="clear" w:color="auto" w:fill="95A4C6"/>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2008-09</w:t>
            </w:r>
          </w:p>
        </w:tc>
        <w:tc>
          <w:tcPr>
            <w:tcW w:w="794" w:type="dxa"/>
            <w:tcBorders>
              <w:top w:val="single" w:sz="8" w:space="0" w:color="2B3B5F"/>
              <w:bottom w:val="dotted" w:sz="8" w:space="0" w:color="auto"/>
            </w:tcBorders>
            <w:shd w:val="clear" w:color="auto" w:fill="95A4C6"/>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2009-10</w:t>
            </w:r>
          </w:p>
        </w:tc>
        <w:tc>
          <w:tcPr>
            <w:tcW w:w="794" w:type="dxa"/>
            <w:tcBorders>
              <w:top w:val="single" w:sz="8" w:space="0" w:color="2B3B5F"/>
              <w:bottom w:val="dotted" w:sz="8" w:space="0" w:color="auto"/>
            </w:tcBorders>
            <w:shd w:val="clear" w:color="auto" w:fill="95A4C6"/>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2010-11</w:t>
            </w:r>
          </w:p>
        </w:tc>
        <w:tc>
          <w:tcPr>
            <w:tcW w:w="794" w:type="dxa"/>
            <w:tcBorders>
              <w:top w:val="single" w:sz="8" w:space="0" w:color="2B3B5F"/>
              <w:bottom w:val="dotted" w:sz="8" w:space="0" w:color="auto"/>
            </w:tcBorders>
            <w:shd w:val="clear" w:color="auto" w:fill="95A4C6"/>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2011-12</w:t>
            </w:r>
          </w:p>
        </w:tc>
        <w:tc>
          <w:tcPr>
            <w:tcW w:w="794" w:type="dxa"/>
            <w:tcBorders>
              <w:top w:val="single" w:sz="8" w:space="0" w:color="2B3B5F"/>
              <w:bottom w:val="dotted" w:sz="8" w:space="0" w:color="auto"/>
            </w:tcBorders>
            <w:shd w:val="clear" w:color="auto" w:fill="95A4C6"/>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2012-13</w:t>
            </w:r>
          </w:p>
        </w:tc>
      </w:tr>
      <w:tr w:rsidR="008D02A0" w:rsidRPr="00D767A0" w:rsidTr="004744C5">
        <w:trPr>
          <w:trHeight w:val="225"/>
        </w:trPr>
        <w:tc>
          <w:tcPr>
            <w:tcW w:w="4252" w:type="dxa"/>
            <w:tcBorders>
              <w:top w:val="dotted" w:sz="8" w:space="0" w:color="auto"/>
              <w:bottom w:val="dotted" w:sz="6" w:space="0" w:color="auto"/>
            </w:tcBorders>
            <w:shd w:val="clear" w:color="auto" w:fill="auto"/>
            <w:noWrap/>
            <w:vAlign w:val="center"/>
          </w:tcPr>
          <w:p w:rsidR="008D02A0" w:rsidRPr="008D02A0" w:rsidRDefault="008D02A0" w:rsidP="008D02A0">
            <w:pPr>
              <w:spacing w:before="0" w:after="0"/>
              <w:rPr>
                <w:rFonts w:cs="Arial"/>
                <w:b/>
                <w:bCs/>
                <w:color w:val="000000"/>
                <w:sz w:val="16"/>
                <w:szCs w:val="16"/>
              </w:rPr>
            </w:pPr>
            <w:r w:rsidRPr="008D02A0">
              <w:rPr>
                <w:rFonts w:cs="Arial"/>
                <w:b/>
                <w:bCs/>
                <w:color w:val="000000"/>
                <w:sz w:val="16"/>
                <w:szCs w:val="16"/>
              </w:rPr>
              <w:t>Transport and communication - as published</w:t>
            </w:r>
          </w:p>
        </w:tc>
        <w:tc>
          <w:tcPr>
            <w:tcW w:w="794" w:type="dxa"/>
            <w:tcBorders>
              <w:top w:val="dotted" w:sz="8" w:space="0" w:color="auto"/>
              <w:bottom w:val="dotted" w:sz="6" w:space="0" w:color="auto"/>
            </w:tcBorders>
            <w:shd w:val="clear" w:color="auto" w:fill="auto"/>
            <w:noWrap/>
            <w:vAlign w:val="center"/>
          </w:tcPr>
          <w:p w:rsidR="008D02A0" w:rsidRPr="008D02A0" w:rsidRDefault="008D02A0" w:rsidP="00554167">
            <w:pPr>
              <w:spacing w:before="0" w:after="0"/>
              <w:jc w:val="right"/>
              <w:rPr>
                <w:rFonts w:cs="Arial"/>
                <w:b/>
                <w:bCs/>
                <w:color w:val="000000"/>
                <w:sz w:val="16"/>
                <w:szCs w:val="16"/>
              </w:rPr>
            </w:pPr>
            <w:r w:rsidRPr="008D02A0">
              <w:rPr>
                <w:rFonts w:cs="Arial"/>
                <w:b/>
                <w:bCs/>
                <w:color w:val="000000"/>
                <w:sz w:val="16"/>
                <w:szCs w:val="16"/>
              </w:rPr>
              <w:t>2174</w:t>
            </w:r>
          </w:p>
        </w:tc>
        <w:tc>
          <w:tcPr>
            <w:tcW w:w="794" w:type="dxa"/>
            <w:tcBorders>
              <w:top w:val="dotted" w:sz="8" w:space="0" w:color="auto"/>
              <w:bottom w:val="dotted" w:sz="6" w:space="0" w:color="auto"/>
            </w:tcBorders>
            <w:shd w:val="clear" w:color="auto" w:fill="auto"/>
            <w:noWrap/>
            <w:vAlign w:val="center"/>
          </w:tcPr>
          <w:p w:rsidR="008D02A0" w:rsidRPr="008D02A0" w:rsidRDefault="008D02A0" w:rsidP="00554167">
            <w:pPr>
              <w:spacing w:before="0" w:after="0"/>
              <w:jc w:val="right"/>
              <w:rPr>
                <w:rFonts w:cs="Arial"/>
                <w:b/>
                <w:bCs/>
                <w:color w:val="000000"/>
                <w:sz w:val="16"/>
                <w:szCs w:val="16"/>
              </w:rPr>
            </w:pPr>
            <w:r w:rsidRPr="008D02A0">
              <w:rPr>
                <w:rFonts w:cs="Arial"/>
                <w:b/>
                <w:bCs/>
                <w:color w:val="000000"/>
                <w:sz w:val="16"/>
                <w:szCs w:val="16"/>
              </w:rPr>
              <w:t>2816</w:t>
            </w:r>
          </w:p>
        </w:tc>
        <w:tc>
          <w:tcPr>
            <w:tcW w:w="794" w:type="dxa"/>
            <w:tcBorders>
              <w:top w:val="dotted" w:sz="8" w:space="0" w:color="auto"/>
              <w:bottom w:val="dotted" w:sz="6" w:space="0" w:color="auto"/>
            </w:tcBorders>
            <w:shd w:val="clear" w:color="auto" w:fill="auto"/>
            <w:noWrap/>
            <w:vAlign w:val="center"/>
          </w:tcPr>
          <w:p w:rsidR="008D02A0" w:rsidRPr="008D02A0" w:rsidRDefault="008D02A0" w:rsidP="00554167">
            <w:pPr>
              <w:spacing w:before="0" w:after="0"/>
              <w:jc w:val="right"/>
              <w:rPr>
                <w:rFonts w:cs="Arial"/>
                <w:b/>
                <w:bCs/>
                <w:color w:val="000000"/>
                <w:sz w:val="16"/>
                <w:szCs w:val="16"/>
              </w:rPr>
            </w:pPr>
            <w:r w:rsidRPr="008D02A0">
              <w:rPr>
                <w:rFonts w:cs="Arial"/>
                <w:b/>
                <w:bCs/>
                <w:color w:val="000000"/>
                <w:sz w:val="16"/>
                <w:szCs w:val="16"/>
              </w:rPr>
              <w:t>2769</w:t>
            </w:r>
          </w:p>
        </w:tc>
        <w:tc>
          <w:tcPr>
            <w:tcW w:w="794" w:type="dxa"/>
            <w:tcBorders>
              <w:top w:val="dotted" w:sz="8" w:space="0" w:color="auto"/>
              <w:bottom w:val="dotted" w:sz="6" w:space="0" w:color="auto"/>
            </w:tcBorders>
            <w:shd w:val="clear" w:color="auto" w:fill="auto"/>
            <w:noWrap/>
            <w:vAlign w:val="center"/>
          </w:tcPr>
          <w:p w:rsidR="008D02A0" w:rsidRPr="008D02A0" w:rsidRDefault="008D02A0" w:rsidP="00554167">
            <w:pPr>
              <w:spacing w:before="0" w:after="0"/>
              <w:jc w:val="right"/>
              <w:rPr>
                <w:rFonts w:cs="Arial"/>
                <w:b/>
                <w:bCs/>
                <w:color w:val="000000"/>
                <w:sz w:val="16"/>
                <w:szCs w:val="16"/>
              </w:rPr>
            </w:pPr>
            <w:r w:rsidRPr="008D02A0">
              <w:rPr>
                <w:rFonts w:cs="Arial"/>
                <w:b/>
                <w:bCs/>
                <w:color w:val="000000"/>
                <w:sz w:val="16"/>
                <w:szCs w:val="16"/>
              </w:rPr>
              <w:t>3075</w:t>
            </w:r>
          </w:p>
        </w:tc>
        <w:tc>
          <w:tcPr>
            <w:tcW w:w="794" w:type="dxa"/>
            <w:tcBorders>
              <w:top w:val="dotted" w:sz="8" w:space="0" w:color="auto"/>
              <w:bottom w:val="dotted" w:sz="6" w:space="0" w:color="auto"/>
            </w:tcBorders>
            <w:shd w:val="clear" w:color="auto" w:fill="auto"/>
            <w:noWrap/>
            <w:vAlign w:val="center"/>
          </w:tcPr>
          <w:p w:rsidR="008D02A0" w:rsidRPr="008D02A0" w:rsidRDefault="008D02A0" w:rsidP="00554167">
            <w:pPr>
              <w:spacing w:before="0" w:after="0"/>
              <w:jc w:val="right"/>
              <w:rPr>
                <w:rFonts w:cs="Arial"/>
                <w:b/>
                <w:bCs/>
                <w:color w:val="000000"/>
                <w:sz w:val="16"/>
                <w:szCs w:val="16"/>
              </w:rPr>
            </w:pPr>
            <w:r w:rsidRPr="008D02A0">
              <w:rPr>
                <w:rFonts w:cs="Arial"/>
                <w:b/>
                <w:bCs/>
                <w:color w:val="000000"/>
                <w:sz w:val="16"/>
                <w:szCs w:val="16"/>
              </w:rPr>
              <w:t>3296</w:t>
            </w:r>
          </w:p>
        </w:tc>
        <w:tc>
          <w:tcPr>
            <w:tcW w:w="794" w:type="dxa"/>
            <w:tcBorders>
              <w:top w:val="dotted" w:sz="8" w:space="0" w:color="auto"/>
              <w:bottom w:val="dotted" w:sz="6" w:space="0" w:color="auto"/>
            </w:tcBorders>
            <w:shd w:val="clear" w:color="auto" w:fill="auto"/>
            <w:noWrap/>
            <w:vAlign w:val="center"/>
          </w:tcPr>
          <w:p w:rsidR="008D02A0" w:rsidRPr="008D02A0" w:rsidRDefault="008D02A0" w:rsidP="00554167">
            <w:pPr>
              <w:spacing w:before="0" w:after="0"/>
              <w:jc w:val="right"/>
              <w:rPr>
                <w:rFonts w:cs="Arial"/>
                <w:b/>
                <w:bCs/>
                <w:color w:val="000000"/>
                <w:sz w:val="16"/>
                <w:szCs w:val="16"/>
              </w:rPr>
            </w:pPr>
            <w:r w:rsidRPr="008D02A0">
              <w:rPr>
                <w:rFonts w:cs="Arial"/>
                <w:b/>
                <w:bCs/>
                <w:color w:val="000000"/>
                <w:sz w:val="16"/>
                <w:szCs w:val="16"/>
              </w:rPr>
              <w:t>4129</w:t>
            </w:r>
          </w:p>
        </w:tc>
        <w:tc>
          <w:tcPr>
            <w:tcW w:w="794" w:type="dxa"/>
            <w:tcBorders>
              <w:top w:val="dotted" w:sz="8" w:space="0" w:color="auto"/>
              <w:bottom w:val="dotted" w:sz="6" w:space="0" w:color="auto"/>
            </w:tcBorders>
            <w:shd w:val="clear" w:color="auto" w:fill="auto"/>
            <w:noWrap/>
            <w:vAlign w:val="center"/>
          </w:tcPr>
          <w:p w:rsidR="008D02A0" w:rsidRPr="008D02A0" w:rsidRDefault="008D02A0" w:rsidP="00554167">
            <w:pPr>
              <w:spacing w:before="0" w:after="0"/>
              <w:jc w:val="right"/>
              <w:rPr>
                <w:rFonts w:cs="Arial"/>
                <w:b/>
                <w:bCs/>
                <w:color w:val="000000"/>
                <w:sz w:val="16"/>
                <w:szCs w:val="16"/>
              </w:rPr>
            </w:pPr>
            <w:r w:rsidRPr="008D02A0">
              <w:rPr>
                <w:rFonts w:cs="Arial"/>
                <w:b/>
                <w:bCs/>
                <w:color w:val="000000"/>
                <w:sz w:val="16"/>
                <w:szCs w:val="16"/>
              </w:rPr>
              <w:t>6941</w:t>
            </w:r>
          </w:p>
        </w:tc>
        <w:tc>
          <w:tcPr>
            <w:tcW w:w="794" w:type="dxa"/>
            <w:tcBorders>
              <w:top w:val="dotted" w:sz="8" w:space="0" w:color="auto"/>
              <w:bottom w:val="dotted" w:sz="6" w:space="0" w:color="auto"/>
            </w:tcBorders>
            <w:shd w:val="clear" w:color="auto" w:fill="auto"/>
            <w:noWrap/>
            <w:vAlign w:val="center"/>
          </w:tcPr>
          <w:p w:rsidR="008D02A0" w:rsidRPr="008D02A0" w:rsidRDefault="008D02A0" w:rsidP="00554167">
            <w:pPr>
              <w:spacing w:before="0" w:after="0"/>
              <w:jc w:val="right"/>
              <w:rPr>
                <w:rFonts w:cs="Arial"/>
                <w:b/>
                <w:bCs/>
                <w:color w:val="000000"/>
                <w:sz w:val="16"/>
                <w:szCs w:val="16"/>
              </w:rPr>
            </w:pPr>
            <w:r w:rsidRPr="008D02A0">
              <w:rPr>
                <w:rFonts w:cs="Arial"/>
                <w:b/>
                <w:bCs/>
                <w:color w:val="000000"/>
                <w:sz w:val="16"/>
                <w:szCs w:val="16"/>
              </w:rPr>
              <w:t>6641</w:t>
            </w:r>
          </w:p>
        </w:tc>
        <w:tc>
          <w:tcPr>
            <w:tcW w:w="794" w:type="dxa"/>
            <w:tcBorders>
              <w:top w:val="dotted" w:sz="8" w:space="0" w:color="auto"/>
              <w:bottom w:val="dotted" w:sz="6" w:space="0" w:color="auto"/>
            </w:tcBorders>
            <w:shd w:val="clear" w:color="auto" w:fill="auto"/>
            <w:noWrap/>
            <w:vAlign w:val="center"/>
          </w:tcPr>
          <w:p w:rsidR="008D02A0" w:rsidRPr="008D02A0" w:rsidRDefault="008D02A0" w:rsidP="00554167">
            <w:pPr>
              <w:spacing w:before="0" w:after="0"/>
              <w:jc w:val="right"/>
              <w:rPr>
                <w:rFonts w:cs="Arial"/>
                <w:b/>
                <w:bCs/>
                <w:color w:val="000000"/>
                <w:sz w:val="16"/>
                <w:szCs w:val="16"/>
              </w:rPr>
            </w:pPr>
            <w:r w:rsidRPr="008D02A0">
              <w:rPr>
                <w:rFonts w:cs="Arial"/>
                <w:b/>
                <w:bCs/>
                <w:color w:val="000000"/>
                <w:sz w:val="16"/>
                <w:szCs w:val="16"/>
              </w:rPr>
              <w:t>4664</w:t>
            </w:r>
          </w:p>
        </w:tc>
        <w:tc>
          <w:tcPr>
            <w:tcW w:w="794" w:type="dxa"/>
            <w:tcBorders>
              <w:top w:val="dotted" w:sz="8" w:space="0" w:color="auto"/>
              <w:bottom w:val="dotted" w:sz="6" w:space="0" w:color="auto"/>
            </w:tcBorders>
            <w:shd w:val="clear" w:color="auto" w:fill="auto"/>
            <w:noWrap/>
            <w:vAlign w:val="center"/>
          </w:tcPr>
          <w:p w:rsidR="008D02A0" w:rsidRPr="008D02A0" w:rsidRDefault="008D02A0" w:rsidP="00554167">
            <w:pPr>
              <w:spacing w:before="0" w:after="0"/>
              <w:jc w:val="right"/>
              <w:rPr>
                <w:rFonts w:cs="Arial"/>
                <w:b/>
                <w:bCs/>
                <w:color w:val="000000"/>
                <w:sz w:val="16"/>
                <w:szCs w:val="16"/>
              </w:rPr>
            </w:pPr>
            <w:r w:rsidRPr="008D02A0">
              <w:rPr>
                <w:rFonts w:cs="Arial"/>
                <w:b/>
                <w:bCs/>
                <w:color w:val="000000"/>
                <w:sz w:val="16"/>
                <w:szCs w:val="16"/>
              </w:rPr>
              <w:t>9129</w:t>
            </w:r>
          </w:p>
        </w:tc>
        <w:tc>
          <w:tcPr>
            <w:tcW w:w="794" w:type="dxa"/>
            <w:tcBorders>
              <w:top w:val="dotted" w:sz="8" w:space="0" w:color="auto"/>
              <w:bottom w:val="dotted" w:sz="6" w:space="0" w:color="auto"/>
            </w:tcBorders>
            <w:shd w:val="clear" w:color="auto" w:fill="auto"/>
            <w:noWrap/>
            <w:vAlign w:val="center"/>
          </w:tcPr>
          <w:p w:rsidR="008D02A0" w:rsidRPr="008D02A0" w:rsidRDefault="008D02A0" w:rsidP="00554167">
            <w:pPr>
              <w:spacing w:before="0" w:after="0"/>
              <w:jc w:val="right"/>
              <w:rPr>
                <w:rFonts w:cs="Arial"/>
                <w:b/>
                <w:bCs/>
                <w:color w:val="000000"/>
                <w:sz w:val="16"/>
                <w:szCs w:val="16"/>
              </w:rPr>
            </w:pPr>
            <w:r w:rsidRPr="008D02A0">
              <w:rPr>
                <w:rFonts w:cs="Arial"/>
                <w:b/>
                <w:bCs/>
                <w:color w:val="000000"/>
                <w:sz w:val="16"/>
                <w:szCs w:val="16"/>
              </w:rPr>
              <w:t>5023</w:t>
            </w:r>
          </w:p>
        </w:tc>
      </w:tr>
      <w:tr w:rsidR="008D02A0" w:rsidRPr="00D767A0" w:rsidTr="000553AA">
        <w:trPr>
          <w:trHeight w:val="225"/>
        </w:trPr>
        <w:tc>
          <w:tcPr>
            <w:tcW w:w="4252" w:type="dxa"/>
            <w:tcBorders>
              <w:top w:val="dotted" w:sz="6" w:space="0" w:color="auto"/>
            </w:tcBorders>
            <w:shd w:val="clear" w:color="auto" w:fill="auto"/>
            <w:noWrap/>
            <w:vAlign w:val="center"/>
          </w:tcPr>
          <w:p w:rsidR="008D02A0" w:rsidRPr="008D02A0" w:rsidRDefault="008D02A0" w:rsidP="00554167">
            <w:pPr>
              <w:spacing w:before="0" w:after="0"/>
              <w:ind w:left="113"/>
              <w:rPr>
                <w:rFonts w:cs="Arial"/>
                <w:color w:val="000000"/>
                <w:sz w:val="16"/>
                <w:szCs w:val="16"/>
              </w:rPr>
            </w:pPr>
            <w:r w:rsidRPr="008D02A0">
              <w:rPr>
                <w:rFonts w:cs="Arial"/>
                <w:color w:val="000000"/>
                <w:sz w:val="16"/>
                <w:szCs w:val="16"/>
              </w:rPr>
              <w:t>Communication - as published</w:t>
            </w:r>
          </w:p>
        </w:tc>
        <w:tc>
          <w:tcPr>
            <w:tcW w:w="794" w:type="dxa"/>
            <w:tcBorders>
              <w:top w:val="dotted" w:sz="6"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429</w:t>
            </w:r>
          </w:p>
        </w:tc>
        <w:tc>
          <w:tcPr>
            <w:tcW w:w="794" w:type="dxa"/>
            <w:tcBorders>
              <w:top w:val="dotted" w:sz="6"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529</w:t>
            </w:r>
          </w:p>
        </w:tc>
        <w:tc>
          <w:tcPr>
            <w:tcW w:w="794" w:type="dxa"/>
            <w:tcBorders>
              <w:top w:val="dotted" w:sz="6"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508</w:t>
            </w:r>
          </w:p>
        </w:tc>
        <w:tc>
          <w:tcPr>
            <w:tcW w:w="794" w:type="dxa"/>
            <w:tcBorders>
              <w:top w:val="dotted" w:sz="6"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636</w:t>
            </w:r>
          </w:p>
        </w:tc>
        <w:tc>
          <w:tcPr>
            <w:tcW w:w="794" w:type="dxa"/>
            <w:tcBorders>
              <w:top w:val="dotted" w:sz="6"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546</w:t>
            </w:r>
          </w:p>
        </w:tc>
        <w:tc>
          <w:tcPr>
            <w:tcW w:w="794" w:type="dxa"/>
            <w:tcBorders>
              <w:top w:val="dotted" w:sz="6"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534</w:t>
            </w:r>
          </w:p>
        </w:tc>
        <w:tc>
          <w:tcPr>
            <w:tcW w:w="794" w:type="dxa"/>
            <w:tcBorders>
              <w:top w:val="dotted" w:sz="6"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509</w:t>
            </w:r>
          </w:p>
        </w:tc>
        <w:tc>
          <w:tcPr>
            <w:tcW w:w="794" w:type="dxa"/>
            <w:tcBorders>
              <w:top w:val="dotted" w:sz="6"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478</w:t>
            </w:r>
          </w:p>
        </w:tc>
        <w:tc>
          <w:tcPr>
            <w:tcW w:w="794" w:type="dxa"/>
            <w:tcBorders>
              <w:top w:val="dotted" w:sz="6"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428</w:t>
            </w:r>
          </w:p>
        </w:tc>
        <w:tc>
          <w:tcPr>
            <w:tcW w:w="794" w:type="dxa"/>
            <w:tcBorders>
              <w:top w:val="dotted" w:sz="6"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861</w:t>
            </w:r>
          </w:p>
        </w:tc>
        <w:tc>
          <w:tcPr>
            <w:tcW w:w="794" w:type="dxa"/>
            <w:tcBorders>
              <w:top w:val="dotted" w:sz="6"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637</w:t>
            </w:r>
          </w:p>
        </w:tc>
      </w:tr>
      <w:tr w:rsidR="008D02A0" w:rsidRPr="00D767A0" w:rsidTr="000553AA">
        <w:trPr>
          <w:trHeight w:val="225"/>
        </w:trPr>
        <w:tc>
          <w:tcPr>
            <w:tcW w:w="4252" w:type="dxa"/>
            <w:shd w:val="clear" w:color="auto" w:fill="auto"/>
            <w:noWrap/>
            <w:vAlign w:val="center"/>
          </w:tcPr>
          <w:p w:rsidR="008D02A0" w:rsidRPr="008D02A0" w:rsidRDefault="008D02A0" w:rsidP="00554167">
            <w:pPr>
              <w:spacing w:before="0" w:after="0"/>
              <w:ind w:left="227"/>
              <w:rPr>
                <w:rFonts w:cs="Arial"/>
                <w:i/>
                <w:iCs/>
                <w:color w:val="808080"/>
                <w:sz w:val="16"/>
                <w:szCs w:val="16"/>
              </w:rPr>
            </w:pPr>
            <w:r w:rsidRPr="008D02A0">
              <w:rPr>
                <w:rFonts w:cs="Arial"/>
                <w:i/>
                <w:iCs/>
                <w:color w:val="808080"/>
                <w:sz w:val="16"/>
                <w:szCs w:val="16"/>
              </w:rPr>
              <w:t>Accounting change</w:t>
            </w: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r>
      <w:tr w:rsidR="008D02A0" w:rsidRPr="00D767A0" w:rsidTr="000553AA">
        <w:trPr>
          <w:trHeight w:val="225"/>
        </w:trPr>
        <w:tc>
          <w:tcPr>
            <w:tcW w:w="4252" w:type="dxa"/>
            <w:shd w:val="clear" w:color="auto" w:fill="auto"/>
            <w:noWrap/>
            <w:vAlign w:val="center"/>
          </w:tcPr>
          <w:p w:rsidR="008D02A0" w:rsidRPr="008D02A0" w:rsidRDefault="008D02A0" w:rsidP="00554167">
            <w:pPr>
              <w:spacing w:before="0" w:after="0"/>
              <w:ind w:left="340"/>
              <w:rPr>
                <w:rFonts w:cs="Arial"/>
                <w:i/>
                <w:iCs/>
                <w:color w:val="808080"/>
                <w:sz w:val="16"/>
                <w:szCs w:val="16"/>
              </w:rPr>
            </w:pPr>
            <w:r w:rsidRPr="008D02A0">
              <w:rPr>
                <w:rFonts w:cs="Arial"/>
                <w:i/>
                <w:iCs/>
                <w:color w:val="808080"/>
                <w:sz w:val="16"/>
                <w:szCs w:val="16"/>
              </w:rPr>
              <w:t>FBT inclusion</w:t>
            </w:r>
          </w:p>
        </w:tc>
        <w:tc>
          <w:tcPr>
            <w:tcW w:w="794" w:type="dxa"/>
            <w:shd w:val="clear" w:color="auto" w:fill="auto"/>
            <w:noWrap/>
            <w:vAlign w:val="center"/>
          </w:tcPr>
          <w:p w:rsidR="008D02A0" w:rsidRPr="008D02A0" w:rsidRDefault="008D02A0" w:rsidP="00554167">
            <w:pPr>
              <w:spacing w:before="0" w:after="0"/>
              <w:jc w:val="right"/>
              <w:rPr>
                <w:rFonts w:cs="Arial"/>
                <w:i/>
                <w:iCs/>
                <w:color w:val="808080"/>
                <w:sz w:val="16"/>
                <w:szCs w:val="16"/>
              </w:rPr>
            </w:pPr>
            <w:r w:rsidRPr="008D02A0">
              <w:rPr>
                <w:rFonts w:cs="Arial"/>
                <w:i/>
                <w:iCs/>
                <w:color w:val="808080"/>
                <w:sz w:val="16"/>
                <w:szCs w:val="16"/>
              </w:rPr>
              <w:t>0</w:t>
            </w:r>
          </w:p>
        </w:tc>
        <w:tc>
          <w:tcPr>
            <w:tcW w:w="794" w:type="dxa"/>
            <w:shd w:val="clear" w:color="auto" w:fill="auto"/>
            <w:noWrap/>
            <w:vAlign w:val="center"/>
          </w:tcPr>
          <w:p w:rsidR="008D02A0" w:rsidRPr="008D02A0" w:rsidRDefault="008D02A0" w:rsidP="00554167">
            <w:pPr>
              <w:spacing w:before="0" w:after="0"/>
              <w:jc w:val="right"/>
              <w:rPr>
                <w:rFonts w:cs="Arial"/>
                <w:i/>
                <w:iCs/>
                <w:color w:val="808080"/>
                <w:sz w:val="16"/>
                <w:szCs w:val="16"/>
              </w:rPr>
            </w:pPr>
            <w:r w:rsidRPr="008D02A0">
              <w:rPr>
                <w:rFonts w:cs="Arial"/>
                <w:i/>
                <w:iCs/>
                <w:color w:val="808080"/>
                <w:sz w:val="16"/>
                <w:szCs w:val="16"/>
              </w:rPr>
              <w:t>0</w:t>
            </w:r>
          </w:p>
        </w:tc>
        <w:tc>
          <w:tcPr>
            <w:tcW w:w="794" w:type="dxa"/>
            <w:shd w:val="clear" w:color="auto" w:fill="auto"/>
            <w:noWrap/>
            <w:vAlign w:val="center"/>
          </w:tcPr>
          <w:p w:rsidR="008D02A0" w:rsidRPr="008D02A0" w:rsidRDefault="008D02A0" w:rsidP="00554167">
            <w:pPr>
              <w:spacing w:before="0" w:after="0"/>
              <w:jc w:val="right"/>
              <w:rPr>
                <w:rFonts w:cs="Arial"/>
                <w:i/>
                <w:iCs/>
                <w:color w:val="808080"/>
                <w:sz w:val="16"/>
                <w:szCs w:val="16"/>
              </w:rPr>
            </w:pPr>
            <w:r w:rsidRPr="008D02A0">
              <w:rPr>
                <w:rFonts w:cs="Arial"/>
                <w:i/>
                <w:iCs/>
                <w:color w:val="808080"/>
                <w:sz w:val="16"/>
                <w:szCs w:val="16"/>
              </w:rPr>
              <w:t>2</w:t>
            </w: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r>
      <w:tr w:rsidR="008D02A0" w:rsidRPr="00D767A0" w:rsidTr="004744C5">
        <w:trPr>
          <w:trHeight w:val="225"/>
        </w:trPr>
        <w:tc>
          <w:tcPr>
            <w:tcW w:w="4252" w:type="dxa"/>
            <w:shd w:val="clear" w:color="auto" w:fill="auto"/>
            <w:noWrap/>
            <w:vAlign w:val="center"/>
          </w:tcPr>
          <w:p w:rsidR="008D02A0" w:rsidRPr="008D02A0" w:rsidRDefault="008D02A0" w:rsidP="00554167">
            <w:pPr>
              <w:spacing w:before="0" w:after="0"/>
              <w:ind w:left="340"/>
              <w:rPr>
                <w:rFonts w:cs="Arial"/>
                <w:i/>
                <w:iCs/>
                <w:color w:val="808080"/>
                <w:sz w:val="16"/>
                <w:szCs w:val="16"/>
              </w:rPr>
            </w:pPr>
            <w:r w:rsidRPr="008D02A0">
              <w:rPr>
                <w:rFonts w:cs="Arial"/>
                <w:i/>
                <w:iCs/>
                <w:color w:val="808080"/>
                <w:sz w:val="16"/>
                <w:szCs w:val="16"/>
              </w:rPr>
              <w:t>Telstra USO inclusion</w:t>
            </w:r>
          </w:p>
        </w:tc>
        <w:tc>
          <w:tcPr>
            <w:tcW w:w="794" w:type="dxa"/>
            <w:shd w:val="clear" w:color="auto" w:fill="auto"/>
            <w:noWrap/>
            <w:vAlign w:val="center"/>
          </w:tcPr>
          <w:p w:rsidR="008D02A0" w:rsidRPr="008D02A0" w:rsidRDefault="008D02A0" w:rsidP="00554167">
            <w:pPr>
              <w:spacing w:before="0" w:after="0"/>
              <w:jc w:val="right"/>
              <w:rPr>
                <w:rFonts w:cs="Arial"/>
                <w:i/>
                <w:iCs/>
                <w:color w:val="808080"/>
                <w:sz w:val="16"/>
                <w:szCs w:val="16"/>
              </w:rPr>
            </w:pPr>
            <w:r w:rsidRPr="008D02A0">
              <w:rPr>
                <w:rFonts w:cs="Arial"/>
                <w:i/>
                <w:iCs/>
                <w:color w:val="808080"/>
                <w:sz w:val="16"/>
                <w:szCs w:val="16"/>
              </w:rPr>
              <w:t>166</w:t>
            </w:r>
          </w:p>
        </w:tc>
        <w:tc>
          <w:tcPr>
            <w:tcW w:w="794" w:type="dxa"/>
            <w:shd w:val="clear" w:color="auto" w:fill="auto"/>
            <w:noWrap/>
            <w:vAlign w:val="center"/>
          </w:tcPr>
          <w:p w:rsidR="008D02A0" w:rsidRPr="008D02A0" w:rsidRDefault="008D02A0" w:rsidP="00554167">
            <w:pPr>
              <w:spacing w:before="0" w:after="0"/>
              <w:jc w:val="right"/>
              <w:rPr>
                <w:rFonts w:cs="Arial"/>
                <w:i/>
                <w:iCs/>
                <w:color w:val="808080"/>
                <w:sz w:val="16"/>
                <w:szCs w:val="16"/>
              </w:rPr>
            </w:pPr>
            <w:r w:rsidRPr="008D02A0">
              <w:rPr>
                <w:rFonts w:cs="Arial"/>
                <w:i/>
                <w:iCs/>
                <w:color w:val="808080"/>
                <w:sz w:val="16"/>
                <w:szCs w:val="16"/>
              </w:rPr>
              <w:t> </w:t>
            </w:r>
          </w:p>
        </w:tc>
        <w:tc>
          <w:tcPr>
            <w:tcW w:w="794" w:type="dxa"/>
            <w:shd w:val="clear" w:color="auto" w:fill="auto"/>
            <w:noWrap/>
            <w:vAlign w:val="center"/>
          </w:tcPr>
          <w:p w:rsidR="008D02A0" w:rsidRPr="008D02A0" w:rsidRDefault="008D02A0" w:rsidP="00554167">
            <w:pPr>
              <w:spacing w:before="0" w:after="0"/>
              <w:jc w:val="right"/>
              <w:rPr>
                <w:rFonts w:cs="Arial"/>
                <w:i/>
                <w:iCs/>
                <w:color w:val="808080"/>
                <w:sz w:val="16"/>
                <w:szCs w:val="16"/>
              </w:rPr>
            </w:pPr>
            <w:r w:rsidRPr="008D02A0">
              <w:rPr>
                <w:rFonts w:cs="Arial"/>
                <w:i/>
                <w:iCs/>
                <w:color w:val="808080"/>
                <w:sz w:val="16"/>
                <w:szCs w:val="16"/>
              </w:rPr>
              <w:t> </w:t>
            </w: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r>
      <w:tr w:rsidR="008D02A0" w:rsidRPr="00D767A0" w:rsidTr="004744C5">
        <w:trPr>
          <w:trHeight w:val="225"/>
        </w:trPr>
        <w:tc>
          <w:tcPr>
            <w:tcW w:w="4252" w:type="dxa"/>
            <w:tcBorders>
              <w:bottom w:val="dotted" w:sz="8" w:space="0" w:color="auto"/>
            </w:tcBorders>
            <w:shd w:val="clear" w:color="auto" w:fill="auto"/>
            <w:noWrap/>
            <w:vAlign w:val="center"/>
          </w:tcPr>
          <w:p w:rsidR="008D02A0" w:rsidRPr="008D02A0" w:rsidRDefault="008D02A0" w:rsidP="00554167">
            <w:pPr>
              <w:spacing w:before="0" w:after="0"/>
              <w:ind w:left="113"/>
              <w:rPr>
                <w:rFonts w:cs="Arial"/>
                <w:color w:val="000000"/>
                <w:sz w:val="16"/>
                <w:szCs w:val="16"/>
              </w:rPr>
            </w:pPr>
            <w:r w:rsidRPr="008D02A0">
              <w:rPr>
                <w:rFonts w:cs="Arial"/>
                <w:color w:val="000000"/>
                <w:sz w:val="16"/>
                <w:szCs w:val="16"/>
              </w:rPr>
              <w:t>Communication - total</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595</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529</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510</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636</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546</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534</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509</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478</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428</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861</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637</w:t>
            </w:r>
          </w:p>
        </w:tc>
      </w:tr>
      <w:tr w:rsidR="008D02A0" w:rsidRPr="00D767A0" w:rsidTr="004744C5">
        <w:trPr>
          <w:trHeight w:val="225"/>
        </w:trPr>
        <w:tc>
          <w:tcPr>
            <w:tcW w:w="4252"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ind w:left="113"/>
              <w:rPr>
                <w:rFonts w:cs="Arial"/>
                <w:color w:val="000000"/>
                <w:sz w:val="16"/>
                <w:szCs w:val="16"/>
              </w:rPr>
            </w:pPr>
            <w:r w:rsidRPr="008D02A0">
              <w:rPr>
                <w:rFonts w:cs="Arial"/>
                <w:color w:val="000000"/>
                <w:sz w:val="16"/>
                <w:szCs w:val="16"/>
              </w:rPr>
              <w:t>Rail transport</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17</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450</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174</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305</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51</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186</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254</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587</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539</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1045</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1025</w:t>
            </w:r>
          </w:p>
        </w:tc>
      </w:tr>
      <w:tr w:rsidR="008D02A0" w:rsidRPr="00D767A0" w:rsidTr="004744C5">
        <w:trPr>
          <w:trHeight w:val="225"/>
        </w:trPr>
        <w:tc>
          <w:tcPr>
            <w:tcW w:w="4252" w:type="dxa"/>
            <w:tcBorders>
              <w:top w:val="dotted" w:sz="8" w:space="0" w:color="auto"/>
            </w:tcBorders>
            <w:shd w:val="clear" w:color="auto" w:fill="auto"/>
            <w:noWrap/>
            <w:vAlign w:val="center"/>
          </w:tcPr>
          <w:p w:rsidR="008D02A0" w:rsidRPr="008D02A0" w:rsidRDefault="008D02A0" w:rsidP="00554167">
            <w:pPr>
              <w:spacing w:before="0" w:after="0"/>
              <w:ind w:left="113"/>
              <w:rPr>
                <w:rFonts w:cs="Arial"/>
                <w:color w:val="000000"/>
                <w:sz w:val="16"/>
                <w:szCs w:val="16"/>
              </w:rPr>
            </w:pPr>
            <w:r w:rsidRPr="008D02A0">
              <w:rPr>
                <w:rFonts w:cs="Arial"/>
                <w:color w:val="000000"/>
                <w:sz w:val="16"/>
                <w:szCs w:val="16"/>
              </w:rPr>
              <w:t>Air transport - as published</w:t>
            </w:r>
          </w:p>
        </w:tc>
        <w:tc>
          <w:tcPr>
            <w:tcW w:w="794" w:type="dxa"/>
            <w:tcBorders>
              <w:top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153</w:t>
            </w:r>
          </w:p>
        </w:tc>
        <w:tc>
          <w:tcPr>
            <w:tcW w:w="794" w:type="dxa"/>
            <w:tcBorders>
              <w:top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176</w:t>
            </w:r>
          </w:p>
        </w:tc>
        <w:tc>
          <w:tcPr>
            <w:tcW w:w="794" w:type="dxa"/>
            <w:tcBorders>
              <w:top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139</w:t>
            </w:r>
          </w:p>
        </w:tc>
        <w:tc>
          <w:tcPr>
            <w:tcW w:w="794" w:type="dxa"/>
            <w:tcBorders>
              <w:top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155</w:t>
            </w:r>
          </w:p>
        </w:tc>
        <w:tc>
          <w:tcPr>
            <w:tcW w:w="794" w:type="dxa"/>
            <w:tcBorders>
              <w:top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143</w:t>
            </w:r>
          </w:p>
        </w:tc>
        <w:tc>
          <w:tcPr>
            <w:tcW w:w="794" w:type="dxa"/>
            <w:tcBorders>
              <w:top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141</w:t>
            </w:r>
          </w:p>
        </w:tc>
        <w:tc>
          <w:tcPr>
            <w:tcW w:w="794" w:type="dxa"/>
            <w:tcBorders>
              <w:top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167</w:t>
            </w:r>
          </w:p>
        </w:tc>
        <w:tc>
          <w:tcPr>
            <w:tcW w:w="794" w:type="dxa"/>
            <w:tcBorders>
              <w:top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155</w:t>
            </w:r>
          </w:p>
        </w:tc>
        <w:tc>
          <w:tcPr>
            <w:tcW w:w="794" w:type="dxa"/>
            <w:tcBorders>
              <w:top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196</w:t>
            </w:r>
          </w:p>
        </w:tc>
        <w:tc>
          <w:tcPr>
            <w:tcW w:w="794" w:type="dxa"/>
            <w:tcBorders>
              <w:top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228</w:t>
            </w:r>
          </w:p>
        </w:tc>
        <w:tc>
          <w:tcPr>
            <w:tcW w:w="794" w:type="dxa"/>
            <w:tcBorders>
              <w:top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213</w:t>
            </w:r>
          </w:p>
        </w:tc>
      </w:tr>
      <w:tr w:rsidR="008D02A0" w:rsidRPr="00D767A0" w:rsidTr="004744C5">
        <w:trPr>
          <w:trHeight w:val="225"/>
        </w:trPr>
        <w:tc>
          <w:tcPr>
            <w:tcW w:w="4252" w:type="dxa"/>
            <w:shd w:val="clear" w:color="auto" w:fill="auto"/>
            <w:noWrap/>
            <w:vAlign w:val="center"/>
          </w:tcPr>
          <w:p w:rsidR="008D02A0" w:rsidRPr="008D02A0" w:rsidRDefault="008D02A0" w:rsidP="00554167">
            <w:pPr>
              <w:spacing w:before="0" w:after="0"/>
              <w:ind w:left="227"/>
              <w:rPr>
                <w:rFonts w:cs="Arial"/>
                <w:i/>
                <w:iCs/>
                <w:color w:val="808080"/>
                <w:sz w:val="16"/>
                <w:szCs w:val="16"/>
              </w:rPr>
            </w:pPr>
            <w:r w:rsidRPr="008D02A0">
              <w:rPr>
                <w:rFonts w:cs="Arial"/>
                <w:i/>
                <w:iCs/>
                <w:color w:val="808080"/>
                <w:sz w:val="16"/>
                <w:szCs w:val="16"/>
              </w:rPr>
              <w:t>Accounting change - FBT inclusion</w:t>
            </w:r>
          </w:p>
        </w:tc>
        <w:tc>
          <w:tcPr>
            <w:tcW w:w="794" w:type="dxa"/>
            <w:shd w:val="clear" w:color="auto" w:fill="auto"/>
            <w:noWrap/>
            <w:vAlign w:val="center"/>
          </w:tcPr>
          <w:p w:rsidR="008D02A0" w:rsidRPr="008D02A0" w:rsidRDefault="008D02A0" w:rsidP="00554167">
            <w:pPr>
              <w:spacing w:before="0" w:after="0"/>
              <w:jc w:val="right"/>
              <w:rPr>
                <w:rFonts w:cs="Arial"/>
                <w:i/>
                <w:iCs/>
                <w:color w:val="808080"/>
                <w:sz w:val="16"/>
                <w:szCs w:val="16"/>
              </w:rPr>
            </w:pPr>
            <w:r w:rsidRPr="008D02A0">
              <w:rPr>
                <w:rFonts w:cs="Arial"/>
                <w:i/>
                <w:iCs/>
                <w:color w:val="808080"/>
                <w:sz w:val="16"/>
                <w:szCs w:val="16"/>
              </w:rPr>
              <w:t>1</w:t>
            </w:r>
          </w:p>
        </w:tc>
        <w:tc>
          <w:tcPr>
            <w:tcW w:w="794" w:type="dxa"/>
            <w:shd w:val="clear" w:color="auto" w:fill="auto"/>
            <w:noWrap/>
            <w:vAlign w:val="center"/>
          </w:tcPr>
          <w:p w:rsidR="008D02A0" w:rsidRPr="008D02A0" w:rsidRDefault="008D02A0" w:rsidP="00554167">
            <w:pPr>
              <w:spacing w:before="0" w:after="0"/>
              <w:jc w:val="right"/>
              <w:rPr>
                <w:rFonts w:cs="Arial"/>
                <w:i/>
                <w:iCs/>
                <w:color w:val="808080"/>
                <w:sz w:val="16"/>
                <w:szCs w:val="16"/>
              </w:rPr>
            </w:pPr>
            <w:r w:rsidRPr="008D02A0">
              <w:rPr>
                <w:rFonts w:cs="Arial"/>
                <w:i/>
                <w:iCs/>
                <w:color w:val="808080"/>
                <w:sz w:val="16"/>
                <w:szCs w:val="16"/>
              </w:rPr>
              <w:t>0</w:t>
            </w:r>
          </w:p>
        </w:tc>
        <w:tc>
          <w:tcPr>
            <w:tcW w:w="794" w:type="dxa"/>
            <w:shd w:val="clear" w:color="auto" w:fill="auto"/>
            <w:noWrap/>
            <w:vAlign w:val="center"/>
          </w:tcPr>
          <w:p w:rsidR="008D02A0" w:rsidRPr="008D02A0" w:rsidRDefault="008D02A0" w:rsidP="00554167">
            <w:pPr>
              <w:spacing w:before="0" w:after="0"/>
              <w:jc w:val="right"/>
              <w:rPr>
                <w:rFonts w:cs="Arial"/>
                <w:i/>
                <w:iCs/>
                <w:color w:val="808080"/>
                <w:sz w:val="16"/>
                <w:szCs w:val="16"/>
              </w:rPr>
            </w:pPr>
            <w:r w:rsidRPr="008D02A0">
              <w:rPr>
                <w:rFonts w:cs="Arial"/>
                <w:i/>
                <w:iCs/>
                <w:color w:val="808080"/>
                <w:sz w:val="16"/>
                <w:szCs w:val="16"/>
              </w:rPr>
              <w:t>2</w:t>
            </w: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c>
          <w:tcPr>
            <w:tcW w:w="794" w:type="dxa"/>
            <w:shd w:val="clear" w:color="auto" w:fill="auto"/>
            <w:noWrap/>
            <w:vAlign w:val="center"/>
          </w:tcPr>
          <w:p w:rsidR="008D02A0" w:rsidRPr="008D02A0" w:rsidRDefault="008D02A0" w:rsidP="00554167">
            <w:pPr>
              <w:spacing w:before="0" w:after="0"/>
              <w:jc w:val="right"/>
              <w:rPr>
                <w:rFonts w:cs="Arial"/>
                <w:color w:val="000000"/>
                <w:sz w:val="16"/>
                <w:szCs w:val="16"/>
              </w:rPr>
            </w:pPr>
          </w:p>
        </w:tc>
      </w:tr>
      <w:tr w:rsidR="008D02A0" w:rsidRPr="00D767A0" w:rsidTr="004744C5">
        <w:trPr>
          <w:trHeight w:val="225"/>
        </w:trPr>
        <w:tc>
          <w:tcPr>
            <w:tcW w:w="4252" w:type="dxa"/>
            <w:tcBorders>
              <w:bottom w:val="dotted" w:sz="8" w:space="0" w:color="auto"/>
            </w:tcBorders>
            <w:shd w:val="clear" w:color="auto" w:fill="auto"/>
            <w:noWrap/>
            <w:vAlign w:val="center"/>
          </w:tcPr>
          <w:p w:rsidR="008D02A0" w:rsidRPr="008D02A0" w:rsidRDefault="008D02A0" w:rsidP="00554167">
            <w:pPr>
              <w:spacing w:before="0" w:after="0"/>
              <w:ind w:left="113"/>
              <w:rPr>
                <w:rFonts w:cs="Arial"/>
                <w:color w:val="000000"/>
                <w:sz w:val="16"/>
                <w:szCs w:val="16"/>
              </w:rPr>
            </w:pPr>
            <w:r w:rsidRPr="008D02A0">
              <w:rPr>
                <w:rFonts w:cs="Arial"/>
                <w:color w:val="000000"/>
                <w:sz w:val="16"/>
                <w:szCs w:val="16"/>
              </w:rPr>
              <w:t>Air transport - total</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154</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176</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141</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155</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143</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141</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167</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155</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196</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228</w:t>
            </w:r>
          </w:p>
        </w:tc>
        <w:tc>
          <w:tcPr>
            <w:tcW w:w="794" w:type="dxa"/>
            <w:tcBorders>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213</w:t>
            </w:r>
          </w:p>
        </w:tc>
      </w:tr>
      <w:tr w:rsidR="008D02A0" w:rsidRPr="00D767A0" w:rsidTr="004744C5">
        <w:trPr>
          <w:trHeight w:val="225"/>
        </w:trPr>
        <w:tc>
          <w:tcPr>
            <w:tcW w:w="4252"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ind w:left="113"/>
              <w:rPr>
                <w:rFonts w:cs="Arial"/>
                <w:color w:val="000000"/>
                <w:sz w:val="16"/>
                <w:szCs w:val="16"/>
              </w:rPr>
            </w:pPr>
            <w:r w:rsidRPr="008D02A0">
              <w:rPr>
                <w:rFonts w:cs="Arial"/>
                <w:color w:val="000000"/>
                <w:sz w:val="16"/>
                <w:szCs w:val="16"/>
              </w:rPr>
              <w:t>Road transport</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1271</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1356</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1629</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1616</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2173</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2853</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5490</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4939</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2980</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6341</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2521</w:t>
            </w:r>
          </w:p>
        </w:tc>
      </w:tr>
      <w:tr w:rsidR="008D02A0" w:rsidRPr="00D767A0" w:rsidTr="004744C5">
        <w:trPr>
          <w:trHeight w:val="225"/>
        </w:trPr>
        <w:tc>
          <w:tcPr>
            <w:tcW w:w="4252"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ind w:left="113"/>
              <w:rPr>
                <w:rFonts w:cs="Arial"/>
                <w:color w:val="000000"/>
                <w:sz w:val="16"/>
                <w:szCs w:val="16"/>
              </w:rPr>
            </w:pPr>
            <w:r w:rsidRPr="008D02A0">
              <w:rPr>
                <w:rFonts w:cs="Arial"/>
                <w:color w:val="000000"/>
                <w:sz w:val="16"/>
                <w:szCs w:val="16"/>
              </w:rPr>
              <w:t>Sea transport</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203</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204</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194</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198</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226</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239</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289</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276</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282</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290</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310</w:t>
            </w:r>
          </w:p>
        </w:tc>
      </w:tr>
      <w:tr w:rsidR="008D02A0" w:rsidRPr="00D767A0" w:rsidTr="004744C5">
        <w:trPr>
          <w:trHeight w:val="225"/>
        </w:trPr>
        <w:tc>
          <w:tcPr>
            <w:tcW w:w="4252"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ind w:left="113"/>
              <w:rPr>
                <w:rFonts w:cs="Arial"/>
                <w:color w:val="000000"/>
                <w:sz w:val="16"/>
                <w:szCs w:val="16"/>
              </w:rPr>
            </w:pPr>
            <w:r w:rsidRPr="008D02A0">
              <w:rPr>
                <w:rFonts w:cs="Arial"/>
                <w:color w:val="000000"/>
                <w:sz w:val="16"/>
                <w:szCs w:val="16"/>
              </w:rPr>
              <w:t>Other transport and communication</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100</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101</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124</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165</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157</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177</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232</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207</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239</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364</w:t>
            </w:r>
          </w:p>
        </w:tc>
        <w:tc>
          <w:tcPr>
            <w:tcW w:w="794" w:type="dxa"/>
            <w:tcBorders>
              <w:top w:val="dotted" w:sz="8" w:space="0" w:color="auto"/>
              <w:bottom w:val="dotted" w:sz="8" w:space="0" w:color="auto"/>
            </w:tcBorders>
            <w:shd w:val="clear" w:color="auto" w:fill="auto"/>
            <w:noWrap/>
            <w:vAlign w:val="center"/>
          </w:tcPr>
          <w:p w:rsidR="008D02A0" w:rsidRPr="008D02A0" w:rsidRDefault="008D02A0" w:rsidP="00554167">
            <w:pPr>
              <w:spacing w:before="0" w:after="0"/>
              <w:jc w:val="right"/>
              <w:rPr>
                <w:rFonts w:cs="Arial"/>
                <w:color w:val="000000"/>
                <w:sz w:val="16"/>
                <w:szCs w:val="16"/>
              </w:rPr>
            </w:pPr>
            <w:r w:rsidRPr="008D02A0">
              <w:rPr>
                <w:rFonts w:cs="Arial"/>
                <w:color w:val="000000"/>
                <w:sz w:val="16"/>
                <w:szCs w:val="16"/>
              </w:rPr>
              <w:t>316</w:t>
            </w:r>
          </w:p>
        </w:tc>
      </w:tr>
      <w:tr w:rsidR="008D02A0" w:rsidRPr="009049F0" w:rsidTr="004744C5">
        <w:trPr>
          <w:trHeight w:val="225"/>
        </w:trPr>
        <w:tc>
          <w:tcPr>
            <w:tcW w:w="4252" w:type="dxa"/>
            <w:tcBorders>
              <w:top w:val="dotted" w:sz="8" w:space="0" w:color="auto"/>
              <w:bottom w:val="single" w:sz="8" w:space="0" w:color="2B3B5F"/>
            </w:tcBorders>
            <w:shd w:val="clear" w:color="auto" w:fill="auto"/>
            <w:noWrap/>
            <w:vAlign w:val="center"/>
          </w:tcPr>
          <w:p w:rsidR="008D02A0" w:rsidRPr="009049F0" w:rsidRDefault="008D02A0" w:rsidP="008D02A0">
            <w:pPr>
              <w:spacing w:before="0" w:after="0"/>
              <w:rPr>
                <w:rFonts w:cs="Arial"/>
                <w:b/>
                <w:bCs/>
                <w:color w:val="000000"/>
                <w:sz w:val="16"/>
                <w:szCs w:val="16"/>
              </w:rPr>
            </w:pPr>
            <w:r w:rsidRPr="009049F0">
              <w:rPr>
                <w:rFonts w:cs="Arial"/>
                <w:b/>
                <w:bCs/>
                <w:color w:val="000000"/>
                <w:sz w:val="16"/>
                <w:szCs w:val="16"/>
              </w:rPr>
              <w:t>Transport and communication - total</w:t>
            </w:r>
          </w:p>
        </w:tc>
        <w:tc>
          <w:tcPr>
            <w:tcW w:w="794" w:type="dxa"/>
            <w:tcBorders>
              <w:top w:val="dotted" w:sz="8" w:space="0" w:color="auto"/>
              <w:bottom w:val="single" w:sz="8" w:space="0" w:color="2B3B5F"/>
            </w:tcBorders>
            <w:shd w:val="clear" w:color="auto" w:fill="auto"/>
            <w:noWrap/>
            <w:vAlign w:val="center"/>
          </w:tcPr>
          <w:p w:rsidR="008D02A0" w:rsidRPr="009049F0" w:rsidRDefault="008D02A0" w:rsidP="00554167">
            <w:pPr>
              <w:spacing w:before="0" w:after="0"/>
              <w:jc w:val="right"/>
              <w:rPr>
                <w:rFonts w:cs="Arial"/>
                <w:b/>
                <w:color w:val="000000"/>
                <w:sz w:val="16"/>
                <w:szCs w:val="16"/>
              </w:rPr>
            </w:pPr>
            <w:r w:rsidRPr="009049F0">
              <w:rPr>
                <w:rFonts w:cs="Arial"/>
                <w:b/>
                <w:color w:val="000000"/>
                <w:sz w:val="16"/>
                <w:szCs w:val="16"/>
              </w:rPr>
              <w:t>2340</w:t>
            </w:r>
          </w:p>
        </w:tc>
        <w:tc>
          <w:tcPr>
            <w:tcW w:w="794" w:type="dxa"/>
            <w:tcBorders>
              <w:top w:val="dotted" w:sz="8" w:space="0" w:color="auto"/>
              <w:bottom w:val="single" w:sz="8" w:space="0" w:color="2B3B5F"/>
            </w:tcBorders>
            <w:shd w:val="clear" w:color="auto" w:fill="auto"/>
            <w:noWrap/>
            <w:vAlign w:val="center"/>
          </w:tcPr>
          <w:p w:rsidR="008D02A0" w:rsidRPr="009049F0" w:rsidRDefault="008D02A0" w:rsidP="00554167">
            <w:pPr>
              <w:spacing w:before="0" w:after="0"/>
              <w:jc w:val="right"/>
              <w:rPr>
                <w:rFonts w:cs="Arial"/>
                <w:b/>
                <w:color w:val="000000"/>
                <w:sz w:val="16"/>
                <w:szCs w:val="16"/>
              </w:rPr>
            </w:pPr>
            <w:r w:rsidRPr="009049F0">
              <w:rPr>
                <w:rFonts w:cs="Arial"/>
                <w:b/>
                <w:color w:val="000000"/>
                <w:sz w:val="16"/>
                <w:szCs w:val="16"/>
              </w:rPr>
              <w:t>2817</w:t>
            </w:r>
          </w:p>
        </w:tc>
        <w:tc>
          <w:tcPr>
            <w:tcW w:w="794" w:type="dxa"/>
            <w:tcBorders>
              <w:top w:val="dotted" w:sz="8" w:space="0" w:color="auto"/>
              <w:bottom w:val="single" w:sz="8" w:space="0" w:color="2B3B5F"/>
            </w:tcBorders>
            <w:shd w:val="clear" w:color="auto" w:fill="auto"/>
            <w:noWrap/>
            <w:vAlign w:val="center"/>
          </w:tcPr>
          <w:p w:rsidR="008D02A0" w:rsidRPr="009049F0" w:rsidRDefault="008D02A0" w:rsidP="00554167">
            <w:pPr>
              <w:spacing w:before="0" w:after="0"/>
              <w:jc w:val="right"/>
              <w:rPr>
                <w:rFonts w:cs="Arial"/>
                <w:b/>
                <w:color w:val="000000"/>
                <w:sz w:val="16"/>
                <w:szCs w:val="16"/>
              </w:rPr>
            </w:pPr>
            <w:r w:rsidRPr="009049F0">
              <w:rPr>
                <w:rFonts w:cs="Arial"/>
                <w:b/>
                <w:color w:val="000000"/>
                <w:sz w:val="16"/>
                <w:szCs w:val="16"/>
              </w:rPr>
              <w:t>2772</w:t>
            </w:r>
          </w:p>
        </w:tc>
        <w:tc>
          <w:tcPr>
            <w:tcW w:w="794" w:type="dxa"/>
            <w:tcBorders>
              <w:top w:val="dotted" w:sz="8" w:space="0" w:color="auto"/>
              <w:bottom w:val="single" w:sz="8" w:space="0" w:color="2B3B5F"/>
            </w:tcBorders>
            <w:shd w:val="clear" w:color="auto" w:fill="auto"/>
            <w:noWrap/>
            <w:vAlign w:val="center"/>
          </w:tcPr>
          <w:p w:rsidR="008D02A0" w:rsidRPr="009049F0" w:rsidRDefault="008D02A0" w:rsidP="00554167">
            <w:pPr>
              <w:spacing w:before="0" w:after="0"/>
              <w:jc w:val="right"/>
              <w:rPr>
                <w:rFonts w:cs="Arial"/>
                <w:b/>
                <w:color w:val="000000"/>
                <w:sz w:val="16"/>
                <w:szCs w:val="16"/>
              </w:rPr>
            </w:pPr>
            <w:r w:rsidRPr="009049F0">
              <w:rPr>
                <w:rFonts w:cs="Arial"/>
                <w:b/>
                <w:color w:val="000000"/>
                <w:sz w:val="16"/>
                <w:szCs w:val="16"/>
              </w:rPr>
              <w:t>3075</w:t>
            </w:r>
          </w:p>
        </w:tc>
        <w:tc>
          <w:tcPr>
            <w:tcW w:w="794" w:type="dxa"/>
            <w:tcBorders>
              <w:top w:val="dotted" w:sz="8" w:space="0" w:color="auto"/>
              <w:bottom w:val="single" w:sz="8" w:space="0" w:color="2B3B5F"/>
            </w:tcBorders>
            <w:shd w:val="clear" w:color="auto" w:fill="auto"/>
            <w:noWrap/>
            <w:vAlign w:val="center"/>
          </w:tcPr>
          <w:p w:rsidR="008D02A0" w:rsidRPr="009049F0" w:rsidRDefault="008D02A0" w:rsidP="00554167">
            <w:pPr>
              <w:spacing w:before="0" w:after="0"/>
              <w:jc w:val="right"/>
              <w:rPr>
                <w:rFonts w:cs="Arial"/>
                <w:b/>
                <w:color w:val="000000"/>
                <w:sz w:val="16"/>
                <w:szCs w:val="16"/>
              </w:rPr>
            </w:pPr>
            <w:r w:rsidRPr="009049F0">
              <w:rPr>
                <w:rFonts w:cs="Arial"/>
                <w:b/>
                <w:color w:val="000000"/>
                <w:sz w:val="16"/>
                <w:szCs w:val="16"/>
              </w:rPr>
              <w:t>3296</w:t>
            </w:r>
          </w:p>
        </w:tc>
        <w:tc>
          <w:tcPr>
            <w:tcW w:w="794" w:type="dxa"/>
            <w:tcBorders>
              <w:top w:val="dotted" w:sz="8" w:space="0" w:color="auto"/>
              <w:bottom w:val="single" w:sz="8" w:space="0" w:color="2B3B5F"/>
            </w:tcBorders>
            <w:shd w:val="clear" w:color="auto" w:fill="auto"/>
            <w:noWrap/>
            <w:vAlign w:val="center"/>
          </w:tcPr>
          <w:p w:rsidR="008D02A0" w:rsidRPr="009049F0" w:rsidRDefault="008B66F9" w:rsidP="00554167">
            <w:pPr>
              <w:spacing w:before="0" w:after="0"/>
              <w:jc w:val="right"/>
              <w:rPr>
                <w:rFonts w:cs="Arial"/>
                <w:b/>
                <w:color w:val="000000"/>
                <w:sz w:val="16"/>
                <w:szCs w:val="16"/>
              </w:rPr>
            </w:pPr>
            <w:r>
              <w:rPr>
                <w:rFonts w:cs="Arial"/>
                <w:b/>
                <w:color w:val="000000"/>
                <w:sz w:val="16"/>
                <w:szCs w:val="16"/>
              </w:rPr>
              <w:t>4129</w:t>
            </w:r>
          </w:p>
        </w:tc>
        <w:tc>
          <w:tcPr>
            <w:tcW w:w="794" w:type="dxa"/>
            <w:tcBorders>
              <w:top w:val="dotted" w:sz="8" w:space="0" w:color="auto"/>
              <w:bottom w:val="single" w:sz="8" w:space="0" w:color="2B3B5F"/>
            </w:tcBorders>
            <w:shd w:val="clear" w:color="auto" w:fill="auto"/>
            <w:noWrap/>
            <w:vAlign w:val="center"/>
          </w:tcPr>
          <w:p w:rsidR="008D02A0" w:rsidRPr="009049F0" w:rsidRDefault="008D02A0" w:rsidP="00554167">
            <w:pPr>
              <w:spacing w:before="0" w:after="0"/>
              <w:jc w:val="right"/>
              <w:rPr>
                <w:rFonts w:cs="Arial"/>
                <w:b/>
                <w:color w:val="000000"/>
                <w:sz w:val="16"/>
                <w:szCs w:val="16"/>
              </w:rPr>
            </w:pPr>
            <w:r w:rsidRPr="009049F0">
              <w:rPr>
                <w:rFonts w:cs="Arial"/>
                <w:b/>
                <w:color w:val="000000"/>
                <w:sz w:val="16"/>
                <w:szCs w:val="16"/>
              </w:rPr>
              <w:t>6941</w:t>
            </w:r>
          </w:p>
        </w:tc>
        <w:tc>
          <w:tcPr>
            <w:tcW w:w="794" w:type="dxa"/>
            <w:tcBorders>
              <w:top w:val="dotted" w:sz="8" w:space="0" w:color="auto"/>
              <w:bottom w:val="single" w:sz="8" w:space="0" w:color="2B3B5F"/>
            </w:tcBorders>
            <w:shd w:val="clear" w:color="auto" w:fill="auto"/>
            <w:noWrap/>
            <w:vAlign w:val="center"/>
          </w:tcPr>
          <w:p w:rsidR="008D02A0" w:rsidRPr="009049F0" w:rsidRDefault="00EB6F89" w:rsidP="00554167">
            <w:pPr>
              <w:spacing w:before="0" w:after="0"/>
              <w:jc w:val="right"/>
              <w:rPr>
                <w:rFonts w:cs="Arial"/>
                <w:b/>
                <w:color w:val="000000"/>
                <w:sz w:val="16"/>
                <w:szCs w:val="16"/>
              </w:rPr>
            </w:pPr>
            <w:r>
              <w:rPr>
                <w:rFonts w:cs="Arial"/>
                <w:b/>
                <w:color w:val="000000"/>
                <w:sz w:val="16"/>
                <w:szCs w:val="16"/>
              </w:rPr>
              <w:t>6641</w:t>
            </w:r>
          </w:p>
        </w:tc>
        <w:tc>
          <w:tcPr>
            <w:tcW w:w="794" w:type="dxa"/>
            <w:tcBorders>
              <w:top w:val="dotted" w:sz="8" w:space="0" w:color="auto"/>
              <w:bottom w:val="single" w:sz="8" w:space="0" w:color="2B3B5F"/>
            </w:tcBorders>
            <w:shd w:val="clear" w:color="auto" w:fill="auto"/>
            <w:noWrap/>
            <w:vAlign w:val="center"/>
          </w:tcPr>
          <w:p w:rsidR="008D02A0" w:rsidRPr="009049F0" w:rsidRDefault="008D02A0" w:rsidP="00554167">
            <w:pPr>
              <w:spacing w:before="0" w:after="0"/>
              <w:jc w:val="right"/>
              <w:rPr>
                <w:rFonts w:cs="Arial"/>
                <w:b/>
                <w:color w:val="000000"/>
                <w:sz w:val="16"/>
                <w:szCs w:val="16"/>
              </w:rPr>
            </w:pPr>
            <w:r w:rsidRPr="009049F0">
              <w:rPr>
                <w:rFonts w:cs="Arial"/>
                <w:b/>
                <w:color w:val="000000"/>
                <w:sz w:val="16"/>
                <w:szCs w:val="16"/>
              </w:rPr>
              <w:t>4664</w:t>
            </w:r>
          </w:p>
        </w:tc>
        <w:tc>
          <w:tcPr>
            <w:tcW w:w="794" w:type="dxa"/>
            <w:tcBorders>
              <w:top w:val="dotted" w:sz="8" w:space="0" w:color="auto"/>
              <w:bottom w:val="single" w:sz="8" w:space="0" w:color="2B3B5F"/>
            </w:tcBorders>
            <w:shd w:val="clear" w:color="auto" w:fill="auto"/>
            <w:noWrap/>
            <w:vAlign w:val="center"/>
          </w:tcPr>
          <w:p w:rsidR="008D02A0" w:rsidRPr="009049F0" w:rsidRDefault="008D02A0" w:rsidP="00554167">
            <w:pPr>
              <w:spacing w:before="0" w:after="0"/>
              <w:jc w:val="right"/>
              <w:rPr>
                <w:rFonts w:cs="Arial"/>
                <w:b/>
                <w:color w:val="000000"/>
                <w:sz w:val="16"/>
                <w:szCs w:val="16"/>
              </w:rPr>
            </w:pPr>
            <w:r w:rsidRPr="009049F0">
              <w:rPr>
                <w:rFonts w:cs="Arial"/>
                <w:b/>
                <w:color w:val="000000"/>
                <w:sz w:val="16"/>
                <w:szCs w:val="16"/>
              </w:rPr>
              <w:t>9129</w:t>
            </w:r>
          </w:p>
        </w:tc>
        <w:tc>
          <w:tcPr>
            <w:tcW w:w="794" w:type="dxa"/>
            <w:tcBorders>
              <w:top w:val="dotted" w:sz="8" w:space="0" w:color="auto"/>
              <w:bottom w:val="single" w:sz="8" w:space="0" w:color="2B3B5F"/>
            </w:tcBorders>
            <w:shd w:val="clear" w:color="auto" w:fill="auto"/>
            <w:noWrap/>
            <w:vAlign w:val="center"/>
          </w:tcPr>
          <w:p w:rsidR="008D02A0" w:rsidRPr="009049F0" w:rsidRDefault="00AA3B04" w:rsidP="00554167">
            <w:pPr>
              <w:spacing w:before="0" w:after="0"/>
              <w:jc w:val="right"/>
              <w:rPr>
                <w:rFonts w:cs="Arial"/>
                <w:b/>
                <w:color w:val="000000"/>
                <w:sz w:val="16"/>
                <w:szCs w:val="16"/>
              </w:rPr>
            </w:pPr>
            <w:r w:rsidRPr="009049F0">
              <w:rPr>
                <w:rFonts w:cs="Arial"/>
                <w:b/>
                <w:color w:val="000000"/>
                <w:sz w:val="16"/>
                <w:szCs w:val="16"/>
              </w:rPr>
              <w:t>5023</w:t>
            </w:r>
          </w:p>
        </w:tc>
      </w:tr>
    </w:tbl>
    <w:p w:rsidR="00554167" w:rsidRDefault="00554167">
      <w:r>
        <w:br w:type="page"/>
      </w:r>
    </w:p>
    <w:tbl>
      <w:tblPr>
        <w:tblpPr w:leftFromText="180" w:rightFromText="180" w:vertAnchor="text" w:tblpX="358" w:tblpY="1"/>
        <w:tblOverlap w:val="never"/>
        <w:tblW w:w="12986" w:type="dxa"/>
        <w:tblLook w:val="0480" w:firstRow="0" w:lastRow="0" w:firstColumn="1" w:lastColumn="0" w:noHBand="0" w:noVBand="1"/>
      </w:tblPr>
      <w:tblGrid>
        <w:gridCol w:w="4252"/>
        <w:gridCol w:w="794"/>
        <w:gridCol w:w="794"/>
        <w:gridCol w:w="794"/>
        <w:gridCol w:w="794"/>
        <w:gridCol w:w="794"/>
        <w:gridCol w:w="794"/>
        <w:gridCol w:w="794"/>
        <w:gridCol w:w="794"/>
        <w:gridCol w:w="794"/>
        <w:gridCol w:w="794"/>
        <w:gridCol w:w="794"/>
      </w:tblGrid>
      <w:tr w:rsidR="00554167" w:rsidRPr="00D767A0" w:rsidTr="004744C5">
        <w:trPr>
          <w:trHeight w:val="225"/>
        </w:trPr>
        <w:tc>
          <w:tcPr>
            <w:tcW w:w="4252" w:type="dxa"/>
            <w:tcBorders>
              <w:top w:val="single" w:sz="8" w:space="0" w:color="2B3B5F"/>
              <w:bottom w:val="dotted" w:sz="8" w:space="0" w:color="auto"/>
            </w:tcBorders>
            <w:shd w:val="clear" w:color="auto" w:fill="95A4C6"/>
            <w:noWrap/>
            <w:vAlign w:val="center"/>
          </w:tcPr>
          <w:p w:rsidR="00554167" w:rsidRPr="00554167" w:rsidRDefault="00554167" w:rsidP="00C128EB">
            <w:pPr>
              <w:spacing w:before="0" w:after="0"/>
              <w:rPr>
                <w:rFonts w:cs="Arial"/>
                <w:color w:val="000000"/>
                <w:sz w:val="16"/>
                <w:szCs w:val="16"/>
              </w:rPr>
            </w:pPr>
          </w:p>
        </w:tc>
        <w:tc>
          <w:tcPr>
            <w:tcW w:w="794" w:type="dxa"/>
            <w:tcBorders>
              <w:top w:val="single" w:sz="8" w:space="0" w:color="2B3B5F"/>
              <w:bottom w:val="dotted" w:sz="8" w:space="0" w:color="auto"/>
            </w:tcBorders>
            <w:shd w:val="clear" w:color="auto" w:fill="95A4C6"/>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2002-03</w:t>
            </w:r>
          </w:p>
        </w:tc>
        <w:tc>
          <w:tcPr>
            <w:tcW w:w="794" w:type="dxa"/>
            <w:tcBorders>
              <w:top w:val="single" w:sz="8" w:space="0" w:color="2B3B5F"/>
              <w:bottom w:val="dotted" w:sz="8" w:space="0" w:color="auto"/>
            </w:tcBorders>
            <w:shd w:val="clear" w:color="auto" w:fill="95A4C6"/>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2003-04</w:t>
            </w:r>
          </w:p>
        </w:tc>
        <w:tc>
          <w:tcPr>
            <w:tcW w:w="794" w:type="dxa"/>
            <w:tcBorders>
              <w:top w:val="single" w:sz="8" w:space="0" w:color="2B3B5F"/>
              <w:bottom w:val="dotted" w:sz="8" w:space="0" w:color="auto"/>
            </w:tcBorders>
            <w:shd w:val="clear" w:color="auto" w:fill="95A4C6"/>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2004-05</w:t>
            </w:r>
          </w:p>
        </w:tc>
        <w:tc>
          <w:tcPr>
            <w:tcW w:w="794" w:type="dxa"/>
            <w:tcBorders>
              <w:top w:val="single" w:sz="8" w:space="0" w:color="2B3B5F"/>
              <w:bottom w:val="dotted" w:sz="8" w:space="0" w:color="auto"/>
            </w:tcBorders>
            <w:shd w:val="clear" w:color="auto" w:fill="95A4C6"/>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2005-06</w:t>
            </w:r>
          </w:p>
        </w:tc>
        <w:tc>
          <w:tcPr>
            <w:tcW w:w="794" w:type="dxa"/>
            <w:tcBorders>
              <w:top w:val="single" w:sz="8" w:space="0" w:color="2B3B5F"/>
              <w:bottom w:val="dotted" w:sz="8" w:space="0" w:color="auto"/>
            </w:tcBorders>
            <w:shd w:val="clear" w:color="auto" w:fill="95A4C6"/>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2006-07</w:t>
            </w:r>
          </w:p>
        </w:tc>
        <w:tc>
          <w:tcPr>
            <w:tcW w:w="794" w:type="dxa"/>
            <w:tcBorders>
              <w:top w:val="single" w:sz="8" w:space="0" w:color="2B3B5F"/>
              <w:bottom w:val="dotted" w:sz="8" w:space="0" w:color="auto"/>
            </w:tcBorders>
            <w:shd w:val="clear" w:color="auto" w:fill="95A4C6"/>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2007-08</w:t>
            </w:r>
          </w:p>
        </w:tc>
        <w:tc>
          <w:tcPr>
            <w:tcW w:w="794" w:type="dxa"/>
            <w:tcBorders>
              <w:top w:val="single" w:sz="8" w:space="0" w:color="2B3B5F"/>
              <w:bottom w:val="dotted" w:sz="8" w:space="0" w:color="auto"/>
            </w:tcBorders>
            <w:shd w:val="clear" w:color="auto" w:fill="95A4C6"/>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2008-09</w:t>
            </w:r>
          </w:p>
        </w:tc>
        <w:tc>
          <w:tcPr>
            <w:tcW w:w="794" w:type="dxa"/>
            <w:tcBorders>
              <w:top w:val="single" w:sz="8" w:space="0" w:color="2B3B5F"/>
              <w:bottom w:val="dotted" w:sz="8" w:space="0" w:color="auto"/>
            </w:tcBorders>
            <w:shd w:val="clear" w:color="auto" w:fill="95A4C6"/>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2009-10</w:t>
            </w:r>
          </w:p>
        </w:tc>
        <w:tc>
          <w:tcPr>
            <w:tcW w:w="794" w:type="dxa"/>
            <w:tcBorders>
              <w:top w:val="single" w:sz="8" w:space="0" w:color="2B3B5F"/>
              <w:bottom w:val="dotted" w:sz="8" w:space="0" w:color="auto"/>
            </w:tcBorders>
            <w:shd w:val="clear" w:color="auto" w:fill="95A4C6"/>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2010-11</w:t>
            </w:r>
          </w:p>
        </w:tc>
        <w:tc>
          <w:tcPr>
            <w:tcW w:w="794" w:type="dxa"/>
            <w:tcBorders>
              <w:top w:val="single" w:sz="8" w:space="0" w:color="2B3B5F"/>
              <w:bottom w:val="dotted" w:sz="8" w:space="0" w:color="auto"/>
            </w:tcBorders>
            <w:shd w:val="clear" w:color="auto" w:fill="95A4C6"/>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2011-12</w:t>
            </w:r>
          </w:p>
        </w:tc>
        <w:tc>
          <w:tcPr>
            <w:tcW w:w="794" w:type="dxa"/>
            <w:tcBorders>
              <w:top w:val="single" w:sz="8" w:space="0" w:color="2B3B5F"/>
              <w:bottom w:val="dotted" w:sz="8" w:space="0" w:color="auto"/>
            </w:tcBorders>
            <w:shd w:val="clear" w:color="auto" w:fill="95A4C6"/>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2012-13</w:t>
            </w:r>
          </w:p>
        </w:tc>
      </w:tr>
      <w:tr w:rsidR="00554167" w:rsidRPr="009D7ADF" w:rsidTr="003B4A91">
        <w:trPr>
          <w:trHeight w:val="225"/>
        </w:trPr>
        <w:tc>
          <w:tcPr>
            <w:tcW w:w="4252" w:type="dxa"/>
            <w:tcBorders>
              <w:top w:val="dotted" w:sz="8" w:space="0" w:color="auto"/>
              <w:bottom w:val="dotted" w:sz="8" w:space="0" w:color="auto"/>
            </w:tcBorders>
            <w:shd w:val="clear" w:color="auto" w:fill="auto"/>
            <w:noWrap/>
            <w:vAlign w:val="center"/>
          </w:tcPr>
          <w:p w:rsidR="00554167" w:rsidRPr="009D7ADF" w:rsidRDefault="00554167" w:rsidP="00C128EB">
            <w:pPr>
              <w:spacing w:before="0" w:after="0"/>
              <w:rPr>
                <w:rFonts w:cs="Arial"/>
                <w:b/>
                <w:bCs/>
                <w:color w:val="000000"/>
                <w:sz w:val="16"/>
                <w:szCs w:val="16"/>
              </w:rPr>
            </w:pPr>
            <w:r w:rsidRPr="009D7ADF">
              <w:rPr>
                <w:rFonts w:cs="Arial"/>
                <w:b/>
                <w:bCs/>
                <w:color w:val="000000"/>
                <w:sz w:val="16"/>
                <w:szCs w:val="16"/>
              </w:rPr>
              <w:t>Other economic affairs - as published</w:t>
            </w:r>
          </w:p>
        </w:tc>
        <w:tc>
          <w:tcPr>
            <w:tcW w:w="794" w:type="dxa"/>
            <w:tcBorders>
              <w:top w:val="dotted" w:sz="8" w:space="0" w:color="auto"/>
              <w:bottom w:val="dotted" w:sz="8" w:space="0" w:color="auto"/>
            </w:tcBorders>
            <w:shd w:val="clear" w:color="auto" w:fill="auto"/>
            <w:noWrap/>
            <w:vAlign w:val="center"/>
          </w:tcPr>
          <w:p w:rsidR="00554167" w:rsidRPr="009D7ADF" w:rsidRDefault="00554167" w:rsidP="00C128EB">
            <w:pPr>
              <w:spacing w:before="0" w:after="0"/>
              <w:jc w:val="right"/>
              <w:rPr>
                <w:rFonts w:cs="Arial"/>
                <w:b/>
                <w:color w:val="000000"/>
                <w:sz w:val="16"/>
                <w:szCs w:val="16"/>
              </w:rPr>
            </w:pPr>
            <w:r w:rsidRPr="009D7ADF">
              <w:rPr>
                <w:rFonts w:cs="Arial"/>
                <w:b/>
                <w:color w:val="000000"/>
                <w:sz w:val="16"/>
                <w:szCs w:val="16"/>
              </w:rPr>
              <w:t>3803</w:t>
            </w:r>
          </w:p>
        </w:tc>
        <w:tc>
          <w:tcPr>
            <w:tcW w:w="794" w:type="dxa"/>
            <w:tcBorders>
              <w:top w:val="dotted" w:sz="8" w:space="0" w:color="auto"/>
              <w:bottom w:val="dotted" w:sz="8" w:space="0" w:color="auto"/>
            </w:tcBorders>
            <w:shd w:val="clear" w:color="auto" w:fill="auto"/>
            <w:noWrap/>
            <w:vAlign w:val="center"/>
          </w:tcPr>
          <w:p w:rsidR="00554167" w:rsidRPr="009D7ADF" w:rsidRDefault="00554167" w:rsidP="00C128EB">
            <w:pPr>
              <w:spacing w:before="0" w:after="0"/>
              <w:jc w:val="right"/>
              <w:rPr>
                <w:rFonts w:cs="Arial"/>
                <w:b/>
                <w:color w:val="000000"/>
                <w:sz w:val="16"/>
                <w:szCs w:val="16"/>
              </w:rPr>
            </w:pPr>
            <w:r w:rsidRPr="009D7ADF">
              <w:rPr>
                <w:rFonts w:cs="Arial"/>
                <w:b/>
                <w:color w:val="000000"/>
                <w:sz w:val="16"/>
                <w:szCs w:val="16"/>
              </w:rPr>
              <w:t>4286</w:t>
            </w:r>
          </w:p>
        </w:tc>
        <w:tc>
          <w:tcPr>
            <w:tcW w:w="794" w:type="dxa"/>
            <w:tcBorders>
              <w:top w:val="dotted" w:sz="8" w:space="0" w:color="auto"/>
              <w:bottom w:val="dotted" w:sz="8" w:space="0" w:color="auto"/>
            </w:tcBorders>
            <w:shd w:val="clear" w:color="auto" w:fill="auto"/>
            <w:noWrap/>
            <w:vAlign w:val="center"/>
          </w:tcPr>
          <w:p w:rsidR="00554167" w:rsidRPr="009D7ADF" w:rsidRDefault="00554167" w:rsidP="00C128EB">
            <w:pPr>
              <w:spacing w:before="0" w:after="0"/>
              <w:jc w:val="right"/>
              <w:rPr>
                <w:rFonts w:cs="Arial"/>
                <w:b/>
                <w:color w:val="000000"/>
                <w:sz w:val="16"/>
                <w:szCs w:val="16"/>
              </w:rPr>
            </w:pPr>
            <w:r w:rsidRPr="009D7ADF">
              <w:rPr>
                <w:rFonts w:cs="Arial"/>
                <w:b/>
                <w:color w:val="000000"/>
                <w:sz w:val="16"/>
                <w:szCs w:val="16"/>
              </w:rPr>
              <w:t>4895</w:t>
            </w:r>
          </w:p>
        </w:tc>
        <w:tc>
          <w:tcPr>
            <w:tcW w:w="794" w:type="dxa"/>
            <w:tcBorders>
              <w:top w:val="dotted" w:sz="8" w:space="0" w:color="auto"/>
              <w:bottom w:val="dotted" w:sz="8" w:space="0" w:color="auto"/>
            </w:tcBorders>
            <w:shd w:val="clear" w:color="auto" w:fill="auto"/>
            <w:noWrap/>
            <w:vAlign w:val="center"/>
          </w:tcPr>
          <w:p w:rsidR="00554167" w:rsidRPr="009D7ADF" w:rsidRDefault="00554167" w:rsidP="00C128EB">
            <w:pPr>
              <w:spacing w:before="0" w:after="0"/>
              <w:jc w:val="right"/>
              <w:rPr>
                <w:rFonts w:cs="Arial"/>
                <w:b/>
                <w:color w:val="000000"/>
                <w:sz w:val="16"/>
                <w:szCs w:val="16"/>
              </w:rPr>
            </w:pPr>
            <w:r w:rsidRPr="009D7ADF">
              <w:rPr>
                <w:rFonts w:cs="Arial"/>
                <w:b/>
                <w:color w:val="000000"/>
                <w:sz w:val="16"/>
                <w:szCs w:val="16"/>
              </w:rPr>
              <w:t>4874</w:t>
            </w:r>
          </w:p>
        </w:tc>
        <w:tc>
          <w:tcPr>
            <w:tcW w:w="794" w:type="dxa"/>
            <w:tcBorders>
              <w:top w:val="dotted" w:sz="8" w:space="0" w:color="auto"/>
              <w:bottom w:val="dotted" w:sz="8" w:space="0" w:color="auto"/>
            </w:tcBorders>
            <w:shd w:val="clear" w:color="auto" w:fill="auto"/>
            <w:noWrap/>
            <w:vAlign w:val="center"/>
          </w:tcPr>
          <w:p w:rsidR="00554167" w:rsidRPr="009D7ADF" w:rsidRDefault="00554167" w:rsidP="00C128EB">
            <w:pPr>
              <w:spacing w:before="0" w:after="0"/>
              <w:jc w:val="right"/>
              <w:rPr>
                <w:rFonts w:cs="Arial"/>
                <w:b/>
                <w:color w:val="000000"/>
                <w:sz w:val="16"/>
                <w:szCs w:val="16"/>
              </w:rPr>
            </w:pPr>
            <w:r w:rsidRPr="009D7ADF">
              <w:rPr>
                <w:rFonts w:cs="Arial"/>
                <w:b/>
                <w:color w:val="000000"/>
                <w:sz w:val="16"/>
                <w:szCs w:val="16"/>
              </w:rPr>
              <w:t>5165</w:t>
            </w:r>
          </w:p>
        </w:tc>
        <w:tc>
          <w:tcPr>
            <w:tcW w:w="794" w:type="dxa"/>
            <w:tcBorders>
              <w:top w:val="dotted" w:sz="8" w:space="0" w:color="auto"/>
              <w:bottom w:val="dotted" w:sz="8" w:space="0" w:color="auto"/>
            </w:tcBorders>
            <w:shd w:val="clear" w:color="auto" w:fill="auto"/>
            <w:noWrap/>
            <w:vAlign w:val="center"/>
          </w:tcPr>
          <w:p w:rsidR="00554167" w:rsidRPr="009D7ADF" w:rsidRDefault="00554167" w:rsidP="00C128EB">
            <w:pPr>
              <w:spacing w:before="0" w:after="0"/>
              <w:jc w:val="right"/>
              <w:rPr>
                <w:rFonts w:cs="Arial"/>
                <w:b/>
                <w:color w:val="000000"/>
                <w:sz w:val="16"/>
                <w:szCs w:val="16"/>
              </w:rPr>
            </w:pPr>
            <w:r w:rsidRPr="009D7ADF">
              <w:rPr>
                <w:rFonts w:cs="Arial"/>
                <w:b/>
                <w:color w:val="000000"/>
                <w:sz w:val="16"/>
                <w:szCs w:val="16"/>
              </w:rPr>
              <w:t>5926</w:t>
            </w:r>
          </w:p>
        </w:tc>
        <w:tc>
          <w:tcPr>
            <w:tcW w:w="794" w:type="dxa"/>
            <w:tcBorders>
              <w:top w:val="dotted" w:sz="8" w:space="0" w:color="auto"/>
              <w:bottom w:val="dotted" w:sz="8" w:space="0" w:color="auto"/>
            </w:tcBorders>
            <w:shd w:val="clear" w:color="auto" w:fill="auto"/>
            <w:noWrap/>
            <w:vAlign w:val="center"/>
          </w:tcPr>
          <w:p w:rsidR="00554167" w:rsidRPr="009D7ADF" w:rsidRDefault="00554167" w:rsidP="00C128EB">
            <w:pPr>
              <w:spacing w:before="0" w:after="0"/>
              <w:jc w:val="right"/>
              <w:rPr>
                <w:rFonts w:cs="Arial"/>
                <w:b/>
                <w:color w:val="000000"/>
                <w:sz w:val="16"/>
                <w:szCs w:val="16"/>
              </w:rPr>
            </w:pPr>
            <w:r w:rsidRPr="009D7ADF">
              <w:rPr>
                <w:rFonts w:cs="Arial"/>
                <w:b/>
                <w:color w:val="000000"/>
                <w:sz w:val="16"/>
                <w:szCs w:val="16"/>
              </w:rPr>
              <w:t>6507</w:t>
            </w:r>
          </w:p>
        </w:tc>
        <w:tc>
          <w:tcPr>
            <w:tcW w:w="794" w:type="dxa"/>
            <w:tcBorders>
              <w:top w:val="dotted" w:sz="8" w:space="0" w:color="auto"/>
              <w:bottom w:val="dotted" w:sz="8" w:space="0" w:color="auto"/>
            </w:tcBorders>
            <w:shd w:val="clear" w:color="auto" w:fill="auto"/>
            <w:noWrap/>
            <w:vAlign w:val="center"/>
          </w:tcPr>
          <w:p w:rsidR="00554167" w:rsidRPr="009D7ADF" w:rsidRDefault="00554167" w:rsidP="00C128EB">
            <w:pPr>
              <w:spacing w:before="0" w:after="0"/>
              <w:jc w:val="right"/>
              <w:rPr>
                <w:rFonts w:cs="Arial"/>
                <w:b/>
                <w:color w:val="000000"/>
                <w:sz w:val="16"/>
                <w:szCs w:val="16"/>
              </w:rPr>
            </w:pPr>
            <w:r w:rsidRPr="009D7ADF">
              <w:rPr>
                <w:rFonts w:cs="Arial"/>
                <w:b/>
                <w:color w:val="000000"/>
                <w:sz w:val="16"/>
                <w:szCs w:val="16"/>
              </w:rPr>
              <w:t>8628</w:t>
            </w:r>
          </w:p>
        </w:tc>
        <w:tc>
          <w:tcPr>
            <w:tcW w:w="794" w:type="dxa"/>
            <w:tcBorders>
              <w:top w:val="dotted" w:sz="8" w:space="0" w:color="auto"/>
              <w:bottom w:val="dotted" w:sz="8" w:space="0" w:color="auto"/>
            </w:tcBorders>
            <w:shd w:val="clear" w:color="auto" w:fill="auto"/>
            <w:noWrap/>
            <w:vAlign w:val="center"/>
          </w:tcPr>
          <w:p w:rsidR="00554167" w:rsidRPr="009D7ADF" w:rsidRDefault="00554167" w:rsidP="00C128EB">
            <w:pPr>
              <w:spacing w:before="0" w:after="0"/>
              <w:jc w:val="right"/>
              <w:rPr>
                <w:rFonts w:cs="Arial"/>
                <w:b/>
                <w:color w:val="000000"/>
                <w:sz w:val="16"/>
                <w:szCs w:val="16"/>
              </w:rPr>
            </w:pPr>
            <w:r w:rsidRPr="009D7ADF">
              <w:rPr>
                <w:rFonts w:cs="Arial"/>
                <w:b/>
                <w:color w:val="000000"/>
                <w:sz w:val="16"/>
                <w:szCs w:val="16"/>
              </w:rPr>
              <w:t>9046</w:t>
            </w:r>
          </w:p>
        </w:tc>
        <w:tc>
          <w:tcPr>
            <w:tcW w:w="794" w:type="dxa"/>
            <w:tcBorders>
              <w:top w:val="dotted" w:sz="8" w:space="0" w:color="auto"/>
              <w:bottom w:val="dotted" w:sz="8" w:space="0" w:color="auto"/>
            </w:tcBorders>
            <w:shd w:val="clear" w:color="auto" w:fill="auto"/>
            <w:noWrap/>
            <w:vAlign w:val="center"/>
          </w:tcPr>
          <w:p w:rsidR="00554167" w:rsidRPr="009D7ADF" w:rsidRDefault="00554167" w:rsidP="00C128EB">
            <w:pPr>
              <w:spacing w:before="0" w:after="0"/>
              <w:jc w:val="right"/>
              <w:rPr>
                <w:rFonts w:cs="Arial"/>
                <w:b/>
                <w:color w:val="000000"/>
                <w:sz w:val="16"/>
                <w:szCs w:val="16"/>
              </w:rPr>
            </w:pPr>
            <w:r w:rsidRPr="009D7ADF">
              <w:rPr>
                <w:rFonts w:cs="Arial"/>
                <w:b/>
                <w:color w:val="000000"/>
                <w:sz w:val="16"/>
                <w:szCs w:val="16"/>
              </w:rPr>
              <w:t>10054</w:t>
            </w:r>
          </w:p>
        </w:tc>
        <w:tc>
          <w:tcPr>
            <w:tcW w:w="794" w:type="dxa"/>
            <w:tcBorders>
              <w:top w:val="dotted" w:sz="8" w:space="0" w:color="auto"/>
              <w:bottom w:val="dotted" w:sz="8" w:space="0" w:color="auto"/>
            </w:tcBorders>
            <w:shd w:val="clear" w:color="auto" w:fill="auto"/>
            <w:noWrap/>
            <w:vAlign w:val="center"/>
          </w:tcPr>
          <w:p w:rsidR="00554167" w:rsidRPr="009D7ADF" w:rsidRDefault="00554167" w:rsidP="00C128EB">
            <w:pPr>
              <w:spacing w:before="0" w:after="0"/>
              <w:jc w:val="right"/>
              <w:rPr>
                <w:rFonts w:cs="Arial"/>
                <w:b/>
                <w:color w:val="000000"/>
                <w:sz w:val="16"/>
                <w:szCs w:val="16"/>
              </w:rPr>
            </w:pPr>
            <w:r w:rsidRPr="009D7ADF">
              <w:rPr>
                <w:rFonts w:cs="Arial"/>
                <w:b/>
                <w:color w:val="000000"/>
                <w:sz w:val="16"/>
                <w:szCs w:val="16"/>
              </w:rPr>
              <w:t>10631</w:t>
            </w:r>
          </w:p>
        </w:tc>
      </w:tr>
      <w:tr w:rsidR="00554167" w:rsidRPr="00D767A0" w:rsidTr="003B4A91">
        <w:trPr>
          <w:trHeight w:val="225"/>
        </w:trPr>
        <w:tc>
          <w:tcPr>
            <w:tcW w:w="4252" w:type="dxa"/>
            <w:tcBorders>
              <w:top w:val="dotted" w:sz="8" w:space="0" w:color="auto"/>
            </w:tcBorders>
            <w:shd w:val="clear" w:color="auto" w:fill="auto"/>
            <w:noWrap/>
            <w:vAlign w:val="center"/>
          </w:tcPr>
          <w:p w:rsidR="00554167" w:rsidRPr="00554167" w:rsidRDefault="00554167" w:rsidP="00C128EB">
            <w:pPr>
              <w:spacing w:before="0" w:after="0"/>
              <w:ind w:left="113"/>
              <w:rPr>
                <w:rFonts w:cs="Arial"/>
                <w:color w:val="000000"/>
                <w:sz w:val="16"/>
                <w:szCs w:val="16"/>
              </w:rPr>
            </w:pPr>
            <w:r w:rsidRPr="00554167">
              <w:rPr>
                <w:rFonts w:cs="Arial"/>
                <w:color w:val="000000"/>
                <w:sz w:val="16"/>
                <w:szCs w:val="16"/>
              </w:rPr>
              <w:t>Tourism and area promotion - as published</w:t>
            </w:r>
          </w:p>
        </w:tc>
        <w:tc>
          <w:tcPr>
            <w:tcW w:w="794" w:type="dxa"/>
            <w:tcBorders>
              <w:top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156</w:t>
            </w:r>
          </w:p>
        </w:tc>
        <w:tc>
          <w:tcPr>
            <w:tcW w:w="794" w:type="dxa"/>
            <w:tcBorders>
              <w:top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135</w:t>
            </w:r>
          </w:p>
        </w:tc>
        <w:tc>
          <w:tcPr>
            <w:tcW w:w="794" w:type="dxa"/>
            <w:tcBorders>
              <w:top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216</w:t>
            </w:r>
          </w:p>
        </w:tc>
        <w:tc>
          <w:tcPr>
            <w:tcW w:w="794" w:type="dxa"/>
            <w:tcBorders>
              <w:top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209</w:t>
            </w:r>
          </w:p>
        </w:tc>
        <w:tc>
          <w:tcPr>
            <w:tcW w:w="794" w:type="dxa"/>
            <w:tcBorders>
              <w:top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196</w:t>
            </w:r>
          </w:p>
        </w:tc>
        <w:tc>
          <w:tcPr>
            <w:tcW w:w="794" w:type="dxa"/>
            <w:tcBorders>
              <w:top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207</w:t>
            </w:r>
          </w:p>
        </w:tc>
        <w:tc>
          <w:tcPr>
            <w:tcW w:w="794" w:type="dxa"/>
            <w:tcBorders>
              <w:top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192</w:t>
            </w:r>
          </w:p>
        </w:tc>
        <w:tc>
          <w:tcPr>
            <w:tcW w:w="794" w:type="dxa"/>
            <w:tcBorders>
              <w:top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162</w:t>
            </w:r>
          </w:p>
        </w:tc>
        <w:tc>
          <w:tcPr>
            <w:tcW w:w="794" w:type="dxa"/>
            <w:tcBorders>
              <w:top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158</w:t>
            </w:r>
          </w:p>
        </w:tc>
        <w:tc>
          <w:tcPr>
            <w:tcW w:w="794" w:type="dxa"/>
            <w:tcBorders>
              <w:top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177</w:t>
            </w:r>
          </w:p>
        </w:tc>
        <w:tc>
          <w:tcPr>
            <w:tcW w:w="794" w:type="dxa"/>
            <w:tcBorders>
              <w:top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190</w:t>
            </w:r>
          </w:p>
        </w:tc>
      </w:tr>
      <w:tr w:rsidR="00554167" w:rsidRPr="00D767A0" w:rsidTr="003B4A91">
        <w:trPr>
          <w:trHeight w:val="225"/>
        </w:trPr>
        <w:tc>
          <w:tcPr>
            <w:tcW w:w="4252" w:type="dxa"/>
            <w:shd w:val="clear" w:color="auto" w:fill="auto"/>
            <w:noWrap/>
            <w:vAlign w:val="center"/>
          </w:tcPr>
          <w:p w:rsidR="00554167" w:rsidRPr="00554167" w:rsidRDefault="00554167" w:rsidP="00C128EB">
            <w:pPr>
              <w:spacing w:before="0" w:after="0"/>
              <w:ind w:left="227"/>
              <w:rPr>
                <w:rFonts w:cs="Arial"/>
                <w:i/>
                <w:iCs/>
                <w:color w:val="808080"/>
                <w:sz w:val="16"/>
                <w:szCs w:val="16"/>
              </w:rPr>
            </w:pPr>
            <w:r w:rsidRPr="00554167">
              <w:rPr>
                <w:rFonts w:cs="Arial"/>
                <w:i/>
                <w:iCs/>
                <w:color w:val="808080"/>
                <w:sz w:val="16"/>
                <w:szCs w:val="16"/>
              </w:rPr>
              <w:t>Accounting change - FBT inclusion</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0</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0</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2</w:t>
            </w: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r>
      <w:tr w:rsidR="00554167" w:rsidRPr="00D767A0" w:rsidTr="003B4A91">
        <w:trPr>
          <w:trHeight w:val="225"/>
        </w:trPr>
        <w:tc>
          <w:tcPr>
            <w:tcW w:w="4252" w:type="dxa"/>
            <w:tcBorders>
              <w:bottom w:val="dotted" w:sz="8" w:space="0" w:color="auto"/>
            </w:tcBorders>
            <w:shd w:val="clear" w:color="auto" w:fill="auto"/>
            <w:noWrap/>
            <w:vAlign w:val="center"/>
          </w:tcPr>
          <w:p w:rsidR="00554167" w:rsidRPr="00554167" w:rsidRDefault="00554167" w:rsidP="00C128EB">
            <w:pPr>
              <w:spacing w:before="0" w:after="0"/>
              <w:ind w:left="113"/>
              <w:rPr>
                <w:rFonts w:cs="Arial"/>
                <w:color w:val="000000"/>
                <w:sz w:val="16"/>
                <w:szCs w:val="16"/>
              </w:rPr>
            </w:pPr>
            <w:r w:rsidRPr="00554167">
              <w:rPr>
                <w:rFonts w:cs="Arial"/>
                <w:color w:val="000000"/>
                <w:sz w:val="16"/>
                <w:szCs w:val="16"/>
              </w:rPr>
              <w:t>Tourism and area promotion - total</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156</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135</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218</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209</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196</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207</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192</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162</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158</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177</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190</w:t>
            </w:r>
          </w:p>
        </w:tc>
      </w:tr>
      <w:tr w:rsidR="00554167" w:rsidRPr="00D767A0" w:rsidTr="003B4A91">
        <w:trPr>
          <w:trHeight w:val="225"/>
        </w:trPr>
        <w:tc>
          <w:tcPr>
            <w:tcW w:w="4252" w:type="dxa"/>
            <w:tcBorders>
              <w:top w:val="dotted" w:sz="8" w:space="0" w:color="auto"/>
              <w:bottom w:val="dotted" w:sz="8" w:space="0" w:color="auto"/>
            </w:tcBorders>
            <w:shd w:val="clear" w:color="auto" w:fill="auto"/>
            <w:noWrap/>
            <w:vAlign w:val="center"/>
          </w:tcPr>
          <w:p w:rsidR="00554167" w:rsidRPr="00554167" w:rsidRDefault="000C47B2" w:rsidP="000C47B2">
            <w:pPr>
              <w:spacing w:before="0" w:after="0"/>
              <w:ind w:left="113"/>
              <w:rPr>
                <w:rFonts w:cs="Arial"/>
                <w:color w:val="000000"/>
                <w:sz w:val="16"/>
                <w:szCs w:val="16"/>
              </w:rPr>
            </w:pPr>
            <w:r>
              <w:rPr>
                <w:rFonts w:cs="Arial"/>
                <w:color w:val="000000"/>
                <w:sz w:val="16"/>
                <w:szCs w:val="16"/>
              </w:rPr>
              <w:t>Total l</w:t>
            </w:r>
            <w:r w:rsidR="00554167" w:rsidRPr="00554167">
              <w:rPr>
                <w:rFonts w:cs="Arial"/>
                <w:color w:val="000000"/>
                <w:sz w:val="16"/>
                <w:szCs w:val="16"/>
              </w:rPr>
              <w:t xml:space="preserve">abour and employment affairs </w:t>
            </w:r>
          </w:p>
        </w:tc>
        <w:tc>
          <w:tcPr>
            <w:tcW w:w="794" w:type="dxa"/>
            <w:tcBorders>
              <w:top w:val="dotted" w:sz="8" w:space="0" w:color="auto"/>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2300</w:t>
            </w:r>
          </w:p>
        </w:tc>
        <w:tc>
          <w:tcPr>
            <w:tcW w:w="794" w:type="dxa"/>
            <w:tcBorders>
              <w:top w:val="dotted" w:sz="8" w:space="0" w:color="auto"/>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2651</w:t>
            </w:r>
          </w:p>
        </w:tc>
        <w:tc>
          <w:tcPr>
            <w:tcW w:w="794" w:type="dxa"/>
            <w:tcBorders>
              <w:top w:val="dotted" w:sz="8" w:space="0" w:color="auto"/>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3166</w:t>
            </w:r>
          </w:p>
        </w:tc>
        <w:tc>
          <w:tcPr>
            <w:tcW w:w="794" w:type="dxa"/>
            <w:tcBorders>
              <w:top w:val="dotted" w:sz="8" w:space="0" w:color="auto"/>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2922</w:t>
            </w:r>
          </w:p>
        </w:tc>
        <w:tc>
          <w:tcPr>
            <w:tcW w:w="794" w:type="dxa"/>
            <w:tcBorders>
              <w:top w:val="dotted" w:sz="8" w:space="0" w:color="auto"/>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2931</w:t>
            </w:r>
          </w:p>
        </w:tc>
        <w:tc>
          <w:tcPr>
            <w:tcW w:w="794" w:type="dxa"/>
            <w:tcBorders>
              <w:top w:val="dotted" w:sz="8" w:space="0" w:color="auto"/>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3403</w:t>
            </w:r>
          </w:p>
        </w:tc>
        <w:tc>
          <w:tcPr>
            <w:tcW w:w="794" w:type="dxa"/>
            <w:tcBorders>
              <w:top w:val="dotted" w:sz="8" w:space="0" w:color="auto"/>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3764</w:t>
            </w:r>
          </w:p>
        </w:tc>
        <w:tc>
          <w:tcPr>
            <w:tcW w:w="794" w:type="dxa"/>
            <w:tcBorders>
              <w:top w:val="dotted" w:sz="8" w:space="0" w:color="auto"/>
              <w:bottom w:val="dotted" w:sz="8" w:space="0" w:color="auto"/>
            </w:tcBorders>
            <w:shd w:val="clear" w:color="auto" w:fill="auto"/>
            <w:noWrap/>
            <w:vAlign w:val="center"/>
          </w:tcPr>
          <w:p w:rsidR="00554167" w:rsidRPr="00554167" w:rsidRDefault="00D644C3" w:rsidP="00C128EB">
            <w:pPr>
              <w:spacing w:before="0" w:after="0"/>
              <w:jc w:val="right"/>
              <w:rPr>
                <w:rFonts w:cs="Arial"/>
                <w:color w:val="000000"/>
                <w:sz w:val="16"/>
                <w:szCs w:val="16"/>
              </w:rPr>
            </w:pPr>
            <w:r>
              <w:rPr>
                <w:rFonts w:cs="Arial"/>
                <w:color w:val="000000"/>
                <w:sz w:val="16"/>
                <w:szCs w:val="16"/>
              </w:rPr>
              <w:t>4694</w:t>
            </w:r>
          </w:p>
        </w:tc>
        <w:tc>
          <w:tcPr>
            <w:tcW w:w="794" w:type="dxa"/>
            <w:tcBorders>
              <w:top w:val="dotted" w:sz="8" w:space="0" w:color="auto"/>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4669</w:t>
            </w:r>
          </w:p>
        </w:tc>
        <w:tc>
          <w:tcPr>
            <w:tcW w:w="794" w:type="dxa"/>
            <w:tcBorders>
              <w:top w:val="dotted" w:sz="8" w:space="0" w:color="auto"/>
              <w:bottom w:val="dotted" w:sz="8" w:space="0" w:color="auto"/>
            </w:tcBorders>
            <w:shd w:val="clear" w:color="auto" w:fill="auto"/>
            <w:noWrap/>
            <w:vAlign w:val="center"/>
          </w:tcPr>
          <w:p w:rsidR="00554167" w:rsidRPr="00554167" w:rsidRDefault="000217AC" w:rsidP="00C128EB">
            <w:pPr>
              <w:spacing w:before="0" w:after="0"/>
              <w:jc w:val="right"/>
              <w:rPr>
                <w:rFonts w:cs="Arial"/>
                <w:color w:val="000000"/>
                <w:sz w:val="16"/>
                <w:szCs w:val="16"/>
              </w:rPr>
            </w:pPr>
            <w:r>
              <w:rPr>
                <w:rFonts w:cs="Arial"/>
                <w:color w:val="000000"/>
                <w:sz w:val="16"/>
                <w:szCs w:val="16"/>
              </w:rPr>
              <w:t>4783</w:t>
            </w:r>
          </w:p>
        </w:tc>
        <w:tc>
          <w:tcPr>
            <w:tcW w:w="794" w:type="dxa"/>
            <w:tcBorders>
              <w:top w:val="dotted" w:sz="8" w:space="0" w:color="auto"/>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4156</w:t>
            </w:r>
          </w:p>
        </w:tc>
      </w:tr>
      <w:tr w:rsidR="00554167" w:rsidRPr="00D767A0" w:rsidTr="003B4A91">
        <w:trPr>
          <w:trHeight w:val="225"/>
        </w:trPr>
        <w:tc>
          <w:tcPr>
            <w:tcW w:w="4252" w:type="dxa"/>
            <w:tcBorders>
              <w:top w:val="dotted" w:sz="8" w:space="0" w:color="auto"/>
              <w:bottom w:val="dotted" w:sz="6" w:space="0" w:color="auto"/>
            </w:tcBorders>
            <w:shd w:val="clear" w:color="auto" w:fill="auto"/>
            <w:noWrap/>
            <w:vAlign w:val="center"/>
          </w:tcPr>
          <w:p w:rsidR="00554167" w:rsidRPr="00554167" w:rsidRDefault="00554167" w:rsidP="00C128EB">
            <w:pPr>
              <w:spacing w:before="0" w:after="0"/>
              <w:ind w:left="113"/>
              <w:rPr>
                <w:rFonts w:cs="Arial"/>
                <w:color w:val="000000"/>
                <w:sz w:val="16"/>
                <w:szCs w:val="16"/>
              </w:rPr>
            </w:pPr>
            <w:r w:rsidRPr="00554167">
              <w:rPr>
                <w:rFonts w:cs="Arial"/>
                <w:color w:val="000000"/>
                <w:sz w:val="16"/>
                <w:szCs w:val="16"/>
              </w:rPr>
              <w:t>Immigration</w:t>
            </w:r>
          </w:p>
        </w:tc>
        <w:tc>
          <w:tcPr>
            <w:tcW w:w="794" w:type="dxa"/>
            <w:tcBorders>
              <w:top w:val="dotted" w:sz="8" w:space="0" w:color="auto"/>
              <w:bottom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705</w:t>
            </w:r>
          </w:p>
        </w:tc>
        <w:tc>
          <w:tcPr>
            <w:tcW w:w="794" w:type="dxa"/>
            <w:tcBorders>
              <w:top w:val="dotted" w:sz="8" w:space="0" w:color="auto"/>
              <w:bottom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753</w:t>
            </w:r>
          </w:p>
        </w:tc>
        <w:tc>
          <w:tcPr>
            <w:tcW w:w="794" w:type="dxa"/>
            <w:tcBorders>
              <w:top w:val="dotted" w:sz="8" w:space="0" w:color="auto"/>
              <w:bottom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757</w:t>
            </w:r>
          </w:p>
        </w:tc>
        <w:tc>
          <w:tcPr>
            <w:tcW w:w="794" w:type="dxa"/>
            <w:tcBorders>
              <w:top w:val="dotted" w:sz="8" w:space="0" w:color="auto"/>
              <w:bottom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903</w:t>
            </w:r>
          </w:p>
        </w:tc>
        <w:tc>
          <w:tcPr>
            <w:tcW w:w="794" w:type="dxa"/>
            <w:tcBorders>
              <w:top w:val="dotted" w:sz="8" w:space="0" w:color="auto"/>
              <w:bottom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1105</w:t>
            </w:r>
          </w:p>
        </w:tc>
        <w:tc>
          <w:tcPr>
            <w:tcW w:w="794" w:type="dxa"/>
            <w:tcBorders>
              <w:top w:val="dotted" w:sz="8" w:space="0" w:color="auto"/>
              <w:bottom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1102</w:t>
            </w:r>
          </w:p>
        </w:tc>
        <w:tc>
          <w:tcPr>
            <w:tcW w:w="794" w:type="dxa"/>
            <w:tcBorders>
              <w:top w:val="dotted" w:sz="8" w:space="0" w:color="auto"/>
              <w:bottom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1276</w:t>
            </w:r>
          </w:p>
        </w:tc>
        <w:tc>
          <w:tcPr>
            <w:tcW w:w="794" w:type="dxa"/>
            <w:tcBorders>
              <w:top w:val="dotted" w:sz="8" w:space="0" w:color="auto"/>
              <w:bottom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1571</w:t>
            </w:r>
          </w:p>
        </w:tc>
        <w:tc>
          <w:tcPr>
            <w:tcW w:w="794" w:type="dxa"/>
            <w:tcBorders>
              <w:top w:val="dotted" w:sz="8" w:space="0" w:color="auto"/>
              <w:bottom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2206</w:t>
            </w:r>
          </w:p>
        </w:tc>
        <w:tc>
          <w:tcPr>
            <w:tcW w:w="794" w:type="dxa"/>
            <w:tcBorders>
              <w:top w:val="dotted" w:sz="8" w:space="0" w:color="auto"/>
              <w:bottom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2740</w:t>
            </w:r>
          </w:p>
        </w:tc>
        <w:tc>
          <w:tcPr>
            <w:tcW w:w="794" w:type="dxa"/>
            <w:tcBorders>
              <w:top w:val="dotted" w:sz="8" w:space="0" w:color="auto"/>
              <w:bottom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3533</w:t>
            </w:r>
          </w:p>
        </w:tc>
      </w:tr>
      <w:tr w:rsidR="00554167" w:rsidRPr="00D767A0" w:rsidTr="000553AA">
        <w:trPr>
          <w:trHeight w:val="225"/>
        </w:trPr>
        <w:tc>
          <w:tcPr>
            <w:tcW w:w="4252" w:type="dxa"/>
            <w:tcBorders>
              <w:top w:val="dotted" w:sz="6" w:space="0" w:color="auto"/>
            </w:tcBorders>
            <w:shd w:val="clear" w:color="auto" w:fill="auto"/>
            <w:noWrap/>
            <w:vAlign w:val="center"/>
          </w:tcPr>
          <w:p w:rsidR="00554167" w:rsidRPr="00554167" w:rsidRDefault="00554167" w:rsidP="00C128EB">
            <w:pPr>
              <w:spacing w:before="0" w:after="0"/>
              <w:ind w:left="113"/>
              <w:rPr>
                <w:rFonts w:cs="Arial"/>
                <w:color w:val="000000"/>
                <w:sz w:val="16"/>
                <w:szCs w:val="16"/>
              </w:rPr>
            </w:pPr>
            <w:r w:rsidRPr="00554167">
              <w:rPr>
                <w:rFonts w:cs="Arial"/>
                <w:color w:val="000000"/>
                <w:sz w:val="16"/>
                <w:szCs w:val="16"/>
              </w:rPr>
              <w:t xml:space="preserve">Other economic affairs </w:t>
            </w:r>
            <w:proofErr w:type="spellStart"/>
            <w:r w:rsidRPr="00554167">
              <w:rPr>
                <w:rFonts w:cs="Arial"/>
                <w:color w:val="000000"/>
                <w:sz w:val="16"/>
                <w:szCs w:val="16"/>
              </w:rPr>
              <w:t>nec</w:t>
            </w:r>
            <w:proofErr w:type="spellEnd"/>
            <w:r w:rsidRPr="00554167">
              <w:rPr>
                <w:rFonts w:cs="Arial"/>
                <w:color w:val="000000"/>
                <w:sz w:val="16"/>
                <w:szCs w:val="16"/>
              </w:rPr>
              <w:t xml:space="preserve"> - as published</w:t>
            </w:r>
          </w:p>
        </w:tc>
        <w:tc>
          <w:tcPr>
            <w:tcW w:w="794" w:type="dxa"/>
            <w:tcBorders>
              <w:top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642</w:t>
            </w:r>
          </w:p>
        </w:tc>
        <w:tc>
          <w:tcPr>
            <w:tcW w:w="794" w:type="dxa"/>
            <w:tcBorders>
              <w:top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748</w:t>
            </w:r>
          </w:p>
        </w:tc>
        <w:tc>
          <w:tcPr>
            <w:tcW w:w="794" w:type="dxa"/>
            <w:tcBorders>
              <w:top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757</w:t>
            </w:r>
          </w:p>
        </w:tc>
        <w:tc>
          <w:tcPr>
            <w:tcW w:w="794" w:type="dxa"/>
            <w:tcBorders>
              <w:top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840</w:t>
            </w:r>
          </w:p>
        </w:tc>
        <w:tc>
          <w:tcPr>
            <w:tcW w:w="794" w:type="dxa"/>
            <w:tcBorders>
              <w:top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934</w:t>
            </w:r>
          </w:p>
        </w:tc>
        <w:tc>
          <w:tcPr>
            <w:tcW w:w="794" w:type="dxa"/>
            <w:tcBorders>
              <w:top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1213</w:t>
            </w:r>
          </w:p>
        </w:tc>
        <w:tc>
          <w:tcPr>
            <w:tcW w:w="794" w:type="dxa"/>
            <w:tcBorders>
              <w:top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1275</w:t>
            </w:r>
          </w:p>
        </w:tc>
        <w:tc>
          <w:tcPr>
            <w:tcW w:w="794" w:type="dxa"/>
            <w:tcBorders>
              <w:top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2200</w:t>
            </w:r>
          </w:p>
        </w:tc>
        <w:tc>
          <w:tcPr>
            <w:tcW w:w="794" w:type="dxa"/>
            <w:tcBorders>
              <w:top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2013</w:t>
            </w:r>
          </w:p>
        </w:tc>
        <w:tc>
          <w:tcPr>
            <w:tcW w:w="794" w:type="dxa"/>
            <w:tcBorders>
              <w:top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2354</w:t>
            </w:r>
          </w:p>
        </w:tc>
        <w:tc>
          <w:tcPr>
            <w:tcW w:w="794" w:type="dxa"/>
            <w:tcBorders>
              <w:top w:val="dotted" w:sz="6"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2752</w:t>
            </w:r>
          </w:p>
        </w:tc>
      </w:tr>
      <w:tr w:rsidR="00554167" w:rsidRPr="00D767A0" w:rsidTr="000553AA">
        <w:trPr>
          <w:trHeight w:val="225"/>
        </w:trPr>
        <w:tc>
          <w:tcPr>
            <w:tcW w:w="4252" w:type="dxa"/>
            <w:shd w:val="clear" w:color="auto" w:fill="auto"/>
            <w:noWrap/>
            <w:vAlign w:val="center"/>
          </w:tcPr>
          <w:p w:rsidR="00554167" w:rsidRPr="00554167" w:rsidRDefault="00554167" w:rsidP="00C128EB">
            <w:pPr>
              <w:spacing w:before="0" w:after="0"/>
              <w:ind w:left="227"/>
              <w:rPr>
                <w:rFonts w:cs="Arial"/>
                <w:i/>
                <w:iCs/>
                <w:color w:val="808080"/>
                <w:sz w:val="16"/>
                <w:szCs w:val="16"/>
              </w:rPr>
            </w:pPr>
            <w:r w:rsidRPr="00554167">
              <w:rPr>
                <w:rFonts w:cs="Arial"/>
                <w:i/>
                <w:iCs/>
                <w:color w:val="808080"/>
                <w:sz w:val="16"/>
                <w:szCs w:val="16"/>
              </w:rPr>
              <w:t>Accounting change</w:t>
            </w: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r>
      <w:tr w:rsidR="00554167" w:rsidRPr="00D767A0" w:rsidTr="000553AA">
        <w:trPr>
          <w:trHeight w:val="225"/>
        </w:trPr>
        <w:tc>
          <w:tcPr>
            <w:tcW w:w="4252" w:type="dxa"/>
            <w:shd w:val="clear" w:color="auto" w:fill="auto"/>
            <w:noWrap/>
            <w:vAlign w:val="center"/>
          </w:tcPr>
          <w:p w:rsidR="00554167" w:rsidRPr="00554167" w:rsidRDefault="00554167" w:rsidP="00C128EB">
            <w:pPr>
              <w:spacing w:before="0" w:after="0"/>
              <w:ind w:left="340"/>
              <w:rPr>
                <w:rFonts w:cs="Arial"/>
                <w:i/>
                <w:iCs/>
                <w:color w:val="808080"/>
                <w:sz w:val="16"/>
                <w:szCs w:val="16"/>
              </w:rPr>
            </w:pPr>
            <w:r w:rsidRPr="00554167">
              <w:rPr>
                <w:rFonts w:cs="Arial"/>
                <w:i/>
                <w:iCs/>
                <w:color w:val="808080"/>
                <w:sz w:val="16"/>
                <w:szCs w:val="16"/>
              </w:rPr>
              <w:t>FBT inclusion</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3</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3</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2</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r>
      <w:tr w:rsidR="00554167" w:rsidRPr="00D767A0" w:rsidTr="000553AA">
        <w:trPr>
          <w:trHeight w:val="225"/>
        </w:trPr>
        <w:tc>
          <w:tcPr>
            <w:tcW w:w="4252" w:type="dxa"/>
            <w:shd w:val="clear" w:color="auto" w:fill="auto"/>
            <w:noWrap/>
            <w:vAlign w:val="center"/>
          </w:tcPr>
          <w:p w:rsidR="00554167" w:rsidRPr="00554167" w:rsidRDefault="00554167" w:rsidP="00C128EB">
            <w:pPr>
              <w:spacing w:before="0" w:after="0"/>
              <w:ind w:left="227"/>
              <w:rPr>
                <w:rFonts w:cs="Arial"/>
                <w:i/>
                <w:iCs/>
                <w:color w:val="808080"/>
                <w:sz w:val="16"/>
                <w:szCs w:val="16"/>
              </w:rPr>
            </w:pPr>
            <w:r w:rsidRPr="00554167">
              <w:rPr>
                <w:rFonts w:cs="Arial"/>
                <w:i/>
                <w:iCs/>
                <w:color w:val="808080"/>
                <w:sz w:val="16"/>
                <w:szCs w:val="16"/>
              </w:rPr>
              <w:t>Reclassification</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r>
      <w:tr w:rsidR="00554167" w:rsidRPr="00D767A0" w:rsidTr="000553AA">
        <w:trPr>
          <w:trHeight w:val="225"/>
        </w:trPr>
        <w:tc>
          <w:tcPr>
            <w:tcW w:w="4252" w:type="dxa"/>
            <w:shd w:val="clear" w:color="auto" w:fill="auto"/>
            <w:noWrap/>
            <w:vAlign w:val="center"/>
          </w:tcPr>
          <w:p w:rsidR="00554167" w:rsidRPr="00554167" w:rsidRDefault="00554167" w:rsidP="00E80975">
            <w:pPr>
              <w:spacing w:before="0" w:after="0"/>
              <w:ind w:left="340"/>
              <w:rPr>
                <w:rFonts w:cs="Arial"/>
                <w:i/>
                <w:iCs/>
                <w:color w:val="808080"/>
                <w:sz w:val="16"/>
                <w:szCs w:val="16"/>
              </w:rPr>
            </w:pPr>
            <w:r w:rsidRPr="00554167">
              <w:rPr>
                <w:rFonts w:cs="Arial"/>
                <w:i/>
                <w:iCs/>
                <w:color w:val="808080"/>
                <w:sz w:val="16"/>
                <w:szCs w:val="16"/>
              </w:rPr>
              <w:t>Operation sunlight - trade, education and investment development</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182</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179</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183</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196</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195</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194</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206</w:t>
            </w: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r>
      <w:tr w:rsidR="00554167" w:rsidRPr="00D767A0" w:rsidTr="000553AA">
        <w:trPr>
          <w:trHeight w:val="225"/>
        </w:trPr>
        <w:tc>
          <w:tcPr>
            <w:tcW w:w="4252" w:type="dxa"/>
            <w:shd w:val="clear" w:color="auto" w:fill="auto"/>
            <w:noWrap/>
            <w:vAlign w:val="center"/>
          </w:tcPr>
          <w:p w:rsidR="00554167" w:rsidRPr="00554167" w:rsidRDefault="00554167" w:rsidP="00C128EB">
            <w:pPr>
              <w:spacing w:before="0" w:after="0"/>
              <w:ind w:left="340"/>
              <w:rPr>
                <w:rFonts w:cs="Arial"/>
                <w:i/>
                <w:iCs/>
                <w:color w:val="808080"/>
                <w:sz w:val="16"/>
                <w:szCs w:val="16"/>
              </w:rPr>
            </w:pPr>
            <w:r w:rsidRPr="00554167">
              <w:rPr>
                <w:rFonts w:cs="Arial"/>
                <w:i/>
                <w:iCs/>
                <w:color w:val="808080"/>
                <w:sz w:val="16"/>
                <w:szCs w:val="16"/>
              </w:rPr>
              <w:t>Operation sunlight - export development grant scheme</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150</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151</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131</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146</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154</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161</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200</w:t>
            </w: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r>
      <w:tr w:rsidR="00554167" w:rsidRPr="00D767A0" w:rsidTr="003B4A91">
        <w:trPr>
          <w:trHeight w:val="225"/>
        </w:trPr>
        <w:tc>
          <w:tcPr>
            <w:tcW w:w="4252" w:type="dxa"/>
            <w:shd w:val="clear" w:color="auto" w:fill="auto"/>
            <w:noWrap/>
            <w:vAlign w:val="center"/>
          </w:tcPr>
          <w:p w:rsidR="00554167" w:rsidRPr="00554167" w:rsidRDefault="00554167" w:rsidP="00C128EB">
            <w:pPr>
              <w:spacing w:before="0" w:after="0"/>
              <w:ind w:left="340"/>
              <w:rPr>
                <w:rFonts w:cs="Arial"/>
                <w:i/>
                <w:iCs/>
                <w:color w:val="808080"/>
                <w:sz w:val="16"/>
                <w:szCs w:val="16"/>
              </w:rPr>
            </w:pPr>
            <w:r w:rsidRPr="00554167">
              <w:rPr>
                <w:rFonts w:cs="Arial"/>
                <w:i/>
                <w:iCs/>
                <w:color w:val="808080"/>
                <w:sz w:val="16"/>
                <w:szCs w:val="16"/>
              </w:rPr>
              <w:t>Operation sunlight - innovative industry</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154</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206</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200</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216</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209</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235</w:t>
            </w:r>
          </w:p>
        </w:tc>
        <w:tc>
          <w:tcPr>
            <w:tcW w:w="794" w:type="dxa"/>
            <w:shd w:val="clear" w:color="auto" w:fill="auto"/>
            <w:noWrap/>
            <w:vAlign w:val="center"/>
          </w:tcPr>
          <w:p w:rsidR="00554167" w:rsidRPr="00554167" w:rsidRDefault="00554167" w:rsidP="00C128EB">
            <w:pPr>
              <w:spacing w:before="0" w:after="0"/>
              <w:jc w:val="right"/>
              <w:rPr>
                <w:rFonts w:cs="Arial"/>
                <w:i/>
                <w:iCs/>
                <w:color w:val="808080"/>
                <w:sz w:val="16"/>
                <w:szCs w:val="16"/>
              </w:rPr>
            </w:pPr>
            <w:r w:rsidRPr="00554167">
              <w:rPr>
                <w:rFonts w:cs="Arial"/>
                <w:i/>
                <w:iCs/>
                <w:color w:val="808080"/>
                <w:sz w:val="16"/>
                <w:szCs w:val="16"/>
              </w:rPr>
              <w:t>352</w:t>
            </w: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c>
          <w:tcPr>
            <w:tcW w:w="794" w:type="dxa"/>
            <w:shd w:val="clear" w:color="auto" w:fill="auto"/>
            <w:noWrap/>
            <w:vAlign w:val="center"/>
          </w:tcPr>
          <w:p w:rsidR="00554167" w:rsidRPr="00554167" w:rsidRDefault="00554167" w:rsidP="00C128EB">
            <w:pPr>
              <w:spacing w:before="0" w:after="0"/>
              <w:jc w:val="right"/>
              <w:rPr>
                <w:rFonts w:cs="Arial"/>
                <w:color w:val="000000"/>
                <w:sz w:val="16"/>
                <w:szCs w:val="16"/>
              </w:rPr>
            </w:pPr>
          </w:p>
        </w:tc>
      </w:tr>
      <w:tr w:rsidR="00554167" w:rsidRPr="00D767A0" w:rsidTr="004744C5">
        <w:trPr>
          <w:trHeight w:val="225"/>
        </w:trPr>
        <w:tc>
          <w:tcPr>
            <w:tcW w:w="4252" w:type="dxa"/>
            <w:tcBorders>
              <w:bottom w:val="dotted" w:sz="8" w:space="0" w:color="auto"/>
            </w:tcBorders>
            <w:shd w:val="clear" w:color="auto" w:fill="auto"/>
            <w:noWrap/>
            <w:vAlign w:val="center"/>
          </w:tcPr>
          <w:p w:rsidR="00554167" w:rsidRPr="00554167" w:rsidRDefault="00554167" w:rsidP="00C128EB">
            <w:pPr>
              <w:spacing w:before="0" w:after="0"/>
              <w:ind w:left="113"/>
              <w:rPr>
                <w:rFonts w:cs="Arial"/>
                <w:color w:val="000000"/>
                <w:sz w:val="16"/>
                <w:szCs w:val="16"/>
              </w:rPr>
            </w:pPr>
            <w:r w:rsidRPr="00554167">
              <w:rPr>
                <w:rFonts w:cs="Arial"/>
                <w:color w:val="000000"/>
                <w:sz w:val="16"/>
                <w:szCs w:val="16"/>
              </w:rPr>
              <w:t xml:space="preserve">Other economic affairs </w:t>
            </w:r>
            <w:proofErr w:type="spellStart"/>
            <w:r w:rsidRPr="00554167">
              <w:rPr>
                <w:rFonts w:cs="Arial"/>
                <w:color w:val="000000"/>
                <w:sz w:val="16"/>
                <w:szCs w:val="16"/>
              </w:rPr>
              <w:t>nec</w:t>
            </w:r>
            <w:proofErr w:type="spellEnd"/>
            <w:r w:rsidRPr="00554167">
              <w:rPr>
                <w:rFonts w:cs="Arial"/>
                <w:color w:val="000000"/>
                <w:sz w:val="16"/>
                <w:szCs w:val="16"/>
              </w:rPr>
              <w:t xml:space="preserve"> </w:t>
            </w:r>
            <w:r w:rsidR="00917DEC">
              <w:rPr>
                <w:rFonts w:cs="Arial"/>
                <w:color w:val="000000"/>
                <w:sz w:val="16"/>
                <w:szCs w:val="16"/>
              </w:rPr>
              <w:t>-</w:t>
            </w:r>
            <w:r w:rsidRPr="00554167">
              <w:rPr>
                <w:rFonts w:cs="Arial"/>
                <w:color w:val="000000"/>
                <w:sz w:val="16"/>
                <w:szCs w:val="16"/>
              </w:rPr>
              <w:t xml:space="preserve"> total</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1131</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1287</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1273</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1397</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1493</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1803</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2033</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2200</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2013</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2354</w:t>
            </w:r>
          </w:p>
        </w:tc>
        <w:tc>
          <w:tcPr>
            <w:tcW w:w="794" w:type="dxa"/>
            <w:tcBorders>
              <w:bottom w:val="dotted" w:sz="8" w:space="0" w:color="auto"/>
            </w:tcBorders>
            <w:shd w:val="clear" w:color="auto" w:fill="auto"/>
            <w:noWrap/>
            <w:vAlign w:val="center"/>
          </w:tcPr>
          <w:p w:rsidR="00554167" w:rsidRPr="00554167" w:rsidRDefault="00554167" w:rsidP="00C128EB">
            <w:pPr>
              <w:spacing w:before="0" w:after="0"/>
              <w:jc w:val="right"/>
              <w:rPr>
                <w:rFonts w:cs="Arial"/>
                <w:color w:val="000000"/>
                <w:sz w:val="16"/>
                <w:szCs w:val="16"/>
              </w:rPr>
            </w:pPr>
            <w:r w:rsidRPr="00554167">
              <w:rPr>
                <w:rFonts w:cs="Arial"/>
                <w:color w:val="000000"/>
                <w:sz w:val="16"/>
                <w:szCs w:val="16"/>
              </w:rPr>
              <w:t>2752</w:t>
            </w:r>
          </w:p>
        </w:tc>
      </w:tr>
      <w:tr w:rsidR="00554167" w:rsidRPr="00D767A0" w:rsidTr="004744C5">
        <w:trPr>
          <w:trHeight w:val="225"/>
        </w:trPr>
        <w:tc>
          <w:tcPr>
            <w:tcW w:w="4252" w:type="dxa"/>
            <w:tcBorders>
              <w:top w:val="dotted" w:sz="8" w:space="0" w:color="auto"/>
              <w:bottom w:val="single" w:sz="8" w:space="0" w:color="2B3B5F"/>
            </w:tcBorders>
            <w:shd w:val="clear" w:color="auto" w:fill="auto"/>
            <w:noWrap/>
            <w:vAlign w:val="center"/>
          </w:tcPr>
          <w:p w:rsidR="00554167" w:rsidRPr="00554167" w:rsidRDefault="000C47B2" w:rsidP="00C128EB">
            <w:pPr>
              <w:spacing w:before="0" w:after="0"/>
              <w:rPr>
                <w:rFonts w:cs="Arial"/>
                <w:b/>
                <w:bCs/>
                <w:color w:val="000000"/>
                <w:sz w:val="16"/>
                <w:szCs w:val="16"/>
              </w:rPr>
            </w:pPr>
            <w:r>
              <w:rPr>
                <w:rFonts w:cs="Arial"/>
                <w:b/>
                <w:bCs/>
                <w:color w:val="000000"/>
                <w:sz w:val="16"/>
                <w:szCs w:val="16"/>
              </w:rPr>
              <w:t>O</w:t>
            </w:r>
            <w:r w:rsidR="00554167" w:rsidRPr="00554167">
              <w:rPr>
                <w:rFonts w:cs="Arial"/>
                <w:b/>
                <w:bCs/>
                <w:color w:val="000000"/>
                <w:sz w:val="16"/>
                <w:szCs w:val="16"/>
              </w:rPr>
              <w:t>ther economic affairs</w:t>
            </w:r>
            <w:r>
              <w:rPr>
                <w:rFonts w:cs="Arial"/>
                <w:b/>
                <w:bCs/>
                <w:color w:val="000000"/>
                <w:sz w:val="16"/>
                <w:szCs w:val="16"/>
              </w:rPr>
              <w:t xml:space="preserve"> – total</w:t>
            </w:r>
          </w:p>
        </w:tc>
        <w:tc>
          <w:tcPr>
            <w:tcW w:w="794" w:type="dxa"/>
            <w:tcBorders>
              <w:top w:val="dotted" w:sz="8" w:space="0" w:color="auto"/>
              <w:bottom w:val="single" w:sz="8" w:space="0" w:color="2B3B5F"/>
            </w:tcBorders>
            <w:shd w:val="clear" w:color="auto" w:fill="auto"/>
            <w:noWrap/>
            <w:vAlign w:val="center"/>
          </w:tcPr>
          <w:p w:rsidR="00554167" w:rsidRPr="00554167" w:rsidRDefault="00554167" w:rsidP="00C128EB">
            <w:pPr>
              <w:spacing w:before="0" w:after="0"/>
              <w:jc w:val="right"/>
              <w:rPr>
                <w:rFonts w:cs="Arial"/>
                <w:b/>
                <w:bCs/>
                <w:color w:val="000000"/>
                <w:sz w:val="16"/>
                <w:szCs w:val="16"/>
              </w:rPr>
            </w:pPr>
            <w:r w:rsidRPr="00554167">
              <w:rPr>
                <w:rFonts w:cs="Arial"/>
                <w:b/>
                <w:bCs/>
                <w:color w:val="000000"/>
                <w:sz w:val="16"/>
                <w:szCs w:val="16"/>
              </w:rPr>
              <w:t>4292</w:t>
            </w:r>
          </w:p>
        </w:tc>
        <w:tc>
          <w:tcPr>
            <w:tcW w:w="794" w:type="dxa"/>
            <w:tcBorders>
              <w:top w:val="dotted" w:sz="8" w:space="0" w:color="auto"/>
              <w:bottom w:val="single" w:sz="8" w:space="0" w:color="2B3B5F"/>
            </w:tcBorders>
            <w:shd w:val="clear" w:color="auto" w:fill="auto"/>
            <w:noWrap/>
            <w:vAlign w:val="center"/>
          </w:tcPr>
          <w:p w:rsidR="00554167" w:rsidRPr="00554167" w:rsidRDefault="00554167" w:rsidP="00C128EB">
            <w:pPr>
              <w:spacing w:before="0" w:after="0"/>
              <w:jc w:val="right"/>
              <w:rPr>
                <w:rFonts w:cs="Arial"/>
                <w:b/>
                <w:bCs/>
                <w:color w:val="000000"/>
                <w:sz w:val="16"/>
                <w:szCs w:val="16"/>
              </w:rPr>
            </w:pPr>
            <w:r w:rsidRPr="00554167">
              <w:rPr>
                <w:rFonts w:cs="Arial"/>
                <w:b/>
                <w:bCs/>
                <w:color w:val="000000"/>
                <w:sz w:val="16"/>
                <w:szCs w:val="16"/>
              </w:rPr>
              <w:t>4826</w:t>
            </w:r>
          </w:p>
        </w:tc>
        <w:tc>
          <w:tcPr>
            <w:tcW w:w="794" w:type="dxa"/>
            <w:tcBorders>
              <w:top w:val="dotted" w:sz="8" w:space="0" w:color="auto"/>
              <w:bottom w:val="single" w:sz="8" w:space="0" w:color="2B3B5F"/>
            </w:tcBorders>
            <w:shd w:val="clear" w:color="auto" w:fill="auto"/>
            <w:noWrap/>
            <w:vAlign w:val="center"/>
          </w:tcPr>
          <w:p w:rsidR="00554167" w:rsidRPr="00554167" w:rsidRDefault="00554167" w:rsidP="00C128EB">
            <w:pPr>
              <w:spacing w:before="0" w:after="0"/>
              <w:jc w:val="right"/>
              <w:rPr>
                <w:rFonts w:cs="Arial"/>
                <w:b/>
                <w:bCs/>
                <w:color w:val="000000"/>
                <w:sz w:val="16"/>
                <w:szCs w:val="16"/>
              </w:rPr>
            </w:pPr>
            <w:r w:rsidRPr="00554167">
              <w:rPr>
                <w:rFonts w:cs="Arial"/>
                <w:b/>
                <w:bCs/>
                <w:color w:val="000000"/>
                <w:sz w:val="16"/>
                <w:szCs w:val="16"/>
              </w:rPr>
              <w:t>5414</w:t>
            </w:r>
          </w:p>
        </w:tc>
        <w:tc>
          <w:tcPr>
            <w:tcW w:w="794" w:type="dxa"/>
            <w:tcBorders>
              <w:top w:val="dotted" w:sz="8" w:space="0" w:color="auto"/>
              <w:bottom w:val="single" w:sz="8" w:space="0" w:color="2B3B5F"/>
            </w:tcBorders>
            <w:shd w:val="clear" w:color="auto" w:fill="auto"/>
            <w:noWrap/>
            <w:vAlign w:val="center"/>
          </w:tcPr>
          <w:p w:rsidR="00554167" w:rsidRPr="00554167" w:rsidRDefault="00554167" w:rsidP="00C128EB">
            <w:pPr>
              <w:spacing w:before="0" w:after="0"/>
              <w:jc w:val="right"/>
              <w:rPr>
                <w:rFonts w:cs="Arial"/>
                <w:b/>
                <w:bCs/>
                <w:color w:val="000000"/>
                <w:sz w:val="16"/>
                <w:szCs w:val="16"/>
              </w:rPr>
            </w:pPr>
            <w:r w:rsidRPr="00554167">
              <w:rPr>
                <w:rFonts w:cs="Arial"/>
                <w:b/>
                <w:bCs/>
                <w:color w:val="000000"/>
                <w:sz w:val="16"/>
                <w:szCs w:val="16"/>
              </w:rPr>
              <w:t>5431</w:t>
            </w:r>
          </w:p>
        </w:tc>
        <w:tc>
          <w:tcPr>
            <w:tcW w:w="794" w:type="dxa"/>
            <w:tcBorders>
              <w:top w:val="dotted" w:sz="8" w:space="0" w:color="auto"/>
              <w:bottom w:val="single" w:sz="8" w:space="0" w:color="2B3B5F"/>
            </w:tcBorders>
            <w:shd w:val="clear" w:color="auto" w:fill="auto"/>
            <w:noWrap/>
            <w:vAlign w:val="center"/>
          </w:tcPr>
          <w:p w:rsidR="00554167" w:rsidRPr="00554167" w:rsidRDefault="00554167" w:rsidP="00C128EB">
            <w:pPr>
              <w:spacing w:before="0" w:after="0"/>
              <w:jc w:val="right"/>
              <w:rPr>
                <w:rFonts w:cs="Arial"/>
                <w:b/>
                <w:bCs/>
                <w:color w:val="000000"/>
                <w:sz w:val="16"/>
                <w:szCs w:val="16"/>
              </w:rPr>
            </w:pPr>
            <w:r w:rsidRPr="00554167">
              <w:rPr>
                <w:rFonts w:cs="Arial"/>
                <w:b/>
                <w:bCs/>
                <w:color w:val="000000"/>
                <w:sz w:val="16"/>
                <w:szCs w:val="16"/>
              </w:rPr>
              <w:t>5725</w:t>
            </w:r>
          </w:p>
        </w:tc>
        <w:tc>
          <w:tcPr>
            <w:tcW w:w="794" w:type="dxa"/>
            <w:tcBorders>
              <w:top w:val="dotted" w:sz="8" w:space="0" w:color="auto"/>
              <w:bottom w:val="single" w:sz="8" w:space="0" w:color="2B3B5F"/>
            </w:tcBorders>
            <w:shd w:val="clear" w:color="auto" w:fill="auto"/>
            <w:noWrap/>
            <w:vAlign w:val="center"/>
          </w:tcPr>
          <w:p w:rsidR="00554167" w:rsidRPr="00554167" w:rsidRDefault="00554167" w:rsidP="00C128EB">
            <w:pPr>
              <w:spacing w:before="0" w:after="0"/>
              <w:jc w:val="right"/>
              <w:rPr>
                <w:rFonts w:cs="Arial"/>
                <w:b/>
                <w:bCs/>
                <w:color w:val="000000"/>
                <w:sz w:val="16"/>
                <w:szCs w:val="16"/>
              </w:rPr>
            </w:pPr>
            <w:r w:rsidRPr="00554167">
              <w:rPr>
                <w:rFonts w:cs="Arial"/>
                <w:b/>
                <w:bCs/>
                <w:color w:val="000000"/>
                <w:sz w:val="16"/>
                <w:szCs w:val="16"/>
              </w:rPr>
              <w:t>6515</w:t>
            </w:r>
          </w:p>
        </w:tc>
        <w:tc>
          <w:tcPr>
            <w:tcW w:w="794" w:type="dxa"/>
            <w:tcBorders>
              <w:top w:val="dotted" w:sz="8" w:space="0" w:color="auto"/>
              <w:bottom w:val="single" w:sz="8" w:space="0" w:color="2B3B5F"/>
            </w:tcBorders>
            <w:shd w:val="clear" w:color="auto" w:fill="auto"/>
            <w:noWrap/>
            <w:vAlign w:val="center"/>
          </w:tcPr>
          <w:p w:rsidR="00554167" w:rsidRPr="00554167" w:rsidRDefault="00554167" w:rsidP="00C128EB">
            <w:pPr>
              <w:spacing w:before="0" w:after="0"/>
              <w:jc w:val="right"/>
              <w:rPr>
                <w:rFonts w:cs="Arial"/>
                <w:b/>
                <w:bCs/>
                <w:color w:val="000000"/>
                <w:sz w:val="16"/>
                <w:szCs w:val="16"/>
              </w:rPr>
            </w:pPr>
            <w:r w:rsidRPr="00554167">
              <w:rPr>
                <w:rFonts w:cs="Arial"/>
                <w:b/>
                <w:bCs/>
                <w:color w:val="000000"/>
                <w:sz w:val="16"/>
                <w:szCs w:val="16"/>
              </w:rPr>
              <w:t>7265</w:t>
            </w:r>
          </w:p>
        </w:tc>
        <w:tc>
          <w:tcPr>
            <w:tcW w:w="794" w:type="dxa"/>
            <w:tcBorders>
              <w:top w:val="dotted" w:sz="8" w:space="0" w:color="auto"/>
              <w:bottom w:val="single" w:sz="8" w:space="0" w:color="2B3B5F"/>
            </w:tcBorders>
            <w:shd w:val="clear" w:color="auto" w:fill="auto"/>
            <w:noWrap/>
            <w:vAlign w:val="center"/>
          </w:tcPr>
          <w:p w:rsidR="00554167" w:rsidRPr="00554167" w:rsidRDefault="00554167" w:rsidP="00C128EB">
            <w:pPr>
              <w:spacing w:before="0" w:after="0"/>
              <w:jc w:val="right"/>
              <w:rPr>
                <w:rFonts w:cs="Arial"/>
                <w:b/>
                <w:bCs/>
                <w:color w:val="000000"/>
                <w:sz w:val="16"/>
                <w:szCs w:val="16"/>
              </w:rPr>
            </w:pPr>
            <w:r w:rsidRPr="00554167">
              <w:rPr>
                <w:rFonts w:cs="Arial"/>
                <w:b/>
                <w:bCs/>
                <w:color w:val="000000"/>
                <w:sz w:val="16"/>
                <w:szCs w:val="16"/>
              </w:rPr>
              <w:t>8628</w:t>
            </w:r>
          </w:p>
        </w:tc>
        <w:tc>
          <w:tcPr>
            <w:tcW w:w="794" w:type="dxa"/>
            <w:tcBorders>
              <w:top w:val="dotted" w:sz="8" w:space="0" w:color="auto"/>
              <w:bottom w:val="single" w:sz="8" w:space="0" w:color="2B3B5F"/>
            </w:tcBorders>
            <w:shd w:val="clear" w:color="auto" w:fill="auto"/>
            <w:noWrap/>
            <w:vAlign w:val="center"/>
          </w:tcPr>
          <w:p w:rsidR="00554167" w:rsidRPr="00554167" w:rsidRDefault="00554167" w:rsidP="00C128EB">
            <w:pPr>
              <w:spacing w:before="0" w:after="0"/>
              <w:jc w:val="right"/>
              <w:rPr>
                <w:rFonts w:cs="Arial"/>
                <w:b/>
                <w:bCs/>
                <w:color w:val="000000"/>
                <w:sz w:val="16"/>
                <w:szCs w:val="16"/>
              </w:rPr>
            </w:pPr>
            <w:r w:rsidRPr="00554167">
              <w:rPr>
                <w:rFonts w:cs="Arial"/>
                <w:b/>
                <w:bCs/>
                <w:color w:val="000000"/>
                <w:sz w:val="16"/>
                <w:szCs w:val="16"/>
              </w:rPr>
              <w:t>9046</w:t>
            </w:r>
          </w:p>
        </w:tc>
        <w:tc>
          <w:tcPr>
            <w:tcW w:w="794" w:type="dxa"/>
            <w:tcBorders>
              <w:top w:val="dotted" w:sz="8" w:space="0" w:color="auto"/>
              <w:bottom w:val="single" w:sz="8" w:space="0" w:color="2B3B5F"/>
            </w:tcBorders>
            <w:shd w:val="clear" w:color="auto" w:fill="auto"/>
            <w:noWrap/>
            <w:vAlign w:val="center"/>
          </w:tcPr>
          <w:p w:rsidR="00554167" w:rsidRPr="00554167" w:rsidRDefault="00FB0361" w:rsidP="00C128EB">
            <w:pPr>
              <w:spacing w:before="0" w:after="0"/>
              <w:jc w:val="right"/>
              <w:rPr>
                <w:rFonts w:cs="Arial"/>
                <w:b/>
                <w:bCs/>
                <w:color w:val="000000"/>
                <w:sz w:val="16"/>
                <w:szCs w:val="16"/>
              </w:rPr>
            </w:pPr>
            <w:r>
              <w:rPr>
                <w:rFonts w:cs="Arial"/>
                <w:b/>
                <w:bCs/>
                <w:color w:val="000000"/>
                <w:sz w:val="16"/>
                <w:szCs w:val="16"/>
              </w:rPr>
              <w:t>10054</w:t>
            </w:r>
          </w:p>
        </w:tc>
        <w:tc>
          <w:tcPr>
            <w:tcW w:w="794" w:type="dxa"/>
            <w:tcBorders>
              <w:top w:val="dotted" w:sz="8" w:space="0" w:color="auto"/>
              <w:bottom w:val="single" w:sz="8" w:space="0" w:color="2B3B5F"/>
            </w:tcBorders>
            <w:shd w:val="clear" w:color="auto" w:fill="auto"/>
            <w:noWrap/>
            <w:vAlign w:val="center"/>
          </w:tcPr>
          <w:p w:rsidR="00554167" w:rsidRPr="00554167" w:rsidRDefault="00554167" w:rsidP="00C128EB">
            <w:pPr>
              <w:spacing w:before="0" w:after="0"/>
              <w:jc w:val="right"/>
              <w:rPr>
                <w:rFonts w:cs="Arial"/>
                <w:b/>
                <w:bCs/>
                <w:color w:val="000000"/>
                <w:sz w:val="16"/>
                <w:szCs w:val="16"/>
              </w:rPr>
            </w:pPr>
            <w:r w:rsidRPr="00554167">
              <w:rPr>
                <w:rFonts w:cs="Arial"/>
                <w:b/>
                <w:bCs/>
                <w:color w:val="000000"/>
                <w:sz w:val="16"/>
                <w:szCs w:val="16"/>
              </w:rPr>
              <w:t>10631</w:t>
            </w:r>
          </w:p>
        </w:tc>
      </w:tr>
      <w:tr w:rsidR="00512130" w:rsidRPr="00D767A0" w:rsidTr="00512130">
        <w:trPr>
          <w:trHeight w:val="470"/>
        </w:trPr>
        <w:tc>
          <w:tcPr>
            <w:tcW w:w="12986" w:type="dxa"/>
            <w:gridSpan w:val="12"/>
            <w:tcBorders>
              <w:top w:val="single" w:sz="8" w:space="0" w:color="2B3B5F"/>
            </w:tcBorders>
            <w:shd w:val="clear" w:color="auto" w:fill="auto"/>
            <w:noWrap/>
            <w:vAlign w:val="center"/>
          </w:tcPr>
          <w:p w:rsidR="00512130" w:rsidRPr="004F24C8" w:rsidRDefault="00512130" w:rsidP="00C128EB">
            <w:pPr>
              <w:spacing w:before="0" w:after="0" w:line="240" w:lineRule="auto"/>
              <w:jc w:val="right"/>
              <w:rPr>
                <w:rFonts w:eastAsia="Times New Roman" w:cs="Arial"/>
                <w:bCs/>
                <w:color w:val="000000"/>
                <w:sz w:val="16"/>
                <w:szCs w:val="16"/>
              </w:rPr>
            </w:pPr>
          </w:p>
        </w:tc>
      </w:tr>
      <w:tr w:rsidR="00AB70F3" w:rsidRPr="00D767A0" w:rsidTr="003B4A91">
        <w:trPr>
          <w:trHeight w:val="225"/>
        </w:trPr>
        <w:tc>
          <w:tcPr>
            <w:tcW w:w="4252" w:type="dxa"/>
            <w:tcBorders>
              <w:top w:val="single" w:sz="8" w:space="0" w:color="2B3B5F"/>
              <w:bottom w:val="dotted" w:sz="8" w:space="0" w:color="auto"/>
            </w:tcBorders>
            <w:shd w:val="clear" w:color="auto" w:fill="95A4C6"/>
            <w:noWrap/>
            <w:vAlign w:val="center"/>
          </w:tcPr>
          <w:p w:rsidR="00AB70F3" w:rsidRPr="00AB70F3" w:rsidRDefault="00AB70F3" w:rsidP="00E86331">
            <w:pPr>
              <w:spacing w:before="0" w:after="0"/>
              <w:rPr>
                <w:rFonts w:cs="Arial"/>
                <w:color w:val="000000"/>
                <w:sz w:val="16"/>
                <w:szCs w:val="16"/>
              </w:rPr>
            </w:pPr>
          </w:p>
        </w:tc>
        <w:tc>
          <w:tcPr>
            <w:tcW w:w="794" w:type="dxa"/>
            <w:tcBorders>
              <w:top w:val="single" w:sz="8" w:space="0" w:color="2B3B5F"/>
              <w:bottom w:val="dotted" w:sz="8" w:space="0" w:color="auto"/>
            </w:tcBorders>
            <w:shd w:val="clear" w:color="auto" w:fill="95A4C6"/>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2002-03</w:t>
            </w:r>
          </w:p>
        </w:tc>
        <w:tc>
          <w:tcPr>
            <w:tcW w:w="794" w:type="dxa"/>
            <w:tcBorders>
              <w:top w:val="single" w:sz="8" w:space="0" w:color="2B3B5F"/>
              <w:bottom w:val="dotted" w:sz="8" w:space="0" w:color="auto"/>
            </w:tcBorders>
            <w:shd w:val="clear" w:color="auto" w:fill="95A4C6"/>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2003-04</w:t>
            </w:r>
          </w:p>
        </w:tc>
        <w:tc>
          <w:tcPr>
            <w:tcW w:w="794" w:type="dxa"/>
            <w:tcBorders>
              <w:top w:val="single" w:sz="8" w:space="0" w:color="2B3B5F"/>
              <w:bottom w:val="dotted" w:sz="8" w:space="0" w:color="auto"/>
            </w:tcBorders>
            <w:shd w:val="clear" w:color="auto" w:fill="95A4C6"/>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2004-05</w:t>
            </w:r>
          </w:p>
        </w:tc>
        <w:tc>
          <w:tcPr>
            <w:tcW w:w="794" w:type="dxa"/>
            <w:tcBorders>
              <w:top w:val="single" w:sz="8" w:space="0" w:color="2B3B5F"/>
              <w:bottom w:val="dotted" w:sz="8" w:space="0" w:color="auto"/>
            </w:tcBorders>
            <w:shd w:val="clear" w:color="auto" w:fill="95A4C6"/>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2005-06</w:t>
            </w:r>
          </w:p>
        </w:tc>
        <w:tc>
          <w:tcPr>
            <w:tcW w:w="794" w:type="dxa"/>
            <w:tcBorders>
              <w:top w:val="single" w:sz="8" w:space="0" w:color="2B3B5F"/>
              <w:bottom w:val="dotted" w:sz="8" w:space="0" w:color="auto"/>
            </w:tcBorders>
            <w:shd w:val="clear" w:color="auto" w:fill="95A4C6"/>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2006-07</w:t>
            </w:r>
          </w:p>
        </w:tc>
        <w:tc>
          <w:tcPr>
            <w:tcW w:w="794" w:type="dxa"/>
            <w:tcBorders>
              <w:top w:val="single" w:sz="8" w:space="0" w:color="2B3B5F"/>
              <w:bottom w:val="dotted" w:sz="8" w:space="0" w:color="auto"/>
            </w:tcBorders>
            <w:shd w:val="clear" w:color="auto" w:fill="95A4C6"/>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2007-08</w:t>
            </w:r>
          </w:p>
        </w:tc>
        <w:tc>
          <w:tcPr>
            <w:tcW w:w="794" w:type="dxa"/>
            <w:tcBorders>
              <w:top w:val="single" w:sz="8" w:space="0" w:color="2B3B5F"/>
              <w:bottom w:val="dotted" w:sz="8" w:space="0" w:color="auto"/>
            </w:tcBorders>
            <w:shd w:val="clear" w:color="auto" w:fill="95A4C6"/>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2008-09</w:t>
            </w:r>
          </w:p>
        </w:tc>
        <w:tc>
          <w:tcPr>
            <w:tcW w:w="794" w:type="dxa"/>
            <w:tcBorders>
              <w:top w:val="single" w:sz="8" w:space="0" w:color="2B3B5F"/>
              <w:bottom w:val="dotted" w:sz="8" w:space="0" w:color="auto"/>
            </w:tcBorders>
            <w:shd w:val="clear" w:color="auto" w:fill="95A4C6"/>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2009-10</w:t>
            </w:r>
          </w:p>
        </w:tc>
        <w:tc>
          <w:tcPr>
            <w:tcW w:w="794" w:type="dxa"/>
            <w:tcBorders>
              <w:top w:val="single" w:sz="8" w:space="0" w:color="2B3B5F"/>
              <w:bottom w:val="dotted" w:sz="8" w:space="0" w:color="auto"/>
            </w:tcBorders>
            <w:shd w:val="clear" w:color="auto" w:fill="95A4C6"/>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2010-11</w:t>
            </w:r>
          </w:p>
        </w:tc>
        <w:tc>
          <w:tcPr>
            <w:tcW w:w="794" w:type="dxa"/>
            <w:tcBorders>
              <w:top w:val="single" w:sz="8" w:space="0" w:color="2B3B5F"/>
              <w:bottom w:val="dotted" w:sz="8" w:space="0" w:color="auto"/>
            </w:tcBorders>
            <w:shd w:val="clear" w:color="auto" w:fill="95A4C6"/>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2011-12</w:t>
            </w:r>
          </w:p>
        </w:tc>
        <w:tc>
          <w:tcPr>
            <w:tcW w:w="794" w:type="dxa"/>
            <w:tcBorders>
              <w:top w:val="single" w:sz="8" w:space="0" w:color="2B3B5F"/>
              <w:bottom w:val="dotted" w:sz="8" w:space="0" w:color="auto"/>
            </w:tcBorders>
            <w:shd w:val="clear" w:color="auto" w:fill="95A4C6"/>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2012-13</w:t>
            </w:r>
          </w:p>
        </w:tc>
      </w:tr>
      <w:tr w:rsidR="00AB70F3" w:rsidRPr="00D767A0" w:rsidTr="003B4A91">
        <w:trPr>
          <w:trHeight w:val="225"/>
        </w:trPr>
        <w:tc>
          <w:tcPr>
            <w:tcW w:w="4252"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rPr>
                <w:rFonts w:cs="Arial"/>
                <w:b/>
                <w:bCs/>
                <w:color w:val="000000"/>
                <w:sz w:val="16"/>
                <w:szCs w:val="16"/>
              </w:rPr>
            </w:pPr>
            <w:r w:rsidRPr="00AB70F3">
              <w:rPr>
                <w:rFonts w:cs="Arial"/>
                <w:b/>
                <w:bCs/>
                <w:color w:val="000000"/>
                <w:sz w:val="16"/>
                <w:szCs w:val="16"/>
              </w:rPr>
              <w:t>Other purposes - as published</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13743</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11771</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11975</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13393</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12338</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54868</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56222</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60283</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71696</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70253</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72623</w:t>
            </w:r>
          </w:p>
        </w:tc>
      </w:tr>
      <w:tr w:rsidR="00AB70F3" w:rsidRPr="00D767A0" w:rsidTr="003B4A91">
        <w:trPr>
          <w:trHeight w:val="225"/>
        </w:trPr>
        <w:tc>
          <w:tcPr>
            <w:tcW w:w="4252"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ind w:left="113"/>
              <w:rPr>
                <w:rFonts w:cs="Arial"/>
                <w:color w:val="000000"/>
                <w:sz w:val="16"/>
                <w:szCs w:val="16"/>
              </w:rPr>
            </w:pPr>
            <w:r w:rsidRPr="00AB70F3">
              <w:rPr>
                <w:rFonts w:cs="Arial"/>
                <w:color w:val="000000"/>
                <w:sz w:val="16"/>
                <w:szCs w:val="16"/>
              </w:rPr>
              <w:t>Public debt interest</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4629</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4001</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3880</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3628</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3592</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3544</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3946</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6303</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9273</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11421</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12521</w:t>
            </w:r>
          </w:p>
        </w:tc>
      </w:tr>
      <w:tr w:rsidR="00AB70F3" w:rsidRPr="00D767A0" w:rsidTr="003B4A91">
        <w:trPr>
          <w:trHeight w:val="225"/>
        </w:trPr>
        <w:tc>
          <w:tcPr>
            <w:tcW w:w="4252" w:type="dxa"/>
            <w:tcBorders>
              <w:top w:val="dotted" w:sz="8" w:space="0" w:color="auto"/>
            </w:tcBorders>
            <w:shd w:val="clear" w:color="auto" w:fill="auto"/>
            <w:noWrap/>
            <w:vAlign w:val="center"/>
          </w:tcPr>
          <w:p w:rsidR="00AB70F3" w:rsidRPr="00AB70F3" w:rsidRDefault="00AB70F3" w:rsidP="00E86331">
            <w:pPr>
              <w:spacing w:before="0" w:after="0"/>
              <w:ind w:left="113"/>
              <w:rPr>
                <w:rFonts w:cs="Arial"/>
                <w:color w:val="000000"/>
                <w:sz w:val="16"/>
                <w:szCs w:val="16"/>
              </w:rPr>
            </w:pPr>
            <w:r w:rsidRPr="00AB70F3">
              <w:rPr>
                <w:rFonts w:cs="Arial"/>
                <w:color w:val="000000"/>
                <w:sz w:val="16"/>
                <w:szCs w:val="16"/>
              </w:rPr>
              <w:t>Nominal superannuation interest - as published</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5409</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4898</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5005</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5582</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5470</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6011</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6715</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6687</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6997</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7376</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6729</w:t>
            </w:r>
          </w:p>
        </w:tc>
      </w:tr>
      <w:tr w:rsidR="00AB70F3" w:rsidRPr="00D767A0" w:rsidTr="003B4A91">
        <w:trPr>
          <w:trHeight w:val="225"/>
        </w:trPr>
        <w:tc>
          <w:tcPr>
            <w:tcW w:w="4252" w:type="dxa"/>
            <w:shd w:val="clear" w:color="auto" w:fill="auto"/>
            <w:noWrap/>
            <w:vAlign w:val="center"/>
          </w:tcPr>
          <w:p w:rsidR="00AB70F3" w:rsidRPr="00AB70F3" w:rsidRDefault="00AB70F3" w:rsidP="00E80975">
            <w:pPr>
              <w:spacing w:before="0" w:after="0"/>
              <w:ind w:left="227"/>
              <w:rPr>
                <w:rFonts w:cs="Arial"/>
                <w:i/>
                <w:iCs/>
                <w:color w:val="808080"/>
                <w:sz w:val="16"/>
                <w:szCs w:val="16"/>
              </w:rPr>
            </w:pPr>
            <w:r w:rsidRPr="00AB70F3">
              <w:rPr>
                <w:rFonts w:cs="Arial"/>
                <w:i/>
                <w:iCs/>
                <w:color w:val="808080"/>
                <w:sz w:val="16"/>
                <w:szCs w:val="16"/>
              </w:rPr>
              <w:t>Accounting change - to government bond rate</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161</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120</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81</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55</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174</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253</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265</w:t>
            </w:r>
          </w:p>
        </w:tc>
        <w:tc>
          <w:tcPr>
            <w:tcW w:w="794" w:type="dxa"/>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 </w:t>
            </w:r>
          </w:p>
        </w:tc>
      </w:tr>
      <w:tr w:rsidR="00AB70F3" w:rsidRPr="00D767A0" w:rsidTr="003B4A91">
        <w:trPr>
          <w:trHeight w:val="225"/>
        </w:trPr>
        <w:tc>
          <w:tcPr>
            <w:tcW w:w="4252" w:type="dxa"/>
            <w:tcBorders>
              <w:bottom w:val="dotted" w:sz="8" w:space="0" w:color="auto"/>
            </w:tcBorders>
            <w:shd w:val="clear" w:color="auto" w:fill="auto"/>
            <w:noWrap/>
            <w:vAlign w:val="center"/>
          </w:tcPr>
          <w:p w:rsidR="00AB70F3" w:rsidRPr="00AB70F3" w:rsidRDefault="00AB70F3" w:rsidP="00E86331">
            <w:pPr>
              <w:spacing w:before="0" w:after="0"/>
              <w:ind w:left="113"/>
              <w:rPr>
                <w:rFonts w:cs="Arial"/>
                <w:color w:val="000000"/>
                <w:sz w:val="16"/>
                <w:szCs w:val="16"/>
              </w:rPr>
            </w:pPr>
            <w:r w:rsidRPr="00AB70F3">
              <w:rPr>
                <w:rFonts w:cs="Arial"/>
                <w:color w:val="000000"/>
                <w:sz w:val="16"/>
                <w:szCs w:val="16"/>
              </w:rPr>
              <w:t>Nominal superannuation interest - total</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5409</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4898</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5005</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5743</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5590</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6092</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6770</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6861</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7250</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7641</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6729</w:t>
            </w:r>
          </w:p>
        </w:tc>
      </w:tr>
      <w:tr w:rsidR="00AB70F3" w:rsidRPr="00D767A0" w:rsidTr="003B4A91">
        <w:trPr>
          <w:trHeight w:val="225"/>
        </w:trPr>
        <w:tc>
          <w:tcPr>
            <w:tcW w:w="4252" w:type="dxa"/>
            <w:tcBorders>
              <w:top w:val="dotted" w:sz="8" w:space="0" w:color="auto"/>
            </w:tcBorders>
            <w:shd w:val="clear" w:color="auto" w:fill="auto"/>
            <w:noWrap/>
            <w:vAlign w:val="center"/>
          </w:tcPr>
          <w:p w:rsidR="00AB70F3" w:rsidRPr="00AB70F3" w:rsidRDefault="00AB70F3" w:rsidP="00E86331">
            <w:pPr>
              <w:spacing w:before="0" w:after="0"/>
              <w:ind w:left="113"/>
              <w:rPr>
                <w:rFonts w:cs="Arial"/>
                <w:color w:val="000000"/>
                <w:sz w:val="16"/>
                <w:szCs w:val="16"/>
              </w:rPr>
            </w:pPr>
            <w:r w:rsidRPr="00AB70F3">
              <w:rPr>
                <w:rFonts w:cs="Arial"/>
                <w:color w:val="000000"/>
                <w:sz w:val="16"/>
                <w:szCs w:val="16"/>
              </w:rPr>
              <w:t xml:space="preserve">General revenue assistance - as published </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2141</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1264</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1450</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2306</w:t>
            </w:r>
          </w:p>
        </w:tc>
        <w:tc>
          <w:tcPr>
            <w:tcW w:w="794" w:type="dxa"/>
            <w:tcBorders>
              <w:top w:val="dotted" w:sz="8" w:space="0" w:color="auto"/>
            </w:tcBorders>
            <w:shd w:val="clear" w:color="auto" w:fill="auto"/>
            <w:noWrap/>
            <w:vAlign w:val="center"/>
          </w:tcPr>
          <w:p w:rsidR="00AB70F3" w:rsidRPr="00AB70F3" w:rsidRDefault="009D7ADF" w:rsidP="00E86331">
            <w:pPr>
              <w:spacing w:before="0" w:after="0"/>
              <w:jc w:val="right"/>
              <w:rPr>
                <w:rFonts w:cs="Arial"/>
                <w:color w:val="000000"/>
                <w:sz w:val="16"/>
                <w:szCs w:val="16"/>
              </w:rPr>
            </w:pPr>
            <w:r>
              <w:rPr>
                <w:rFonts w:cs="Arial"/>
                <w:color w:val="000000"/>
                <w:sz w:val="16"/>
                <w:szCs w:val="16"/>
              </w:rPr>
              <w:t>86</w:t>
            </w:r>
            <w:r w:rsidR="000C47B2">
              <w:rPr>
                <w:rFonts w:cs="Arial"/>
                <w:color w:val="000000"/>
                <w:sz w:val="16"/>
                <w:szCs w:val="16"/>
              </w:rPr>
              <w:t>9</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43479</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42395</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44830</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46964</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47149</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49244</w:t>
            </w:r>
          </w:p>
        </w:tc>
      </w:tr>
      <w:tr w:rsidR="00AB70F3" w:rsidRPr="00D767A0" w:rsidTr="000553AA">
        <w:trPr>
          <w:trHeight w:val="225"/>
        </w:trPr>
        <w:tc>
          <w:tcPr>
            <w:tcW w:w="4252" w:type="dxa"/>
            <w:shd w:val="clear" w:color="auto" w:fill="auto"/>
            <w:noWrap/>
            <w:vAlign w:val="center"/>
          </w:tcPr>
          <w:p w:rsidR="00AB70F3" w:rsidRPr="00AB70F3" w:rsidRDefault="00AB70F3" w:rsidP="00E86331">
            <w:pPr>
              <w:spacing w:before="0" w:after="0"/>
              <w:ind w:left="227"/>
              <w:rPr>
                <w:rFonts w:cs="Arial"/>
                <w:i/>
                <w:iCs/>
                <w:color w:val="808080"/>
                <w:sz w:val="16"/>
                <w:szCs w:val="16"/>
              </w:rPr>
            </w:pPr>
            <w:r w:rsidRPr="00AB70F3">
              <w:rPr>
                <w:rFonts w:cs="Arial"/>
                <w:i/>
                <w:iCs/>
                <w:color w:val="808080"/>
                <w:sz w:val="16"/>
                <w:szCs w:val="16"/>
              </w:rPr>
              <w:t>Accounting change</w:t>
            </w:r>
          </w:p>
        </w:tc>
        <w:tc>
          <w:tcPr>
            <w:tcW w:w="794" w:type="dxa"/>
            <w:shd w:val="clear" w:color="auto" w:fill="auto"/>
            <w:noWrap/>
            <w:vAlign w:val="center"/>
          </w:tcPr>
          <w:p w:rsidR="00AB70F3" w:rsidRPr="00AB70F3" w:rsidRDefault="00AB70F3" w:rsidP="00E86331">
            <w:pPr>
              <w:spacing w:before="0" w:after="0"/>
              <w:jc w:val="right"/>
              <w:rPr>
                <w:rFonts w:cs="Arial"/>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i/>
                <w:iCs/>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i/>
                <w:iCs/>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i/>
                <w:iCs/>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i/>
                <w:iCs/>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i/>
                <w:iCs/>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i/>
                <w:iCs/>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i/>
                <w:iCs/>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color w:val="000000"/>
                <w:sz w:val="16"/>
                <w:szCs w:val="16"/>
              </w:rPr>
            </w:pPr>
          </w:p>
        </w:tc>
      </w:tr>
      <w:tr w:rsidR="00AB70F3" w:rsidRPr="00D767A0" w:rsidTr="003B4A91">
        <w:trPr>
          <w:trHeight w:val="225"/>
        </w:trPr>
        <w:tc>
          <w:tcPr>
            <w:tcW w:w="4252" w:type="dxa"/>
            <w:shd w:val="clear" w:color="auto" w:fill="auto"/>
            <w:noWrap/>
            <w:vAlign w:val="center"/>
          </w:tcPr>
          <w:p w:rsidR="00AB70F3" w:rsidRPr="00AB70F3" w:rsidRDefault="00577E17" w:rsidP="00E86331">
            <w:pPr>
              <w:spacing w:before="0" w:after="0"/>
              <w:ind w:left="340"/>
              <w:rPr>
                <w:rFonts w:cs="Arial"/>
                <w:i/>
                <w:iCs/>
                <w:color w:val="808080"/>
                <w:sz w:val="16"/>
                <w:szCs w:val="16"/>
              </w:rPr>
            </w:pPr>
            <w:r>
              <w:rPr>
                <w:rFonts w:cs="Arial"/>
                <w:i/>
                <w:iCs/>
                <w:color w:val="808080"/>
                <w:sz w:val="16"/>
                <w:szCs w:val="16"/>
              </w:rPr>
              <w:t>F</w:t>
            </w:r>
            <w:r w:rsidR="00AB70F3" w:rsidRPr="00AB70F3">
              <w:rPr>
                <w:rFonts w:cs="Arial"/>
                <w:i/>
                <w:iCs/>
                <w:color w:val="808080"/>
                <w:sz w:val="16"/>
                <w:szCs w:val="16"/>
              </w:rPr>
              <w:t>rom State tax to Commonwealth tax</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30731</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33265</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35190</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37595</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39751</w:t>
            </w:r>
          </w:p>
        </w:tc>
        <w:tc>
          <w:tcPr>
            <w:tcW w:w="794" w:type="dxa"/>
            <w:shd w:val="clear" w:color="auto" w:fill="auto"/>
            <w:noWrap/>
            <w:vAlign w:val="center"/>
          </w:tcPr>
          <w:p w:rsidR="00AB70F3" w:rsidRPr="00AB70F3" w:rsidRDefault="00AB70F3" w:rsidP="00E86331">
            <w:pPr>
              <w:spacing w:before="0" w:after="0"/>
              <w:jc w:val="right"/>
              <w:rPr>
                <w:rFonts w:cs="Arial"/>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i/>
                <w:iCs/>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i/>
                <w:iCs/>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color w:val="000000"/>
                <w:sz w:val="16"/>
                <w:szCs w:val="16"/>
              </w:rPr>
            </w:pPr>
          </w:p>
        </w:tc>
      </w:tr>
      <w:tr w:rsidR="00AB70F3" w:rsidRPr="00D767A0" w:rsidTr="003B4A91">
        <w:trPr>
          <w:trHeight w:val="225"/>
        </w:trPr>
        <w:tc>
          <w:tcPr>
            <w:tcW w:w="4252" w:type="dxa"/>
            <w:tcBorders>
              <w:bottom w:val="dotted" w:sz="8" w:space="0" w:color="auto"/>
            </w:tcBorders>
            <w:shd w:val="clear" w:color="auto" w:fill="auto"/>
            <w:noWrap/>
            <w:vAlign w:val="center"/>
          </w:tcPr>
          <w:p w:rsidR="00AB70F3" w:rsidRPr="00AB70F3" w:rsidRDefault="00AB70F3" w:rsidP="00E86331">
            <w:pPr>
              <w:spacing w:before="0" w:after="0"/>
              <w:ind w:left="113"/>
              <w:rPr>
                <w:rFonts w:cs="Arial"/>
                <w:color w:val="000000"/>
                <w:sz w:val="16"/>
                <w:szCs w:val="16"/>
              </w:rPr>
            </w:pPr>
            <w:r w:rsidRPr="00AB70F3">
              <w:rPr>
                <w:rFonts w:cs="Arial"/>
                <w:color w:val="000000"/>
                <w:sz w:val="16"/>
                <w:szCs w:val="16"/>
              </w:rPr>
              <w:t>General revenue assistance - total</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32872</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34529</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36640</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39901</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40620</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43479</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42395</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44830</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46964</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47149</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49244</w:t>
            </w:r>
          </w:p>
        </w:tc>
      </w:tr>
      <w:tr w:rsidR="00AB70F3" w:rsidRPr="00D767A0" w:rsidTr="003B4A91">
        <w:trPr>
          <w:trHeight w:val="225"/>
        </w:trPr>
        <w:tc>
          <w:tcPr>
            <w:tcW w:w="4252"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ind w:left="113"/>
              <w:rPr>
                <w:rFonts w:cs="Arial"/>
                <w:color w:val="000000"/>
                <w:sz w:val="16"/>
                <w:szCs w:val="16"/>
              </w:rPr>
            </w:pPr>
            <w:r w:rsidRPr="00AB70F3">
              <w:rPr>
                <w:rFonts w:cs="Arial"/>
                <w:color w:val="000000"/>
                <w:sz w:val="16"/>
                <w:szCs w:val="16"/>
              </w:rPr>
              <w:t>Local government assistance</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1457</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1511</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1554</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1630</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1704</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1798</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2854</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2327</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2334</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2791</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2236</w:t>
            </w:r>
          </w:p>
        </w:tc>
      </w:tr>
      <w:tr w:rsidR="00AB70F3" w:rsidRPr="00D767A0" w:rsidTr="003B4A91">
        <w:trPr>
          <w:trHeight w:val="225"/>
        </w:trPr>
        <w:tc>
          <w:tcPr>
            <w:tcW w:w="4252" w:type="dxa"/>
            <w:tcBorders>
              <w:top w:val="dotted" w:sz="8" w:space="0" w:color="auto"/>
            </w:tcBorders>
            <w:shd w:val="clear" w:color="auto" w:fill="auto"/>
            <w:noWrap/>
            <w:vAlign w:val="center"/>
          </w:tcPr>
          <w:p w:rsidR="00AB70F3" w:rsidRPr="00AB70F3" w:rsidRDefault="00AB70F3" w:rsidP="00E86331">
            <w:pPr>
              <w:spacing w:before="0" w:after="0"/>
              <w:ind w:left="113"/>
              <w:rPr>
                <w:rFonts w:cs="Arial"/>
                <w:color w:val="000000"/>
                <w:sz w:val="16"/>
                <w:szCs w:val="16"/>
              </w:rPr>
            </w:pPr>
            <w:r w:rsidRPr="00AB70F3">
              <w:rPr>
                <w:rFonts w:cs="Arial"/>
                <w:color w:val="000000"/>
                <w:sz w:val="16"/>
                <w:szCs w:val="16"/>
              </w:rPr>
              <w:t>Natural disaster relief - as published</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95</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62</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77</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211</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115</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28</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312</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136</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6129</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1516</w:t>
            </w:r>
          </w:p>
        </w:tc>
        <w:tc>
          <w:tcPr>
            <w:tcW w:w="794" w:type="dxa"/>
            <w:tcBorders>
              <w:top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1893</w:t>
            </w:r>
          </w:p>
        </w:tc>
      </w:tr>
      <w:tr w:rsidR="00AB70F3" w:rsidRPr="00D767A0" w:rsidTr="003B4A91">
        <w:trPr>
          <w:trHeight w:val="225"/>
        </w:trPr>
        <w:tc>
          <w:tcPr>
            <w:tcW w:w="4252" w:type="dxa"/>
            <w:shd w:val="clear" w:color="auto" w:fill="auto"/>
            <w:noWrap/>
            <w:vAlign w:val="center"/>
          </w:tcPr>
          <w:p w:rsidR="00AB70F3" w:rsidRPr="00AB70F3" w:rsidRDefault="00577E17" w:rsidP="00E86331">
            <w:pPr>
              <w:spacing w:before="0" w:after="0"/>
              <w:ind w:left="227"/>
              <w:rPr>
                <w:rFonts w:cs="Arial"/>
                <w:i/>
                <w:iCs/>
                <w:color w:val="808080"/>
                <w:sz w:val="16"/>
                <w:szCs w:val="16"/>
              </w:rPr>
            </w:pPr>
            <w:r>
              <w:rPr>
                <w:rFonts w:cs="Arial"/>
                <w:i/>
                <w:iCs/>
                <w:color w:val="808080"/>
                <w:sz w:val="16"/>
                <w:szCs w:val="16"/>
              </w:rPr>
              <w:t>A</w:t>
            </w:r>
            <w:r w:rsidR="00AB70F3" w:rsidRPr="00AB70F3">
              <w:rPr>
                <w:rFonts w:cs="Arial"/>
                <w:i/>
                <w:iCs/>
                <w:color w:val="808080"/>
                <w:sz w:val="16"/>
                <w:szCs w:val="16"/>
              </w:rPr>
              <w:t>ccounting change - timing recognition</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-39</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-17</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3</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-5</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-5</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-2</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-12</w:t>
            </w:r>
          </w:p>
        </w:tc>
        <w:tc>
          <w:tcPr>
            <w:tcW w:w="794" w:type="dxa"/>
            <w:shd w:val="clear" w:color="auto" w:fill="auto"/>
            <w:noWrap/>
            <w:vAlign w:val="center"/>
          </w:tcPr>
          <w:p w:rsidR="00AB70F3" w:rsidRPr="00AB70F3" w:rsidRDefault="00AB70F3" w:rsidP="00E86331">
            <w:pPr>
              <w:spacing w:before="0" w:after="0"/>
              <w:jc w:val="right"/>
              <w:rPr>
                <w:rFonts w:cs="Arial"/>
                <w:i/>
                <w:iCs/>
                <w:color w:val="808080"/>
                <w:sz w:val="16"/>
                <w:szCs w:val="16"/>
              </w:rPr>
            </w:pPr>
            <w:r w:rsidRPr="00AB70F3">
              <w:rPr>
                <w:rFonts w:cs="Arial"/>
                <w:i/>
                <w:iCs/>
                <w:color w:val="808080"/>
                <w:sz w:val="16"/>
                <w:szCs w:val="16"/>
              </w:rPr>
              <w:t>796</w:t>
            </w:r>
          </w:p>
        </w:tc>
        <w:tc>
          <w:tcPr>
            <w:tcW w:w="794" w:type="dxa"/>
            <w:shd w:val="clear" w:color="auto" w:fill="auto"/>
            <w:noWrap/>
            <w:vAlign w:val="center"/>
          </w:tcPr>
          <w:p w:rsidR="00AB70F3" w:rsidRPr="00AB70F3" w:rsidRDefault="00AB70F3" w:rsidP="00E86331">
            <w:pPr>
              <w:spacing w:before="0" w:after="0"/>
              <w:jc w:val="right"/>
              <w:rPr>
                <w:rFonts w:cs="Arial"/>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color w:val="000000"/>
                <w:sz w:val="16"/>
                <w:szCs w:val="16"/>
              </w:rPr>
            </w:pPr>
          </w:p>
        </w:tc>
        <w:tc>
          <w:tcPr>
            <w:tcW w:w="794" w:type="dxa"/>
            <w:shd w:val="clear" w:color="auto" w:fill="auto"/>
            <w:noWrap/>
            <w:vAlign w:val="center"/>
          </w:tcPr>
          <w:p w:rsidR="00AB70F3" w:rsidRPr="00AB70F3" w:rsidRDefault="00AB70F3" w:rsidP="00E86331">
            <w:pPr>
              <w:spacing w:before="0" w:after="0"/>
              <w:jc w:val="right"/>
              <w:rPr>
                <w:rFonts w:cs="Arial"/>
                <w:color w:val="000000"/>
                <w:sz w:val="16"/>
                <w:szCs w:val="16"/>
              </w:rPr>
            </w:pPr>
          </w:p>
        </w:tc>
      </w:tr>
      <w:tr w:rsidR="00AB70F3" w:rsidRPr="00D767A0" w:rsidTr="003B4A91">
        <w:trPr>
          <w:trHeight w:val="225"/>
        </w:trPr>
        <w:tc>
          <w:tcPr>
            <w:tcW w:w="4252" w:type="dxa"/>
            <w:tcBorders>
              <w:bottom w:val="dotted" w:sz="8" w:space="0" w:color="auto"/>
            </w:tcBorders>
            <w:shd w:val="clear" w:color="auto" w:fill="auto"/>
            <w:noWrap/>
            <w:vAlign w:val="center"/>
          </w:tcPr>
          <w:p w:rsidR="00AB70F3" w:rsidRPr="00AB70F3" w:rsidRDefault="00AB70F3" w:rsidP="003F6D91">
            <w:pPr>
              <w:spacing w:before="0" w:after="0"/>
              <w:ind w:left="113"/>
              <w:rPr>
                <w:rFonts w:cs="Arial"/>
                <w:color w:val="000000"/>
                <w:sz w:val="16"/>
                <w:szCs w:val="16"/>
              </w:rPr>
            </w:pPr>
            <w:r w:rsidRPr="00AB70F3">
              <w:rPr>
                <w:rFonts w:cs="Arial"/>
                <w:color w:val="000000"/>
                <w:sz w:val="16"/>
                <w:szCs w:val="16"/>
              </w:rPr>
              <w:t>Natural disaster relief - total</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56</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45</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80</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206</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111</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26</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301</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932</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6129</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1516</w:t>
            </w:r>
          </w:p>
        </w:tc>
        <w:tc>
          <w:tcPr>
            <w:tcW w:w="794" w:type="dxa"/>
            <w:tcBorders>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1893</w:t>
            </w:r>
          </w:p>
        </w:tc>
      </w:tr>
      <w:tr w:rsidR="00AB70F3" w:rsidRPr="00D767A0" w:rsidTr="003B4A91">
        <w:trPr>
          <w:trHeight w:val="225"/>
        </w:trPr>
        <w:tc>
          <w:tcPr>
            <w:tcW w:w="4252"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ind w:left="113"/>
              <w:rPr>
                <w:rFonts w:cs="Arial"/>
                <w:color w:val="000000"/>
                <w:sz w:val="16"/>
                <w:szCs w:val="16"/>
              </w:rPr>
            </w:pPr>
            <w:r w:rsidRPr="00AB70F3">
              <w:rPr>
                <w:rFonts w:cs="Arial"/>
                <w:color w:val="000000"/>
                <w:sz w:val="16"/>
                <w:szCs w:val="16"/>
              </w:rPr>
              <w:t>Contingency reserve</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11</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35</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11</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36</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589</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8</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0</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0</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0</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0</w:t>
            </w:r>
          </w:p>
        </w:tc>
        <w:tc>
          <w:tcPr>
            <w:tcW w:w="794" w:type="dxa"/>
            <w:tcBorders>
              <w:top w:val="dotted" w:sz="8" w:space="0" w:color="auto"/>
              <w:bottom w:val="dotted" w:sz="8" w:space="0" w:color="auto"/>
            </w:tcBorders>
            <w:shd w:val="clear" w:color="auto" w:fill="auto"/>
            <w:noWrap/>
            <w:vAlign w:val="center"/>
          </w:tcPr>
          <w:p w:rsidR="00AB70F3" w:rsidRPr="00AB70F3" w:rsidRDefault="00AB70F3" w:rsidP="00E86331">
            <w:pPr>
              <w:spacing w:before="0" w:after="0"/>
              <w:jc w:val="right"/>
              <w:rPr>
                <w:rFonts w:cs="Arial"/>
                <w:color w:val="000000"/>
                <w:sz w:val="16"/>
                <w:szCs w:val="16"/>
              </w:rPr>
            </w:pPr>
            <w:r w:rsidRPr="00AB70F3">
              <w:rPr>
                <w:rFonts w:cs="Arial"/>
                <w:color w:val="000000"/>
                <w:sz w:val="16"/>
                <w:szCs w:val="16"/>
              </w:rPr>
              <w:t>0</w:t>
            </w:r>
          </w:p>
        </w:tc>
      </w:tr>
      <w:tr w:rsidR="00AB70F3" w:rsidRPr="00D767A0" w:rsidTr="003B4A91">
        <w:trPr>
          <w:trHeight w:val="225"/>
        </w:trPr>
        <w:tc>
          <w:tcPr>
            <w:tcW w:w="4252" w:type="dxa"/>
            <w:tcBorders>
              <w:top w:val="dotted" w:sz="8" w:space="0" w:color="auto"/>
              <w:bottom w:val="single" w:sz="8" w:space="0" w:color="2B3B5F"/>
            </w:tcBorders>
            <w:shd w:val="clear" w:color="auto" w:fill="auto"/>
            <w:noWrap/>
            <w:vAlign w:val="center"/>
          </w:tcPr>
          <w:p w:rsidR="00AB70F3" w:rsidRPr="00AB70F3" w:rsidRDefault="000C47B2" w:rsidP="00E86331">
            <w:pPr>
              <w:spacing w:before="0" w:after="0"/>
              <w:rPr>
                <w:rFonts w:cs="Arial"/>
                <w:b/>
                <w:bCs/>
                <w:color w:val="000000"/>
                <w:sz w:val="16"/>
                <w:szCs w:val="16"/>
              </w:rPr>
            </w:pPr>
            <w:r>
              <w:rPr>
                <w:rFonts w:cs="Arial"/>
                <w:b/>
                <w:bCs/>
                <w:color w:val="000000"/>
                <w:sz w:val="16"/>
                <w:szCs w:val="16"/>
              </w:rPr>
              <w:t>O</w:t>
            </w:r>
            <w:r w:rsidR="00AB70F3" w:rsidRPr="00AB70F3">
              <w:rPr>
                <w:rFonts w:cs="Arial"/>
                <w:b/>
                <w:bCs/>
                <w:color w:val="000000"/>
                <w:sz w:val="16"/>
                <w:szCs w:val="16"/>
              </w:rPr>
              <w:t>ther purposes</w:t>
            </w:r>
            <w:r>
              <w:rPr>
                <w:rFonts w:cs="Arial"/>
                <w:b/>
                <w:bCs/>
                <w:color w:val="000000"/>
                <w:sz w:val="16"/>
                <w:szCs w:val="16"/>
              </w:rPr>
              <w:t xml:space="preserve"> - total</w:t>
            </w:r>
          </w:p>
        </w:tc>
        <w:tc>
          <w:tcPr>
            <w:tcW w:w="794" w:type="dxa"/>
            <w:tcBorders>
              <w:top w:val="dotted" w:sz="8" w:space="0" w:color="auto"/>
              <w:bottom w:val="single" w:sz="8" w:space="0" w:color="2B3B5F"/>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44434</w:t>
            </w:r>
          </w:p>
        </w:tc>
        <w:tc>
          <w:tcPr>
            <w:tcW w:w="794" w:type="dxa"/>
            <w:tcBorders>
              <w:top w:val="dotted" w:sz="8" w:space="0" w:color="auto"/>
              <w:bottom w:val="single" w:sz="8" w:space="0" w:color="2B3B5F"/>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45020</w:t>
            </w:r>
          </w:p>
        </w:tc>
        <w:tc>
          <w:tcPr>
            <w:tcW w:w="794" w:type="dxa"/>
            <w:tcBorders>
              <w:top w:val="dotted" w:sz="8" w:space="0" w:color="auto"/>
              <w:bottom w:val="single" w:sz="8" w:space="0" w:color="2B3B5F"/>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47170</w:t>
            </w:r>
          </w:p>
        </w:tc>
        <w:tc>
          <w:tcPr>
            <w:tcW w:w="794" w:type="dxa"/>
            <w:tcBorders>
              <w:top w:val="dotted" w:sz="8" w:space="0" w:color="auto"/>
              <w:bottom w:val="single" w:sz="8" w:space="0" w:color="2B3B5F"/>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51145</w:t>
            </w:r>
          </w:p>
        </w:tc>
        <w:tc>
          <w:tcPr>
            <w:tcW w:w="794" w:type="dxa"/>
            <w:tcBorders>
              <w:top w:val="dotted" w:sz="8" w:space="0" w:color="auto"/>
              <w:bottom w:val="single" w:sz="8" w:space="0" w:color="2B3B5F"/>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52206</w:t>
            </w:r>
          </w:p>
        </w:tc>
        <w:tc>
          <w:tcPr>
            <w:tcW w:w="794" w:type="dxa"/>
            <w:tcBorders>
              <w:top w:val="dotted" w:sz="8" w:space="0" w:color="auto"/>
              <w:bottom w:val="single" w:sz="8" w:space="0" w:color="2B3B5F"/>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54947</w:t>
            </w:r>
          </w:p>
        </w:tc>
        <w:tc>
          <w:tcPr>
            <w:tcW w:w="794" w:type="dxa"/>
            <w:tcBorders>
              <w:top w:val="dotted" w:sz="8" w:space="0" w:color="auto"/>
              <w:bottom w:val="single" w:sz="8" w:space="0" w:color="2B3B5F"/>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56265</w:t>
            </w:r>
          </w:p>
        </w:tc>
        <w:tc>
          <w:tcPr>
            <w:tcW w:w="794" w:type="dxa"/>
            <w:tcBorders>
              <w:top w:val="dotted" w:sz="8" w:space="0" w:color="auto"/>
              <w:bottom w:val="single" w:sz="8" w:space="0" w:color="2B3B5F"/>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61252</w:t>
            </w:r>
          </w:p>
        </w:tc>
        <w:tc>
          <w:tcPr>
            <w:tcW w:w="794" w:type="dxa"/>
            <w:tcBorders>
              <w:top w:val="dotted" w:sz="8" w:space="0" w:color="auto"/>
              <w:bottom w:val="single" w:sz="8" w:space="0" w:color="2B3B5F"/>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71950</w:t>
            </w:r>
          </w:p>
        </w:tc>
        <w:tc>
          <w:tcPr>
            <w:tcW w:w="794" w:type="dxa"/>
            <w:tcBorders>
              <w:top w:val="dotted" w:sz="8" w:space="0" w:color="auto"/>
              <w:bottom w:val="single" w:sz="8" w:space="0" w:color="2B3B5F"/>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70518</w:t>
            </w:r>
          </w:p>
        </w:tc>
        <w:tc>
          <w:tcPr>
            <w:tcW w:w="794" w:type="dxa"/>
            <w:tcBorders>
              <w:top w:val="dotted" w:sz="8" w:space="0" w:color="auto"/>
              <w:bottom w:val="single" w:sz="8" w:space="0" w:color="2B3B5F"/>
            </w:tcBorders>
            <w:shd w:val="clear" w:color="auto" w:fill="auto"/>
            <w:noWrap/>
            <w:vAlign w:val="center"/>
          </w:tcPr>
          <w:p w:rsidR="00AB70F3" w:rsidRPr="00AB70F3" w:rsidRDefault="00AB70F3" w:rsidP="00E86331">
            <w:pPr>
              <w:spacing w:before="0" w:after="0"/>
              <w:jc w:val="right"/>
              <w:rPr>
                <w:rFonts w:cs="Arial"/>
                <w:b/>
                <w:bCs/>
                <w:color w:val="000000"/>
                <w:sz w:val="16"/>
                <w:szCs w:val="16"/>
              </w:rPr>
            </w:pPr>
            <w:r w:rsidRPr="00AB70F3">
              <w:rPr>
                <w:rFonts w:cs="Arial"/>
                <w:b/>
                <w:bCs/>
                <w:color w:val="000000"/>
                <w:sz w:val="16"/>
                <w:szCs w:val="16"/>
              </w:rPr>
              <w:t>72623</w:t>
            </w:r>
          </w:p>
        </w:tc>
      </w:tr>
    </w:tbl>
    <w:p w:rsidR="00E86331" w:rsidRDefault="00E86331">
      <w:r>
        <w:br w:type="page"/>
      </w:r>
    </w:p>
    <w:tbl>
      <w:tblPr>
        <w:tblpPr w:leftFromText="180" w:rightFromText="180" w:vertAnchor="text" w:tblpX="358" w:tblpY="1"/>
        <w:tblOverlap w:val="never"/>
        <w:tblW w:w="12986" w:type="dxa"/>
        <w:tblLook w:val="0480" w:firstRow="0" w:lastRow="0" w:firstColumn="1" w:lastColumn="0" w:noHBand="0" w:noVBand="1"/>
      </w:tblPr>
      <w:tblGrid>
        <w:gridCol w:w="4252"/>
        <w:gridCol w:w="794"/>
        <w:gridCol w:w="794"/>
        <w:gridCol w:w="794"/>
        <w:gridCol w:w="794"/>
        <w:gridCol w:w="794"/>
        <w:gridCol w:w="794"/>
        <w:gridCol w:w="794"/>
        <w:gridCol w:w="794"/>
        <w:gridCol w:w="794"/>
        <w:gridCol w:w="794"/>
        <w:gridCol w:w="794"/>
      </w:tblGrid>
      <w:tr w:rsidR="00E86331" w:rsidRPr="00D767A0" w:rsidTr="003B4A91">
        <w:trPr>
          <w:trHeight w:val="225"/>
        </w:trPr>
        <w:tc>
          <w:tcPr>
            <w:tcW w:w="4252"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rPr>
                <w:rFonts w:cs="Arial"/>
                <w:color w:val="000000"/>
                <w:sz w:val="16"/>
                <w:szCs w:val="16"/>
              </w:rPr>
            </w:pP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2002-03</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2003-04</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2004-05</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2005-06</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2006-07</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2007-08</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2008-09</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2009-10</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2010-11</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2011-12</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2012-13</w:t>
            </w:r>
          </w:p>
        </w:tc>
      </w:tr>
      <w:tr w:rsidR="00E86331" w:rsidRPr="003B4A91" w:rsidTr="003B4A91">
        <w:trPr>
          <w:trHeight w:val="225"/>
        </w:trPr>
        <w:tc>
          <w:tcPr>
            <w:tcW w:w="4252" w:type="dxa"/>
            <w:tcBorders>
              <w:top w:val="dotted" w:sz="8" w:space="0" w:color="auto"/>
              <w:bottom w:val="double" w:sz="6" w:space="0" w:color="2B3B5F"/>
            </w:tcBorders>
            <w:shd w:val="clear" w:color="auto" w:fill="auto"/>
            <w:noWrap/>
            <w:vAlign w:val="center"/>
          </w:tcPr>
          <w:p w:rsidR="00E86331" w:rsidRPr="003B4A91" w:rsidRDefault="001832C4" w:rsidP="001832C4">
            <w:pPr>
              <w:spacing w:before="0" w:after="0"/>
              <w:rPr>
                <w:rFonts w:cs="Arial"/>
                <w:b/>
                <w:bCs/>
                <w:color w:val="000000"/>
                <w:sz w:val="16"/>
                <w:szCs w:val="16"/>
              </w:rPr>
            </w:pPr>
            <w:r>
              <w:rPr>
                <w:rFonts w:cs="Arial"/>
                <w:b/>
                <w:bCs/>
                <w:color w:val="000000"/>
                <w:sz w:val="16"/>
                <w:szCs w:val="16"/>
              </w:rPr>
              <w:t xml:space="preserve">Total </w:t>
            </w:r>
            <w:r w:rsidR="00E86331" w:rsidRPr="003B4A91">
              <w:rPr>
                <w:rFonts w:cs="Arial"/>
                <w:b/>
                <w:bCs/>
                <w:color w:val="000000"/>
                <w:sz w:val="16"/>
                <w:szCs w:val="16"/>
              </w:rPr>
              <w:t>Expenses</w:t>
            </w:r>
          </w:p>
        </w:tc>
        <w:tc>
          <w:tcPr>
            <w:tcW w:w="794" w:type="dxa"/>
            <w:tcBorders>
              <w:top w:val="dotted" w:sz="8" w:space="0" w:color="auto"/>
              <w:bottom w:val="double" w:sz="6" w:space="0" w:color="2B3B5F"/>
            </w:tcBorders>
            <w:shd w:val="clear" w:color="auto" w:fill="auto"/>
            <w:noWrap/>
            <w:vAlign w:val="center"/>
          </w:tcPr>
          <w:p w:rsidR="00E86331" w:rsidRPr="003B4A91" w:rsidRDefault="00E86331" w:rsidP="00E86331">
            <w:pPr>
              <w:spacing w:before="0" w:after="0"/>
              <w:jc w:val="right"/>
              <w:rPr>
                <w:rFonts w:cs="Arial"/>
                <w:b/>
                <w:bCs/>
                <w:color w:val="000000"/>
                <w:sz w:val="16"/>
                <w:szCs w:val="16"/>
              </w:rPr>
            </w:pPr>
            <w:r w:rsidRPr="003B4A91">
              <w:rPr>
                <w:rFonts w:cs="Arial"/>
                <w:b/>
                <w:bCs/>
                <w:color w:val="000000"/>
                <w:sz w:val="16"/>
                <w:szCs w:val="16"/>
              </w:rPr>
              <w:t>201254</w:t>
            </w:r>
          </w:p>
        </w:tc>
        <w:tc>
          <w:tcPr>
            <w:tcW w:w="794" w:type="dxa"/>
            <w:tcBorders>
              <w:top w:val="dotted" w:sz="8" w:space="0" w:color="auto"/>
              <w:bottom w:val="double" w:sz="6" w:space="0" w:color="2B3B5F"/>
            </w:tcBorders>
            <w:shd w:val="clear" w:color="auto" w:fill="auto"/>
            <w:noWrap/>
            <w:vAlign w:val="center"/>
          </w:tcPr>
          <w:p w:rsidR="00E86331" w:rsidRPr="003B4A91" w:rsidRDefault="00E86331" w:rsidP="00E86331">
            <w:pPr>
              <w:spacing w:before="0" w:after="0"/>
              <w:jc w:val="right"/>
              <w:rPr>
                <w:rFonts w:cs="Arial"/>
                <w:b/>
                <w:bCs/>
                <w:color w:val="000000"/>
                <w:sz w:val="16"/>
                <w:szCs w:val="16"/>
              </w:rPr>
            </w:pPr>
            <w:r w:rsidRPr="003B4A91">
              <w:rPr>
                <w:rFonts w:cs="Arial"/>
                <w:b/>
                <w:bCs/>
                <w:color w:val="000000"/>
                <w:sz w:val="16"/>
                <w:szCs w:val="16"/>
              </w:rPr>
              <w:t>215362</w:t>
            </w:r>
          </w:p>
        </w:tc>
        <w:tc>
          <w:tcPr>
            <w:tcW w:w="794" w:type="dxa"/>
            <w:tcBorders>
              <w:top w:val="dotted" w:sz="8" w:space="0" w:color="auto"/>
              <w:bottom w:val="double" w:sz="6" w:space="0" w:color="2B3B5F"/>
            </w:tcBorders>
            <w:shd w:val="clear" w:color="auto" w:fill="auto"/>
            <w:noWrap/>
            <w:vAlign w:val="center"/>
          </w:tcPr>
          <w:p w:rsidR="00E86331" w:rsidRPr="003B4A91" w:rsidRDefault="00E86331" w:rsidP="00E86331">
            <w:pPr>
              <w:spacing w:before="0" w:after="0"/>
              <w:jc w:val="right"/>
              <w:rPr>
                <w:rFonts w:cs="Arial"/>
                <w:b/>
                <w:bCs/>
                <w:color w:val="000000"/>
                <w:sz w:val="16"/>
                <w:szCs w:val="16"/>
              </w:rPr>
            </w:pPr>
            <w:r w:rsidRPr="003B4A91">
              <w:rPr>
                <w:rFonts w:cs="Arial"/>
                <w:b/>
                <w:bCs/>
                <w:color w:val="000000"/>
                <w:sz w:val="16"/>
                <w:szCs w:val="16"/>
              </w:rPr>
              <w:t>229247</w:t>
            </w:r>
          </w:p>
        </w:tc>
        <w:tc>
          <w:tcPr>
            <w:tcW w:w="794" w:type="dxa"/>
            <w:tcBorders>
              <w:top w:val="dotted" w:sz="8" w:space="0" w:color="auto"/>
              <w:bottom w:val="double" w:sz="6" w:space="0" w:color="2B3B5F"/>
            </w:tcBorders>
            <w:shd w:val="clear" w:color="auto" w:fill="auto"/>
            <w:noWrap/>
            <w:vAlign w:val="center"/>
          </w:tcPr>
          <w:p w:rsidR="00E86331" w:rsidRPr="003B4A91" w:rsidRDefault="00E86331" w:rsidP="00E86331">
            <w:pPr>
              <w:spacing w:before="0" w:after="0"/>
              <w:jc w:val="right"/>
              <w:rPr>
                <w:rFonts w:cs="Arial"/>
                <w:b/>
                <w:bCs/>
                <w:color w:val="000000"/>
                <w:sz w:val="16"/>
                <w:szCs w:val="16"/>
              </w:rPr>
            </w:pPr>
            <w:r w:rsidRPr="003B4A91">
              <w:rPr>
                <w:rFonts w:cs="Arial"/>
                <w:b/>
                <w:bCs/>
                <w:color w:val="000000"/>
                <w:sz w:val="16"/>
                <w:szCs w:val="16"/>
              </w:rPr>
              <w:t>242330</w:t>
            </w:r>
          </w:p>
        </w:tc>
        <w:tc>
          <w:tcPr>
            <w:tcW w:w="794" w:type="dxa"/>
            <w:tcBorders>
              <w:top w:val="dotted" w:sz="8" w:space="0" w:color="auto"/>
              <w:bottom w:val="double" w:sz="6" w:space="0" w:color="2B3B5F"/>
            </w:tcBorders>
            <w:shd w:val="clear" w:color="auto" w:fill="auto"/>
            <w:noWrap/>
            <w:vAlign w:val="center"/>
          </w:tcPr>
          <w:p w:rsidR="00E86331" w:rsidRPr="003B4A91" w:rsidRDefault="00E86331" w:rsidP="00E86331">
            <w:pPr>
              <w:spacing w:before="0" w:after="0"/>
              <w:jc w:val="right"/>
              <w:rPr>
                <w:rFonts w:cs="Arial"/>
                <w:b/>
                <w:bCs/>
                <w:color w:val="000000"/>
                <w:sz w:val="16"/>
                <w:szCs w:val="16"/>
              </w:rPr>
            </w:pPr>
            <w:r w:rsidRPr="003B4A91">
              <w:rPr>
                <w:rFonts w:cs="Arial"/>
                <w:b/>
                <w:bCs/>
                <w:color w:val="000000"/>
                <w:sz w:val="16"/>
                <w:szCs w:val="16"/>
              </w:rPr>
              <w:t>259277</w:t>
            </w:r>
          </w:p>
        </w:tc>
        <w:tc>
          <w:tcPr>
            <w:tcW w:w="794" w:type="dxa"/>
            <w:tcBorders>
              <w:top w:val="dotted" w:sz="8" w:space="0" w:color="auto"/>
              <w:bottom w:val="double" w:sz="6" w:space="0" w:color="2B3B5F"/>
            </w:tcBorders>
            <w:shd w:val="clear" w:color="auto" w:fill="auto"/>
            <w:noWrap/>
            <w:vAlign w:val="center"/>
          </w:tcPr>
          <w:p w:rsidR="00E86331" w:rsidRPr="003B4A91" w:rsidRDefault="00E86331" w:rsidP="00E86331">
            <w:pPr>
              <w:spacing w:before="0" w:after="0"/>
              <w:jc w:val="right"/>
              <w:rPr>
                <w:rFonts w:cs="Arial"/>
                <w:b/>
                <w:bCs/>
                <w:color w:val="000000"/>
                <w:sz w:val="16"/>
                <w:szCs w:val="16"/>
              </w:rPr>
            </w:pPr>
            <w:r w:rsidRPr="003B4A91">
              <w:rPr>
                <w:rFonts w:cs="Arial"/>
                <w:b/>
                <w:bCs/>
                <w:color w:val="000000"/>
                <w:sz w:val="16"/>
                <w:szCs w:val="16"/>
              </w:rPr>
              <w:t>280199</w:t>
            </w:r>
          </w:p>
        </w:tc>
        <w:tc>
          <w:tcPr>
            <w:tcW w:w="794" w:type="dxa"/>
            <w:tcBorders>
              <w:top w:val="dotted" w:sz="8" w:space="0" w:color="auto"/>
              <w:bottom w:val="double" w:sz="6" w:space="0" w:color="2B3B5F"/>
            </w:tcBorders>
            <w:shd w:val="clear" w:color="auto" w:fill="auto"/>
            <w:noWrap/>
            <w:vAlign w:val="center"/>
          </w:tcPr>
          <w:p w:rsidR="00E86331" w:rsidRPr="003B4A91" w:rsidRDefault="00E86331" w:rsidP="00E86331">
            <w:pPr>
              <w:spacing w:before="0" w:after="0"/>
              <w:jc w:val="right"/>
              <w:rPr>
                <w:rFonts w:cs="Arial"/>
                <w:b/>
                <w:bCs/>
                <w:color w:val="000000"/>
                <w:sz w:val="16"/>
                <w:szCs w:val="16"/>
              </w:rPr>
            </w:pPr>
            <w:r w:rsidRPr="003B4A91">
              <w:rPr>
                <w:rFonts w:cs="Arial"/>
                <w:b/>
                <w:bCs/>
                <w:color w:val="000000"/>
                <w:sz w:val="16"/>
                <w:szCs w:val="16"/>
              </w:rPr>
              <w:t>324611</w:t>
            </w:r>
          </w:p>
        </w:tc>
        <w:tc>
          <w:tcPr>
            <w:tcW w:w="794" w:type="dxa"/>
            <w:tcBorders>
              <w:top w:val="dotted" w:sz="8" w:space="0" w:color="auto"/>
              <w:bottom w:val="double" w:sz="6" w:space="0" w:color="2B3B5F"/>
            </w:tcBorders>
            <w:shd w:val="clear" w:color="auto" w:fill="auto"/>
            <w:noWrap/>
            <w:vAlign w:val="center"/>
          </w:tcPr>
          <w:p w:rsidR="00E86331" w:rsidRPr="003B4A91" w:rsidRDefault="00E86331" w:rsidP="00E86331">
            <w:pPr>
              <w:spacing w:before="0" w:after="0"/>
              <w:jc w:val="right"/>
              <w:rPr>
                <w:rFonts w:cs="Arial"/>
                <w:b/>
                <w:bCs/>
                <w:color w:val="000000"/>
                <w:sz w:val="16"/>
                <w:szCs w:val="16"/>
              </w:rPr>
            </w:pPr>
            <w:r w:rsidRPr="003B4A91">
              <w:rPr>
                <w:rFonts w:cs="Arial"/>
                <w:b/>
                <w:bCs/>
                <w:color w:val="000000"/>
                <w:sz w:val="16"/>
                <w:szCs w:val="16"/>
              </w:rPr>
              <w:t>340208</w:t>
            </w:r>
          </w:p>
        </w:tc>
        <w:tc>
          <w:tcPr>
            <w:tcW w:w="794" w:type="dxa"/>
            <w:tcBorders>
              <w:top w:val="dotted" w:sz="8" w:space="0" w:color="auto"/>
              <w:bottom w:val="double" w:sz="6" w:space="0" w:color="2B3B5F"/>
            </w:tcBorders>
            <w:shd w:val="clear" w:color="auto" w:fill="auto"/>
            <w:noWrap/>
            <w:vAlign w:val="center"/>
          </w:tcPr>
          <w:p w:rsidR="00E86331" w:rsidRPr="003B4A91" w:rsidRDefault="00E86331" w:rsidP="00E86331">
            <w:pPr>
              <w:spacing w:before="0" w:after="0"/>
              <w:jc w:val="right"/>
              <w:rPr>
                <w:rFonts w:cs="Arial"/>
                <w:b/>
                <w:bCs/>
                <w:color w:val="000000"/>
                <w:sz w:val="16"/>
                <w:szCs w:val="16"/>
              </w:rPr>
            </w:pPr>
            <w:r w:rsidRPr="003B4A91">
              <w:rPr>
                <w:rFonts w:cs="Arial"/>
                <w:b/>
                <w:bCs/>
                <w:color w:val="000000"/>
                <w:sz w:val="16"/>
                <w:szCs w:val="16"/>
              </w:rPr>
              <w:t>356355</w:t>
            </w:r>
          </w:p>
        </w:tc>
        <w:tc>
          <w:tcPr>
            <w:tcW w:w="794" w:type="dxa"/>
            <w:tcBorders>
              <w:top w:val="dotted" w:sz="8" w:space="0" w:color="auto"/>
              <w:bottom w:val="double" w:sz="6" w:space="0" w:color="2B3B5F"/>
            </w:tcBorders>
            <w:shd w:val="clear" w:color="auto" w:fill="auto"/>
            <w:noWrap/>
            <w:vAlign w:val="center"/>
          </w:tcPr>
          <w:p w:rsidR="00E86331" w:rsidRPr="003B4A91" w:rsidRDefault="00E86331" w:rsidP="00E86331">
            <w:pPr>
              <w:spacing w:before="0" w:after="0"/>
              <w:jc w:val="right"/>
              <w:rPr>
                <w:rFonts w:cs="Arial"/>
                <w:b/>
                <w:bCs/>
                <w:color w:val="000000"/>
                <w:sz w:val="16"/>
                <w:szCs w:val="16"/>
              </w:rPr>
            </w:pPr>
            <w:r w:rsidRPr="003B4A91">
              <w:rPr>
                <w:rFonts w:cs="Arial"/>
                <w:b/>
                <w:bCs/>
                <w:color w:val="000000"/>
                <w:sz w:val="16"/>
                <w:szCs w:val="16"/>
              </w:rPr>
              <w:t>378004</w:t>
            </w:r>
          </w:p>
        </w:tc>
        <w:tc>
          <w:tcPr>
            <w:tcW w:w="794" w:type="dxa"/>
            <w:tcBorders>
              <w:top w:val="dotted" w:sz="8" w:space="0" w:color="auto"/>
              <w:bottom w:val="double" w:sz="6" w:space="0" w:color="2B3B5F"/>
            </w:tcBorders>
            <w:shd w:val="clear" w:color="auto" w:fill="auto"/>
            <w:noWrap/>
            <w:vAlign w:val="center"/>
          </w:tcPr>
          <w:p w:rsidR="00E86331" w:rsidRPr="003B4A91" w:rsidRDefault="001247CB" w:rsidP="00E86331">
            <w:pPr>
              <w:spacing w:before="0" w:after="0"/>
              <w:jc w:val="right"/>
              <w:rPr>
                <w:rFonts w:cs="Arial"/>
                <w:b/>
                <w:bCs/>
                <w:color w:val="000000"/>
                <w:sz w:val="16"/>
                <w:szCs w:val="16"/>
              </w:rPr>
            </w:pPr>
            <w:r>
              <w:rPr>
                <w:rFonts w:cs="Arial"/>
                <w:b/>
                <w:bCs/>
                <w:color w:val="000000"/>
                <w:sz w:val="16"/>
                <w:szCs w:val="16"/>
              </w:rPr>
              <w:t>382644</w:t>
            </w:r>
          </w:p>
        </w:tc>
      </w:tr>
      <w:tr w:rsidR="00512130" w:rsidRPr="00D767A0" w:rsidTr="00512130">
        <w:trPr>
          <w:trHeight w:val="514"/>
        </w:trPr>
        <w:tc>
          <w:tcPr>
            <w:tcW w:w="12986" w:type="dxa"/>
            <w:gridSpan w:val="12"/>
            <w:tcBorders>
              <w:top w:val="double" w:sz="6" w:space="0" w:color="2B3B5F"/>
            </w:tcBorders>
            <w:shd w:val="clear" w:color="auto" w:fill="auto"/>
            <w:noWrap/>
            <w:vAlign w:val="center"/>
          </w:tcPr>
          <w:p w:rsidR="00512130" w:rsidRPr="00E86331" w:rsidRDefault="00512130" w:rsidP="00E86331">
            <w:pPr>
              <w:spacing w:before="0" w:after="0"/>
              <w:jc w:val="right"/>
              <w:rPr>
                <w:rFonts w:cs="Arial"/>
                <w:color w:val="000000"/>
                <w:sz w:val="16"/>
                <w:szCs w:val="16"/>
              </w:rPr>
            </w:pPr>
          </w:p>
        </w:tc>
      </w:tr>
      <w:tr w:rsidR="00E86331" w:rsidRPr="00D767A0" w:rsidTr="003B4A91">
        <w:trPr>
          <w:trHeight w:val="225"/>
        </w:trPr>
        <w:tc>
          <w:tcPr>
            <w:tcW w:w="4252"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rPr>
                <w:rFonts w:cs="Arial"/>
                <w:color w:val="000000"/>
                <w:sz w:val="16"/>
                <w:szCs w:val="16"/>
              </w:rPr>
            </w:pP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2002-03</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2003-04</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2004-05</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2005-06</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2006-07</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2007-08</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2008-09</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2009-10</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2010-11</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2011-12</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2012-13</w:t>
            </w:r>
          </w:p>
        </w:tc>
      </w:tr>
      <w:tr w:rsidR="00E86331" w:rsidRPr="00D767A0" w:rsidTr="003B4A91">
        <w:trPr>
          <w:trHeight w:val="225"/>
        </w:trPr>
        <w:tc>
          <w:tcPr>
            <w:tcW w:w="4252" w:type="dxa"/>
            <w:tcBorders>
              <w:top w:val="dotted" w:sz="8" w:space="0" w:color="auto"/>
            </w:tcBorders>
            <w:shd w:val="clear" w:color="auto" w:fill="auto"/>
            <w:noWrap/>
            <w:vAlign w:val="center"/>
          </w:tcPr>
          <w:p w:rsidR="00E86331" w:rsidRPr="00E86331" w:rsidRDefault="00E86331" w:rsidP="00E86331">
            <w:pPr>
              <w:spacing w:before="0" w:after="0"/>
              <w:rPr>
                <w:rFonts w:cs="Arial"/>
                <w:b/>
                <w:bCs/>
                <w:color w:val="000000"/>
                <w:sz w:val="16"/>
                <w:szCs w:val="16"/>
              </w:rPr>
            </w:pPr>
            <w:r w:rsidRPr="00E86331">
              <w:rPr>
                <w:rFonts w:cs="Arial"/>
                <w:b/>
                <w:bCs/>
                <w:color w:val="000000"/>
                <w:sz w:val="16"/>
                <w:szCs w:val="16"/>
              </w:rPr>
              <w:t>Net capital investment -</w:t>
            </w:r>
            <w:r w:rsidR="00E80975">
              <w:rPr>
                <w:rFonts w:cs="Arial"/>
                <w:b/>
                <w:bCs/>
                <w:color w:val="000000"/>
                <w:sz w:val="16"/>
                <w:szCs w:val="16"/>
              </w:rPr>
              <w:t xml:space="preserve"> </w:t>
            </w:r>
            <w:r w:rsidRPr="00E86331">
              <w:rPr>
                <w:rFonts w:cs="Arial"/>
                <w:b/>
                <w:bCs/>
                <w:color w:val="000000"/>
                <w:sz w:val="16"/>
                <w:szCs w:val="16"/>
              </w:rPr>
              <w:t>as published</w:t>
            </w:r>
          </w:p>
        </w:tc>
        <w:tc>
          <w:tcPr>
            <w:tcW w:w="794" w:type="dxa"/>
            <w:tcBorders>
              <w:top w:val="dotted" w:sz="8" w:space="0" w:color="auto"/>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-219</w:t>
            </w:r>
          </w:p>
        </w:tc>
        <w:tc>
          <w:tcPr>
            <w:tcW w:w="794" w:type="dxa"/>
            <w:tcBorders>
              <w:top w:val="dotted" w:sz="8" w:space="0" w:color="auto"/>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724</w:t>
            </w:r>
          </w:p>
        </w:tc>
        <w:tc>
          <w:tcPr>
            <w:tcW w:w="794" w:type="dxa"/>
            <w:tcBorders>
              <w:top w:val="dotted" w:sz="8" w:space="0" w:color="auto"/>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147</w:t>
            </w:r>
          </w:p>
        </w:tc>
        <w:tc>
          <w:tcPr>
            <w:tcW w:w="794" w:type="dxa"/>
            <w:tcBorders>
              <w:top w:val="dotted" w:sz="8" w:space="0" w:color="auto"/>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1052</w:t>
            </w:r>
          </w:p>
        </w:tc>
        <w:tc>
          <w:tcPr>
            <w:tcW w:w="794" w:type="dxa"/>
            <w:tcBorders>
              <w:top w:val="dotted" w:sz="8" w:space="0" w:color="auto"/>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2208</w:t>
            </w:r>
          </w:p>
        </w:tc>
        <w:tc>
          <w:tcPr>
            <w:tcW w:w="794" w:type="dxa"/>
            <w:tcBorders>
              <w:top w:val="dotted" w:sz="8" w:space="0" w:color="auto"/>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2593</w:t>
            </w:r>
          </w:p>
        </w:tc>
        <w:tc>
          <w:tcPr>
            <w:tcW w:w="794" w:type="dxa"/>
            <w:tcBorders>
              <w:top w:val="dotted" w:sz="8" w:space="0" w:color="auto"/>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4064</w:t>
            </w:r>
          </w:p>
        </w:tc>
        <w:tc>
          <w:tcPr>
            <w:tcW w:w="794" w:type="dxa"/>
            <w:tcBorders>
              <w:top w:val="dotted" w:sz="8" w:space="0" w:color="auto"/>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6433</w:t>
            </w:r>
          </w:p>
        </w:tc>
        <w:tc>
          <w:tcPr>
            <w:tcW w:w="794" w:type="dxa"/>
            <w:tcBorders>
              <w:top w:val="dotted" w:sz="8" w:space="0" w:color="auto"/>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5297</w:t>
            </w:r>
          </w:p>
        </w:tc>
        <w:tc>
          <w:tcPr>
            <w:tcW w:w="794" w:type="dxa"/>
            <w:tcBorders>
              <w:top w:val="dotted" w:sz="8" w:space="0" w:color="auto"/>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4850</w:t>
            </w:r>
          </w:p>
        </w:tc>
        <w:tc>
          <w:tcPr>
            <w:tcW w:w="794" w:type="dxa"/>
            <w:tcBorders>
              <w:top w:val="dotted" w:sz="8" w:space="0" w:color="auto"/>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987</w:t>
            </w:r>
          </w:p>
        </w:tc>
      </w:tr>
      <w:tr w:rsidR="00E86331" w:rsidRPr="00D767A0" w:rsidTr="003B4A91">
        <w:trPr>
          <w:trHeight w:val="225"/>
        </w:trPr>
        <w:tc>
          <w:tcPr>
            <w:tcW w:w="4252" w:type="dxa"/>
            <w:shd w:val="clear" w:color="auto" w:fill="auto"/>
            <w:noWrap/>
            <w:vAlign w:val="center"/>
          </w:tcPr>
          <w:p w:rsidR="00E86331" w:rsidRPr="00E86331" w:rsidRDefault="00E86331" w:rsidP="00E86331">
            <w:pPr>
              <w:spacing w:before="0" w:after="0"/>
              <w:ind w:left="227"/>
              <w:rPr>
                <w:rFonts w:cs="Arial"/>
                <w:i/>
                <w:iCs/>
                <w:color w:val="000000"/>
                <w:sz w:val="16"/>
                <w:szCs w:val="16"/>
              </w:rPr>
            </w:pPr>
            <w:r w:rsidRPr="00E86331">
              <w:rPr>
                <w:rFonts w:cs="Arial"/>
                <w:i/>
                <w:iCs/>
                <w:color w:val="000000"/>
                <w:sz w:val="16"/>
                <w:szCs w:val="16"/>
              </w:rPr>
              <w:t>Defence weapons adjustment</w:t>
            </w:r>
          </w:p>
        </w:tc>
        <w:tc>
          <w:tcPr>
            <w:tcW w:w="794" w:type="dxa"/>
            <w:shd w:val="clear" w:color="auto" w:fill="auto"/>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506</w:t>
            </w:r>
          </w:p>
        </w:tc>
        <w:tc>
          <w:tcPr>
            <w:tcW w:w="794" w:type="dxa"/>
            <w:shd w:val="clear" w:color="auto" w:fill="auto"/>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-64</w:t>
            </w:r>
          </w:p>
        </w:tc>
        <w:tc>
          <w:tcPr>
            <w:tcW w:w="794" w:type="dxa"/>
            <w:shd w:val="clear" w:color="auto" w:fill="auto"/>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887</w:t>
            </w:r>
          </w:p>
        </w:tc>
        <w:tc>
          <w:tcPr>
            <w:tcW w:w="794" w:type="dxa"/>
            <w:shd w:val="clear" w:color="auto" w:fill="auto"/>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1446</w:t>
            </w:r>
          </w:p>
        </w:tc>
        <w:tc>
          <w:tcPr>
            <w:tcW w:w="794" w:type="dxa"/>
            <w:shd w:val="clear" w:color="auto" w:fill="auto"/>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125</w:t>
            </w:r>
          </w:p>
        </w:tc>
        <w:tc>
          <w:tcPr>
            <w:tcW w:w="794" w:type="dxa"/>
            <w:shd w:val="clear" w:color="auto" w:fill="auto"/>
            <w:noWrap/>
            <w:vAlign w:val="center"/>
          </w:tcPr>
          <w:p w:rsidR="00E86331" w:rsidRPr="00E86331" w:rsidRDefault="00E86331" w:rsidP="00E86331">
            <w:pPr>
              <w:spacing w:before="0" w:after="0"/>
              <w:jc w:val="right"/>
              <w:rPr>
                <w:rFonts w:cs="Arial"/>
                <w:color w:val="000000"/>
                <w:sz w:val="16"/>
                <w:szCs w:val="16"/>
              </w:rPr>
            </w:pPr>
          </w:p>
        </w:tc>
        <w:tc>
          <w:tcPr>
            <w:tcW w:w="794" w:type="dxa"/>
            <w:shd w:val="clear" w:color="auto" w:fill="auto"/>
            <w:noWrap/>
            <w:vAlign w:val="center"/>
          </w:tcPr>
          <w:p w:rsidR="00E86331" w:rsidRPr="00E86331" w:rsidRDefault="00E86331" w:rsidP="00E86331">
            <w:pPr>
              <w:spacing w:before="0" w:after="0"/>
              <w:jc w:val="right"/>
              <w:rPr>
                <w:rFonts w:cs="Arial"/>
                <w:color w:val="000000"/>
                <w:sz w:val="16"/>
                <w:szCs w:val="16"/>
              </w:rPr>
            </w:pPr>
          </w:p>
        </w:tc>
        <w:tc>
          <w:tcPr>
            <w:tcW w:w="794" w:type="dxa"/>
            <w:shd w:val="clear" w:color="auto" w:fill="auto"/>
            <w:noWrap/>
            <w:vAlign w:val="center"/>
          </w:tcPr>
          <w:p w:rsidR="00E86331" w:rsidRPr="00E86331" w:rsidRDefault="00E86331" w:rsidP="00E86331">
            <w:pPr>
              <w:spacing w:before="0" w:after="0"/>
              <w:jc w:val="right"/>
              <w:rPr>
                <w:rFonts w:cs="Arial"/>
                <w:color w:val="000000"/>
                <w:sz w:val="16"/>
                <w:szCs w:val="16"/>
              </w:rPr>
            </w:pPr>
          </w:p>
        </w:tc>
        <w:tc>
          <w:tcPr>
            <w:tcW w:w="794" w:type="dxa"/>
            <w:shd w:val="clear" w:color="auto" w:fill="auto"/>
            <w:noWrap/>
            <w:vAlign w:val="center"/>
          </w:tcPr>
          <w:p w:rsidR="00E86331" w:rsidRPr="00E86331" w:rsidRDefault="00E86331" w:rsidP="00E86331">
            <w:pPr>
              <w:spacing w:before="0" w:after="0"/>
              <w:jc w:val="right"/>
              <w:rPr>
                <w:rFonts w:cs="Arial"/>
                <w:color w:val="000000"/>
                <w:sz w:val="16"/>
                <w:szCs w:val="16"/>
              </w:rPr>
            </w:pPr>
          </w:p>
        </w:tc>
        <w:tc>
          <w:tcPr>
            <w:tcW w:w="794" w:type="dxa"/>
            <w:shd w:val="clear" w:color="auto" w:fill="auto"/>
            <w:noWrap/>
            <w:vAlign w:val="center"/>
          </w:tcPr>
          <w:p w:rsidR="00E86331" w:rsidRPr="00E86331" w:rsidRDefault="00E86331" w:rsidP="00E86331">
            <w:pPr>
              <w:spacing w:before="0" w:after="0"/>
              <w:jc w:val="right"/>
              <w:rPr>
                <w:rFonts w:cs="Arial"/>
                <w:color w:val="000000"/>
                <w:sz w:val="16"/>
                <w:szCs w:val="16"/>
              </w:rPr>
            </w:pPr>
          </w:p>
        </w:tc>
        <w:tc>
          <w:tcPr>
            <w:tcW w:w="794" w:type="dxa"/>
            <w:shd w:val="clear" w:color="auto" w:fill="auto"/>
            <w:noWrap/>
            <w:vAlign w:val="center"/>
          </w:tcPr>
          <w:p w:rsidR="00E86331" w:rsidRPr="00E86331" w:rsidRDefault="00E86331" w:rsidP="00E86331">
            <w:pPr>
              <w:spacing w:before="0" w:after="0"/>
              <w:jc w:val="right"/>
              <w:rPr>
                <w:rFonts w:cs="Arial"/>
                <w:color w:val="000000"/>
                <w:sz w:val="16"/>
                <w:szCs w:val="16"/>
              </w:rPr>
            </w:pPr>
          </w:p>
        </w:tc>
      </w:tr>
      <w:tr w:rsidR="00E86331" w:rsidRPr="00E86331" w:rsidTr="003B4A91">
        <w:trPr>
          <w:trHeight w:val="225"/>
        </w:trPr>
        <w:tc>
          <w:tcPr>
            <w:tcW w:w="4252" w:type="dxa"/>
            <w:tcBorders>
              <w:bottom w:val="single" w:sz="8" w:space="0" w:color="2B3B5F"/>
            </w:tcBorders>
            <w:shd w:val="clear" w:color="auto" w:fill="auto"/>
            <w:noWrap/>
            <w:vAlign w:val="center"/>
          </w:tcPr>
          <w:p w:rsidR="00E86331" w:rsidRPr="00E86331" w:rsidRDefault="00E86331" w:rsidP="00E86331">
            <w:pPr>
              <w:spacing w:before="0" w:after="0"/>
              <w:rPr>
                <w:rFonts w:cs="Arial"/>
                <w:b/>
                <w:color w:val="000000"/>
                <w:sz w:val="16"/>
                <w:szCs w:val="16"/>
              </w:rPr>
            </w:pPr>
            <w:r w:rsidRPr="00E86331">
              <w:rPr>
                <w:rFonts w:cs="Arial"/>
                <w:b/>
                <w:color w:val="000000"/>
                <w:sz w:val="16"/>
                <w:szCs w:val="16"/>
              </w:rPr>
              <w:t>Net capital investment -</w:t>
            </w:r>
            <w:r w:rsidR="00E80975">
              <w:rPr>
                <w:rFonts w:cs="Arial"/>
                <w:b/>
                <w:color w:val="000000"/>
                <w:sz w:val="16"/>
                <w:szCs w:val="16"/>
              </w:rPr>
              <w:t xml:space="preserve"> </w:t>
            </w:r>
            <w:r w:rsidRPr="00E86331">
              <w:rPr>
                <w:rFonts w:cs="Arial"/>
                <w:b/>
                <w:color w:val="000000"/>
                <w:sz w:val="16"/>
                <w:szCs w:val="16"/>
              </w:rPr>
              <w:t>total</w:t>
            </w:r>
          </w:p>
        </w:tc>
        <w:tc>
          <w:tcPr>
            <w:tcW w:w="794" w:type="dxa"/>
            <w:tcBorders>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287</w:t>
            </w:r>
          </w:p>
        </w:tc>
        <w:tc>
          <w:tcPr>
            <w:tcW w:w="794" w:type="dxa"/>
            <w:tcBorders>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660</w:t>
            </w:r>
          </w:p>
        </w:tc>
        <w:tc>
          <w:tcPr>
            <w:tcW w:w="794" w:type="dxa"/>
            <w:tcBorders>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1034</w:t>
            </w:r>
          </w:p>
        </w:tc>
        <w:tc>
          <w:tcPr>
            <w:tcW w:w="794" w:type="dxa"/>
            <w:tcBorders>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2498</w:t>
            </w:r>
          </w:p>
        </w:tc>
        <w:tc>
          <w:tcPr>
            <w:tcW w:w="794" w:type="dxa"/>
            <w:tcBorders>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2333</w:t>
            </w:r>
          </w:p>
        </w:tc>
        <w:tc>
          <w:tcPr>
            <w:tcW w:w="794" w:type="dxa"/>
            <w:tcBorders>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2593</w:t>
            </w:r>
          </w:p>
        </w:tc>
        <w:tc>
          <w:tcPr>
            <w:tcW w:w="794" w:type="dxa"/>
            <w:tcBorders>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4064</w:t>
            </w:r>
          </w:p>
        </w:tc>
        <w:tc>
          <w:tcPr>
            <w:tcW w:w="794" w:type="dxa"/>
            <w:tcBorders>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6433</w:t>
            </w:r>
          </w:p>
        </w:tc>
        <w:tc>
          <w:tcPr>
            <w:tcW w:w="794" w:type="dxa"/>
            <w:tcBorders>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5297</w:t>
            </w:r>
          </w:p>
        </w:tc>
        <w:tc>
          <w:tcPr>
            <w:tcW w:w="794" w:type="dxa"/>
            <w:tcBorders>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4850</w:t>
            </w:r>
          </w:p>
        </w:tc>
        <w:tc>
          <w:tcPr>
            <w:tcW w:w="794" w:type="dxa"/>
            <w:tcBorders>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987</w:t>
            </w:r>
          </w:p>
        </w:tc>
      </w:tr>
      <w:tr w:rsidR="00512130" w:rsidRPr="00D767A0" w:rsidTr="00512130">
        <w:trPr>
          <w:trHeight w:val="489"/>
        </w:trPr>
        <w:tc>
          <w:tcPr>
            <w:tcW w:w="12986" w:type="dxa"/>
            <w:gridSpan w:val="12"/>
            <w:tcBorders>
              <w:top w:val="single" w:sz="8" w:space="0" w:color="2B3B5F"/>
            </w:tcBorders>
            <w:shd w:val="clear" w:color="auto" w:fill="auto"/>
            <w:noWrap/>
            <w:vAlign w:val="center"/>
          </w:tcPr>
          <w:p w:rsidR="00512130" w:rsidRPr="00E86331" w:rsidRDefault="00512130" w:rsidP="00E86331">
            <w:pPr>
              <w:spacing w:before="0" w:after="0"/>
              <w:jc w:val="right"/>
              <w:rPr>
                <w:rFonts w:cs="Arial"/>
                <w:bCs/>
                <w:color w:val="000000"/>
                <w:sz w:val="16"/>
                <w:szCs w:val="16"/>
              </w:rPr>
            </w:pPr>
          </w:p>
        </w:tc>
      </w:tr>
      <w:tr w:rsidR="00E86331" w:rsidRPr="00D767A0" w:rsidTr="003B4A91">
        <w:trPr>
          <w:trHeight w:val="225"/>
        </w:trPr>
        <w:tc>
          <w:tcPr>
            <w:tcW w:w="4252"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rPr>
                <w:rFonts w:cs="Arial"/>
                <w:color w:val="000000"/>
                <w:sz w:val="16"/>
                <w:szCs w:val="16"/>
              </w:rPr>
            </w:pP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2002-03</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2003-04</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2004-05</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2005-06</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2006-07</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2007-08</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2008-09</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2009-10</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2010-11</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2011-12</w:t>
            </w:r>
          </w:p>
        </w:tc>
        <w:tc>
          <w:tcPr>
            <w:tcW w:w="794" w:type="dxa"/>
            <w:tcBorders>
              <w:top w:val="single" w:sz="8" w:space="0" w:color="2B3B5F"/>
              <w:bottom w:val="dotted" w:sz="8" w:space="0" w:color="auto"/>
            </w:tcBorders>
            <w:shd w:val="clear" w:color="auto" w:fill="95A4C6"/>
            <w:noWrap/>
            <w:vAlign w:val="center"/>
          </w:tcPr>
          <w:p w:rsidR="00E86331" w:rsidRPr="00E86331" w:rsidRDefault="00E86331" w:rsidP="00E86331">
            <w:pPr>
              <w:spacing w:before="0" w:after="0"/>
              <w:jc w:val="right"/>
              <w:rPr>
                <w:rFonts w:cs="Arial"/>
                <w:color w:val="000000"/>
                <w:sz w:val="16"/>
                <w:szCs w:val="16"/>
              </w:rPr>
            </w:pPr>
            <w:r w:rsidRPr="00E86331">
              <w:rPr>
                <w:rFonts w:cs="Arial"/>
                <w:color w:val="000000"/>
                <w:sz w:val="16"/>
                <w:szCs w:val="16"/>
              </w:rPr>
              <w:t>2012-13</w:t>
            </w:r>
          </w:p>
        </w:tc>
      </w:tr>
      <w:tr w:rsidR="00E86331" w:rsidRPr="00D767A0" w:rsidTr="003B4A91">
        <w:trPr>
          <w:trHeight w:val="225"/>
        </w:trPr>
        <w:tc>
          <w:tcPr>
            <w:tcW w:w="4252" w:type="dxa"/>
            <w:tcBorders>
              <w:top w:val="dotted" w:sz="8" w:space="0" w:color="auto"/>
              <w:bottom w:val="single" w:sz="8" w:space="0" w:color="2B3B5F"/>
            </w:tcBorders>
            <w:shd w:val="clear" w:color="auto" w:fill="auto"/>
            <w:noWrap/>
            <w:vAlign w:val="center"/>
          </w:tcPr>
          <w:p w:rsidR="00E86331" w:rsidRPr="00E86331" w:rsidRDefault="00E86331" w:rsidP="00E86331">
            <w:pPr>
              <w:spacing w:before="0" w:after="0"/>
              <w:rPr>
                <w:rFonts w:cs="Arial"/>
                <w:b/>
                <w:bCs/>
                <w:color w:val="000000"/>
                <w:sz w:val="16"/>
                <w:szCs w:val="16"/>
              </w:rPr>
            </w:pPr>
            <w:r w:rsidRPr="00E86331">
              <w:rPr>
                <w:rFonts w:cs="Arial"/>
                <w:b/>
                <w:bCs/>
                <w:color w:val="000000"/>
                <w:sz w:val="16"/>
                <w:szCs w:val="16"/>
              </w:rPr>
              <w:t>Total government spending - with adjustments</w:t>
            </w:r>
          </w:p>
        </w:tc>
        <w:tc>
          <w:tcPr>
            <w:tcW w:w="794" w:type="dxa"/>
            <w:tcBorders>
              <w:top w:val="dotted" w:sz="8" w:space="0" w:color="auto"/>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201540</w:t>
            </w:r>
          </w:p>
        </w:tc>
        <w:tc>
          <w:tcPr>
            <w:tcW w:w="794" w:type="dxa"/>
            <w:tcBorders>
              <w:top w:val="dotted" w:sz="8" w:space="0" w:color="auto"/>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216022</w:t>
            </w:r>
          </w:p>
        </w:tc>
        <w:tc>
          <w:tcPr>
            <w:tcW w:w="794" w:type="dxa"/>
            <w:tcBorders>
              <w:top w:val="dotted" w:sz="8" w:space="0" w:color="auto"/>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230282</w:t>
            </w:r>
          </w:p>
        </w:tc>
        <w:tc>
          <w:tcPr>
            <w:tcW w:w="794" w:type="dxa"/>
            <w:tcBorders>
              <w:top w:val="dotted" w:sz="8" w:space="0" w:color="auto"/>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244827</w:t>
            </w:r>
          </w:p>
        </w:tc>
        <w:tc>
          <w:tcPr>
            <w:tcW w:w="794" w:type="dxa"/>
            <w:tcBorders>
              <w:top w:val="dotted" w:sz="8" w:space="0" w:color="auto"/>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261609</w:t>
            </w:r>
          </w:p>
        </w:tc>
        <w:tc>
          <w:tcPr>
            <w:tcW w:w="794" w:type="dxa"/>
            <w:tcBorders>
              <w:top w:val="dotted" w:sz="8" w:space="0" w:color="auto"/>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282792</w:t>
            </w:r>
          </w:p>
        </w:tc>
        <w:tc>
          <w:tcPr>
            <w:tcW w:w="794" w:type="dxa"/>
            <w:tcBorders>
              <w:top w:val="dotted" w:sz="8" w:space="0" w:color="auto"/>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328675</w:t>
            </w:r>
          </w:p>
        </w:tc>
        <w:tc>
          <w:tcPr>
            <w:tcW w:w="794" w:type="dxa"/>
            <w:tcBorders>
              <w:top w:val="dotted" w:sz="8" w:space="0" w:color="auto"/>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346641</w:t>
            </w:r>
          </w:p>
        </w:tc>
        <w:tc>
          <w:tcPr>
            <w:tcW w:w="794" w:type="dxa"/>
            <w:tcBorders>
              <w:top w:val="dotted" w:sz="8" w:space="0" w:color="auto"/>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361652</w:t>
            </w:r>
          </w:p>
        </w:tc>
        <w:tc>
          <w:tcPr>
            <w:tcW w:w="794" w:type="dxa"/>
            <w:tcBorders>
              <w:top w:val="dotted" w:sz="8" w:space="0" w:color="auto"/>
              <w:bottom w:val="single" w:sz="8" w:space="0" w:color="2B3B5F"/>
            </w:tcBorders>
            <w:shd w:val="clear" w:color="auto" w:fill="auto"/>
            <w:noWrap/>
            <w:vAlign w:val="center"/>
          </w:tcPr>
          <w:p w:rsidR="00E86331" w:rsidRPr="00E86331" w:rsidRDefault="00E86331" w:rsidP="00E86331">
            <w:pPr>
              <w:spacing w:before="0" w:after="0"/>
              <w:jc w:val="right"/>
              <w:rPr>
                <w:rFonts w:cs="Arial"/>
                <w:b/>
                <w:bCs/>
                <w:color w:val="000000"/>
                <w:sz w:val="16"/>
                <w:szCs w:val="16"/>
              </w:rPr>
            </w:pPr>
            <w:r w:rsidRPr="00E86331">
              <w:rPr>
                <w:rFonts w:cs="Arial"/>
                <w:b/>
                <w:bCs/>
                <w:color w:val="000000"/>
                <w:sz w:val="16"/>
                <w:szCs w:val="16"/>
              </w:rPr>
              <w:t>382854</w:t>
            </w:r>
          </w:p>
        </w:tc>
        <w:tc>
          <w:tcPr>
            <w:tcW w:w="794" w:type="dxa"/>
            <w:tcBorders>
              <w:top w:val="dotted" w:sz="8" w:space="0" w:color="auto"/>
              <w:bottom w:val="single" w:sz="8" w:space="0" w:color="2B3B5F"/>
            </w:tcBorders>
            <w:shd w:val="clear" w:color="auto" w:fill="auto"/>
            <w:noWrap/>
            <w:vAlign w:val="center"/>
          </w:tcPr>
          <w:p w:rsidR="00E86331" w:rsidRPr="00E86331" w:rsidRDefault="00DF20F3" w:rsidP="00E86331">
            <w:pPr>
              <w:spacing w:before="0" w:after="0"/>
              <w:jc w:val="right"/>
              <w:rPr>
                <w:rFonts w:cs="Arial"/>
                <w:b/>
                <w:bCs/>
                <w:color w:val="000000"/>
                <w:sz w:val="16"/>
                <w:szCs w:val="16"/>
              </w:rPr>
            </w:pPr>
            <w:r>
              <w:rPr>
                <w:rFonts w:cs="Arial"/>
                <w:b/>
                <w:bCs/>
                <w:color w:val="000000"/>
                <w:sz w:val="16"/>
                <w:szCs w:val="16"/>
              </w:rPr>
              <w:t>383631</w:t>
            </w:r>
          </w:p>
        </w:tc>
      </w:tr>
    </w:tbl>
    <w:p w:rsidR="009F3307" w:rsidRDefault="009F3307" w:rsidP="007F3BCF">
      <w:pPr>
        <w:pStyle w:val="PBOtext"/>
      </w:pPr>
    </w:p>
    <w:p w:rsidR="00CB2B0E" w:rsidRDefault="00CB2B0E" w:rsidP="007F3BCF">
      <w:pPr>
        <w:pStyle w:val="PBOtext"/>
      </w:pPr>
    </w:p>
    <w:p w:rsidR="00CB2B0E" w:rsidRDefault="00CB2B0E" w:rsidP="007F3BCF">
      <w:pPr>
        <w:pStyle w:val="PBOtext"/>
      </w:pPr>
    </w:p>
    <w:p w:rsidR="00CB2B0E" w:rsidRDefault="00CB2B0E" w:rsidP="007F3BCF">
      <w:pPr>
        <w:pStyle w:val="PBOtext"/>
      </w:pPr>
    </w:p>
    <w:p w:rsidR="00CB2B0E" w:rsidRDefault="00CB2B0E" w:rsidP="007F3BCF">
      <w:pPr>
        <w:pStyle w:val="PBOtext"/>
      </w:pPr>
    </w:p>
    <w:p w:rsidR="00CB2B0E" w:rsidRDefault="00CB2B0E" w:rsidP="007F3BCF">
      <w:pPr>
        <w:pStyle w:val="PBOtext"/>
      </w:pPr>
    </w:p>
    <w:p w:rsidR="00E86331" w:rsidRDefault="00E86331" w:rsidP="007F3BCF">
      <w:pPr>
        <w:pStyle w:val="PBOtext"/>
      </w:pPr>
    </w:p>
    <w:p w:rsidR="00E86331" w:rsidRDefault="00E86331" w:rsidP="00083FC7">
      <w:pPr>
        <w:pStyle w:val="PBOtext"/>
        <w:spacing w:before="0" w:after="0"/>
      </w:pPr>
    </w:p>
    <w:p w:rsidR="00083FC7" w:rsidRDefault="004919C4" w:rsidP="004B29B4">
      <w:pPr>
        <w:pStyle w:val="FootnoteText"/>
        <w:spacing w:before="5280"/>
        <w:ind w:firstLine="0"/>
      </w:pPr>
      <w:r>
        <w:rPr>
          <w:noProof/>
        </w:rPr>
        <mc:AlternateContent>
          <mc:Choice Requires="wps">
            <w:drawing>
              <wp:anchor distT="0" distB="0" distL="114300" distR="114300" simplePos="0" relativeHeight="251659264" behindDoc="0" locked="0" layoutInCell="1" allowOverlap="1" wp14:anchorId="40F2915D" wp14:editId="34BF6F22">
                <wp:simplePos x="0" y="0"/>
                <wp:positionH relativeFrom="column">
                  <wp:posOffset>195580</wp:posOffset>
                </wp:positionH>
                <wp:positionV relativeFrom="paragraph">
                  <wp:posOffset>3184525</wp:posOffset>
                </wp:positionV>
                <wp:extent cx="1835150" cy="0"/>
                <wp:effectExtent l="0" t="0" r="12700" b="19050"/>
                <wp:wrapNone/>
                <wp:docPr id="25" name="Straight Connector 25"/>
                <wp:cNvGraphicFramePr/>
                <a:graphic xmlns:a="http://schemas.openxmlformats.org/drawingml/2006/main">
                  <a:graphicData uri="http://schemas.microsoft.com/office/word/2010/wordprocessingShape">
                    <wps:wsp>
                      <wps:cNvCnPr/>
                      <wps:spPr>
                        <a:xfrm>
                          <a:off x="0" y="0"/>
                          <a:ext cx="18351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250.75pt" to="159.9pt,2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" strokecolor="black [3213]" strokeweight=".25pt"/>
            </w:pict>
          </mc:Fallback>
        </mc:AlternateContent>
      </w:r>
      <w:r w:rsidR="00DD0D54">
        <w:rPr>
          <w:vertAlign w:val="superscript"/>
        </w:rPr>
        <w:t>20</w:t>
      </w:r>
      <w:r w:rsidR="00083FC7">
        <w:t xml:space="preserve"> </w:t>
      </w:r>
      <w:r w:rsidR="00083FC7">
        <w:tab/>
      </w:r>
      <w:r w:rsidR="004B29B4">
        <w:t>Figures have been rounded to the nearest whole number.</w:t>
      </w:r>
    </w:p>
    <w:p w:rsidR="004B29B4" w:rsidRPr="00E302B8" w:rsidRDefault="004B29B4" w:rsidP="004B29B4">
      <w:pPr>
        <w:pStyle w:val="FootnoteText"/>
        <w:ind w:firstLine="0"/>
      </w:pPr>
      <w:r>
        <w:rPr>
          <w:vertAlign w:val="superscript"/>
        </w:rPr>
        <w:t>2</w:t>
      </w:r>
      <w:r w:rsidR="00DD0D54">
        <w:rPr>
          <w:vertAlign w:val="superscript"/>
        </w:rPr>
        <w:t>1</w:t>
      </w:r>
      <w:r>
        <w:t xml:space="preserve"> </w:t>
      </w:r>
      <w:r>
        <w:tab/>
        <w:t>Figures may not add due to rounding.</w:t>
      </w:r>
    </w:p>
    <w:sectPr w:rsidR="004B29B4" w:rsidRPr="00E302B8" w:rsidSect="00921AC5">
      <w:headerReference w:type="even" r:id="rId84"/>
      <w:footerReference w:type="even" r:id="rId85"/>
      <w:headerReference w:type="first" r:id="rId86"/>
      <w:footerReference w:type="first" r:id="rId87"/>
      <w:pgSz w:w="16840" w:h="11900" w:orient="landscape"/>
      <w:pgMar w:top="1440" w:right="1440" w:bottom="1440" w:left="1440"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AB5" w:rsidRDefault="005C5AB5" w:rsidP="00344501">
      <w:r>
        <w:separator/>
      </w:r>
    </w:p>
  </w:endnote>
  <w:endnote w:type="continuationSeparator" w:id="0">
    <w:p w:rsidR="005C5AB5" w:rsidRDefault="005C5AB5" w:rsidP="00344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E91B9E" w:rsidRDefault="005C5AB5" w:rsidP="00E91B9E">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03296" behindDoc="0" locked="0" layoutInCell="1" allowOverlap="1" wp14:anchorId="0E599947" wp14:editId="1E59F5DD">
              <wp:simplePos x="0" y="0"/>
              <wp:positionH relativeFrom="column">
                <wp:posOffset>5059680</wp:posOffset>
              </wp:positionH>
              <wp:positionV relativeFrom="paragraph">
                <wp:posOffset>-213995</wp:posOffset>
              </wp:positionV>
              <wp:extent cx="1038225" cy="49593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6580C">
                          <w:pPr>
                            <w:pStyle w:val="PBOfooter"/>
                            <w:spacing w:before="120" w:after="114"/>
                            <w:jc w:val="center"/>
                          </w:pPr>
                          <w:r w:rsidRPr="009530F3">
                            <w:fldChar w:fldCharType="begin"/>
                          </w:r>
                          <w:r w:rsidRPr="009530F3">
                            <w:instrText xml:space="preserve">PAGE  </w:instrText>
                          </w:r>
                          <w:r w:rsidRPr="009530F3">
                            <w:fldChar w:fldCharType="separate"/>
                          </w:r>
                          <w:r w:rsidR="009F5F1B">
                            <w:t>9</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6" o:spid="_x0000_s1027" type="#_x0000_t202" style="position:absolute;left:0;text-align:left;margin-left:398.4pt;margin-top:-16.85pt;width:81.75pt;height:39.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" filled="f" stroked="f" strokeweight=".5pt">
              <v:textbox>
                <w:txbxContent>
                  <w:p w:rsidR="005C5AB5" w:rsidRDefault="005C5AB5" w:rsidP="0096580C">
                    <w:pPr>
                      <w:pStyle w:val="PBOfooter"/>
                      <w:spacing w:before="120" w:after="114"/>
                      <w:jc w:val="center"/>
                    </w:pPr>
                    <w:r w:rsidRPr="009530F3">
                      <w:fldChar w:fldCharType="begin"/>
                    </w:r>
                    <w:r w:rsidRPr="009530F3">
                      <w:instrText xml:space="preserve">PAGE  </w:instrText>
                    </w:r>
                    <w:r w:rsidRPr="009530F3">
                      <w:fldChar w:fldCharType="separate"/>
                    </w:r>
                    <w:r w:rsidR="009F5F1B">
                      <w:t>9</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06368" behindDoc="0" locked="0" layoutInCell="1" allowOverlap="1" wp14:anchorId="7C39D42E" wp14:editId="518DF20E">
              <wp:simplePos x="0" y="0"/>
              <wp:positionH relativeFrom="column">
                <wp:posOffset>5280519</wp:posOffset>
              </wp:positionH>
              <wp:positionV relativeFrom="paragraph">
                <wp:posOffset>-180340</wp:posOffset>
              </wp:positionV>
              <wp:extent cx="0" cy="462280"/>
              <wp:effectExtent l="0" t="0" r="19050" b="13970"/>
              <wp:wrapNone/>
              <wp:docPr id="6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" strokecolor="#95a4c6" strokeweight="1pt">
              <v:shadow opacity="22938f" offset="0"/>
            </v:line>
          </w:pict>
        </mc:Fallback>
      </mc:AlternateContent>
    </w:r>
    <w:r w:rsidRPr="0096580C">
      <w:rPr>
        <w:sz w:val="18"/>
        <w:szCs w:val="18"/>
        <w:lang w:eastAsia="en-AU"/>
      </w:rPr>
      <mc:AlternateContent>
        <mc:Choice Requires="wps">
          <w:drawing>
            <wp:anchor distT="0" distB="0" distL="114300" distR="114300" simplePos="0" relativeHeight="251704320" behindDoc="0" locked="0" layoutInCell="1" allowOverlap="1" wp14:anchorId="4D8BDAFA" wp14:editId="095C8523">
              <wp:simplePos x="0" y="0"/>
              <wp:positionH relativeFrom="column">
                <wp:posOffset>-821690</wp:posOffset>
              </wp:positionH>
              <wp:positionV relativeFrom="paragraph">
                <wp:posOffset>-211949</wp:posOffset>
              </wp:positionV>
              <wp:extent cx="5880735" cy="49657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6580C">
                          <w:pPr>
                            <w:pStyle w:val="PBOfooter"/>
                            <w:spacing w:before="120" w:after="114"/>
                            <w:jc w:val="right"/>
                          </w:pPr>
                          <w:r>
                            <w:t>Total government spending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28" type="#_x0000_t202" style="position:absolute;left:0;text-align:left;margin-left:-64.7pt;margin-top:-16.7pt;width:463.05pt;height:39.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" filled="f" stroked="f" strokeweight=".5pt">
              <v:textbox>
                <w:txbxContent>
                  <w:p w:rsidR="005C5AB5" w:rsidRDefault="005C5AB5" w:rsidP="0096580C">
                    <w:pPr>
                      <w:pStyle w:val="PBOfooter"/>
                      <w:spacing w:before="120" w:after="114"/>
                      <w:jc w:val="right"/>
                    </w:pPr>
                    <w:r>
                      <w:t>Total government spending</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934C8A" w:rsidRDefault="005C5AB5" w:rsidP="00934C8A">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78048" behindDoc="0" locked="0" layoutInCell="1" allowOverlap="1" wp14:anchorId="6DBF3696" wp14:editId="5B9E1C37">
              <wp:simplePos x="0" y="0"/>
              <wp:positionH relativeFrom="column">
                <wp:posOffset>5059680</wp:posOffset>
              </wp:positionH>
              <wp:positionV relativeFrom="paragraph">
                <wp:posOffset>-212407</wp:posOffset>
              </wp:positionV>
              <wp:extent cx="1038225" cy="4959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33</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39" type="#_x0000_t202" style="position:absolute;left:0;text-align:left;margin-left:398.4pt;margin-top:-16.7pt;width:81.75pt;height:39.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" filled="f" stroked="f" strokeweight=".5pt">
              <v:textbo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33</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80096" behindDoc="0" locked="0" layoutInCell="1" allowOverlap="1" wp14:anchorId="5BAD5042" wp14:editId="22ECCB7F">
              <wp:simplePos x="0" y="0"/>
              <wp:positionH relativeFrom="column">
                <wp:posOffset>5280519</wp:posOffset>
              </wp:positionH>
              <wp:positionV relativeFrom="paragraph">
                <wp:posOffset>-180340</wp:posOffset>
              </wp:positionV>
              <wp:extent cx="0" cy="462280"/>
              <wp:effectExtent l="0" t="0" r="19050" b="13970"/>
              <wp:wrapNone/>
              <wp:docPr id="3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" strokecolor="#95a4c6" strokeweight="1pt">
              <v:shadow opacity="22938f" offset="0"/>
            </v:line>
          </w:pict>
        </mc:Fallback>
      </mc:AlternateContent>
    </w:r>
    <w:r w:rsidRPr="0096580C">
      <w:rPr>
        <w:sz w:val="18"/>
        <w:szCs w:val="18"/>
        <w:lang w:eastAsia="en-AU"/>
      </w:rPr>
      <mc:AlternateContent>
        <mc:Choice Requires="wps">
          <w:drawing>
            <wp:anchor distT="0" distB="0" distL="114300" distR="114300" simplePos="0" relativeHeight="251779072" behindDoc="0" locked="0" layoutInCell="1" allowOverlap="1" wp14:anchorId="7147809B" wp14:editId="5F1DA05C">
              <wp:simplePos x="0" y="0"/>
              <wp:positionH relativeFrom="column">
                <wp:posOffset>-821690</wp:posOffset>
              </wp:positionH>
              <wp:positionV relativeFrom="paragraph">
                <wp:posOffset>-211949</wp:posOffset>
              </wp:positionV>
              <wp:extent cx="5880735" cy="49657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right"/>
                          </w:pPr>
                          <w:r>
                            <w:t>General public services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0" type="#_x0000_t202" style="position:absolute;left:0;text-align:left;margin-left:-64.7pt;margin-top:-16.7pt;width:463.05pt;height:39.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" filled="f" stroked="f" strokeweight=".5pt">
              <v:textbox>
                <w:txbxContent>
                  <w:p w:rsidR="005C5AB5" w:rsidRDefault="005C5AB5" w:rsidP="00934C8A">
                    <w:pPr>
                      <w:pStyle w:val="PBOfooter"/>
                      <w:spacing w:before="120" w:after="114"/>
                      <w:jc w:val="right"/>
                    </w:pPr>
                    <w:r>
                      <w:t>General public services expenses</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934C8A" w:rsidRDefault="005C5AB5" w:rsidP="00934C8A">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82144" behindDoc="0" locked="0" layoutInCell="1" allowOverlap="1" wp14:anchorId="0E9DD266" wp14:editId="579D58E3">
              <wp:simplePos x="0" y="0"/>
              <wp:positionH relativeFrom="column">
                <wp:posOffset>5059680</wp:posOffset>
              </wp:positionH>
              <wp:positionV relativeFrom="paragraph">
                <wp:posOffset>-212407</wp:posOffset>
              </wp:positionV>
              <wp:extent cx="1038225" cy="4959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39</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41" type="#_x0000_t202" style="position:absolute;left:0;text-align:left;margin-left:398.4pt;margin-top:-16.7pt;width:81.75pt;height:39.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" filled="f" stroked="f" strokeweight=".5pt">
              <v:textbo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39</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84192" behindDoc="0" locked="0" layoutInCell="1" allowOverlap="1" wp14:anchorId="4A67E165" wp14:editId="0E3EACDF">
              <wp:simplePos x="0" y="0"/>
              <wp:positionH relativeFrom="column">
                <wp:posOffset>5280519</wp:posOffset>
              </wp:positionH>
              <wp:positionV relativeFrom="paragraph">
                <wp:posOffset>-180340</wp:posOffset>
              </wp:positionV>
              <wp:extent cx="0" cy="462280"/>
              <wp:effectExtent l="0" t="0" r="19050" b="13970"/>
              <wp:wrapNone/>
              <wp:docPr id="4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" strokecolor="#95a4c6" strokeweight="1pt">
              <v:shadow opacity="22938f" offset="0"/>
            </v:line>
          </w:pict>
        </mc:Fallback>
      </mc:AlternateContent>
    </w:r>
    <w:r w:rsidRPr="0096580C">
      <w:rPr>
        <w:sz w:val="18"/>
        <w:szCs w:val="18"/>
        <w:lang w:eastAsia="en-AU"/>
      </w:rPr>
      <mc:AlternateContent>
        <mc:Choice Requires="wps">
          <w:drawing>
            <wp:anchor distT="0" distB="0" distL="114300" distR="114300" simplePos="0" relativeHeight="251783168" behindDoc="0" locked="0" layoutInCell="1" allowOverlap="1" wp14:anchorId="157A9DF0" wp14:editId="1C09B923">
              <wp:simplePos x="0" y="0"/>
              <wp:positionH relativeFrom="column">
                <wp:posOffset>-821690</wp:posOffset>
              </wp:positionH>
              <wp:positionV relativeFrom="paragraph">
                <wp:posOffset>-211949</wp:posOffset>
              </wp:positionV>
              <wp:extent cx="5880735" cy="49657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right"/>
                          </w:pPr>
                          <w:r>
                            <w:t>Defence and public order and safety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2" type="#_x0000_t202" style="position:absolute;left:0;text-align:left;margin-left:-64.7pt;margin-top:-16.7pt;width:463.05pt;height:39.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" filled="f" stroked="f" strokeweight=".5pt">
              <v:textbox>
                <w:txbxContent>
                  <w:p w:rsidR="005C5AB5" w:rsidRDefault="005C5AB5" w:rsidP="00934C8A">
                    <w:pPr>
                      <w:pStyle w:val="PBOfooter"/>
                      <w:spacing w:before="120" w:after="114"/>
                      <w:jc w:val="right"/>
                    </w:pPr>
                    <w:r>
                      <w:t>Defence and public order and safety expenses</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934C8A" w:rsidRDefault="005C5AB5" w:rsidP="00934C8A">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69856" behindDoc="0" locked="0" layoutInCell="1" allowOverlap="1" wp14:anchorId="3C1028FD" wp14:editId="5301515E">
              <wp:simplePos x="0" y="0"/>
              <wp:positionH relativeFrom="column">
                <wp:posOffset>5059680</wp:posOffset>
              </wp:positionH>
              <wp:positionV relativeFrom="paragraph">
                <wp:posOffset>-213678</wp:posOffset>
              </wp:positionV>
              <wp:extent cx="1038225" cy="49593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43</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4" o:spid="_x0000_s1043" type="#_x0000_t202" style="position:absolute;left:0;text-align:left;margin-left:398.4pt;margin-top:-16.85pt;width:81.75pt;height:39.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" filled="f" stroked="f" strokeweight=".5pt">
              <v:textbo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43</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71904" behindDoc="0" locked="0" layoutInCell="1" allowOverlap="1" wp14:anchorId="749B6CB8" wp14:editId="09A6CC6D">
              <wp:simplePos x="0" y="0"/>
              <wp:positionH relativeFrom="column">
                <wp:posOffset>5280519</wp:posOffset>
              </wp:positionH>
              <wp:positionV relativeFrom="paragraph">
                <wp:posOffset>-180340</wp:posOffset>
              </wp:positionV>
              <wp:extent cx="0" cy="462280"/>
              <wp:effectExtent l="0" t="0" r="19050" b="13970"/>
              <wp:wrapNone/>
              <wp:docPr id="9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" strokecolor="#95a4c6" strokeweight="1pt">
              <v:shadow opacity="22938f" offset="0"/>
            </v:line>
          </w:pict>
        </mc:Fallback>
      </mc:AlternateContent>
    </w:r>
    <w:r w:rsidRPr="0096580C">
      <w:rPr>
        <w:sz w:val="18"/>
        <w:szCs w:val="18"/>
        <w:lang w:eastAsia="en-AU"/>
      </w:rPr>
      <mc:AlternateContent>
        <mc:Choice Requires="wps">
          <w:drawing>
            <wp:anchor distT="0" distB="0" distL="114300" distR="114300" simplePos="0" relativeHeight="251770880" behindDoc="0" locked="0" layoutInCell="1" allowOverlap="1" wp14:anchorId="5EFD358E" wp14:editId="32FC7F20">
              <wp:simplePos x="0" y="0"/>
              <wp:positionH relativeFrom="column">
                <wp:posOffset>-821690</wp:posOffset>
              </wp:positionH>
              <wp:positionV relativeFrom="paragraph">
                <wp:posOffset>-211949</wp:posOffset>
              </wp:positionV>
              <wp:extent cx="5880735" cy="49657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right"/>
                          </w:pPr>
                          <w:r>
                            <w:t>Industry and economic affairs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44" type="#_x0000_t202" style="position:absolute;left:0;text-align:left;margin-left:-64.7pt;margin-top:-16.7pt;width:463.05pt;height:39.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" filled="f" stroked="f" strokeweight=".5pt">
              <v:textbox>
                <w:txbxContent>
                  <w:p w:rsidR="005C5AB5" w:rsidRDefault="005C5AB5" w:rsidP="00934C8A">
                    <w:pPr>
                      <w:pStyle w:val="PBOfooter"/>
                      <w:spacing w:before="120" w:after="114"/>
                      <w:jc w:val="right"/>
                    </w:pPr>
                    <w:r>
                      <w:t>Industry and economic affairs expenses</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934C8A" w:rsidRDefault="005C5AB5" w:rsidP="00934C8A">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28896" behindDoc="0" locked="0" layoutInCell="1" allowOverlap="1" wp14:anchorId="1BA5AFBD" wp14:editId="3E53B995">
              <wp:simplePos x="0" y="0"/>
              <wp:positionH relativeFrom="column">
                <wp:posOffset>5059680</wp:posOffset>
              </wp:positionH>
              <wp:positionV relativeFrom="paragraph">
                <wp:posOffset>-213995</wp:posOffset>
              </wp:positionV>
              <wp:extent cx="1038225" cy="49593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49</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8" o:spid="_x0000_s1045" type="#_x0000_t202" style="position:absolute;left:0;text-align:left;margin-left:398.4pt;margin-top:-16.85pt;width:81.75pt;height:39.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" filled="f" stroked="f" strokeweight=".5pt">
              <v:textbo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49</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30944" behindDoc="0" locked="0" layoutInCell="1" allowOverlap="1" wp14:anchorId="2D034D64" wp14:editId="72BCBB02">
              <wp:simplePos x="0" y="0"/>
              <wp:positionH relativeFrom="column">
                <wp:posOffset>5280519</wp:posOffset>
              </wp:positionH>
              <wp:positionV relativeFrom="paragraph">
                <wp:posOffset>-180340</wp:posOffset>
              </wp:positionV>
              <wp:extent cx="0" cy="462280"/>
              <wp:effectExtent l="0" t="0" r="19050" b="13970"/>
              <wp:wrapNone/>
              <wp:docPr id="8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" strokecolor="#95a4c6" strokeweight="1pt">
              <v:shadow opacity="22938f" offset="0"/>
            </v:line>
          </w:pict>
        </mc:Fallback>
      </mc:AlternateContent>
    </w:r>
    <w:r w:rsidRPr="0096580C">
      <w:rPr>
        <w:sz w:val="18"/>
        <w:szCs w:val="18"/>
        <w:lang w:eastAsia="en-AU"/>
      </w:rPr>
      <mc:AlternateContent>
        <mc:Choice Requires="wps">
          <w:drawing>
            <wp:anchor distT="0" distB="0" distL="114300" distR="114300" simplePos="0" relativeHeight="251729920" behindDoc="0" locked="0" layoutInCell="1" allowOverlap="1" wp14:anchorId="4D5F3915" wp14:editId="591DB01F">
              <wp:simplePos x="0" y="0"/>
              <wp:positionH relativeFrom="column">
                <wp:posOffset>-821690</wp:posOffset>
              </wp:positionH>
              <wp:positionV relativeFrom="paragraph">
                <wp:posOffset>-211949</wp:posOffset>
              </wp:positionV>
              <wp:extent cx="5880735" cy="49657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right"/>
                          </w:pPr>
                          <w:r>
                            <w:t>Community amenities and infrastructure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46" type="#_x0000_t202" style="position:absolute;left:0;text-align:left;margin-left:-64.7pt;margin-top:-16.7pt;width:463.05pt;height:39.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" filled="f" stroked="f" strokeweight=".5pt">
              <v:textbox>
                <w:txbxContent>
                  <w:p w:rsidR="005C5AB5" w:rsidRDefault="005C5AB5" w:rsidP="00934C8A">
                    <w:pPr>
                      <w:pStyle w:val="PBOfooter"/>
                      <w:spacing w:before="120" w:after="114"/>
                      <w:jc w:val="right"/>
                    </w:pPr>
                    <w:r>
                      <w:t>Community amenities and infrastructure expenses</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934C8A" w:rsidRDefault="005C5AB5" w:rsidP="00934C8A">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37088" behindDoc="0" locked="0" layoutInCell="1" allowOverlap="1" wp14:anchorId="62FA78C4" wp14:editId="3DF7D96F">
              <wp:simplePos x="0" y="0"/>
              <wp:positionH relativeFrom="column">
                <wp:posOffset>5059680</wp:posOffset>
              </wp:positionH>
              <wp:positionV relativeFrom="paragraph">
                <wp:posOffset>-213042</wp:posOffset>
              </wp:positionV>
              <wp:extent cx="1038225" cy="49593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51</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7" o:spid="_x0000_s1047" type="#_x0000_t202" style="position:absolute;left:0;text-align:left;margin-left:398.4pt;margin-top:-16.75pt;width:81.75pt;height:39.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" filled="f" stroked="f" strokeweight=".5pt">
              <v:textbo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51</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39136" behindDoc="0" locked="0" layoutInCell="1" allowOverlap="1" wp14:anchorId="685D562E" wp14:editId="5FC02143">
              <wp:simplePos x="0" y="0"/>
              <wp:positionH relativeFrom="column">
                <wp:posOffset>5280519</wp:posOffset>
              </wp:positionH>
              <wp:positionV relativeFrom="paragraph">
                <wp:posOffset>-180340</wp:posOffset>
              </wp:positionV>
              <wp:extent cx="0" cy="462280"/>
              <wp:effectExtent l="0" t="0" r="19050" b="13970"/>
              <wp:wrapNone/>
              <wp:docPr id="9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" strokecolor="#95a4c6" strokeweight="1pt">
              <v:shadow opacity="22938f" offset="0"/>
            </v:line>
          </w:pict>
        </mc:Fallback>
      </mc:AlternateContent>
    </w:r>
    <w:r w:rsidRPr="0096580C">
      <w:rPr>
        <w:sz w:val="18"/>
        <w:szCs w:val="18"/>
        <w:lang w:eastAsia="en-AU"/>
      </w:rPr>
      <mc:AlternateContent>
        <mc:Choice Requires="wps">
          <w:drawing>
            <wp:anchor distT="0" distB="0" distL="114300" distR="114300" simplePos="0" relativeHeight="251738112" behindDoc="0" locked="0" layoutInCell="1" allowOverlap="1" wp14:anchorId="68C8FF86" wp14:editId="01FF9F03">
              <wp:simplePos x="0" y="0"/>
              <wp:positionH relativeFrom="column">
                <wp:posOffset>-821690</wp:posOffset>
              </wp:positionH>
              <wp:positionV relativeFrom="paragraph">
                <wp:posOffset>-211949</wp:posOffset>
              </wp:positionV>
              <wp:extent cx="5880735" cy="4965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right"/>
                          </w:pPr>
                          <w:r>
                            <w:t>Net capital 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48" type="#_x0000_t202" style="position:absolute;left:0;text-align:left;margin-left:-64.7pt;margin-top:-16.7pt;width:463.05pt;height:39.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" filled="f" stroked="f" strokeweight=".5pt">
              <v:textbox>
                <w:txbxContent>
                  <w:p w:rsidR="005C5AB5" w:rsidRDefault="005C5AB5" w:rsidP="00934C8A">
                    <w:pPr>
                      <w:pStyle w:val="PBOfooter"/>
                      <w:spacing w:before="120" w:after="114"/>
                      <w:jc w:val="right"/>
                    </w:pPr>
                    <w:r>
                      <w:t>Net capital investment</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934C8A" w:rsidRDefault="005C5AB5" w:rsidP="00934C8A">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41184" behindDoc="0" locked="0" layoutInCell="1" allowOverlap="1" wp14:anchorId="4683D5B6" wp14:editId="4AAA739F">
              <wp:simplePos x="0" y="0"/>
              <wp:positionH relativeFrom="column">
                <wp:posOffset>5059998</wp:posOffset>
              </wp:positionH>
              <wp:positionV relativeFrom="paragraph">
                <wp:posOffset>-213678</wp:posOffset>
              </wp:positionV>
              <wp:extent cx="1038225" cy="49593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57</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0" o:spid="_x0000_s1049" type="#_x0000_t202" style="position:absolute;left:0;text-align:left;margin-left:398.45pt;margin-top:-16.85pt;width:81.75pt;height:39.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" filled="f" stroked="f" strokeweight=".5pt">
              <v:textbo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57</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43232" behindDoc="0" locked="0" layoutInCell="1" allowOverlap="1" wp14:anchorId="082276B4" wp14:editId="2D3085FF">
              <wp:simplePos x="0" y="0"/>
              <wp:positionH relativeFrom="column">
                <wp:posOffset>5280519</wp:posOffset>
              </wp:positionH>
              <wp:positionV relativeFrom="paragraph">
                <wp:posOffset>-180340</wp:posOffset>
              </wp:positionV>
              <wp:extent cx="0" cy="462280"/>
              <wp:effectExtent l="0" t="0" r="19050" b="13970"/>
              <wp:wrapNone/>
              <wp:docPr id="9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" strokecolor="#95a4c6" strokeweight="1pt">
              <v:shadow opacity="22938f" offset="0"/>
            </v:line>
          </w:pict>
        </mc:Fallback>
      </mc:AlternateContent>
    </w:r>
    <w:r w:rsidRPr="0096580C">
      <w:rPr>
        <w:sz w:val="18"/>
        <w:szCs w:val="18"/>
        <w:lang w:eastAsia="en-AU"/>
      </w:rPr>
      <mc:AlternateContent>
        <mc:Choice Requires="wps">
          <w:drawing>
            <wp:anchor distT="0" distB="0" distL="114300" distR="114300" simplePos="0" relativeHeight="251742208" behindDoc="0" locked="0" layoutInCell="1" allowOverlap="1" wp14:anchorId="399160BA" wp14:editId="1938984A">
              <wp:simplePos x="0" y="0"/>
              <wp:positionH relativeFrom="column">
                <wp:posOffset>-821690</wp:posOffset>
              </wp:positionH>
              <wp:positionV relativeFrom="paragraph">
                <wp:posOffset>-211949</wp:posOffset>
              </wp:positionV>
              <wp:extent cx="5880735" cy="49657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right"/>
                          </w:pPr>
                          <w:r>
                            <w:t>States and Territories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50" type="#_x0000_t202" style="position:absolute;left:0;text-align:left;margin-left:-64.7pt;margin-top:-16.7pt;width:463.05pt;height:39.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" filled="f" stroked="f" strokeweight=".5pt">
              <v:textbox>
                <w:txbxContent>
                  <w:p w:rsidR="005C5AB5" w:rsidRDefault="005C5AB5" w:rsidP="00934C8A">
                    <w:pPr>
                      <w:pStyle w:val="PBOfooter"/>
                      <w:spacing w:before="120" w:after="114"/>
                      <w:jc w:val="right"/>
                    </w:pPr>
                    <w:r>
                      <w:t>States and Territories</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934C8A" w:rsidRDefault="005C5AB5" w:rsidP="00934C8A">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45280" behindDoc="0" locked="0" layoutInCell="1" allowOverlap="1" wp14:anchorId="2B3704C2" wp14:editId="78BE50F4">
              <wp:simplePos x="0" y="0"/>
              <wp:positionH relativeFrom="column">
                <wp:posOffset>5059680</wp:posOffset>
              </wp:positionH>
              <wp:positionV relativeFrom="paragraph">
                <wp:posOffset>-213677</wp:posOffset>
              </wp:positionV>
              <wp:extent cx="1038225" cy="49593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59</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3" o:spid="_x0000_s1051" type="#_x0000_t202" style="position:absolute;left:0;text-align:left;margin-left:398.4pt;margin-top:-16.8pt;width:81.75pt;height:39.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" filled="f" stroked="f" strokeweight=".5pt">
              <v:textbo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59</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47328" behindDoc="0" locked="0" layoutInCell="1" allowOverlap="1" wp14:anchorId="38348F9C" wp14:editId="53762DF6">
              <wp:simplePos x="0" y="0"/>
              <wp:positionH relativeFrom="column">
                <wp:posOffset>5280519</wp:posOffset>
              </wp:positionH>
              <wp:positionV relativeFrom="paragraph">
                <wp:posOffset>-180340</wp:posOffset>
              </wp:positionV>
              <wp:extent cx="0" cy="462280"/>
              <wp:effectExtent l="0" t="0" r="19050" b="13970"/>
              <wp:wrapNone/>
              <wp:docPr id="10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" strokecolor="#95a4c6" strokeweight="1pt">
              <v:shadow opacity="22938f" offset="0"/>
            </v:line>
          </w:pict>
        </mc:Fallback>
      </mc:AlternateContent>
    </w:r>
    <w:r w:rsidRPr="0096580C">
      <w:rPr>
        <w:sz w:val="18"/>
        <w:szCs w:val="18"/>
        <w:lang w:eastAsia="en-AU"/>
      </w:rPr>
      <mc:AlternateContent>
        <mc:Choice Requires="wps">
          <w:drawing>
            <wp:anchor distT="0" distB="0" distL="114300" distR="114300" simplePos="0" relativeHeight="251746304" behindDoc="0" locked="0" layoutInCell="1" allowOverlap="1" wp14:anchorId="77CE0B7C" wp14:editId="369B7B13">
              <wp:simplePos x="0" y="0"/>
              <wp:positionH relativeFrom="column">
                <wp:posOffset>-821690</wp:posOffset>
              </wp:positionH>
              <wp:positionV relativeFrom="paragraph">
                <wp:posOffset>-211949</wp:posOffset>
              </wp:positionV>
              <wp:extent cx="5880735" cy="49657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right"/>
                          </w:pPr>
                          <w:r>
                            <w:t>Lists of data sources and 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52" type="#_x0000_t202" style="position:absolute;left:0;text-align:left;margin-left:-64.7pt;margin-top:-16.7pt;width:463.05pt;height:39.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" filled="f" stroked="f" strokeweight=".5pt">
              <v:textbox>
                <w:txbxContent>
                  <w:p w:rsidR="005C5AB5" w:rsidRDefault="005C5AB5" w:rsidP="00934C8A">
                    <w:pPr>
                      <w:pStyle w:val="PBOfooter"/>
                      <w:spacing w:before="120" w:after="114"/>
                      <w:jc w:val="right"/>
                    </w:pPr>
                    <w:r>
                      <w:t>Lists of data sources and references</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934C8A" w:rsidRDefault="005C5AB5" w:rsidP="00934C8A">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86240" behindDoc="0" locked="0" layoutInCell="1" allowOverlap="1" wp14:anchorId="4B13C3B3" wp14:editId="504790AE">
              <wp:simplePos x="0" y="0"/>
              <wp:positionH relativeFrom="column">
                <wp:posOffset>5059680</wp:posOffset>
              </wp:positionH>
              <wp:positionV relativeFrom="paragraph">
                <wp:posOffset>-213677</wp:posOffset>
              </wp:positionV>
              <wp:extent cx="1038225" cy="49593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63</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53" type="#_x0000_t202" style="position:absolute;left:0;text-align:left;margin-left:398.4pt;margin-top:-16.8pt;width:81.75pt;height:39.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" filled="f" stroked="f" strokeweight=".5pt">
              <v:textbo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63</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88288" behindDoc="0" locked="0" layoutInCell="1" allowOverlap="1" wp14:anchorId="64863734" wp14:editId="0C00B77C">
              <wp:simplePos x="0" y="0"/>
              <wp:positionH relativeFrom="column">
                <wp:posOffset>5280519</wp:posOffset>
              </wp:positionH>
              <wp:positionV relativeFrom="paragraph">
                <wp:posOffset>-180340</wp:posOffset>
              </wp:positionV>
              <wp:extent cx="0" cy="462280"/>
              <wp:effectExtent l="0" t="0" r="19050" b="13970"/>
              <wp:wrapNone/>
              <wp:docPr id="4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" strokecolor="#95a4c6" strokeweight="1pt">
              <v:shadow opacity="22938f" offset="0"/>
            </v:line>
          </w:pict>
        </mc:Fallback>
      </mc:AlternateContent>
    </w:r>
    <w:r w:rsidRPr="0096580C">
      <w:rPr>
        <w:sz w:val="18"/>
        <w:szCs w:val="18"/>
        <w:lang w:eastAsia="en-AU"/>
      </w:rPr>
      <mc:AlternateContent>
        <mc:Choice Requires="wps">
          <w:drawing>
            <wp:anchor distT="0" distB="0" distL="114300" distR="114300" simplePos="0" relativeHeight="251787264" behindDoc="0" locked="0" layoutInCell="1" allowOverlap="1" wp14:anchorId="128BD19D" wp14:editId="18F5250A">
              <wp:simplePos x="0" y="0"/>
              <wp:positionH relativeFrom="column">
                <wp:posOffset>-821690</wp:posOffset>
              </wp:positionH>
              <wp:positionV relativeFrom="paragraph">
                <wp:posOffset>-211949</wp:posOffset>
              </wp:positionV>
              <wp:extent cx="5880735" cy="49657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right"/>
                          </w:pPr>
                          <w:r>
                            <w:t>Lists of figures and 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4" type="#_x0000_t202" style="position:absolute;left:0;text-align:left;margin-left:-64.7pt;margin-top:-16.7pt;width:463.05pt;height:39.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" filled="f" stroked="f" strokeweight=".5pt">
              <v:textbox>
                <w:txbxContent>
                  <w:p w:rsidR="005C5AB5" w:rsidRDefault="005C5AB5" w:rsidP="00934C8A">
                    <w:pPr>
                      <w:pStyle w:val="PBOfooter"/>
                      <w:spacing w:before="120" w:after="114"/>
                      <w:jc w:val="right"/>
                    </w:pPr>
                    <w:r>
                      <w:t>Lists of figures and tables</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81008C" w:rsidRDefault="005C5AB5" w:rsidP="0081008C">
    <w:pPr>
      <w:pStyle w:val="PBOfooter"/>
      <w:spacing w:before="120" w:after="114"/>
      <w:jc w:val="center"/>
    </w:pPr>
    <w:r w:rsidRPr="001D18EA">
      <w:fldChar w:fldCharType="begin"/>
    </w:r>
    <w:r w:rsidRPr="001D18EA">
      <w:instrText xml:space="preserve"> PAGE  \* Arabic </w:instrText>
    </w:r>
    <w:r w:rsidRPr="001D18EA">
      <w:fldChar w:fldCharType="separate"/>
    </w:r>
    <w:r w:rsidR="009F5F1B">
      <w:t>61</w:t>
    </w:r>
    <w:r w:rsidRPr="001D18EA">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934C8A" w:rsidRDefault="005C5AB5" w:rsidP="00934C8A">
    <w:pPr>
      <w:pStyle w:val="PBOfooter"/>
      <w:jc w:val="right"/>
      <w:rPr>
        <w:sz w:val="18"/>
        <w:szCs w:val="18"/>
      </w:rPr>
    </w:pPr>
    <w:r>
      <w:rPr>
        <w:lang w:eastAsia="en-AU"/>
      </w:rPr>
      <mc:AlternateContent>
        <mc:Choice Requires="wps">
          <w:drawing>
            <wp:anchor distT="0" distB="0" distL="114300" distR="114300" simplePos="0" relativeHeight="251755520" behindDoc="0" locked="0" layoutInCell="1" allowOverlap="1" wp14:anchorId="0F9AC288" wp14:editId="3F25A356">
              <wp:simplePos x="0" y="0"/>
              <wp:positionH relativeFrom="column">
                <wp:posOffset>5280519</wp:posOffset>
              </wp:positionH>
              <wp:positionV relativeFrom="paragraph">
                <wp:posOffset>-180340</wp:posOffset>
              </wp:positionV>
              <wp:extent cx="0" cy="462280"/>
              <wp:effectExtent l="0" t="0" r="19050" b="13970"/>
              <wp:wrapNone/>
              <wp:docPr id="1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" strokecolor="#4a7ebb">
              <v:shadow opacity="22938f" offset="0"/>
            </v:line>
          </w:pict>
        </mc:Fallback>
      </mc:AlternateContent>
    </w:r>
    <w:r w:rsidRPr="0096580C">
      <w:rPr>
        <w:sz w:val="18"/>
        <w:szCs w:val="18"/>
        <w:lang w:eastAsia="en-AU"/>
      </w:rPr>
      <mc:AlternateContent>
        <mc:Choice Requires="wps">
          <w:drawing>
            <wp:anchor distT="0" distB="0" distL="114300" distR="114300" simplePos="0" relativeHeight="251754496" behindDoc="0" locked="0" layoutInCell="1" allowOverlap="1" wp14:anchorId="21F80278" wp14:editId="42838278">
              <wp:simplePos x="0" y="0"/>
              <wp:positionH relativeFrom="column">
                <wp:posOffset>-821690</wp:posOffset>
              </wp:positionH>
              <wp:positionV relativeFrom="paragraph">
                <wp:posOffset>-211949</wp:posOffset>
              </wp:positionV>
              <wp:extent cx="5880735" cy="49657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17231E">
                          <w:pPr>
                            <w:pStyle w:val="PBOfooter"/>
                            <w:spacing w:before="120" w:after="114"/>
                            <w:ind w:left="720"/>
                            <w:jc w:val="right"/>
                          </w:pPr>
                          <w:r>
                            <w:t>Technical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1" o:spid="_x0000_s1055" type="#_x0000_t202" style="position:absolute;left:0;text-align:left;margin-left:-64.7pt;margin-top:-16.7pt;width:463.05pt;height:39.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" filled="f" stroked="f" strokeweight=".5pt">
              <v:textbox>
                <w:txbxContent>
                  <w:p w:rsidR="005C5AB5" w:rsidRDefault="005C5AB5" w:rsidP="0017231E">
                    <w:pPr>
                      <w:pStyle w:val="PBOfooter"/>
                      <w:spacing w:before="120" w:after="114"/>
                      <w:ind w:left="720"/>
                      <w:jc w:val="right"/>
                    </w:pPr>
                    <w:r>
                      <w:t>Technical notes</w:t>
                    </w:r>
                  </w:p>
                </w:txbxContent>
              </v:textbox>
            </v:shape>
          </w:pict>
        </mc:Fallback>
      </mc:AlternateContent>
    </w:r>
    <w:r w:rsidRPr="0096580C">
      <w:rPr>
        <w:sz w:val="18"/>
        <w:szCs w:val="18"/>
        <w:lang w:eastAsia="en-AU"/>
      </w:rPr>
      <mc:AlternateContent>
        <mc:Choice Requires="wps">
          <w:drawing>
            <wp:anchor distT="0" distB="0" distL="114300" distR="114300" simplePos="0" relativeHeight="251753472" behindDoc="0" locked="0" layoutInCell="1" allowOverlap="1" wp14:anchorId="4A311D5E" wp14:editId="59408EF1">
              <wp:simplePos x="0" y="0"/>
              <wp:positionH relativeFrom="column">
                <wp:posOffset>5060950</wp:posOffset>
              </wp:positionH>
              <wp:positionV relativeFrom="paragraph">
                <wp:posOffset>-203976</wp:posOffset>
              </wp:positionV>
              <wp:extent cx="1038225" cy="49593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65</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56" type="#_x0000_t202" style="position:absolute;left:0;text-align:left;margin-left:398.5pt;margin-top:-16.05pt;width:81.75pt;height:39.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" filled="f" stroked="f" strokeweight=".5pt">
              <v:textbo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65</w:t>
                    </w:r>
                    <w:r w:rsidRPr="009530F3">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7F4C16" w:rsidRDefault="005C5AB5" w:rsidP="007F4C16">
    <w:pPr>
      <w:pStyle w:val="Footer"/>
      <w:spacing w:before="0" w:after="0"/>
    </w:pPr>
    <w:r>
      <w:rPr>
        <w:noProof/>
      </w:rPr>
      <mc:AlternateContent>
        <mc:Choice Requires="wps">
          <w:drawing>
            <wp:anchor distT="0" distB="0" distL="114300" distR="114300" simplePos="0" relativeHeight="251809792" behindDoc="0" locked="0" layoutInCell="1" allowOverlap="1" wp14:anchorId="4DC227B6" wp14:editId="2C7A463D">
              <wp:simplePos x="0" y="0"/>
              <wp:positionH relativeFrom="column">
                <wp:posOffset>-823595</wp:posOffset>
              </wp:positionH>
              <wp:positionV relativeFrom="paragraph">
                <wp:posOffset>-209550</wp:posOffset>
              </wp:positionV>
              <wp:extent cx="1038225" cy="49593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7F4C16">
                          <w:pPr>
                            <w:pStyle w:val="PBOfooter"/>
                            <w:spacing w:before="120" w:after="114"/>
                            <w:jc w:val="center"/>
                          </w:pPr>
                          <w:r w:rsidRPr="009530F3">
                            <w:fldChar w:fldCharType="begin"/>
                          </w:r>
                          <w:r w:rsidRPr="009530F3">
                            <w:instrText xml:space="preserve">PAGE  </w:instrText>
                          </w:r>
                          <w:r w:rsidRPr="009530F3">
                            <w:fldChar w:fldCharType="separate"/>
                          </w:r>
                          <w:r w:rsidR="009F5F1B">
                            <w:t>62</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3" o:spid="_x0000_s1029" type="#_x0000_t202" style="position:absolute;margin-left:-64.85pt;margin-top:-16.5pt;width:81.75pt;height:39.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" filled="f" stroked="f" strokeweight=".5pt">
              <v:textbox>
                <w:txbxContent>
                  <w:p w:rsidR="005C5AB5" w:rsidRDefault="005C5AB5" w:rsidP="007F4C16">
                    <w:pPr>
                      <w:pStyle w:val="PBOfooter"/>
                      <w:spacing w:before="120" w:after="114"/>
                      <w:jc w:val="center"/>
                    </w:pPr>
                    <w:r w:rsidRPr="009530F3">
                      <w:fldChar w:fldCharType="begin"/>
                    </w:r>
                    <w:r w:rsidRPr="009530F3">
                      <w:instrText xml:space="preserve">PAGE  </w:instrText>
                    </w:r>
                    <w:r w:rsidRPr="009530F3">
                      <w:fldChar w:fldCharType="separate"/>
                    </w:r>
                    <w:r w:rsidR="009F5F1B">
                      <w:t>62</w:t>
                    </w:r>
                    <w:r w:rsidRPr="009530F3">
                      <w:fldChar w:fldCharType="end"/>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69E552D2" wp14:editId="1DA73921">
              <wp:simplePos x="0" y="0"/>
              <wp:positionH relativeFrom="column">
                <wp:posOffset>215265</wp:posOffset>
              </wp:positionH>
              <wp:positionV relativeFrom="paragraph">
                <wp:posOffset>-209550</wp:posOffset>
              </wp:positionV>
              <wp:extent cx="5880735" cy="49657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7F4C16">
                          <w:pPr>
                            <w:pStyle w:val="PBOfooter"/>
                            <w:spacing w:before="120" w:after="114"/>
                          </w:pPr>
                          <w:r>
                            <w:t>Australian Government spending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30" type="#_x0000_t202" style="position:absolute;margin-left:16.95pt;margin-top:-16.5pt;width:463.05pt;height:39.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" filled="f" stroked="f" strokeweight=".5pt">
              <v:textbox>
                <w:txbxContent>
                  <w:p w:rsidR="005C5AB5" w:rsidRDefault="005C5AB5" w:rsidP="007F4C16">
                    <w:pPr>
                      <w:pStyle w:val="PBOfooter"/>
                      <w:spacing w:before="120" w:after="114"/>
                    </w:pPr>
                    <w:r>
                      <w:t>Australian Government spending</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33475D9D" wp14:editId="53DF1378">
              <wp:simplePos x="0" y="0"/>
              <wp:positionH relativeFrom="column">
                <wp:posOffset>3669</wp:posOffset>
              </wp:positionH>
              <wp:positionV relativeFrom="paragraph">
                <wp:posOffset>-174625</wp:posOffset>
              </wp:positionV>
              <wp:extent cx="0" cy="462280"/>
              <wp:effectExtent l="0" t="0" r="19050" b="13970"/>
              <wp:wrapNone/>
              <wp:docPr id="8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75pt" to=".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" strokecolor="#4a7ebb">
              <v:shadow opacity="22938f" offset="0"/>
            </v:lin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23649C" w:rsidRDefault="005C5AB5" w:rsidP="0023649C">
    <w:pPr>
      <w:pStyle w:val="PBOfooter"/>
      <w:spacing w:before="120" w:after="114"/>
      <w:jc w:val="center"/>
    </w:pPr>
    <w:r w:rsidRPr="001D18EA">
      <w:fldChar w:fldCharType="begin"/>
    </w:r>
    <w:r w:rsidRPr="001D18EA">
      <w:instrText xml:space="preserve"> PAGE  \* Arabic </w:instrText>
    </w:r>
    <w:r w:rsidRPr="001D18EA">
      <w:fldChar w:fldCharType="separate"/>
    </w:r>
    <w:r w:rsidR="009F5F1B">
      <w:t>69</w:t>
    </w:r>
    <w:r w:rsidRPr="001D18EA">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E0185B" w:rsidRDefault="005C5AB5" w:rsidP="00E0185B">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57568" behindDoc="0" locked="0" layoutInCell="1" allowOverlap="1" wp14:anchorId="1CB88DB1" wp14:editId="6F20867B">
              <wp:simplePos x="0" y="0"/>
              <wp:positionH relativeFrom="column">
                <wp:posOffset>5060950</wp:posOffset>
              </wp:positionH>
              <wp:positionV relativeFrom="paragraph">
                <wp:posOffset>-214630</wp:posOffset>
              </wp:positionV>
              <wp:extent cx="1038225" cy="49593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E0185B">
                          <w:pPr>
                            <w:pStyle w:val="PBOfooter"/>
                            <w:spacing w:before="120" w:after="114"/>
                            <w:jc w:val="center"/>
                          </w:pPr>
                          <w:r w:rsidRPr="009530F3">
                            <w:fldChar w:fldCharType="begin"/>
                          </w:r>
                          <w:r w:rsidRPr="009530F3">
                            <w:instrText xml:space="preserve">PAGE  </w:instrText>
                          </w:r>
                          <w:r w:rsidRPr="009530F3">
                            <w:fldChar w:fldCharType="separate"/>
                          </w:r>
                          <w:r w:rsidR="009F5F1B">
                            <w:t>67</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8" o:spid="_x0000_s1057" type="#_x0000_t202" style="position:absolute;left:0;text-align:left;margin-left:398.5pt;margin-top:-16.9pt;width:81.75pt;height:39.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" filled="f" stroked="f" strokeweight=".5pt">
              <v:textbox>
                <w:txbxContent>
                  <w:p w:rsidR="005C5AB5" w:rsidRDefault="005C5AB5" w:rsidP="00E0185B">
                    <w:pPr>
                      <w:pStyle w:val="PBOfooter"/>
                      <w:spacing w:before="120" w:after="114"/>
                      <w:jc w:val="center"/>
                    </w:pPr>
                    <w:r w:rsidRPr="009530F3">
                      <w:fldChar w:fldCharType="begin"/>
                    </w:r>
                    <w:r w:rsidRPr="009530F3">
                      <w:instrText xml:space="preserve">PAGE  </w:instrText>
                    </w:r>
                    <w:r w:rsidRPr="009530F3">
                      <w:fldChar w:fldCharType="separate"/>
                    </w:r>
                    <w:r w:rsidR="009F5F1B">
                      <w:t>67</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59616" behindDoc="0" locked="0" layoutInCell="1" allowOverlap="1" wp14:anchorId="4DD40BF4" wp14:editId="5ADB5F70">
              <wp:simplePos x="0" y="0"/>
              <wp:positionH relativeFrom="column">
                <wp:posOffset>5280519</wp:posOffset>
              </wp:positionH>
              <wp:positionV relativeFrom="paragraph">
                <wp:posOffset>-180340</wp:posOffset>
              </wp:positionV>
              <wp:extent cx="0" cy="462280"/>
              <wp:effectExtent l="0" t="0" r="19050" b="13970"/>
              <wp:wrapNone/>
              <wp:docPr id="1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" strokecolor="#95a4c6" strokeweight="1pt">
              <v:shadow opacity="22938f" offset="0"/>
            </v:line>
          </w:pict>
        </mc:Fallback>
      </mc:AlternateContent>
    </w:r>
    <w:r w:rsidRPr="0096580C">
      <w:rPr>
        <w:sz w:val="18"/>
        <w:szCs w:val="18"/>
        <w:lang w:eastAsia="en-AU"/>
      </w:rPr>
      <mc:AlternateContent>
        <mc:Choice Requires="wps">
          <w:drawing>
            <wp:anchor distT="0" distB="0" distL="114300" distR="114300" simplePos="0" relativeHeight="251758592" behindDoc="0" locked="0" layoutInCell="1" allowOverlap="1" wp14:anchorId="2CE936B0" wp14:editId="09E3C01A">
              <wp:simplePos x="0" y="0"/>
              <wp:positionH relativeFrom="column">
                <wp:posOffset>-821690</wp:posOffset>
              </wp:positionH>
              <wp:positionV relativeFrom="paragraph">
                <wp:posOffset>-211949</wp:posOffset>
              </wp:positionV>
              <wp:extent cx="5880735" cy="49657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C372C6">
                          <w:pPr>
                            <w:pStyle w:val="PBOfooter"/>
                            <w:spacing w:before="120" w:after="114"/>
                            <w:ind w:left="720"/>
                            <w:jc w:val="right"/>
                          </w:pPr>
                          <w:r>
                            <w:t>Variations to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58" type="#_x0000_t202" style="position:absolute;left:0;text-align:left;margin-left:-64.7pt;margin-top:-16.7pt;width:463.05pt;height:39.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" filled="f" stroked="f" strokeweight=".5pt">
              <v:textbox>
                <w:txbxContent>
                  <w:p w:rsidR="005C5AB5" w:rsidRDefault="005C5AB5" w:rsidP="00C372C6">
                    <w:pPr>
                      <w:pStyle w:val="PBOfooter"/>
                      <w:spacing w:before="120" w:after="114"/>
                      <w:ind w:left="720"/>
                      <w:jc w:val="right"/>
                    </w:pPr>
                    <w:r>
                      <w:t>Variations to expenses</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E0185B" w:rsidRDefault="005C5AB5" w:rsidP="00934BD6">
    <w:pPr>
      <w:pStyle w:val="PBOfooter"/>
      <w:jc w:val="right"/>
      <w:rPr>
        <w:sz w:val="18"/>
        <w:szCs w:val="18"/>
      </w:rPr>
    </w:pPr>
    <w:r w:rsidRPr="0096580C">
      <w:rPr>
        <w:sz w:val="18"/>
        <w:szCs w:val="18"/>
        <w:lang w:eastAsia="en-AU"/>
      </w:rPr>
      <mc:AlternateContent>
        <mc:Choice Requires="wps">
          <w:drawing>
            <wp:anchor distT="0" distB="0" distL="114300" distR="114300" simplePos="0" relativeHeight="251802624" behindDoc="0" locked="0" layoutInCell="1" allowOverlap="1" wp14:anchorId="6F777E3D" wp14:editId="5632D4B5">
              <wp:simplePos x="0" y="0"/>
              <wp:positionH relativeFrom="column">
                <wp:posOffset>-2241551</wp:posOffset>
              </wp:positionH>
              <wp:positionV relativeFrom="paragraph">
                <wp:posOffset>-2751455</wp:posOffset>
              </wp:positionV>
              <wp:extent cx="4177665" cy="496570"/>
              <wp:effectExtent l="0" t="0" r="6032" b="0"/>
              <wp:wrapNone/>
              <wp:docPr id="58" name="Text Box 58"/>
              <wp:cNvGraphicFramePr/>
              <a:graphic xmlns:a="http://schemas.openxmlformats.org/drawingml/2006/main">
                <a:graphicData uri="http://schemas.microsoft.com/office/word/2010/wordprocessingShape">
                  <wps:wsp>
                    <wps:cNvSpPr txBox="1"/>
                    <wps:spPr>
                      <a:xfrm rot="5400000">
                        <a:off x="0" y="0"/>
                        <a:ext cx="417766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BD6">
                          <w:pPr>
                            <w:pStyle w:val="PBOfooter"/>
                            <w:spacing w:before="120" w:after="114"/>
                            <w:ind w:left="720"/>
                            <w:jc w:val="right"/>
                          </w:pPr>
                          <w:r>
                            <w:t>Expenses by sub-functions 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59" type="#_x0000_t202" style="position:absolute;left:0;text-align:left;margin-left:-176.5pt;margin-top:-216.65pt;width:328.95pt;height:39.1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" filled="f" stroked="f" strokeweight=".5pt">
              <v:textbox>
                <w:txbxContent>
                  <w:p w:rsidR="005C5AB5" w:rsidRDefault="005C5AB5" w:rsidP="00934BD6">
                    <w:pPr>
                      <w:pStyle w:val="PBOfooter"/>
                      <w:spacing w:before="120" w:after="114"/>
                      <w:ind w:left="720"/>
                      <w:jc w:val="right"/>
                    </w:pPr>
                    <w:r>
                      <w:t>Expenses by sub-functions tables</w:t>
                    </w:r>
                  </w:p>
                </w:txbxContent>
              </v:textbox>
            </v:shape>
          </w:pict>
        </mc:Fallback>
      </mc:AlternateContent>
    </w:r>
    <w:r w:rsidRPr="0096580C">
      <w:rPr>
        <w:sz w:val="18"/>
        <w:szCs w:val="18"/>
        <w:lang w:eastAsia="en-AU"/>
      </w:rPr>
      <mc:AlternateContent>
        <mc:Choice Requires="wps">
          <w:drawing>
            <wp:anchor distT="0" distB="0" distL="114300" distR="114300" simplePos="0" relativeHeight="251801600" behindDoc="0" locked="0" layoutInCell="1" allowOverlap="1" wp14:anchorId="771708D4" wp14:editId="49BAAE7E">
              <wp:simplePos x="0" y="0"/>
              <wp:positionH relativeFrom="column">
                <wp:posOffset>-668655</wp:posOffset>
              </wp:positionH>
              <wp:positionV relativeFrom="paragraph">
                <wp:posOffset>-139700</wp:posOffset>
              </wp:positionV>
              <wp:extent cx="1038225" cy="495935"/>
              <wp:effectExtent l="4445" t="0" r="0" b="0"/>
              <wp:wrapNone/>
              <wp:docPr id="56" name="Text Box 56"/>
              <wp:cNvGraphicFramePr/>
              <a:graphic xmlns:a="http://schemas.openxmlformats.org/drawingml/2006/main">
                <a:graphicData uri="http://schemas.microsoft.com/office/word/2010/wordprocessingShape">
                  <wps:wsp>
                    <wps:cNvSpPr txBox="1"/>
                    <wps:spPr>
                      <a:xfrm rot="5400000">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BD6">
                          <w:pPr>
                            <w:pStyle w:val="PBOfooter"/>
                            <w:spacing w:before="120" w:after="114"/>
                            <w:jc w:val="center"/>
                          </w:pPr>
                          <w:r w:rsidRPr="009530F3">
                            <w:fldChar w:fldCharType="begin"/>
                          </w:r>
                          <w:r w:rsidRPr="009530F3">
                            <w:instrText xml:space="preserve">PAGE  </w:instrText>
                          </w:r>
                          <w:r w:rsidRPr="009530F3">
                            <w:fldChar w:fldCharType="separate"/>
                          </w:r>
                          <w:r w:rsidR="009F5F1B">
                            <w:t>77</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left:0;text-align:left;margin-left:-52.65pt;margin-top:-11pt;width:81.75pt;height:39.0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" filled="f" stroked="f" strokeweight=".5pt">
              <v:textbox>
                <w:txbxContent>
                  <w:p w:rsidR="005C5AB5" w:rsidRDefault="005C5AB5" w:rsidP="00934BD6">
                    <w:pPr>
                      <w:pStyle w:val="PBOfooter"/>
                      <w:spacing w:before="120" w:after="114"/>
                      <w:jc w:val="center"/>
                    </w:pPr>
                    <w:r w:rsidRPr="009530F3">
                      <w:fldChar w:fldCharType="begin"/>
                    </w:r>
                    <w:r w:rsidRPr="009530F3">
                      <w:instrText xml:space="preserve">PAGE  </w:instrText>
                    </w:r>
                    <w:r w:rsidRPr="009530F3">
                      <w:fldChar w:fldCharType="separate"/>
                    </w:r>
                    <w:r w:rsidR="009F5F1B">
                      <w:t>77</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803648" behindDoc="0" locked="0" layoutInCell="1" allowOverlap="1" wp14:anchorId="19C4ECD2" wp14:editId="32BDEDFC">
              <wp:simplePos x="0" y="0"/>
              <wp:positionH relativeFrom="column">
                <wp:posOffset>-168275</wp:posOffset>
              </wp:positionH>
              <wp:positionV relativeFrom="paragraph">
                <wp:posOffset>-414655</wp:posOffset>
              </wp:positionV>
              <wp:extent cx="0" cy="462280"/>
              <wp:effectExtent l="0" t="231140" r="245110" b="0"/>
              <wp:wrapNone/>
              <wp:docPr id="5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32.65pt" to="-13.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" strokecolor="#95a4c6" strokeweight="1pt">
              <v:shadow opacity="22938f" offset="0"/>
            </v:line>
          </w:pict>
        </mc:Fallback>
      </mc:AlternateContent>
    </w:r>
  </w:p>
  <w:p w:rsidR="005C5AB5" w:rsidRPr="00B82E9F" w:rsidRDefault="005C5AB5" w:rsidP="00B82E9F">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083FC7" w:rsidRDefault="005C5AB5" w:rsidP="00E91B9E">
    <w:pPr>
      <w:pStyle w:val="Footer"/>
      <w:spacing w:before="0" w:after="0"/>
      <w:rPr>
        <w:b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23649C" w:rsidRDefault="005C5AB5" w:rsidP="0023649C">
    <w:pPr>
      <w:pStyle w:val="PBOfooter"/>
      <w:spacing w:before="120" w:after="11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Default="005C5AB5" w:rsidP="0096580C">
    <w:pPr>
      <w:pStyle w:val="PBOfooter"/>
      <w:spacing w:before="120" w:after="114"/>
      <w:jc w:val="center"/>
    </w:pPr>
    <w:r w:rsidRPr="007E005D">
      <w:fldChar w:fldCharType="begin"/>
    </w:r>
    <w:r w:rsidRPr="007E005D">
      <w:instrText xml:space="preserve">PAGE  </w:instrText>
    </w:r>
    <w:r w:rsidRPr="007E005D">
      <w:fldChar w:fldCharType="separate"/>
    </w:r>
    <w:r w:rsidR="009F5F1B">
      <w:t>v</w:t>
    </w:r>
    <w:r w:rsidRPr="007E005D">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E91B9E" w:rsidRDefault="005C5AB5" w:rsidP="0096580C">
    <w:pPr>
      <w:pStyle w:val="PBOfooter"/>
      <w:spacing w:before="120" w:after="114"/>
      <w:jc w:val="center"/>
    </w:pPr>
    <w:r w:rsidRPr="001D18EA">
      <w:fldChar w:fldCharType="begin"/>
    </w:r>
    <w:r w:rsidRPr="001D18EA">
      <w:instrText xml:space="preserve"> PAGE  \* Arabic </w:instrText>
    </w:r>
    <w:r w:rsidRPr="001D18EA">
      <w:fldChar w:fldCharType="separate"/>
    </w:r>
    <w:r w:rsidR="009F5F1B">
      <w:t>20</w:t>
    </w:r>
    <w:r w:rsidRPr="001D18EA">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A01E94" w:rsidRDefault="005C5AB5" w:rsidP="00A01E94">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08416" behindDoc="0" locked="0" layoutInCell="1" allowOverlap="1" wp14:anchorId="4A2391F1" wp14:editId="51A2A8F6">
              <wp:simplePos x="0" y="0"/>
              <wp:positionH relativeFrom="column">
                <wp:posOffset>5059680</wp:posOffset>
              </wp:positionH>
              <wp:positionV relativeFrom="paragraph">
                <wp:posOffset>-213995</wp:posOffset>
              </wp:positionV>
              <wp:extent cx="1038225" cy="49593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A01E94">
                          <w:pPr>
                            <w:pStyle w:val="PBOfooter"/>
                            <w:spacing w:before="120" w:after="114"/>
                            <w:jc w:val="center"/>
                          </w:pPr>
                          <w:r w:rsidRPr="009530F3">
                            <w:fldChar w:fldCharType="begin"/>
                          </w:r>
                          <w:r w:rsidRPr="009530F3">
                            <w:instrText xml:space="preserve">PAGE  </w:instrText>
                          </w:r>
                          <w:r w:rsidRPr="009530F3">
                            <w:fldChar w:fldCharType="separate"/>
                          </w:r>
                          <w:r w:rsidR="009F5F1B">
                            <w:t>15</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1" o:spid="_x0000_s1031" type="#_x0000_t202" style="position:absolute;left:0;text-align:left;margin-left:398.4pt;margin-top:-16.85pt;width:81.75pt;height:39.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09ggIAAGs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" filled="f" stroked="f" strokeweight=".5pt">
              <v:textbox>
                <w:txbxContent>
                  <w:p w:rsidR="005C5AB5" w:rsidRDefault="005C5AB5" w:rsidP="00A01E94">
                    <w:pPr>
                      <w:pStyle w:val="PBOfooter"/>
                      <w:spacing w:before="120" w:after="114"/>
                      <w:jc w:val="center"/>
                    </w:pPr>
                    <w:r w:rsidRPr="009530F3">
                      <w:fldChar w:fldCharType="begin"/>
                    </w:r>
                    <w:r w:rsidRPr="009530F3">
                      <w:instrText xml:space="preserve">PAGE  </w:instrText>
                    </w:r>
                    <w:r w:rsidRPr="009530F3">
                      <w:fldChar w:fldCharType="separate"/>
                    </w:r>
                    <w:r w:rsidR="009F5F1B">
                      <w:t>15</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10464" behindDoc="0" locked="0" layoutInCell="1" allowOverlap="1" wp14:anchorId="6838BA1C" wp14:editId="6348AEB8">
              <wp:simplePos x="0" y="0"/>
              <wp:positionH relativeFrom="column">
                <wp:posOffset>5280519</wp:posOffset>
              </wp:positionH>
              <wp:positionV relativeFrom="paragraph">
                <wp:posOffset>-180340</wp:posOffset>
              </wp:positionV>
              <wp:extent cx="0" cy="462280"/>
              <wp:effectExtent l="0" t="0" r="19050" b="13970"/>
              <wp:wrapNone/>
              <wp:docPr id="6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" strokecolor="#95a4c6" strokeweight="1pt">
              <v:shadow opacity="22938f" offset="0"/>
            </v:line>
          </w:pict>
        </mc:Fallback>
      </mc:AlternateContent>
    </w:r>
    <w:r w:rsidRPr="0096580C">
      <w:rPr>
        <w:sz w:val="18"/>
        <w:szCs w:val="18"/>
        <w:lang w:eastAsia="en-AU"/>
      </w:rPr>
      <mc:AlternateContent>
        <mc:Choice Requires="wps">
          <w:drawing>
            <wp:anchor distT="0" distB="0" distL="114300" distR="114300" simplePos="0" relativeHeight="251709440" behindDoc="0" locked="0" layoutInCell="1" allowOverlap="1" wp14:anchorId="7663ADEB" wp14:editId="691411D8">
              <wp:simplePos x="0" y="0"/>
              <wp:positionH relativeFrom="column">
                <wp:posOffset>-821690</wp:posOffset>
              </wp:positionH>
              <wp:positionV relativeFrom="paragraph">
                <wp:posOffset>-211949</wp:posOffset>
              </wp:positionV>
              <wp:extent cx="5880735" cy="49657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A01E94">
                          <w:pPr>
                            <w:pStyle w:val="PBOfooter"/>
                            <w:spacing w:before="120" w:after="114"/>
                            <w:jc w:val="right"/>
                          </w:pPr>
                          <w:r>
                            <w:t>Social security and welfare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2" type="#_x0000_t202" style="position:absolute;left:0;text-align:left;margin-left:-64.7pt;margin-top:-16.7pt;width:463.05pt;height:3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" filled="f" stroked="f" strokeweight=".5pt">
              <v:textbox>
                <w:txbxContent>
                  <w:p w:rsidR="005C5AB5" w:rsidRDefault="005C5AB5" w:rsidP="00A01E94">
                    <w:pPr>
                      <w:pStyle w:val="PBOfooter"/>
                      <w:spacing w:before="120" w:after="114"/>
                      <w:jc w:val="right"/>
                    </w:pPr>
                    <w:r>
                      <w:t>Social security and welfare expenses</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B33E18" w:rsidRDefault="005C5AB5" w:rsidP="00B33E18">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12512" behindDoc="0" locked="0" layoutInCell="1" allowOverlap="1" wp14:anchorId="41FD86E0" wp14:editId="362C1F6F">
              <wp:simplePos x="0" y="0"/>
              <wp:positionH relativeFrom="column">
                <wp:posOffset>5059680</wp:posOffset>
              </wp:positionH>
              <wp:positionV relativeFrom="paragraph">
                <wp:posOffset>-213042</wp:posOffset>
              </wp:positionV>
              <wp:extent cx="1038225" cy="49593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B33E18">
                          <w:pPr>
                            <w:pStyle w:val="PBOfooter"/>
                            <w:spacing w:before="120" w:after="114"/>
                            <w:jc w:val="center"/>
                          </w:pPr>
                          <w:r w:rsidRPr="009530F3">
                            <w:fldChar w:fldCharType="begin"/>
                          </w:r>
                          <w:r w:rsidRPr="009530F3">
                            <w:instrText xml:space="preserve">PAGE  </w:instrText>
                          </w:r>
                          <w:r w:rsidRPr="009530F3">
                            <w:fldChar w:fldCharType="separate"/>
                          </w:r>
                          <w:r w:rsidR="009F5F1B">
                            <w:t>19</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6" o:spid="_x0000_s1033" type="#_x0000_t202" style="position:absolute;left:0;text-align:left;margin-left:398.4pt;margin-top:-16.75pt;width:81.75pt;height:3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9cgAIAAGs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" filled="f" stroked="f" strokeweight=".5pt">
              <v:textbox>
                <w:txbxContent>
                  <w:p w:rsidR="005C5AB5" w:rsidRDefault="005C5AB5" w:rsidP="00B33E18">
                    <w:pPr>
                      <w:pStyle w:val="PBOfooter"/>
                      <w:spacing w:before="120" w:after="114"/>
                      <w:jc w:val="center"/>
                    </w:pPr>
                    <w:r w:rsidRPr="009530F3">
                      <w:fldChar w:fldCharType="begin"/>
                    </w:r>
                    <w:r w:rsidRPr="009530F3">
                      <w:instrText xml:space="preserve">PAGE  </w:instrText>
                    </w:r>
                    <w:r w:rsidRPr="009530F3">
                      <w:fldChar w:fldCharType="separate"/>
                    </w:r>
                    <w:r w:rsidR="009F5F1B">
                      <w:t>19</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14560" behindDoc="0" locked="0" layoutInCell="1" allowOverlap="1" wp14:anchorId="55BEB9EB" wp14:editId="10EF48FC">
              <wp:simplePos x="0" y="0"/>
              <wp:positionH relativeFrom="column">
                <wp:posOffset>5280519</wp:posOffset>
              </wp:positionH>
              <wp:positionV relativeFrom="paragraph">
                <wp:posOffset>-180340</wp:posOffset>
              </wp:positionV>
              <wp:extent cx="0" cy="462280"/>
              <wp:effectExtent l="0" t="0" r="19050" b="13970"/>
              <wp:wrapNone/>
              <wp:docPr id="7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" strokecolor="#95a4c6" strokeweight="1pt">
              <v:shadow opacity="22938f" offset="0"/>
            </v:line>
          </w:pict>
        </mc:Fallback>
      </mc:AlternateContent>
    </w:r>
    <w:r w:rsidRPr="0096580C">
      <w:rPr>
        <w:sz w:val="18"/>
        <w:szCs w:val="18"/>
        <w:lang w:eastAsia="en-AU"/>
      </w:rPr>
      <mc:AlternateContent>
        <mc:Choice Requires="wps">
          <w:drawing>
            <wp:anchor distT="0" distB="0" distL="114300" distR="114300" simplePos="0" relativeHeight="251713536" behindDoc="0" locked="0" layoutInCell="1" allowOverlap="1" wp14:anchorId="46CFB281" wp14:editId="28FFD93B">
              <wp:simplePos x="0" y="0"/>
              <wp:positionH relativeFrom="column">
                <wp:posOffset>-821690</wp:posOffset>
              </wp:positionH>
              <wp:positionV relativeFrom="paragraph">
                <wp:posOffset>-211949</wp:posOffset>
              </wp:positionV>
              <wp:extent cx="5880735" cy="49657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B33E18">
                          <w:pPr>
                            <w:pStyle w:val="PBOfooter"/>
                            <w:spacing w:before="120" w:after="114"/>
                            <w:jc w:val="right"/>
                          </w:pPr>
                          <w:r>
                            <w:t>Other purposes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4" type="#_x0000_t202" style="position:absolute;left:0;text-align:left;margin-left:-64.7pt;margin-top:-16.7pt;width:463.05pt;height:39.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" filled="f" stroked="f" strokeweight=".5pt">
              <v:textbox>
                <w:txbxContent>
                  <w:p w:rsidR="005C5AB5" w:rsidRDefault="005C5AB5" w:rsidP="00B33E18">
                    <w:pPr>
                      <w:pStyle w:val="PBOfooter"/>
                      <w:spacing w:before="120" w:after="114"/>
                      <w:jc w:val="right"/>
                    </w:pPr>
                    <w:r>
                      <w:t>Other purposes expenses</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934C8A" w:rsidRDefault="005C5AB5" w:rsidP="00934C8A">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16608" behindDoc="0" locked="0" layoutInCell="1" allowOverlap="1" wp14:anchorId="7A3D6227" wp14:editId="1FEB7B70">
              <wp:simplePos x="0" y="0"/>
              <wp:positionH relativeFrom="column">
                <wp:posOffset>5059680</wp:posOffset>
              </wp:positionH>
              <wp:positionV relativeFrom="paragraph">
                <wp:posOffset>-212407</wp:posOffset>
              </wp:positionV>
              <wp:extent cx="1038225" cy="49593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23</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9" o:spid="_x0000_s1035" type="#_x0000_t202" style="position:absolute;left:0;text-align:left;margin-left:398.4pt;margin-top:-16.7pt;width:81.75pt;height:39.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" filled="f" stroked="f" strokeweight=".5pt">
              <v:textbo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23</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18656" behindDoc="0" locked="0" layoutInCell="1" allowOverlap="1" wp14:anchorId="27EB4889" wp14:editId="084A893D">
              <wp:simplePos x="0" y="0"/>
              <wp:positionH relativeFrom="column">
                <wp:posOffset>5280519</wp:posOffset>
              </wp:positionH>
              <wp:positionV relativeFrom="paragraph">
                <wp:posOffset>-180340</wp:posOffset>
              </wp:positionV>
              <wp:extent cx="0" cy="462280"/>
              <wp:effectExtent l="0" t="0" r="19050" b="13970"/>
              <wp:wrapNone/>
              <wp:docPr id="7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" strokecolor="#95a4c6" strokeweight="1pt">
              <v:shadow opacity="22938f" offset="0"/>
            </v:line>
          </w:pict>
        </mc:Fallback>
      </mc:AlternateContent>
    </w:r>
    <w:r w:rsidRPr="0096580C">
      <w:rPr>
        <w:sz w:val="18"/>
        <w:szCs w:val="18"/>
        <w:lang w:eastAsia="en-AU"/>
      </w:rPr>
      <mc:AlternateContent>
        <mc:Choice Requires="wps">
          <w:drawing>
            <wp:anchor distT="0" distB="0" distL="114300" distR="114300" simplePos="0" relativeHeight="251717632" behindDoc="0" locked="0" layoutInCell="1" allowOverlap="1" wp14:anchorId="2E7F97FE" wp14:editId="6FF6B2E7">
              <wp:simplePos x="0" y="0"/>
              <wp:positionH relativeFrom="column">
                <wp:posOffset>-821690</wp:posOffset>
              </wp:positionH>
              <wp:positionV relativeFrom="paragraph">
                <wp:posOffset>-211949</wp:posOffset>
              </wp:positionV>
              <wp:extent cx="5880735" cy="49657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right"/>
                          </w:pPr>
                          <w:r>
                            <w:t>Health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36" type="#_x0000_t202" style="position:absolute;left:0;text-align:left;margin-left:-64.7pt;margin-top:-16.7pt;width:463.05pt;height:39.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" filled="f" stroked="f" strokeweight=".5pt">
              <v:textbox>
                <w:txbxContent>
                  <w:p w:rsidR="005C5AB5" w:rsidRDefault="005C5AB5" w:rsidP="00934C8A">
                    <w:pPr>
                      <w:pStyle w:val="PBOfooter"/>
                      <w:spacing w:before="120" w:after="114"/>
                      <w:jc w:val="right"/>
                    </w:pPr>
                    <w:r>
                      <w:t>Health expenses</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934C8A" w:rsidRDefault="005C5AB5" w:rsidP="00934C8A">
    <w:pPr>
      <w:pStyle w:val="PBOfooter"/>
      <w:jc w:val="right"/>
      <w:rPr>
        <w:sz w:val="18"/>
        <w:szCs w:val="18"/>
      </w:rPr>
    </w:pPr>
    <w:r w:rsidRPr="0096580C">
      <w:rPr>
        <w:sz w:val="18"/>
        <w:szCs w:val="18"/>
        <w:lang w:eastAsia="en-AU"/>
      </w:rPr>
      <mc:AlternateContent>
        <mc:Choice Requires="wps">
          <w:drawing>
            <wp:anchor distT="0" distB="0" distL="114300" distR="114300" simplePos="0" relativeHeight="251773952" behindDoc="0" locked="0" layoutInCell="1" allowOverlap="1" wp14:anchorId="663A3AA2" wp14:editId="62E83649">
              <wp:simplePos x="0" y="0"/>
              <wp:positionH relativeFrom="column">
                <wp:posOffset>5059680</wp:posOffset>
              </wp:positionH>
              <wp:positionV relativeFrom="paragraph">
                <wp:posOffset>-212407</wp:posOffset>
              </wp:positionV>
              <wp:extent cx="1038225" cy="4959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29</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left:0;text-align:left;margin-left:398.4pt;margin-top:-16.7pt;width:81.75pt;height:39.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" filled="f" stroked="f" strokeweight=".5pt">
              <v:textbox>
                <w:txbxContent>
                  <w:p w:rsidR="005C5AB5" w:rsidRDefault="005C5AB5" w:rsidP="00934C8A">
                    <w:pPr>
                      <w:pStyle w:val="PBOfooter"/>
                      <w:spacing w:before="120" w:after="114"/>
                      <w:jc w:val="center"/>
                    </w:pPr>
                    <w:r w:rsidRPr="009530F3">
                      <w:fldChar w:fldCharType="begin"/>
                    </w:r>
                    <w:r w:rsidRPr="009530F3">
                      <w:instrText xml:space="preserve">PAGE  </w:instrText>
                    </w:r>
                    <w:r w:rsidRPr="009530F3">
                      <w:fldChar w:fldCharType="separate"/>
                    </w:r>
                    <w:r w:rsidR="009F5F1B">
                      <w:t>29</w:t>
                    </w:r>
                    <w:r w:rsidRPr="009530F3">
                      <w:fldChar w:fldCharType="end"/>
                    </w:r>
                  </w:p>
                </w:txbxContent>
              </v:textbox>
            </v:shape>
          </w:pict>
        </mc:Fallback>
      </mc:AlternateContent>
    </w:r>
    <w:r>
      <w:rPr>
        <w:lang w:eastAsia="en-AU"/>
      </w:rPr>
      <mc:AlternateContent>
        <mc:Choice Requires="wps">
          <w:drawing>
            <wp:anchor distT="0" distB="0" distL="114300" distR="114300" simplePos="0" relativeHeight="251776000" behindDoc="0" locked="0" layoutInCell="1" allowOverlap="1" wp14:anchorId="01777BC5" wp14:editId="5FD3E199">
              <wp:simplePos x="0" y="0"/>
              <wp:positionH relativeFrom="column">
                <wp:posOffset>5280519</wp:posOffset>
              </wp:positionH>
              <wp:positionV relativeFrom="paragraph">
                <wp:posOffset>-180340</wp:posOffset>
              </wp:positionV>
              <wp:extent cx="0" cy="462280"/>
              <wp:effectExtent l="0" t="0" r="19050" b="13970"/>
              <wp:wrapNone/>
              <wp:docPr id="3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95A4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14.2pt" to="415.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" strokecolor="#95a4c6" strokeweight="1pt">
              <v:shadow opacity="22938f" offset="0"/>
            </v:line>
          </w:pict>
        </mc:Fallback>
      </mc:AlternateContent>
    </w:r>
    <w:r w:rsidRPr="0096580C">
      <w:rPr>
        <w:sz w:val="18"/>
        <w:szCs w:val="18"/>
        <w:lang w:eastAsia="en-AU"/>
      </w:rPr>
      <mc:AlternateContent>
        <mc:Choice Requires="wps">
          <w:drawing>
            <wp:anchor distT="0" distB="0" distL="114300" distR="114300" simplePos="0" relativeHeight="251774976" behindDoc="0" locked="0" layoutInCell="1" allowOverlap="1" wp14:anchorId="5E828ACA" wp14:editId="51135560">
              <wp:simplePos x="0" y="0"/>
              <wp:positionH relativeFrom="column">
                <wp:posOffset>-821690</wp:posOffset>
              </wp:positionH>
              <wp:positionV relativeFrom="paragraph">
                <wp:posOffset>-211949</wp:posOffset>
              </wp:positionV>
              <wp:extent cx="5880735" cy="49657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8807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934C8A">
                          <w:pPr>
                            <w:pStyle w:val="PBOfooter"/>
                            <w:spacing w:before="120" w:after="114"/>
                            <w:jc w:val="right"/>
                          </w:pPr>
                          <w:r>
                            <w:t>Education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left:0;text-align:left;margin-left:-64.7pt;margin-top:-16.7pt;width:463.05pt;height:39.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" filled="f" stroked="f" strokeweight=".5pt">
              <v:textbox>
                <w:txbxContent>
                  <w:p w:rsidR="005C5AB5" w:rsidRDefault="005C5AB5" w:rsidP="00934C8A">
                    <w:pPr>
                      <w:pStyle w:val="PBOfooter"/>
                      <w:spacing w:before="120" w:after="114"/>
                      <w:jc w:val="right"/>
                    </w:pPr>
                    <w:r>
                      <w:t>Education expenses</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Pr="00934C8A" w:rsidRDefault="005C5AB5" w:rsidP="00934C8A">
    <w:pPr>
      <w:pStyle w:val="PBOfooter"/>
      <w:spacing w:before="120" w:after="114"/>
      <w:jc w:val="center"/>
    </w:pPr>
    <w:r w:rsidRPr="001D18EA">
      <w:fldChar w:fldCharType="begin"/>
    </w:r>
    <w:r w:rsidRPr="001D18EA">
      <w:instrText xml:space="preserve"> PAGE  \* Arabic </w:instrText>
    </w:r>
    <w:r w:rsidRPr="001D18EA">
      <w:fldChar w:fldCharType="separate"/>
    </w:r>
    <w:r w:rsidR="009F5F1B">
      <w:t>58</w:t>
    </w:r>
    <w:r w:rsidRPr="001D18E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AB5" w:rsidRDefault="005C5AB5" w:rsidP="00344501">
      <w:r>
        <w:separator/>
      </w:r>
    </w:p>
  </w:footnote>
  <w:footnote w:type="continuationSeparator" w:id="0">
    <w:p w:rsidR="005C5AB5" w:rsidRDefault="005C5AB5" w:rsidP="00344501">
      <w:r>
        <w:continuationSeparator/>
      </w:r>
    </w:p>
  </w:footnote>
  <w:footnote w:id="1">
    <w:p w:rsidR="005C5AB5" w:rsidRDefault="005C5AB5" w:rsidP="007A4A40">
      <w:pPr>
        <w:pStyle w:val="FootnoteText"/>
      </w:pPr>
      <w:r>
        <w:rPr>
          <w:rStyle w:val="FootnoteReference"/>
        </w:rPr>
        <w:footnoteRef/>
      </w:r>
      <w:r>
        <w:t xml:space="preserve"> </w:t>
      </w:r>
      <w:r>
        <w:tab/>
        <w:t>Nominal government spending has been converted to real government spending using the Consumer Price Index.</w:t>
      </w:r>
    </w:p>
  </w:footnote>
  <w:footnote w:id="2">
    <w:p w:rsidR="005C5AB5" w:rsidRDefault="005C5AB5" w:rsidP="008E7C85">
      <w:pPr>
        <w:pStyle w:val="FootnoteText"/>
      </w:pPr>
      <w:r w:rsidRPr="008E7C85">
        <w:rPr>
          <w:rStyle w:val="FootnoteReference"/>
        </w:rPr>
        <w:footnoteRef/>
      </w:r>
      <w:r w:rsidRPr="008E7C85">
        <w:t xml:space="preserve"> </w:t>
      </w:r>
      <w:r w:rsidRPr="008E7C85">
        <w:tab/>
        <w:t xml:space="preserve">The category defence and public order and safety </w:t>
      </w:r>
      <w:proofErr w:type="gramStart"/>
      <w:r w:rsidRPr="008E7C85">
        <w:t>combines</w:t>
      </w:r>
      <w:proofErr w:type="gramEnd"/>
      <w:r w:rsidRPr="008E7C85">
        <w:t xml:space="preserve"> defence and public order and safety functional expenses.  The category industry and economic affairs combines fuel and energy, agriculture, forestry and fishing, mining, manufacturing and construction, transport and communication, and other economic affairs.  The category community amenities and infrastructure combines housing and community amenities and recreation and culture functional expenses.</w:t>
      </w:r>
      <w:r>
        <w:t xml:space="preserve">  </w:t>
      </w:r>
    </w:p>
  </w:footnote>
  <w:footnote w:id="3">
    <w:p w:rsidR="005C5AB5" w:rsidRDefault="005C5AB5">
      <w:pPr>
        <w:pStyle w:val="FootnoteText"/>
      </w:pPr>
      <w:r>
        <w:rPr>
          <w:rStyle w:val="FootnoteReference"/>
        </w:rPr>
        <w:footnoteRef/>
      </w:r>
      <w:r>
        <w:t xml:space="preserve"> </w:t>
      </w:r>
      <w:r>
        <w:tab/>
      </w:r>
      <w:r w:rsidRPr="00EA1604">
        <w:t>Government spending at the functional level represents forms of government spending by area, and this report has been adjusted for changes in accounting treatment and reclassifications between functions</w:t>
      </w:r>
      <w:r>
        <w:t>.</w:t>
      </w:r>
    </w:p>
  </w:footnote>
  <w:footnote w:id="4">
    <w:p w:rsidR="005C5AB5" w:rsidRDefault="005C5AB5">
      <w:pPr>
        <w:pStyle w:val="FootnoteText"/>
      </w:pPr>
      <w:r>
        <w:rPr>
          <w:rStyle w:val="FootnoteReference"/>
        </w:rPr>
        <w:footnoteRef/>
      </w:r>
      <w:r>
        <w:t xml:space="preserve"> </w:t>
      </w:r>
      <w:r>
        <w:tab/>
      </w:r>
      <w:r w:rsidRPr="004236EB">
        <w:t xml:space="preserve">Other purposes consists of general revenue </w:t>
      </w:r>
      <w:r w:rsidRPr="00713C79">
        <w:t>assistance to States and Territories, public debt interest, nominal interest on unfunded superannuation liabilities, assistance to local governments,</w:t>
      </w:r>
      <w:r w:rsidRPr="004236EB">
        <w:t xml:space="preserve"> natural disaster relief and the contingency reserve.</w:t>
      </w:r>
    </w:p>
  </w:footnote>
  <w:footnote w:id="5">
    <w:p w:rsidR="005C5AB5" w:rsidRDefault="005C5AB5" w:rsidP="00D02787">
      <w:pPr>
        <w:pStyle w:val="FootnoteText"/>
      </w:pPr>
      <w:r w:rsidRPr="004236EB">
        <w:rPr>
          <w:rStyle w:val="FootnoteReference"/>
        </w:rPr>
        <w:footnoteRef/>
      </w:r>
      <w:r w:rsidRPr="004236EB">
        <w:t xml:space="preserve"> </w:t>
      </w:r>
      <w:r w:rsidRPr="004236EB">
        <w:tab/>
        <w:t xml:space="preserve">A more detailed discussion on the methodology applied to calculate government superannuation expenses is provided in Chapter </w:t>
      </w:r>
      <w:r>
        <w:t>6</w:t>
      </w:r>
      <w:r w:rsidRPr="004236EB">
        <w:t>.</w:t>
      </w:r>
    </w:p>
  </w:footnote>
  <w:footnote w:id="6">
    <w:p w:rsidR="005C5AB5" w:rsidRDefault="005C5AB5">
      <w:pPr>
        <w:pStyle w:val="FootnoteText"/>
      </w:pPr>
      <w:r>
        <w:rPr>
          <w:rStyle w:val="FootnoteReference"/>
        </w:rPr>
        <w:footnoteRef/>
      </w:r>
      <w:r>
        <w:t xml:space="preserve"> </w:t>
      </w:r>
      <w:r>
        <w:tab/>
        <w:t>‘C</w:t>
      </w:r>
      <w:r w:rsidRPr="00414653">
        <w:t xml:space="preserve">ombined assistance other’ incorporates assistance to the unemployed and the sick, assistance to Indigenous </w:t>
      </w:r>
      <w:r w:rsidRPr="00974F65">
        <w:t>Australians (</w:t>
      </w:r>
      <w:proofErr w:type="spellStart"/>
      <w:proofErr w:type="gramStart"/>
      <w:r w:rsidRPr="00974F65">
        <w:t>nec</w:t>
      </w:r>
      <w:proofErr w:type="spellEnd"/>
      <w:proofErr w:type="gramEnd"/>
      <w:r w:rsidRPr="00974F65">
        <w:t>), assistance to veterans</w:t>
      </w:r>
      <w:r w:rsidRPr="00414653">
        <w:t xml:space="preserve"> and dependants</w:t>
      </w:r>
      <w:r>
        <w:t xml:space="preserve"> </w:t>
      </w:r>
      <w:r w:rsidRPr="00414653">
        <w:t>and general administration</w:t>
      </w:r>
      <w:r>
        <w:t>.</w:t>
      </w:r>
    </w:p>
  </w:footnote>
  <w:footnote w:id="7">
    <w:p w:rsidR="005C5AB5" w:rsidRDefault="005C5AB5" w:rsidP="00344501">
      <w:pPr>
        <w:pStyle w:val="FootnoteText"/>
      </w:pPr>
      <w:r>
        <w:rPr>
          <w:rStyle w:val="FootnoteReference"/>
        </w:rPr>
        <w:footnoteRef/>
      </w:r>
      <w:r>
        <w:t xml:space="preserve"> </w:t>
      </w:r>
      <w:r>
        <w:tab/>
        <w:t>The increase was $32.49 per week for single pensioners on the full rate of pension, and $10.14 per week for couple pensioners on the full rate of pension.  The increase in the Pension Supplement was $2.49 per week for singles and $10.14 per week for couples.  The increase took effect from 20 September 2009.</w:t>
      </w:r>
    </w:p>
  </w:footnote>
  <w:footnote w:id="8">
    <w:p w:rsidR="005C5AB5" w:rsidRDefault="005C5AB5">
      <w:pPr>
        <w:pStyle w:val="FootnoteText"/>
      </w:pPr>
      <w:r>
        <w:rPr>
          <w:rStyle w:val="FootnoteReference"/>
        </w:rPr>
        <w:footnoteRef/>
      </w:r>
      <w:r>
        <w:t xml:space="preserve"> </w:t>
      </w:r>
      <w:r>
        <w:tab/>
        <w:t>The Budget costs relating to the Age Pension here and in the rest of this section include the costs of other pensions, such as service pensions and the Disability Support Pension.</w:t>
      </w:r>
    </w:p>
  </w:footnote>
  <w:footnote w:id="9">
    <w:p w:rsidR="005C5AB5" w:rsidRDefault="005C5AB5" w:rsidP="00344501">
      <w:pPr>
        <w:pStyle w:val="FootnoteText"/>
      </w:pPr>
      <w:r>
        <w:rPr>
          <w:rStyle w:val="FootnoteReference"/>
        </w:rPr>
        <w:footnoteRef/>
      </w:r>
      <w:r>
        <w:t xml:space="preserve"> </w:t>
      </w:r>
      <w:r>
        <w:tab/>
        <w:t>This change meant that the single pension is reduced by 50 cents in the dollar (previously 40 cents) for every dollar in income above the relevant threshold; and the couple pension is reduced by 25 cents (previously 20 cents) for income above the relevant threshold.</w:t>
      </w:r>
    </w:p>
  </w:footnote>
  <w:footnote w:id="10">
    <w:p w:rsidR="005C5AB5" w:rsidRDefault="005C5AB5" w:rsidP="008E7C85">
      <w:pPr>
        <w:pStyle w:val="FootnoteText"/>
      </w:pPr>
      <w:r>
        <w:rPr>
          <w:rStyle w:val="FootnoteReference"/>
        </w:rPr>
        <w:footnoteRef/>
      </w:r>
      <w:r>
        <w:t xml:space="preserve"> </w:t>
      </w:r>
      <w:r>
        <w:tab/>
      </w:r>
      <w:r w:rsidRPr="008E7C85">
        <w:t>The contingency reserve in the period covered by this report contain</w:t>
      </w:r>
      <w:r>
        <w:t>ed</w:t>
      </w:r>
      <w:r w:rsidRPr="008E7C85">
        <w:t xml:space="preserve"> expenses that are related to the sale of assets that occurred </w:t>
      </w:r>
      <w:proofErr w:type="gramStart"/>
      <w:r w:rsidRPr="008E7C85">
        <w:t>between 2002-03 to 2007-08</w:t>
      </w:r>
      <w:proofErr w:type="gramEnd"/>
      <w:r w:rsidRPr="008E7C85">
        <w:t xml:space="preserve">. </w:t>
      </w:r>
      <w:r>
        <w:t xml:space="preserve"> </w:t>
      </w:r>
      <w:r w:rsidRPr="008E7C85">
        <w:t>For the rest of the historical period, 2008-09 to 2012</w:t>
      </w:r>
      <w:r>
        <w:noBreakHyphen/>
      </w:r>
      <w:r w:rsidRPr="008E7C85">
        <w:t xml:space="preserve">13, </w:t>
      </w:r>
      <w:r>
        <w:t>the contingency reserve contained</w:t>
      </w:r>
      <w:r w:rsidRPr="008E7C85">
        <w:t xml:space="preserve"> zero expenses at year end.  As the contingency reserve d</w:t>
      </w:r>
      <w:r>
        <w:t>id</w:t>
      </w:r>
      <w:r w:rsidRPr="008E7C85">
        <w:t xml:space="preserve"> not contribute to the growth of </w:t>
      </w:r>
      <w:r>
        <w:t>other purposes spending and did</w:t>
      </w:r>
      <w:r w:rsidRPr="008E7C85">
        <w:t xml:space="preserve"> not </w:t>
      </w:r>
      <w:r>
        <w:t>make up</w:t>
      </w:r>
      <w:r w:rsidRPr="008E7C85">
        <w:t xml:space="preserve"> a proportion of other purposes expenses in 2012</w:t>
      </w:r>
      <w:r w:rsidRPr="008E7C85">
        <w:noBreakHyphen/>
        <w:t>13, it has been excluded from the discussion and Table 3.1.</w:t>
      </w:r>
    </w:p>
  </w:footnote>
  <w:footnote w:id="11">
    <w:p w:rsidR="005C5AB5" w:rsidRPr="0035624A" w:rsidRDefault="005C5AB5" w:rsidP="007B1825">
      <w:pPr>
        <w:pStyle w:val="FootnoteText"/>
        <w:tabs>
          <w:tab w:val="clear" w:pos="284"/>
          <w:tab w:val="left" w:pos="142"/>
        </w:tabs>
      </w:pPr>
      <w:r>
        <w:rPr>
          <w:rStyle w:val="FootnoteReference"/>
        </w:rPr>
        <w:footnoteRef/>
      </w:r>
      <w:r>
        <w:t xml:space="preserve">  </w:t>
      </w:r>
      <w:r>
        <w:tab/>
      </w:r>
      <w:r w:rsidRPr="0035624A">
        <w:t>Australian Government Final Budget Outcome 2012-13, p. 44.</w:t>
      </w:r>
    </w:p>
  </w:footnote>
  <w:footnote w:id="12">
    <w:p w:rsidR="005C5AB5" w:rsidRDefault="005C5AB5" w:rsidP="007B1825">
      <w:pPr>
        <w:pStyle w:val="FootnoteText"/>
      </w:pPr>
      <w:r w:rsidRPr="0035624A">
        <w:rPr>
          <w:rStyle w:val="FootnoteReference"/>
        </w:rPr>
        <w:footnoteRef/>
      </w:r>
      <w:r w:rsidRPr="0035624A">
        <w:t xml:space="preserve"> </w:t>
      </w:r>
      <w:r w:rsidRPr="0035624A">
        <w:tab/>
        <w:t xml:space="preserve">Australian Government, </w:t>
      </w:r>
      <w:r w:rsidRPr="0035624A">
        <w:rPr>
          <w:i/>
        </w:rPr>
        <w:t>2013-14 Budget Paper No. 1</w:t>
      </w:r>
      <w:r w:rsidRPr="0035624A">
        <w:t>, Statement 7: Asset and Liability Management, p. 7-13, Canberra, 2013</w:t>
      </w:r>
    </w:p>
  </w:footnote>
  <w:footnote w:id="13">
    <w:p w:rsidR="005C5AB5" w:rsidRDefault="005C5AB5" w:rsidP="00D665E5">
      <w:pPr>
        <w:pStyle w:val="FootnoteText"/>
      </w:pPr>
      <w:r w:rsidRPr="00CF2BC1">
        <w:rPr>
          <w:rStyle w:val="FootnoteReference"/>
        </w:rPr>
        <w:footnoteRef/>
      </w:r>
      <w:r w:rsidRPr="00CF2BC1">
        <w:t xml:space="preserve"> </w:t>
      </w:r>
      <w:r w:rsidRPr="00CF2BC1">
        <w:tab/>
        <w:t>‘Combined indust</w:t>
      </w:r>
      <w:r>
        <w:t>ries’ incorporates</w:t>
      </w:r>
      <w:r w:rsidRPr="00CF2BC1">
        <w:t xml:space="preserve"> agriculture, forestry and fishing and mining, manufacturing and construction.</w:t>
      </w:r>
    </w:p>
  </w:footnote>
  <w:footnote w:id="14">
    <w:p w:rsidR="005C5AB5" w:rsidRPr="00591852" w:rsidRDefault="005C5AB5" w:rsidP="00E95002">
      <w:pPr>
        <w:pStyle w:val="FootnoteText"/>
        <w:spacing w:after="120"/>
      </w:pPr>
      <w:r>
        <w:rPr>
          <w:rStyle w:val="FootnoteReference"/>
        </w:rPr>
        <w:footnoteRef/>
      </w:r>
      <w:r>
        <w:t xml:space="preserve"> </w:t>
      </w:r>
      <w:r>
        <w:tab/>
        <w:t>Functions are based on the International Monetary Fund Government Finance Statistics classification framework adapted for Australian government budget reporting.</w:t>
      </w:r>
    </w:p>
  </w:footnote>
  <w:footnote w:id="15">
    <w:p w:rsidR="005C5AB5" w:rsidRDefault="005C5AB5" w:rsidP="00E95002">
      <w:pPr>
        <w:pStyle w:val="FootnoteText"/>
        <w:spacing w:after="120"/>
      </w:pPr>
      <w:r>
        <w:rPr>
          <w:rStyle w:val="FootnoteReference"/>
        </w:rPr>
        <w:footnoteRef/>
      </w:r>
      <w:r w:rsidRPr="00863A38">
        <w:rPr>
          <w:rStyle w:val="FootnoteReference"/>
        </w:rPr>
        <w:t xml:space="preserve"> </w:t>
      </w:r>
      <w:r>
        <w:tab/>
      </w:r>
      <w:r w:rsidRPr="00B1123E">
        <w:t>This is Australian government spending on its own general government sector including goods, services and related transfers</w:t>
      </w:r>
      <w:r>
        <w:t xml:space="preserve"> and total spending on net capital investment in 2012-13</w:t>
      </w:r>
      <w:r w:rsidRPr="00B1123E">
        <w:t>. Commonwealth own-purpose spending amounted to $291.4 billion or 75.9 per cent of total Australian government spending</w:t>
      </w:r>
      <w:r>
        <w:t xml:space="preserve"> in 2012-13.</w:t>
      </w:r>
    </w:p>
  </w:footnote>
  <w:footnote w:id="16">
    <w:p w:rsidR="005C5AB5" w:rsidRDefault="005C5AB5" w:rsidP="00E95002">
      <w:pPr>
        <w:pStyle w:val="FootnoteText"/>
        <w:spacing w:after="120"/>
      </w:pPr>
      <w:r>
        <w:rPr>
          <w:rStyle w:val="FootnoteReference"/>
        </w:rPr>
        <w:footnoteRef/>
      </w:r>
      <w:r>
        <w:t xml:space="preserve"> </w:t>
      </w:r>
      <w:r>
        <w:tab/>
        <w:t xml:space="preserve">Hereafter referred to as </w:t>
      </w:r>
      <w:r w:rsidRPr="00DC5600">
        <w:t>States.</w:t>
      </w:r>
    </w:p>
  </w:footnote>
  <w:footnote w:id="17">
    <w:p w:rsidR="005C5AB5" w:rsidRDefault="005C5AB5" w:rsidP="00E95002">
      <w:pPr>
        <w:pStyle w:val="FootnoteText"/>
      </w:pPr>
      <w:r>
        <w:rPr>
          <w:rStyle w:val="FootnoteReference"/>
        </w:rPr>
        <w:footnoteRef/>
      </w:r>
      <w:r>
        <w:t xml:space="preserve"> </w:t>
      </w:r>
      <w:r>
        <w:tab/>
        <w:t>See Chapter 3 on Other Purposes for a more detailed discussion.</w:t>
      </w:r>
    </w:p>
  </w:footnote>
  <w:footnote w:id="18">
    <w:p w:rsidR="005C5AB5" w:rsidRDefault="005C5AB5" w:rsidP="00E95002">
      <w:pPr>
        <w:pStyle w:val="FootnoteText"/>
      </w:pPr>
      <w:r>
        <w:rPr>
          <w:rStyle w:val="FootnoteReference"/>
        </w:rPr>
        <w:footnoteRef/>
      </w:r>
      <w:r>
        <w:t xml:space="preserve"> </w:t>
      </w:r>
      <w:r>
        <w:tab/>
        <w:t>See Chapter 5 on Education for a more detailed discussion.</w:t>
      </w:r>
    </w:p>
  </w:footnote>
  <w:footnote w:id="19">
    <w:p w:rsidR="005C5AB5" w:rsidRDefault="005C5AB5" w:rsidP="00E95002">
      <w:pPr>
        <w:pStyle w:val="FootnoteText"/>
      </w:pPr>
      <w:r>
        <w:rPr>
          <w:rStyle w:val="FootnoteReference"/>
        </w:rPr>
        <w:footnoteRef/>
      </w:r>
      <w:r>
        <w:t xml:space="preserve"> </w:t>
      </w:r>
      <w:r>
        <w:tab/>
        <w:t>See Chapter 4 on Health for a more detailed discussion.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Default="005C5AB5" w:rsidP="0034450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Default="005C5AB5" w:rsidP="00344501">
    <w:pPr>
      <w:pStyle w:val="Header"/>
    </w:pPr>
    <w:r>
      <w:rPr>
        <w:noProof/>
      </w:rPr>
      <mc:AlternateContent>
        <mc:Choice Requires="wps">
          <w:drawing>
            <wp:anchor distT="0" distB="0" distL="114300" distR="114300" simplePos="0" relativeHeight="251824128" behindDoc="0" locked="0" layoutInCell="1" allowOverlap="1" wp14:anchorId="71098CC9" wp14:editId="166AF30F">
              <wp:simplePos x="0" y="0"/>
              <wp:positionH relativeFrom="column">
                <wp:posOffset>6183313</wp:posOffset>
              </wp:positionH>
              <wp:positionV relativeFrom="paragraph">
                <wp:posOffset>2667317</wp:posOffset>
              </wp:positionV>
              <wp:extent cx="4712970" cy="605155"/>
              <wp:effectExtent l="0" t="0" r="0" b="0"/>
              <wp:wrapNone/>
              <wp:docPr id="28" name="Text Box 28" descr="Decorative"/>
              <wp:cNvGraphicFramePr/>
              <a:graphic xmlns:a="http://schemas.openxmlformats.org/drawingml/2006/main">
                <a:graphicData uri="http://schemas.microsoft.com/office/word/2010/wordprocessingShape">
                  <wps:wsp>
                    <wps:cNvSpPr txBox="1"/>
                    <wps:spPr>
                      <a:xfrm rot="5400000">
                        <a:off x="0" y="0"/>
                        <a:ext cx="4712970" cy="60515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E626B7">
                          <w:pPr>
                            <w:pStyle w:val="PBOheading1"/>
                            <w:numPr>
                              <w:ilvl w:val="0"/>
                              <w:numId w:val="46"/>
                            </w:numPr>
                            <w:spacing w:before="0" w:after="0"/>
                            <w:ind w:left="709" w:hanging="709"/>
                          </w:pPr>
                          <w:r>
                            <w:t>Expenses by sub-functions tables</w:t>
                          </w:r>
                          <w:r>
                            <w:rPr>
                              <w:vertAlign w:val="superscript"/>
                            </w:rPr>
                            <w:t>20</w:t>
                          </w:r>
                          <w:r>
                            <w:rPr>
                              <w:rStyle w:val="FootnoteReference"/>
                            </w:rPr>
                            <w:t>,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63" type="#_x0000_t202" alt="Decorative" style="position:absolute;margin-left:486.9pt;margin-top:210pt;width:371.1pt;height:47.6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" filled="f" stroked="f" strokeweight="1pt">
              <v:textbox>
                <w:txbxContent>
                  <w:p w:rsidR="003B0904" w:rsidRDefault="003B0904" w:rsidP="00E626B7">
                    <w:pPr>
                      <w:pStyle w:val="PBOheading1"/>
                      <w:numPr>
                        <w:ilvl w:val="0"/>
                        <w:numId w:val="46"/>
                      </w:numPr>
                      <w:spacing w:before="0" w:after="0"/>
                      <w:ind w:left="709" w:hanging="709"/>
                    </w:pPr>
                    <w:r>
                      <w:t>Expenses by sub-functions tables</w:t>
                    </w:r>
                    <w:r>
                      <w:rPr>
                        <w:vertAlign w:val="superscript"/>
                      </w:rPr>
                      <w:t>20</w:t>
                    </w:r>
                    <w:r>
                      <w:rPr>
                        <w:rStyle w:val="FootnoteReference"/>
                      </w:rPr>
                      <w:t>, 21</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2C0B859F" wp14:editId="5111F935">
              <wp:simplePos x="0" y="0"/>
              <wp:positionH relativeFrom="column">
                <wp:posOffset>-525146</wp:posOffset>
              </wp:positionH>
              <wp:positionV relativeFrom="paragraph">
                <wp:posOffset>3118803</wp:posOffset>
              </wp:positionV>
              <wp:extent cx="465455" cy="448310"/>
              <wp:effectExtent l="0" t="0" r="317" b="0"/>
              <wp:wrapNone/>
              <wp:docPr id="18" name="Text Box 18"/>
              <wp:cNvGraphicFramePr/>
              <a:graphic xmlns:a="http://schemas.openxmlformats.org/drawingml/2006/main">
                <a:graphicData uri="http://schemas.microsoft.com/office/word/2010/wordprocessingShape">
                  <wps:wsp>
                    <wps:cNvSpPr txBox="1"/>
                    <wps:spPr>
                      <a:xfrm rot="5400000">
                        <a:off x="0" y="0"/>
                        <a:ext cx="465455" cy="448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Pr="0023649C" w:rsidRDefault="005C5AB5" w:rsidP="007F3BCF">
                          <w:pPr>
                            <w:pStyle w:val="PBOfooter"/>
                            <w:spacing w:before="120" w:after="114"/>
                            <w:jc w:val="center"/>
                          </w:pPr>
                          <w:r w:rsidRPr="001D18EA">
                            <w:fldChar w:fldCharType="begin"/>
                          </w:r>
                          <w:r w:rsidRPr="001D18EA">
                            <w:instrText xml:space="preserve"> PAGE  \* Arabic </w:instrText>
                          </w:r>
                          <w:r w:rsidRPr="001D18EA">
                            <w:fldChar w:fldCharType="separate"/>
                          </w:r>
                          <w:r w:rsidR="009F5F1B">
                            <w:t>70</w:t>
                          </w:r>
                          <w:r w:rsidRPr="001D18EA">
                            <w:fldChar w:fldCharType="end"/>
                          </w:r>
                        </w:p>
                        <w:p w:rsidR="005C5AB5" w:rsidRDefault="005C5AB5" w:rsidP="007F3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64" type="#_x0000_t202" style="position:absolute;margin-left:-41.35pt;margin-top:245.6pt;width:36.65pt;height:35.3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" filled="f" stroked="f" strokeweight=".5pt">
              <v:textbox>
                <w:txbxContent>
                  <w:p w:rsidR="005C5AB5" w:rsidRPr="0023649C" w:rsidRDefault="005C5AB5" w:rsidP="007F3BCF">
                    <w:pPr>
                      <w:pStyle w:val="PBOfooter"/>
                      <w:spacing w:before="120" w:after="114"/>
                      <w:jc w:val="center"/>
                    </w:pPr>
                    <w:r w:rsidRPr="001D18EA">
                      <w:fldChar w:fldCharType="begin"/>
                    </w:r>
                    <w:r w:rsidRPr="001D18EA">
                      <w:instrText xml:space="preserve"> PAGE  \* Arabic </w:instrText>
                    </w:r>
                    <w:r w:rsidRPr="001D18EA">
                      <w:fldChar w:fldCharType="separate"/>
                    </w:r>
                    <w:r w:rsidR="009F5F1B">
                      <w:t>70</w:t>
                    </w:r>
                    <w:r w:rsidRPr="001D18EA">
                      <w:fldChar w:fldCharType="end"/>
                    </w:r>
                  </w:p>
                  <w:p w:rsidR="005C5AB5" w:rsidRDefault="005C5AB5" w:rsidP="007F3BCF"/>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Default="005C5AB5" w:rsidP="003445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Default="005C5AB5" w:rsidP="003445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Default="005C5AB5" w:rsidP="0034450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Default="005C5AB5" w:rsidP="0034450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Default="005C5AB5" w:rsidP="0034450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Default="005C5AB5" w:rsidP="0034450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Default="005C5AB5" w:rsidP="0034450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B5" w:rsidRDefault="005C5AB5" w:rsidP="00344501">
    <w:pPr>
      <w:pStyle w:val="Header"/>
    </w:pPr>
    <w:r w:rsidRPr="0096580C">
      <w:rPr>
        <w:noProof/>
        <w:sz w:val="18"/>
        <w:szCs w:val="18"/>
      </w:rPr>
      <mc:AlternateContent>
        <mc:Choice Requires="wps">
          <w:drawing>
            <wp:anchor distT="0" distB="0" distL="114300" distR="114300" simplePos="0" relativeHeight="251822080" behindDoc="0" locked="0" layoutInCell="1" allowOverlap="1" wp14:anchorId="4CADA6F2" wp14:editId="3CEA7CB0">
              <wp:simplePos x="0" y="0"/>
              <wp:positionH relativeFrom="column">
                <wp:posOffset>-1617345</wp:posOffset>
              </wp:positionH>
              <wp:positionV relativeFrom="paragraph">
                <wp:posOffset>2126615</wp:posOffset>
              </wp:positionV>
              <wp:extent cx="2934335" cy="496570"/>
              <wp:effectExtent l="0" t="0" r="0" b="0"/>
              <wp:wrapNone/>
              <wp:docPr id="114" name="Text Box 114"/>
              <wp:cNvGraphicFramePr/>
              <a:graphic xmlns:a="http://schemas.openxmlformats.org/drawingml/2006/main">
                <a:graphicData uri="http://schemas.microsoft.com/office/word/2010/wordprocessingShape">
                  <wps:wsp>
                    <wps:cNvSpPr txBox="1"/>
                    <wps:spPr>
                      <a:xfrm rot="5400000">
                        <a:off x="0" y="0"/>
                        <a:ext cx="293433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D33A30">
                          <w:pPr>
                            <w:pStyle w:val="PBOfooter"/>
                            <w:spacing w:before="120" w:after="114"/>
                          </w:pPr>
                          <w:r>
                            <w:t>Australian Government spending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4" o:spid="_x0000_s1061" type="#_x0000_t202" style="position:absolute;margin-left:-127.35pt;margin-top:167.45pt;width:231.05pt;height:39.1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" filled="f" stroked="f" strokeweight=".5pt">
              <v:textbox>
                <w:txbxContent>
                  <w:p w:rsidR="003B0904" w:rsidRDefault="003B0904" w:rsidP="00D33A30">
                    <w:pPr>
                      <w:pStyle w:val="PBOfooter"/>
                      <w:spacing w:before="120" w:after="114"/>
                    </w:pPr>
                    <w:r>
                      <w:t>Australian Government spending</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0ABE3F90" wp14:editId="3F991FB3">
              <wp:simplePos x="0" y="0"/>
              <wp:positionH relativeFrom="column">
                <wp:posOffset>-170815</wp:posOffset>
              </wp:positionH>
              <wp:positionV relativeFrom="paragraph">
                <wp:posOffset>427990</wp:posOffset>
              </wp:positionV>
              <wp:extent cx="0" cy="462280"/>
              <wp:effectExtent l="0" t="231140" r="245110" b="0"/>
              <wp:wrapNone/>
              <wp:docPr id="1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462280"/>
                      </a:xfrm>
                      <a:prstGeom prst="line">
                        <a:avLst/>
                      </a:prstGeom>
                      <a:noFill/>
                      <a:ln w="9525">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33.7pt" to="-13.4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" strokecolor="#4a7ebb">
              <v:shadow opacity="22938f" offset="0"/>
            </v:line>
          </w:pict>
        </mc:Fallback>
      </mc:AlternateContent>
    </w:r>
    <w:r w:rsidRPr="0096580C">
      <w:rPr>
        <w:noProof/>
        <w:sz w:val="18"/>
        <w:szCs w:val="18"/>
      </w:rPr>
      <mc:AlternateContent>
        <mc:Choice Requires="wps">
          <w:drawing>
            <wp:anchor distT="0" distB="0" distL="114300" distR="114300" simplePos="0" relativeHeight="251817984" behindDoc="0" locked="0" layoutInCell="1" allowOverlap="1" wp14:anchorId="7061EC31" wp14:editId="77AF0FA7">
              <wp:simplePos x="0" y="0"/>
              <wp:positionH relativeFrom="column">
                <wp:posOffset>-670559</wp:posOffset>
              </wp:positionH>
              <wp:positionV relativeFrom="paragraph">
                <wp:posOffset>142875</wp:posOffset>
              </wp:positionV>
              <wp:extent cx="1038225" cy="495935"/>
              <wp:effectExtent l="4445" t="0" r="0" b="0"/>
              <wp:wrapNone/>
              <wp:docPr id="105" name="Text Box 105"/>
              <wp:cNvGraphicFramePr/>
              <a:graphic xmlns:a="http://schemas.openxmlformats.org/drawingml/2006/main">
                <a:graphicData uri="http://schemas.microsoft.com/office/word/2010/wordprocessingShape">
                  <wps:wsp>
                    <wps:cNvSpPr txBox="1"/>
                    <wps:spPr>
                      <a:xfrm rot="5400000">
                        <a:off x="0" y="0"/>
                        <a:ext cx="103822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AB5" w:rsidRDefault="005C5AB5" w:rsidP="007F4C16">
                          <w:pPr>
                            <w:pStyle w:val="PBOfooter"/>
                            <w:spacing w:before="120" w:after="114"/>
                            <w:jc w:val="center"/>
                          </w:pPr>
                          <w:r w:rsidRPr="009530F3">
                            <w:fldChar w:fldCharType="begin"/>
                          </w:r>
                          <w:r w:rsidRPr="009530F3">
                            <w:instrText xml:space="preserve">PAGE  </w:instrText>
                          </w:r>
                          <w:r w:rsidRPr="009530F3">
                            <w:fldChar w:fldCharType="separate"/>
                          </w:r>
                          <w:r w:rsidR="009F5F1B">
                            <w:t>78</w:t>
                          </w:r>
                          <w:r w:rsidRPr="009530F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5" o:spid="_x0000_s1062" type="#_x0000_t202" style="position:absolute;margin-left:-52.8pt;margin-top:11.25pt;width:81.75pt;height:39.05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" filled="f" stroked="f" strokeweight=".5pt">
              <v:textbox>
                <w:txbxContent>
                  <w:p w:rsidR="005C5AB5" w:rsidRDefault="005C5AB5" w:rsidP="007F4C16">
                    <w:pPr>
                      <w:pStyle w:val="PBOfooter"/>
                      <w:spacing w:before="120" w:after="114"/>
                      <w:jc w:val="center"/>
                    </w:pPr>
                    <w:r w:rsidRPr="009530F3">
                      <w:fldChar w:fldCharType="begin"/>
                    </w:r>
                    <w:r w:rsidRPr="009530F3">
                      <w:instrText xml:space="preserve">PAGE  </w:instrText>
                    </w:r>
                    <w:r w:rsidRPr="009530F3">
                      <w:fldChar w:fldCharType="separate"/>
                    </w:r>
                    <w:r w:rsidR="009F5F1B">
                      <w:t>78</w:t>
                    </w:r>
                    <w:r w:rsidRPr="009530F3">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BE881CAE"/>
    <w:lvl w:ilvl="0">
      <w:start w:val="1"/>
      <w:numFmt w:val="lowerLetter"/>
      <w:pStyle w:val="ListNumber2"/>
      <w:lvlText w:val="%1."/>
      <w:lvlJc w:val="left"/>
      <w:pPr>
        <w:ind w:left="643" w:hanging="360"/>
      </w:pPr>
    </w:lvl>
  </w:abstractNum>
  <w:abstractNum w:abstractNumId="1">
    <w:nsid w:val="FFFFFF83"/>
    <w:multiLevelType w:val="singleLevel"/>
    <w:tmpl w:val="7B9A280A"/>
    <w:lvl w:ilvl="0">
      <w:start w:val="1"/>
      <w:numFmt w:val="bullet"/>
      <w:pStyle w:val="ListBullet2"/>
      <w:lvlText w:val=""/>
      <w:lvlJc w:val="left"/>
      <w:pPr>
        <w:ind w:left="644" w:hanging="360"/>
      </w:pPr>
      <w:rPr>
        <w:rFonts w:ascii="Symbol" w:hAnsi="Symbol" w:hint="default"/>
        <w:color w:val="224A76"/>
      </w:rPr>
    </w:lvl>
  </w:abstractNum>
  <w:abstractNum w:abstractNumId="2">
    <w:nsid w:val="FFFFFF88"/>
    <w:multiLevelType w:val="singleLevel"/>
    <w:tmpl w:val="C3320BB0"/>
    <w:lvl w:ilvl="0">
      <w:start w:val="1"/>
      <w:numFmt w:val="decimal"/>
      <w:pStyle w:val="ListNumber"/>
      <w:lvlText w:val="%1."/>
      <w:lvlJc w:val="left"/>
      <w:pPr>
        <w:tabs>
          <w:tab w:val="num" w:pos="360"/>
        </w:tabs>
        <w:ind w:left="360" w:hanging="360"/>
      </w:pPr>
    </w:lvl>
  </w:abstractNum>
  <w:abstractNum w:abstractNumId="3">
    <w:nsid w:val="FFFFFF89"/>
    <w:multiLevelType w:val="singleLevel"/>
    <w:tmpl w:val="DC86C364"/>
    <w:lvl w:ilvl="0">
      <w:start w:val="1"/>
      <w:numFmt w:val="bullet"/>
      <w:pStyle w:val="ListBullet"/>
      <w:lvlText w:val=""/>
      <w:lvlJc w:val="left"/>
      <w:pPr>
        <w:ind w:left="360" w:hanging="360"/>
      </w:pPr>
      <w:rPr>
        <w:rFonts w:ascii="Symbol" w:hAnsi="Symbol" w:hint="default"/>
        <w:color w:val="224A76"/>
      </w:rPr>
    </w:lvl>
  </w:abstractNum>
  <w:abstractNum w:abstractNumId="4">
    <w:nsid w:val="017D55F9"/>
    <w:multiLevelType w:val="hybridMultilevel"/>
    <w:tmpl w:val="D83C1712"/>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5">
    <w:nsid w:val="031141AE"/>
    <w:multiLevelType w:val="multilevel"/>
    <w:tmpl w:val="92962494"/>
    <w:lvl w:ilvl="0">
      <w:start w:val="5"/>
      <w:numFmt w:val="decimal"/>
      <w:lvlText w:val="%1"/>
      <w:lvlJc w:val="left"/>
      <w:pPr>
        <w:ind w:left="57" w:hanging="57"/>
      </w:pPr>
      <w:rPr>
        <w:rFonts w:hint="default"/>
        <w:b/>
        <w:sz w:val="50"/>
        <w:szCs w:val="5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038815C2"/>
    <w:multiLevelType w:val="hybridMultilevel"/>
    <w:tmpl w:val="DC041866"/>
    <w:lvl w:ilvl="0" w:tplc="41DAC9FC">
      <w:start w:val="1"/>
      <w:numFmt w:val="decimal"/>
      <w:lvlText w:val="%1"/>
      <w:lvlJc w:val="left"/>
      <w:pPr>
        <w:ind w:left="720" w:hanging="360"/>
      </w:pPr>
      <w:rPr>
        <w:rFonts w:hint="default"/>
        <w:b/>
        <w:sz w:val="50"/>
        <w:szCs w:val="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4D16B7C"/>
    <w:multiLevelType w:val="hybridMultilevel"/>
    <w:tmpl w:val="646E3482"/>
    <w:lvl w:ilvl="0" w:tplc="1692457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67A18EB"/>
    <w:multiLevelType w:val="hybridMultilevel"/>
    <w:tmpl w:val="5E5C48E6"/>
    <w:lvl w:ilvl="0" w:tplc="5790C068">
      <w:start w:val="1"/>
      <w:numFmt w:val="decimal"/>
      <w:lvlText w:val="%1"/>
      <w:lvlJc w:val="left"/>
      <w:pPr>
        <w:ind w:left="720" w:hanging="360"/>
      </w:pPr>
      <w:rPr>
        <w:rFonts w:hint="default"/>
        <w:b/>
        <w:sz w:val="50"/>
        <w:szCs w:val="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7E103E2"/>
    <w:multiLevelType w:val="hybridMultilevel"/>
    <w:tmpl w:val="2C7A8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ED70B69"/>
    <w:multiLevelType w:val="hybridMultilevel"/>
    <w:tmpl w:val="4C5846DA"/>
    <w:lvl w:ilvl="0" w:tplc="7076F154">
      <w:start w:val="4"/>
      <w:numFmt w:val="upperLetter"/>
      <w:lvlText w:val="%1"/>
      <w:lvlJc w:val="left"/>
      <w:pPr>
        <w:ind w:left="720" w:hanging="360"/>
      </w:pPr>
      <w:rPr>
        <w:rFonts w:hint="default"/>
        <w:b/>
        <w:color w:val="FFFFFF" w:themeColor="background1"/>
        <w:sz w:val="50"/>
        <w:szCs w:val="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2C01618"/>
    <w:multiLevelType w:val="hybridMultilevel"/>
    <w:tmpl w:val="A4C4763C"/>
    <w:lvl w:ilvl="0" w:tplc="6C60F79E">
      <w:start w:val="1"/>
      <w:numFmt w:val="upperLetter"/>
      <w:lvlText w:val="%1"/>
      <w:lvlJc w:val="left"/>
      <w:pPr>
        <w:ind w:left="720" w:hanging="360"/>
      </w:pPr>
      <w:rPr>
        <w:rFonts w:hint="default"/>
        <w:b/>
        <w:sz w:val="50"/>
        <w:szCs w:val="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4A70FA3"/>
    <w:multiLevelType w:val="hybridMultilevel"/>
    <w:tmpl w:val="440E39E6"/>
    <w:lvl w:ilvl="0" w:tplc="6C60F79E">
      <w:start w:val="1"/>
      <w:numFmt w:val="upperLetter"/>
      <w:lvlText w:val="%1"/>
      <w:lvlJc w:val="left"/>
      <w:pPr>
        <w:ind w:left="720" w:hanging="360"/>
      </w:pPr>
      <w:rPr>
        <w:rFonts w:hint="default"/>
        <w:b/>
        <w:sz w:val="50"/>
        <w:szCs w:val="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4F12458"/>
    <w:multiLevelType w:val="hybridMultilevel"/>
    <w:tmpl w:val="0AD00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5230CE9"/>
    <w:multiLevelType w:val="hybridMultilevel"/>
    <w:tmpl w:val="A0F8BBCC"/>
    <w:lvl w:ilvl="0" w:tplc="38D22936">
      <w:start w:val="4"/>
      <w:numFmt w:val="upperLetter"/>
      <w:lvlText w:val="%1"/>
      <w:lvlJc w:val="left"/>
      <w:pPr>
        <w:ind w:left="720" w:hanging="360"/>
      </w:pPr>
      <w:rPr>
        <w:rFonts w:hint="default"/>
        <w:b/>
        <w:sz w:val="50"/>
        <w:szCs w:val="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74C0459"/>
    <w:multiLevelType w:val="hybridMultilevel"/>
    <w:tmpl w:val="FB48C65A"/>
    <w:lvl w:ilvl="0" w:tplc="081EDE7E">
      <w:start w:val="1"/>
      <w:numFmt w:val="decimal"/>
      <w:lvlText w:val="%1"/>
      <w:lvlJc w:val="left"/>
      <w:pPr>
        <w:ind w:left="720" w:hanging="360"/>
      </w:pPr>
      <w:rPr>
        <w:rFonts w:hint="default"/>
        <w:b/>
        <w:sz w:val="50"/>
        <w:szCs w:val="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9C5591D"/>
    <w:multiLevelType w:val="hybridMultilevel"/>
    <w:tmpl w:val="F3DE2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A5B4AA8"/>
    <w:multiLevelType w:val="multilevel"/>
    <w:tmpl w:val="56B242B6"/>
    <w:lvl w:ilvl="0">
      <w:start w:val="8"/>
      <w:numFmt w:val="decimal"/>
      <w:lvlText w:val="%1"/>
      <w:lvlJc w:val="left"/>
      <w:pPr>
        <w:ind w:left="57" w:hanging="57"/>
      </w:pPr>
      <w:rPr>
        <w:rFonts w:hint="default"/>
        <w:b/>
        <w:sz w:val="50"/>
        <w:szCs w:val="5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1B4F4C68"/>
    <w:multiLevelType w:val="hybridMultilevel"/>
    <w:tmpl w:val="042EA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2FA063D"/>
    <w:multiLevelType w:val="hybridMultilevel"/>
    <w:tmpl w:val="EB48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A287DC4"/>
    <w:multiLevelType w:val="hybridMultilevel"/>
    <w:tmpl w:val="16FAE8AE"/>
    <w:lvl w:ilvl="0" w:tplc="0B1441EC">
      <w:start w:val="11"/>
      <w:numFmt w:val="decimal"/>
      <w:lvlText w:val="%1"/>
      <w:lvlJc w:val="left"/>
      <w:pPr>
        <w:ind w:left="360" w:hanging="360"/>
      </w:pPr>
      <w:rPr>
        <w:rFonts w:hint="default"/>
        <w:b/>
        <w:sz w:val="50"/>
        <w:szCs w:val="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0F30A9B"/>
    <w:multiLevelType w:val="hybridMultilevel"/>
    <w:tmpl w:val="05BAE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4710675"/>
    <w:multiLevelType w:val="hybridMultilevel"/>
    <w:tmpl w:val="B03A2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5D5766A"/>
    <w:multiLevelType w:val="multilevel"/>
    <w:tmpl w:val="C706CD08"/>
    <w:lvl w:ilvl="0">
      <w:start w:val="6"/>
      <w:numFmt w:val="decimal"/>
      <w:lvlText w:val="%1"/>
      <w:lvlJc w:val="left"/>
      <w:pPr>
        <w:ind w:left="57" w:hanging="57"/>
      </w:pPr>
      <w:rPr>
        <w:rFonts w:hint="default"/>
        <w:b/>
        <w:sz w:val="50"/>
        <w:szCs w:val="5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3B0022DF"/>
    <w:multiLevelType w:val="hybridMultilevel"/>
    <w:tmpl w:val="D6EE1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3FEF0030"/>
    <w:multiLevelType w:val="hybridMultilevel"/>
    <w:tmpl w:val="A4F4D7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3FF433B1"/>
    <w:multiLevelType w:val="hybridMultilevel"/>
    <w:tmpl w:val="99A009D6"/>
    <w:lvl w:ilvl="0" w:tplc="366ADCDC">
      <w:start w:val="1"/>
      <w:numFmt w:val="decimal"/>
      <w:lvlText w:val="%1"/>
      <w:lvlJc w:val="left"/>
      <w:pPr>
        <w:ind w:left="360" w:hanging="360"/>
      </w:pPr>
      <w:rPr>
        <w:rFonts w:hint="default"/>
        <w:b/>
        <w:sz w:val="50"/>
        <w:szCs w:val="5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407A50B8"/>
    <w:multiLevelType w:val="multilevel"/>
    <w:tmpl w:val="B4D00FE6"/>
    <w:lvl w:ilvl="0">
      <w:start w:val="11"/>
      <w:numFmt w:val="decimal"/>
      <w:lvlText w:val="%1"/>
      <w:lvlJc w:val="left"/>
      <w:pPr>
        <w:ind w:left="57" w:hanging="57"/>
      </w:pPr>
      <w:rPr>
        <w:rFonts w:hint="default"/>
        <w:b/>
        <w:sz w:val="50"/>
        <w:szCs w:val="5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nsid w:val="42311D4B"/>
    <w:multiLevelType w:val="multilevel"/>
    <w:tmpl w:val="E14EEFE2"/>
    <w:lvl w:ilvl="0">
      <w:start w:val="9"/>
      <w:numFmt w:val="decimal"/>
      <w:lvlText w:val="%1"/>
      <w:lvlJc w:val="left"/>
      <w:pPr>
        <w:ind w:left="57" w:hanging="57"/>
      </w:pPr>
      <w:rPr>
        <w:rFonts w:hint="default"/>
        <w:b/>
        <w:sz w:val="50"/>
        <w:szCs w:val="5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460F6DC0"/>
    <w:multiLevelType w:val="hybridMultilevel"/>
    <w:tmpl w:val="4FDE598C"/>
    <w:lvl w:ilvl="0" w:tplc="0FEE7B74">
      <w:start w:val="10"/>
      <w:numFmt w:val="decimal"/>
      <w:lvlText w:val="%1"/>
      <w:lvlJc w:val="left"/>
      <w:pPr>
        <w:ind w:left="360" w:hanging="360"/>
      </w:pPr>
      <w:rPr>
        <w:rFonts w:hint="default"/>
        <w:b/>
        <w:sz w:val="50"/>
        <w:szCs w:val="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6DB0C37"/>
    <w:multiLevelType w:val="hybridMultilevel"/>
    <w:tmpl w:val="7BF87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4F06663F"/>
    <w:multiLevelType w:val="hybridMultilevel"/>
    <w:tmpl w:val="B6E0470C"/>
    <w:lvl w:ilvl="0" w:tplc="6C60F79E">
      <w:start w:val="1"/>
      <w:numFmt w:val="upperLetter"/>
      <w:lvlText w:val="%1"/>
      <w:lvlJc w:val="left"/>
      <w:pPr>
        <w:ind w:left="927" w:hanging="360"/>
      </w:pPr>
      <w:rPr>
        <w:rFonts w:hint="default"/>
        <w:b/>
        <w:sz w:val="50"/>
        <w:szCs w:val="5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2">
    <w:nsid w:val="4FAD7275"/>
    <w:multiLevelType w:val="hybridMultilevel"/>
    <w:tmpl w:val="8AD23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22B772D"/>
    <w:multiLevelType w:val="multilevel"/>
    <w:tmpl w:val="C0868BC6"/>
    <w:lvl w:ilvl="0">
      <w:start w:val="7"/>
      <w:numFmt w:val="decimal"/>
      <w:lvlText w:val="%1"/>
      <w:lvlJc w:val="left"/>
      <w:pPr>
        <w:ind w:left="57" w:hanging="57"/>
      </w:pPr>
      <w:rPr>
        <w:rFonts w:hint="default"/>
        <w:b/>
        <w:sz w:val="50"/>
        <w:szCs w:val="5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nsid w:val="52845E2C"/>
    <w:multiLevelType w:val="hybridMultilevel"/>
    <w:tmpl w:val="0A8C0DFE"/>
    <w:lvl w:ilvl="0" w:tplc="0D9C5B80">
      <w:start w:val="10"/>
      <w:numFmt w:val="decimal"/>
      <w:lvlText w:val="%1"/>
      <w:lvlJc w:val="left"/>
      <w:pPr>
        <w:ind w:left="360" w:hanging="360"/>
      </w:pPr>
      <w:rPr>
        <w:rFonts w:hint="default"/>
        <w:b/>
        <w:sz w:val="50"/>
        <w:szCs w:val="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7C44E13"/>
    <w:multiLevelType w:val="hybridMultilevel"/>
    <w:tmpl w:val="F0045C9A"/>
    <w:lvl w:ilvl="0" w:tplc="6C60F79E">
      <w:start w:val="1"/>
      <w:numFmt w:val="upperLetter"/>
      <w:lvlText w:val="%1"/>
      <w:lvlJc w:val="left"/>
      <w:pPr>
        <w:ind w:left="720" w:hanging="360"/>
      </w:pPr>
      <w:rPr>
        <w:rFonts w:hint="default"/>
        <w:b/>
        <w:sz w:val="50"/>
        <w:szCs w:val="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C5854C4"/>
    <w:multiLevelType w:val="hybridMultilevel"/>
    <w:tmpl w:val="A3F2EC26"/>
    <w:lvl w:ilvl="0" w:tplc="FD7E5A2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5CEF17E6"/>
    <w:multiLevelType w:val="hybridMultilevel"/>
    <w:tmpl w:val="ECA63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ED611F1"/>
    <w:multiLevelType w:val="multilevel"/>
    <w:tmpl w:val="B97C42C2"/>
    <w:lvl w:ilvl="0">
      <w:start w:val="10"/>
      <w:numFmt w:val="decimal"/>
      <w:lvlText w:val="%1"/>
      <w:lvlJc w:val="left"/>
      <w:pPr>
        <w:ind w:left="57" w:hanging="57"/>
      </w:pPr>
      <w:rPr>
        <w:rFonts w:hint="default"/>
        <w:b/>
        <w:sz w:val="50"/>
        <w:szCs w:val="5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nsid w:val="5EE0079E"/>
    <w:multiLevelType w:val="multilevel"/>
    <w:tmpl w:val="F3BABBA8"/>
    <w:lvl w:ilvl="0">
      <w:start w:val="1"/>
      <w:numFmt w:val="decimal"/>
      <w:lvlText w:val="%1"/>
      <w:lvlJc w:val="left"/>
      <w:pPr>
        <w:ind w:left="57" w:hanging="57"/>
      </w:pPr>
      <w:rPr>
        <w:rFonts w:hint="default"/>
        <w:sz w:val="50"/>
        <w:szCs w:val="5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0">
    <w:nsid w:val="6BC834D1"/>
    <w:multiLevelType w:val="hybridMultilevel"/>
    <w:tmpl w:val="DE90D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1AA562F"/>
    <w:multiLevelType w:val="hybridMultilevel"/>
    <w:tmpl w:val="2938B22C"/>
    <w:lvl w:ilvl="0" w:tplc="7DA6D27E">
      <w:start w:val="1"/>
      <w:numFmt w:val="upperLetter"/>
      <w:lvlText w:val="%1"/>
      <w:lvlJc w:val="left"/>
      <w:pPr>
        <w:ind w:left="360" w:hanging="360"/>
      </w:pPr>
      <w:rPr>
        <w:rFonts w:hint="default"/>
        <w:b/>
        <w:sz w:val="50"/>
        <w:szCs w:val="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24925B3"/>
    <w:multiLevelType w:val="hybridMultilevel"/>
    <w:tmpl w:val="8DE4ECAA"/>
    <w:lvl w:ilvl="0" w:tplc="1AA46FB2">
      <w:start w:val="4"/>
      <w:numFmt w:val="upperLetter"/>
      <w:lvlText w:val="%1"/>
      <w:lvlJc w:val="left"/>
      <w:pPr>
        <w:ind w:left="720" w:hanging="360"/>
      </w:pPr>
      <w:rPr>
        <w:rFonts w:hint="default"/>
        <w:b/>
        <w:sz w:val="50"/>
        <w:szCs w:val="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2D235B6"/>
    <w:multiLevelType w:val="hybridMultilevel"/>
    <w:tmpl w:val="A2004352"/>
    <w:lvl w:ilvl="0" w:tplc="1C762D1A">
      <w:start w:val="1"/>
      <w:numFmt w:val="upperLetter"/>
      <w:lvlText w:val="%1"/>
      <w:lvlJc w:val="left"/>
      <w:pPr>
        <w:ind w:left="720" w:hanging="360"/>
      </w:pPr>
      <w:rPr>
        <w:rFonts w:hint="default"/>
        <w:sz w:val="48"/>
        <w:szCs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FC16002"/>
    <w:multiLevelType w:val="hybridMultilevel"/>
    <w:tmpl w:val="14429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36"/>
  </w:num>
  <w:num w:numId="6">
    <w:abstractNumId w:val="30"/>
  </w:num>
  <w:num w:numId="7">
    <w:abstractNumId w:val="13"/>
  </w:num>
  <w:num w:numId="8">
    <w:abstractNumId w:val="39"/>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num>
  <w:num w:numId="11">
    <w:abstractNumId w:val="25"/>
  </w:num>
  <w:num w:numId="12">
    <w:abstractNumId w:val="24"/>
  </w:num>
  <w:num w:numId="13">
    <w:abstractNumId w:val="18"/>
  </w:num>
  <w:num w:numId="14">
    <w:abstractNumId w:val="4"/>
  </w:num>
  <w:num w:numId="15">
    <w:abstractNumId w:val="19"/>
  </w:num>
  <w:num w:numId="16">
    <w:abstractNumId w:val="11"/>
  </w:num>
  <w:num w:numId="17">
    <w:abstractNumId w:val="43"/>
  </w:num>
  <w:num w:numId="18">
    <w:abstractNumId w:val="7"/>
  </w:num>
  <w:num w:numId="19">
    <w:abstractNumId w:val="16"/>
  </w:num>
  <w:num w:numId="20">
    <w:abstractNumId w:val="37"/>
  </w:num>
  <w:num w:numId="21">
    <w:abstractNumId w:val="22"/>
  </w:num>
  <w:num w:numId="22">
    <w:abstractNumId w:val="21"/>
  </w:num>
  <w:num w:numId="23">
    <w:abstractNumId w:val="32"/>
  </w:num>
  <w:num w:numId="24">
    <w:abstractNumId w:val="40"/>
  </w:num>
  <w:num w:numId="25">
    <w:abstractNumId w:val="9"/>
  </w:num>
  <w:num w:numId="26">
    <w:abstractNumId w:val="26"/>
  </w:num>
  <w:num w:numId="27">
    <w:abstractNumId w:val="6"/>
  </w:num>
  <w:num w:numId="28">
    <w:abstractNumId w:val="8"/>
  </w:num>
  <w:num w:numId="29">
    <w:abstractNumId w:val="15"/>
  </w:num>
  <w:num w:numId="30">
    <w:abstractNumId w:val="26"/>
    <w:lvlOverride w:ilvl="0">
      <w:lvl w:ilvl="0" w:tplc="366ADCDC">
        <w:start w:val="1"/>
        <w:numFmt w:val="decimal"/>
        <w:lvlText w:val="%1"/>
        <w:lvlJc w:val="left"/>
        <w:pPr>
          <w:ind w:left="360" w:hanging="360"/>
        </w:pPr>
        <w:rPr>
          <w:rFonts w:hint="default"/>
          <w:b/>
          <w:sz w:val="50"/>
          <w:szCs w:val="50"/>
        </w:rPr>
      </w:lvl>
    </w:lvlOverride>
    <w:lvlOverride w:ilvl="1">
      <w:lvl w:ilvl="1" w:tplc="0C090019" w:tentative="1">
        <w:start w:val="1"/>
        <w:numFmt w:val="lowerLetter"/>
        <w:lvlText w:val="%2."/>
        <w:lvlJc w:val="left"/>
        <w:pPr>
          <w:ind w:left="1080" w:hanging="360"/>
        </w:pPr>
      </w:lvl>
    </w:lvlOverride>
    <w:lvlOverride w:ilvl="2">
      <w:lvl w:ilvl="2" w:tplc="0C09001B" w:tentative="1">
        <w:start w:val="1"/>
        <w:numFmt w:val="lowerRoman"/>
        <w:lvlText w:val="%3."/>
        <w:lvlJc w:val="right"/>
        <w:pPr>
          <w:ind w:left="1800" w:hanging="180"/>
        </w:pPr>
      </w:lvl>
    </w:lvlOverride>
    <w:lvlOverride w:ilvl="3">
      <w:lvl w:ilvl="3" w:tplc="0C09000F" w:tentative="1">
        <w:start w:val="1"/>
        <w:numFmt w:val="decimal"/>
        <w:lvlText w:val="%4."/>
        <w:lvlJc w:val="left"/>
        <w:pPr>
          <w:ind w:left="2520" w:hanging="360"/>
        </w:pPr>
      </w:lvl>
    </w:lvlOverride>
    <w:lvlOverride w:ilvl="4">
      <w:lvl w:ilvl="4" w:tplc="0C090019" w:tentative="1">
        <w:start w:val="1"/>
        <w:numFmt w:val="lowerLetter"/>
        <w:lvlText w:val="%5."/>
        <w:lvlJc w:val="left"/>
        <w:pPr>
          <w:ind w:left="3240" w:hanging="360"/>
        </w:pPr>
      </w:lvl>
    </w:lvlOverride>
    <w:lvlOverride w:ilvl="5">
      <w:lvl w:ilvl="5" w:tplc="0C09001B" w:tentative="1">
        <w:start w:val="1"/>
        <w:numFmt w:val="lowerRoman"/>
        <w:lvlText w:val="%6."/>
        <w:lvlJc w:val="right"/>
        <w:pPr>
          <w:ind w:left="3960" w:hanging="180"/>
        </w:pPr>
      </w:lvl>
    </w:lvlOverride>
    <w:lvlOverride w:ilvl="6">
      <w:lvl w:ilvl="6" w:tplc="0C09000F" w:tentative="1">
        <w:start w:val="1"/>
        <w:numFmt w:val="decimal"/>
        <w:lvlText w:val="%7."/>
        <w:lvlJc w:val="left"/>
        <w:pPr>
          <w:ind w:left="4680" w:hanging="360"/>
        </w:pPr>
      </w:lvl>
    </w:lvlOverride>
    <w:lvlOverride w:ilvl="7">
      <w:lvl w:ilvl="7" w:tplc="0C090019" w:tentative="1">
        <w:start w:val="1"/>
        <w:numFmt w:val="lowerLetter"/>
        <w:lvlText w:val="%8."/>
        <w:lvlJc w:val="left"/>
        <w:pPr>
          <w:ind w:left="5400" w:hanging="360"/>
        </w:pPr>
      </w:lvl>
    </w:lvlOverride>
    <w:lvlOverride w:ilvl="8">
      <w:lvl w:ilvl="8" w:tplc="0C09001B" w:tentative="1">
        <w:start w:val="1"/>
        <w:numFmt w:val="lowerRoman"/>
        <w:lvlText w:val="%9."/>
        <w:lvlJc w:val="right"/>
        <w:pPr>
          <w:ind w:left="6120" w:hanging="180"/>
        </w:pPr>
      </w:lvl>
    </w:lvlOverride>
  </w:num>
  <w:num w:numId="31">
    <w:abstractNumId w:val="5"/>
  </w:num>
  <w:num w:numId="32">
    <w:abstractNumId w:val="23"/>
  </w:num>
  <w:num w:numId="33">
    <w:abstractNumId w:val="33"/>
  </w:num>
  <w:num w:numId="34">
    <w:abstractNumId w:val="17"/>
  </w:num>
  <w:num w:numId="35">
    <w:abstractNumId w:val="28"/>
  </w:num>
  <w:num w:numId="36">
    <w:abstractNumId w:val="38"/>
  </w:num>
  <w:num w:numId="37">
    <w:abstractNumId w:val="27"/>
  </w:num>
  <w:num w:numId="38">
    <w:abstractNumId w:val="42"/>
  </w:num>
  <w:num w:numId="39">
    <w:abstractNumId w:val="12"/>
  </w:num>
  <w:num w:numId="40">
    <w:abstractNumId w:val="31"/>
  </w:num>
  <w:num w:numId="41">
    <w:abstractNumId w:val="35"/>
  </w:num>
  <w:num w:numId="42">
    <w:abstractNumId w:val="34"/>
  </w:num>
  <w:num w:numId="43">
    <w:abstractNumId w:val="20"/>
  </w:num>
  <w:num w:numId="44">
    <w:abstractNumId w:val="29"/>
  </w:num>
  <w:num w:numId="45">
    <w:abstractNumId w:val="41"/>
  </w:num>
  <w:num w:numId="46">
    <w:abstractNumId w:val="14"/>
  </w:num>
  <w:num w:numId="47">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5057">
      <o:colormru v:ext="edit" colors="#c6d3e3,#d7dce4"/>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E5B"/>
    <w:rsid w:val="0000519C"/>
    <w:rsid w:val="000065E1"/>
    <w:rsid w:val="00010408"/>
    <w:rsid w:val="00010AE1"/>
    <w:rsid w:val="00013809"/>
    <w:rsid w:val="000216BB"/>
    <w:rsid w:val="000217AC"/>
    <w:rsid w:val="00024E1F"/>
    <w:rsid w:val="00033927"/>
    <w:rsid w:val="00033B1D"/>
    <w:rsid w:val="00035FD6"/>
    <w:rsid w:val="0003625D"/>
    <w:rsid w:val="00036E45"/>
    <w:rsid w:val="000372CA"/>
    <w:rsid w:val="000376CB"/>
    <w:rsid w:val="000421C7"/>
    <w:rsid w:val="00044522"/>
    <w:rsid w:val="00046F40"/>
    <w:rsid w:val="00047D9E"/>
    <w:rsid w:val="00053DD5"/>
    <w:rsid w:val="000551E2"/>
    <w:rsid w:val="000553AA"/>
    <w:rsid w:val="00061EC9"/>
    <w:rsid w:val="00062495"/>
    <w:rsid w:val="000643CE"/>
    <w:rsid w:val="00064DD8"/>
    <w:rsid w:val="00065C80"/>
    <w:rsid w:val="00067B36"/>
    <w:rsid w:val="00067F95"/>
    <w:rsid w:val="0007068D"/>
    <w:rsid w:val="000717F1"/>
    <w:rsid w:val="00074DDC"/>
    <w:rsid w:val="000761FF"/>
    <w:rsid w:val="00077EE1"/>
    <w:rsid w:val="00081194"/>
    <w:rsid w:val="00081B9F"/>
    <w:rsid w:val="000829E7"/>
    <w:rsid w:val="00082BA3"/>
    <w:rsid w:val="00082E15"/>
    <w:rsid w:val="00083FC7"/>
    <w:rsid w:val="00087DF7"/>
    <w:rsid w:val="000901E4"/>
    <w:rsid w:val="00090866"/>
    <w:rsid w:val="000932BA"/>
    <w:rsid w:val="0009361D"/>
    <w:rsid w:val="000942F1"/>
    <w:rsid w:val="00094DB5"/>
    <w:rsid w:val="000A401D"/>
    <w:rsid w:val="000A4F36"/>
    <w:rsid w:val="000A5FBD"/>
    <w:rsid w:val="000B4245"/>
    <w:rsid w:val="000B50F5"/>
    <w:rsid w:val="000B7AEE"/>
    <w:rsid w:val="000C0CA1"/>
    <w:rsid w:val="000C15B3"/>
    <w:rsid w:val="000C47B2"/>
    <w:rsid w:val="000C4C5C"/>
    <w:rsid w:val="000C54FC"/>
    <w:rsid w:val="000C6BD0"/>
    <w:rsid w:val="000D026C"/>
    <w:rsid w:val="000D19D7"/>
    <w:rsid w:val="000E5E51"/>
    <w:rsid w:val="000E6C8A"/>
    <w:rsid w:val="000E7E28"/>
    <w:rsid w:val="000F5B37"/>
    <w:rsid w:val="000F6468"/>
    <w:rsid w:val="000F6CCC"/>
    <w:rsid w:val="00101EE4"/>
    <w:rsid w:val="0010345E"/>
    <w:rsid w:val="001069C7"/>
    <w:rsid w:val="00106D33"/>
    <w:rsid w:val="00112BAF"/>
    <w:rsid w:val="0011574A"/>
    <w:rsid w:val="001178A9"/>
    <w:rsid w:val="00121F30"/>
    <w:rsid w:val="00122A2D"/>
    <w:rsid w:val="001247CB"/>
    <w:rsid w:val="001317BC"/>
    <w:rsid w:val="00134D4A"/>
    <w:rsid w:val="00136D80"/>
    <w:rsid w:val="00142603"/>
    <w:rsid w:val="00142BA5"/>
    <w:rsid w:val="00143AAD"/>
    <w:rsid w:val="00146D08"/>
    <w:rsid w:val="001526DD"/>
    <w:rsid w:val="001536C1"/>
    <w:rsid w:val="00160BC9"/>
    <w:rsid w:val="001618F6"/>
    <w:rsid w:val="00161B39"/>
    <w:rsid w:val="00161C30"/>
    <w:rsid w:val="0016655C"/>
    <w:rsid w:val="00167C63"/>
    <w:rsid w:val="0017231E"/>
    <w:rsid w:val="00174A98"/>
    <w:rsid w:val="00175EA4"/>
    <w:rsid w:val="001763D0"/>
    <w:rsid w:val="00181CE7"/>
    <w:rsid w:val="0018267B"/>
    <w:rsid w:val="001832C4"/>
    <w:rsid w:val="0018686F"/>
    <w:rsid w:val="00190FB0"/>
    <w:rsid w:val="001933B2"/>
    <w:rsid w:val="0019702A"/>
    <w:rsid w:val="001978C7"/>
    <w:rsid w:val="001A0387"/>
    <w:rsid w:val="001A147C"/>
    <w:rsid w:val="001A409F"/>
    <w:rsid w:val="001A48FF"/>
    <w:rsid w:val="001A6182"/>
    <w:rsid w:val="001A6381"/>
    <w:rsid w:val="001A6BFD"/>
    <w:rsid w:val="001A7861"/>
    <w:rsid w:val="001B1BB9"/>
    <w:rsid w:val="001B1D6F"/>
    <w:rsid w:val="001B2F44"/>
    <w:rsid w:val="001B3098"/>
    <w:rsid w:val="001B3E35"/>
    <w:rsid w:val="001B51B6"/>
    <w:rsid w:val="001B6DCD"/>
    <w:rsid w:val="001C1DDB"/>
    <w:rsid w:val="001C5A93"/>
    <w:rsid w:val="001C628B"/>
    <w:rsid w:val="001C74D4"/>
    <w:rsid w:val="001D18EA"/>
    <w:rsid w:val="001D3954"/>
    <w:rsid w:val="001D48AF"/>
    <w:rsid w:val="001D5D9E"/>
    <w:rsid w:val="001E2F97"/>
    <w:rsid w:val="001E31AD"/>
    <w:rsid w:val="001E3D88"/>
    <w:rsid w:val="001F5B1B"/>
    <w:rsid w:val="001F5F49"/>
    <w:rsid w:val="0020216A"/>
    <w:rsid w:val="00205037"/>
    <w:rsid w:val="00211C58"/>
    <w:rsid w:val="00214AF0"/>
    <w:rsid w:val="00214FB8"/>
    <w:rsid w:val="00217253"/>
    <w:rsid w:val="0021732C"/>
    <w:rsid w:val="00220C84"/>
    <w:rsid w:val="002222A0"/>
    <w:rsid w:val="0022487E"/>
    <w:rsid w:val="00226338"/>
    <w:rsid w:val="0023025A"/>
    <w:rsid w:val="00233097"/>
    <w:rsid w:val="00233278"/>
    <w:rsid w:val="00233941"/>
    <w:rsid w:val="00235A88"/>
    <w:rsid w:val="00235CA7"/>
    <w:rsid w:val="0023649C"/>
    <w:rsid w:val="002365F7"/>
    <w:rsid w:val="002371A2"/>
    <w:rsid w:val="00240219"/>
    <w:rsid w:val="00240CDE"/>
    <w:rsid w:val="0024611C"/>
    <w:rsid w:val="00246CAE"/>
    <w:rsid w:val="00246D22"/>
    <w:rsid w:val="00247070"/>
    <w:rsid w:val="00251981"/>
    <w:rsid w:val="002536A5"/>
    <w:rsid w:val="00254CF1"/>
    <w:rsid w:val="00256EE3"/>
    <w:rsid w:val="00264B4D"/>
    <w:rsid w:val="00265B25"/>
    <w:rsid w:val="00265C9D"/>
    <w:rsid w:val="00266188"/>
    <w:rsid w:val="00266746"/>
    <w:rsid w:val="00267515"/>
    <w:rsid w:val="0027189A"/>
    <w:rsid w:val="00272C5A"/>
    <w:rsid w:val="0027683C"/>
    <w:rsid w:val="0027735F"/>
    <w:rsid w:val="00277821"/>
    <w:rsid w:val="00281BDF"/>
    <w:rsid w:val="002841C8"/>
    <w:rsid w:val="00287F65"/>
    <w:rsid w:val="00290916"/>
    <w:rsid w:val="0029566B"/>
    <w:rsid w:val="00295709"/>
    <w:rsid w:val="002A0D79"/>
    <w:rsid w:val="002A3DC5"/>
    <w:rsid w:val="002A3FC4"/>
    <w:rsid w:val="002A4337"/>
    <w:rsid w:val="002A4530"/>
    <w:rsid w:val="002A5B95"/>
    <w:rsid w:val="002B22F2"/>
    <w:rsid w:val="002B32F2"/>
    <w:rsid w:val="002B7103"/>
    <w:rsid w:val="002C2B96"/>
    <w:rsid w:val="002C5357"/>
    <w:rsid w:val="002C6E46"/>
    <w:rsid w:val="002D2904"/>
    <w:rsid w:val="002D3A54"/>
    <w:rsid w:val="002D46B0"/>
    <w:rsid w:val="002D5619"/>
    <w:rsid w:val="002D5948"/>
    <w:rsid w:val="002D7276"/>
    <w:rsid w:val="002E03CA"/>
    <w:rsid w:val="002E41FC"/>
    <w:rsid w:val="002E5F71"/>
    <w:rsid w:val="002E73C6"/>
    <w:rsid w:val="002E76BC"/>
    <w:rsid w:val="002F0B82"/>
    <w:rsid w:val="002F302E"/>
    <w:rsid w:val="002F7889"/>
    <w:rsid w:val="003007EA"/>
    <w:rsid w:val="00306D60"/>
    <w:rsid w:val="0030784E"/>
    <w:rsid w:val="00316EA7"/>
    <w:rsid w:val="0031720B"/>
    <w:rsid w:val="00325D90"/>
    <w:rsid w:val="00325E68"/>
    <w:rsid w:val="00325F02"/>
    <w:rsid w:val="00330C00"/>
    <w:rsid w:val="003321C7"/>
    <w:rsid w:val="003366D7"/>
    <w:rsid w:val="0033725D"/>
    <w:rsid w:val="003373CE"/>
    <w:rsid w:val="00344501"/>
    <w:rsid w:val="00347B22"/>
    <w:rsid w:val="00350910"/>
    <w:rsid w:val="003520D2"/>
    <w:rsid w:val="00352EBD"/>
    <w:rsid w:val="00353393"/>
    <w:rsid w:val="0035496A"/>
    <w:rsid w:val="00354FD7"/>
    <w:rsid w:val="00355FEF"/>
    <w:rsid w:val="0035624A"/>
    <w:rsid w:val="00356878"/>
    <w:rsid w:val="0036184E"/>
    <w:rsid w:val="0036659F"/>
    <w:rsid w:val="0037077F"/>
    <w:rsid w:val="00370C07"/>
    <w:rsid w:val="0037632A"/>
    <w:rsid w:val="003821F6"/>
    <w:rsid w:val="00382474"/>
    <w:rsid w:val="0038322F"/>
    <w:rsid w:val="0038367C"/>
    <w:rsid w:val="00390F8D"/>
    <w:rsid w:val="003914A5"/>
    <w:rsid w:val="00393971"/>
    <w:rsid w:val="00393A5E"/>
    <w:rsid w:val="00394D97"/>
    <w:rsid w:val="0039784F"/>
    <w:rsid w:val="003A1911"/>
    <w:rsid w:val="003A1A88"/>
    <w:rsid w:val="003A1C59"/>
    <w:rsid w:val="003A3130"/>
    <w:rsid w:val="003A3DA2"/>
    <w:rsid w:val="003B0189"/>
    <w:rsid w:val="003B0904"/>
    <w:rsid w:val="003B33E5"/>
    <w:rsid w:val="003B4A91"/>
    <w:rsid w:val="003B4AFD"/>
    <w:rsid w:val="003B7350"/>
    <w:rsid w:val="003B7EF7"/>
    <w:rsid w:val="003C3AE8"/>
    <w:rsid w:val="003C3BCC"/>
    <w:rsid w:val="003C50D3"/>
    <w:rsid w:val="003C672E"/>
    <w:rsid w:val="003C7A35"/>
    <w:rsid w:val="003C7DF8"/>
    <w:rsid w:val="003D0510"/>
    <w:rsid w:val="003D2864"/>
    <w:rsid w:val="003D2C32"/>
    <w:rsid w:val="003D3808"/>
    <w:rsid w:val="003D540A"/>
    <w:rsid w:val="003D544E"/>
    <w:rsid w:val="003D6146"/>
    <w:rsid w:val="003D676E"/>
    <w:rsid w:val="003E0138"/>
    <w:rsid w:val="003E04E1"/>
    <w:rsid w:val="003E18B7"/>
    <w:rsid w:val="003E345B"/>
    <w:rsid w:val="003E57D0"/>
    <w:rsid w:val="003E5FF6"/>
    <w:rsid w:val="003E6236"/>
    <w:rsid w:val="003E681A"/>
    <w:rsid w:val="003E7DFB"/>
    <w:rsid w:val="003F0E18"/>
    <w:rsid w:val="003F186D"/>
    <w:rsid w:val="003F32A7"/>
    <w:rsid w:val="003F6D91"/>
    <w:rsid w:val="003F71D1"/>
    <w:rsid w:val="003F7394"/>
    <w:rsid w:val="003F7CE8"/>
    <w:rsid w:val="004004FE"/>
    <w:rsid w:val="00401003"/>
    <w:rsid w:val="00401229"/>
    <w:rsid w:val="0040186E"/>
    <w:rsid w:val="00403A0B"/>
    <w:rsid w:val="00407F92"/>
    <w:rsid w:val="00410F3B"/>
    <w:rsid w:val="00411FC5"/>
    <w:rsid w:val="00414D2A"/>
    <w:rsid w:val="00414E5B"/>
    <w:rsid w:val="00416463"/>
    <w:rsid w:val="0041689A"/>
    <w:rsid w:val="0041751A"/>
    <w:rsid w:val="00417B71"/>
    <w:rsid w:val="00420D13"/>
    <w:rsid w:val="004225EB"/>
    <w:rsid w:val="004236EB"/>
    <w:rsid w:val="00424E5E"/>
    <w:rsid w:val="00425D64"/>
    <w:rsid w:val="004304E2"/>
    <w:rsid w:val="00431FA6"/>
    <w:rsid w:val="00434EDB"/>
    <w:rsid w:val="004350B0"/>
    <w:rsid w:val="00436519"/>
    <w:rsid w:val="004425BC"/>
    <w:rsid w:val="00442B33"/>
    <w:rsid w:val="00442FDF"/>
    <w:rsid w:val="00443C27"/>
    <w:rsid w:val="00444883"/>
    <w:rsid w:val="0044498D"/>
    <w:rsid w:val="0044575D"/>
    <w:rsid w:val="00445839"/>
    <w:rsid w:val="004470C3"/>
    <w:rsid w:val="004478B2"/>
    <w:rsid w:val="00451ABB"/>
    <w:rsid w:val="0045224A"/>
    <w:rsid w:val="00457E94"/>
    <w:rsid w:val="0046130D"/>
    <w:rsid w:val="004617A9"/>
    <w:rsid w:val="00462F41"/>
    <w:rsid w:val="004634FF"/>
    <w:rsid w:val="004653C3"/>
    <w:rsid w:val="00465B63"/>
    <w:rsid w:val="00466B67"/>
    <w:rsid w:val="00467EE1"/>
    <w:rsid w:val="00470A7E"/>
    <w:rsid w:val="0047109C"/>
    <w:rsid w:val="00471192"/>
    <w:rsid w:val="00471BF5"/>
    <w:rsid w:val="004729DF"/>
    <w:rsid w:val="004744C5"/>
    <w:rsid w:val="00475C16"/>
    <w:rsid w:val="00481DCA"/>
    <w:rsid w:val="00484862"/>
    <w:rsid w:val="0049145D"/>
    <w:rsid w:val="004919C4"/>
    <w:rsid w:val="00492555"/>
    <w:rsid w:val="004925E8"/>
    <w:rsid w:val="004928D1"/>
    <w:rsid w:val="00495F0B"/>
    <w:rsid w:val="004A124A"/>
    <w:rsid w:val="004A34EA"/>
    <w:rsid w:val="004A3BE8"/>
    <w:rsid w:val="004A494C"/>
    <w:rsid w:val="004A5C8B"/>
    <w:rsid w:val="004B04A2"/>
    <w:rsid w:val="004B1223"/>
    <w:rsid w:val="004B29B4"/>
    <w:rsid w:val="004B5BFA"/>
    <w:rsid w:val="004C035B"/>
    <w:rsid w:val="004C0C85"/>
    <w:rsid w:val="004C13F7"/>
    <w:rsid w:val="004C24F6"/>
    <w:rsid w:val="004C52E4"/>
    <w:rsid w:val="004C7808"/>
    <w:rsid w:val="004C7E88"/>
    <w:rsid w:val="004C7FEB"/>
    <w:rsid w:val="004D1F10"/>
    <w:rsid w:val="004D3BEC"/>
    <w:rsid w:val="004D48D2"/>
    <w:rsid w:val="004E142E"/>
    <w:rsid w:val="004E31A2"/>
    <w:rsid w:val="004E36A1"/>
    <w:rsid w:val="004E687B"/>
    <w:rsid w:val="004F0612"/>
    <w:rsid w:val="004F0C5F"/>
    <w:rsid w:val="004F24C8"/>
    <w:rsid w:val="004F6A0B"/>
    <w:rsid w:val="00500407"/>
    <w:rsid w:val="00500C31"/>
    <w:rsid w:val="00501C12"/>
    <w:rsid w:val="00510B9C"/>
    <w:rsid w:val="00512130"/>
    <w:rsid w:val="005139F7"/>
    <w:rsid w:val="00514E68"/>
    <w:rsid w:val="00516A1D"/>
    <w:rsid w:val="0051736A"/>
    <w:rsid w:val="0051761E"/>
    <w:rsid w:val="00520211"/>
    <w:rsid w:val="0052085B"/>
    <w:rsid w:val="00520C45"/>
    <w:rsid w:val="00521AA9"/>
    <w:rsid w:val="00522AA2"/>
    <w:rsid w:val="00524BC5"/>
    <w:rsid w:val="00525373"/>
    <w:rsid w:val="00525ADF"/>
    <w:rsid w:val="005271D5"/>
    <w:rsid w:val="00531F4E"/>
    <w:rsid w:val="00533679"/>
    <w:rsid w:val="005342E6"/>
    <w:rsid w:val="005411B8"/>
    <w:rsid w:val="00542B6B"/>
    <w:rsid w:val="005452EA"/>
    <w:rsid w:val="00546E23"/>
    <w:rsid w:val="00550C04"/>
    <w:rsid w:val="00550FC1"/>
    <w:rsid w:val="005518A2"/>
    <w:rsid w:val="00551E43"/>
    <w:rsid w:val="00554167"/>
    <w:rsid w:val="005553D0"/>
    <w:rsid w:val="005623A0"/>
    <w:rsid w:val="00562B7D"/>
    <w:rsid w:val="005637DD"/>
    <w:rsid w:val="00563A09"/>
    <w:rsid w:val="00567994"/>
    <w:rsid w:val="005714BB"/>
    <w:rsid w:val="00571B30"/>
    <w:rsid w:val="00572E62"/>
    <w:rsid w:val="00575798"/>
    <w:rsid w:val="00575D7A"/>
    <w:rsid w:val="00577E17"/>
    <w:rsid w:val="00581929"/>
    <w:rsid w:val="00582FF2"/>
    <w:rsid w:val="005841FC"/>
    <w:rsid w:val="00584528"/>
    <w:rsid w:val="005906CC"/>
    <w:rsid w:val="0059177D"/>
    <w:rsid w:val="00593305"/>
    <w:rsid w:val="00594500"/>
    <w:rsid w:val="005969AC"/>
    <w:rsid w:val="005A199D"/>
    <w:rsid w:val="005A2AAE"/>
    <w:rsid w:val="005A5026"/>
    <w:rsid w:val="005A7020"/>
    <w:rsid w:val="005A7242"/>
    <w:rsid w:val="005A77B3"/>
    <w:rsid w:val="005B3711"/>
    <w:rsid w:val="005B4578"/>
    <w:rsid w:val="005B6494"/>
    <w:rsid w:val="005B64C7"/>
    <w:rsid w:val="005C00E1"/>
    <w:rsid w:val="005C1AB4"/>
    <w:rsid w:val="005C24A6"/>
    <w:rsid w:val="005C2B75"/>
    <w:rsid w:val="005C3BCF"/>
    <w:rsid w:val="005C42CF"/>
    <w:rsid w:val="005C4F61"/>
    <w:rsid w:val="005C5AB5"/>
    <w:rsid w:val="005C645F"/>
    <w:rsid w:val="005D136C"/>
    <w:rsid w:val="005D4BE7"/>
    <w:rsid w:val="005D5557"/>
    <w:rsid w:val="005D5AA4"/>
    <w:rsid w:val="005E11C0"/>
    <w:rsid w:val="005E288E"/>
    <w:rsid w:val="005E2CA2"/>
    <w:rsid w:val="005E2CD6"/>
    <w:rsid w:val="005E3ECA"/>
    <w:rsid w:val="005E3F76"/>
    <w:rsid w:val="005F24F2"/>
    <w:rsid w:val="005F5894"/>
    <w:rsid w:val="005F687F"/>
    <w:rsid w:val="005F790D"/>
    <w:rsid w:val="00600404"/>
    <w:rsid w:val="00600DC2"/>
    <w:rsid w:val="00601CB4"/>
    <w:rsid w:val="00601FDB"/>
    <w:rsid w:val="00603EAA"/>
    <w:rsid w:val="006054A8"/>
    <w:rsid w:val="00605F26"/>
    <w:rsid w:val="00611D28"/>
    <w:rsid w:val="0061261C"/>
    <w:rsid w:val="00615179"/>
    <w:rsid w:val="006156DD"/>
    <w:rsid w:val="0062107C"/>
    <w:rsid w:val="006220A8"/>
    <w:rsid w:val="00622A71"/>
    <w:rsid w:val="00622CB4"/>
    <w:rsid w:val="00623C2D"/>
    <w:rsid w:val="00633416"/>
    <w:rsid w:val="00633B00"/>
    <w:rsid w:val="00635D07"/>
    <w:rsid w:val="00640F4E"/>
    <w:rsid w:val="00644114"/>
    <w:rsid w:val="00644DE1"/>
    <w:rsid w:val="006457F4"/>
    <w:rsid w:val="006458F1"/>
    <w:rsid w:val="00646A10"/>
    <w:rsid w:val="00646F91"/>
    <w:rsid w:val="0065229A"/>
    <w:rsid w:val="006552FA"/>
    <w:rsid w:val="00655EE1"/>
    <w:rsid w:val="00660876"/>
    <w:rsid w:val="006608A9"/>
    <w:rsid w:val="00661CD3"/>
    <w:rsid w:val="0066257B"/>
    <w:rsid w:val="0066486D"/>
    <w:rsid w:val="006671CA"/>
    <w:rsid w:val="006703CD"/>
    <w:rsid w:val="0067363B"/>
    <w:rsid w:val="00674688"/>
    <w:rsid w:val="00677432"/>
    <w:rsid w:val="00677D42"/>
    <w:rsid w:val="00681200"/>
    <w:rsid w:val="00682690"/>
    <w:rsid w:val="006832F5"/>
    <w:rsid w:val="00683FEE"/>
    <w:rsid w:val="0068587C"/>
    <w:rsid w:val="006859FD"/>
    <w:rsid w:val="00686315"/>
    <w:rsid w:val="006867F7"/>
    <w:rsid w:val="0069045C"/>
    <w:rsid w:val="0069052C"/>
    <w:rsid w:val="006924BC"/>
    <w:rsid w:val="006A07C8"/>
    <w:rsid w:val="006A1D37"/>
    <w:rsid w:val="006A234A"/>
    <w:rsid w:val="006A59E0"/>
    <w:rsid w:val="006B094C"/>
    <w:rsid w:val="006B0D43"/>
    <w:rsid w:val="006B1168"/>
    <w:rsid w:val="006B22BF"/>
    <w:rsid w:val="006B2E25"/>
    <w:rsid w:val="006B456E"/>
    <w:rsid w:val="006B4F8E"/>
    <w:rsid w:val="006B713E"/>
    <w:rsid w:val="006C21C3"/>
    <w:rsid w:val="006C4016"/>
    <w:rsid w:val="006C49C0"/>
    <w:rsid w:val="006C5E74"/>
    <w:rsid w:val="006C703A"/>
    <w:rsid w:val="006D0E38"/>
    <w:rsid w:val="006D27C2"/>
    <w:rsid w:val="006D2865"/>
    <w:rsid w:val="006D2B1C"/>
    <w:rsid w:val="006D4001"/>
    <w:rsid w:val="006D486F"/>
    <w:rsid w:val="006D5A63"/>
    <w:rsid w:val="006D7014"/>
    <w:rsid w:val="006E10B6"/>
    <w:rsid w:val="006E6802"/>
    <w:rsid w:val="006E6D28"/>
    <w:rsid w:val="006E758F"/>
    <w:rsid w:val="006F3548"/>
    <w:rsid w:val="006F3F42"/>
    <w:rsid w:val="006F4B24"/>
    <w:rsid w:val="006F55BC"/>
    <w:rsid w:val="007020A0"/>
    <w:rsid w:val="0070219A"/>
    <w:rsid w:val="00704A40"/>
    <w:rsid w:val="00705528"/>
    <w:rsid w:val="00705CFA"/>
    <w:rsid w:val="00706358"/>
    <w:rsid w:val="007063EC"/>
    <w:rsid w:val="0071067C"/>
    <w:rsid w:val="00711394"/>
    <w:rsid w:val="00711706"/>
    <w:rsid w:val="00713C79"/>
    <w:rsid w:val="0071506B"/>
    <w:rsid w:val="00721650"/>
    <w:rsid w:val="00721EAC"/>
    <w:rsid w:val="0072255C"/>
    <w:rsid w:val="00727A00"/>
    <w:rsid w:val="00727A3E"/>
    <w:rsid w:val="007328EC"/>
    <w:rsid w:val="00733F9C"/>
    <w:rsid w:val="00734CC4"/>
    <w:rsid w:val="00735B97"/>
    <w:rsid w:val="00736679"/>
    <w:rsid w:val="00737727"/>
    <w:rsid w:val="0074070D"/>
    <w:rsid w:val="00740E04"/>
    <w:rsid w:val="00745144"/>
    <w:rsid w:val="007453D8"/>
    <w:rsid w:val="00746C08"/>
    <w:rsid w:val="007477EE"/>
    <w:rsid w:val="00750C22"/>
    <w:rsid w:val="0075400C"/>
    <w:rsid w:val="00757B69"/>
    <w:rsid w:val="007602A5"/>
    <w:rsid w:val="007634A3"/>
    <w:rsid w:val="00764CE5"/>
    <w:rsid w:val="00764E2C"/>
    <w:rsid w:val="007667C9"/>
    <w:rsid w:val="00767D18"/>
    <w:rsid w:val="00770ED5"/>
    <w:rsid w:val="0077170F"/>
    <w:rsid w:val="00771DD8"/>
    <w:rsid w:val="007734B3"/>
    <w:rsid w:val="00773778"/>
    <w:rsid w:val="00775935"/>
    <w:rsid w:val="0077698D"/>
    <w:rsid w:val="0078130F"/>
    <w:rsid w:val="0078351A"/>
    <w:rsid w:val="00785FF0"/>
    <w:rsid w:val="007879AC"/>
    <w:rsid w:val="00794FC6"/>
    <w:rsid w:val="00795015"/>
    <w:rsid w:val="007974E1"/>
    <w:rsid w:val="00797AC8"/>
    <w:rsid w:val="007A2703"/>
    <w:rsid w:val="007A2FB3"/>
    <w:rsid w:val="007A33BB"/>
    <w:rsid w:val="007A34F9"/>
    <w:rsid w:val="007A4A40"/>
    <w:rsid w:val="007A7DFB"/>
    <w:rsid w:val="007B047B"/>
    <w:rsid w:val="007B10FE"/>
    <w:rsid w:val="007B1825"/>
    <w:rsid w:val="007B42BC"/>
    <w:rsid w:val="007B70AA"/>
    <w:rsid w:val="007C0687"/>
    <w:rsid w:val="007C31D6"/>
    <w:rsid w:val="007C5A0F"/>
    <w:rsid w:val="007C6974"/>
    <w:rsid w:val="007C787A"/>
    <w:rsid w:val="007D255D"/>
    <w:rsid w:val="007D34A7"/>
    <w:rsid w:val="007D447B"/>
    <w:rsid w:val="007D7C52"/>
    <w:rsid w:val="007E21C8"/>
    <w:rsid w:val="007E37A8"/>
    <w:rsid w:val="007E5961"/>
    <w:rsid w:val="007E6045"/>
    <w:rsid w:val="007F035A"/>
    <w:rsid w:val="007F07CF"/>
    <w:rsid w:val="007F2075"/>
    <w:rsid w:val="007F2523"/>
    <w:rsid w:val="007F3BCF"/>
    <w:rsid w:val="007F4C16"/>
    <w:rsid w:val="007F5B9A"/>
    <w:rsid w:val="007F5BE6"/>
    <w:rsid w:val="007F7EFF"/>
    <w:rsid w:val="00801368"/>
    <w:rsid w:val="008013D5"/>
    <w:rsid w:val="00802222"/>
    <w:rsid w:val="00807EE5"/>
    <w:rsid w:val="0081008C"/>
    <w:rsid w:val="00810D85"/>
    <w:rsid w:val="008116F6"/>
    <w:rsid w:val="00811DF4"/>
    <w:rsid w:val="00816B94"/>
    <w:rsid w:val="008207F7"/>
    <w:rsid w:val="00823575"/>
    <w:rsid w:val="00823BC0"/>
    <w:rsid w:val="008242AE"/>
    <w:rsid w:val="00825B2F"/>
    <w:rsid w:val="008270EF"/>
    <w:rsid w:val="00830561"/>
    <w:rsid w:val="00841010"/>
    <w:rsid w:val="0084299A"/>
    <w:rsid w:val="00842A6D"/>
    <w:rsid w:val="008446B4"/>
    <w:rsid w:val="0084637C"/>
    <w:rsid w:val="008464AF"/>
    <w:rsid w:val="00851BCD"/>
    <w:rsid w:val="0085382F"/>
    <w:rsid w:val="00855940"/>
    <w:rsid w:val="00857D55"/>
    <w:rsid w:val="0086285C"/>
    <w:rsid w:val="00862F6B"/>
    <w:rsid w:val="008648F6"/>
    <w:rsid w:val="0086495B"/>
    <w:rsid w:val="00865B5C"/>
    <w:rsid w:val="00865CAE"/>
    <w:rsid w:val="00870283"/>
    <w:rsid w:val="00870593"/>
    <w:rsid w:val="00872117"/>
    <w:rsid w:val="008746FB"/>
    <w:rsid w:val="008758A1"/>
    <w:rsid w:val="008759ED"/>
    <w:rsid w:val="00882237"/>
    <w:rsid w:val="00883EF4"/>
    <w:rsid w:val="00885DF3"/>
    <w:rsid w:val="008861E0"/>
    <w:rsid w:val="0088715E"/>
    <w:rsid w:val="00890B49"/>
    <w:rsid w:val="0089632D"/>
    <w:rsid w:val="00897ED9"/>
    <w:rsid w:val="008A1AA9"/>
    <w:rsid w:val="008A1BDB"/>
    <w:rsid w:val="008A71DC"/>
    <w:rsid w:val="008A7C50"/>
    <w:rsid w:val="008B1FC0"/>
    <w:rsid w:val="008B33A8"/>
    <w:rsid w:val="008B3816"/>
    <w:rsid w:val="008B57A2"/>
    <w:rsid w:val="008B5F06"/>
    <w:rsid w:val="008B66F9"/>
    <w:rsid w:val="008B743D"/>
    <w:rsid w:val="008C0296"/>
    <w:rsid w:val="008C1286"/>
    <w:rsid w:val="008C40B5"/>
    <w:rsid w:val="008C63DC"/>
    <w:rsid w:val="008C65AF"/>
    <w:rsid w:val="008C79D3"/>
    <w:rsid w:val="008D016F"/>
    <w:rsid w:val="008D02A0"/>
    <w:rsid w:val="008D2552"/>
    <w:rsid w:val="008D3366"/>
    <w:rsid w:val="008D5907"/>
    <w:rsid w:val="008E0106"/>
    <w:rsid w:val="008E25C8"/>
    <w:rsid w:val="008E2832"/>
    <w:rsid w:val="008E30DB"/>
    <w:rsid w:val="008E4969"/>
    <w:rsid w:val="008E6A41"/>
    <w:rsid w:val="008E74C2"/>
    <w:rsid w:val="008E7C85"/>
    <w:rsid w:val="008F1279"/>
    <w:rsid w:val="009023C8"/>
    <w:rsid w:val="009035B5"/>
    <w:rsid w:val="009049F0"/>
    <w:rsid w:val="00904BC7"/>
    <w:rsid w:val="009052FC"/>
    <w:rsid w:val="009106EB"/>
    <w:rsid w:val="00911602"/>
    <w:rsid w:val="00911BEB"/>
    <w:rsid w:val="00912CBA"/>
    <w:rsid w:val="00914D02"/>
    <w:rsid w:val="00917437"/>
    <w:rsid w:val="00917DEC"/>
    <w:rsid w:val="00921AC5"/>
    <w:rsid w:val="00924112"/>
    <w:rsid w:val="00926442"/>
    <w:rsid w:val="00926671"/>
    <w:rsid w:val="009303B4"/>
    <w:rsid w:val="0093106C"/>
    <w:rsid w:val="00932EE0"/>
    <w:rsid w:val="00934BD6"/>
    <w:rsid w:val="00934C8A"/>
    <w:rsid w:val="00935C60"/>
    <w:rsid w:val="009476C9"/>
    <w:rsid w:val="00951B84"/>
    <w:rsid w:val="00952390"/>
    <w:rsid w:val="00952515"/>
    <w:rsid w:val="009530F3"/>
    <w:rsid w:val="009534DB"/>
    <w:rsid w:val="00953BD5"/>
    <w:rsid w:val="00953F79"/>
    <w:rsid w:val="00955FFA"/>
    <w:rsid w:val="009603E5"/>
    <w:rsid w:val="0096545F"/>
    <w:rsid w:val="0096580C"/>
    <w:rsid w:val="00967217"/>
    <w:rsid w:val="00971294"/>
    <w:rsid w:val="0097181B"/>
    <w:rsid w:val="009722D3"/>
    <w:rsid w:val="00973266"/>
    <w:rsid w:val="00974506"/>
    <w:rsid w:val="00974F65"/>
    <w:rsid w:val="0097576E"/>
    <w:rsid w:val="00975B90"/>
    <w:rsid w:val="00981027"/>
    <w:rsid w:val="00983CE4"/>
    <w:rsid w:val="009853F6"/>
    <w:rsid w:val="00990009"/>
    <w:rsid w:val="009917AC"/>
    <w:rsid w:val="00992795"/>
    <w:rsid w:val="00993987"/>
    <w:rsid w:val="00994016"/>
    <w:rsid w:val="00994716"/>
    <w:rsid w:val="0099638E"/>
    <w:rsid w:val="009A07F5"/>
    <w:rsid w:val="009A4F23"/>
    <w:rsid w:val="009A5A0D"/>
    <w:rsid w:val="009B679B"/>
    <w:rsid w:val="009C0CC0"/>
    <w:rsid w:val="009C128E"/>
    <w:rsid w:val="009C158F"/>
    <w:rsid w:val="009C1627"/>
    <w:rsid w:val="009C2435"/>
    <w:rsid w:val="009C4DAA"/>
    <w:rsid w:val="009C5BAC"/>
    <w:rsid w:val="009C600F"/>
    <w:rsid w:val="009C6879"/>
    <w:rsid w:val="009C6CB7"/>
    <w:rsid w:val="009D02D1"/>
    <w:rsid w:val="009D085C"/>
    <w:rsid w:val="009D1413"/>
    <w:rsid w:val="009D31B3"/>
    <w:rsid w:val="009D4751"/>
    <w:rsid w:val="009D5F59"/>
    <w:rsid w:val="009D7ADF"/>
    <w:rsid w:val="009E15D1"/>
    <w:rsid w:val="009E4429"/>
    <w:rsid w:val="009E5AF8"/>
    <w:rsid w:val="009E665E"/>
    <w:rsid w:val="009F3307"/>
    <w:rsid w:val="009F36D1"/>
    <w:rsid w:val="009F4997"/>
    <w:rsid w:val="009F5F1B"/>
    <w:rsid w:val="009F5F36"/>
    <w:rsid w:val="009F6295"/>
    <w:rsid w:val="009F70CE"/>
    <w:rsid w:val="009F7698"/>
    <w:rsid w:val="00A0053B"/>
    <w:rsid w:val="00A0117B"/>
    <w:rsid w:val="00A01E94"/>
    <w:rsid w:val="00A041D6"/>
    <w:rsid w:val="00A06B62"/>
    <w:rsid w:val="00A071F0"/>
    <w:rsid w:val="00A102C5"/>
    <w:rsid w:val="00A138DA"/>
    <w:rsid w:val="00A14AA5"/>
    <w:rsid w:val="00A14D3E"/>
    <w:rsid w:val="00A1643D"/>
    <w:rsid w:val="00A17707"/>
    <w:rsid w:val="00A17E83"/>
    <w:rsid w:val="00A17FC4"/>
    <w:rsid w:val="00A22AF7"/>
    <w:rsid w:val="00A2303F"/>
    <w:rsid w:val="00A23299"/>
    <w:rsid w:val="00A2525E"/>
    <w:rsid w:val="00A2597A"/>
    <w:rsid w:val="00A358CD"/>
    <w:rsid w:val="00A37F51"/>
    <w:rsid w:val="00A418E4"/>
    <w:rsid w:val="00A41B6E"/>
    <w:rsid w:val="00A4220D"/>
    <w:rsid w:val="00A432F2"/>
    <w:rsid w:val="00A51C67"/>
    <w:rsid w:val="00A52933"/>
    <w:rsid w:val="00A53E5C"/>
    <w:rsid w:val="00A5516B"/>
    <w:rsid w:val="00A609FF"/>
    <w:rsid w:val="00A65FF4"/>
    <w:rsid w:val="00A7270E"/>
    <w:rsid w:val="00A75C07"/>
    <w:rsid w:val="00A8161B"/>
    <w:rsid w:val="00A81ABA"/>
    <w:rsid w:val="00A8357A"/>
    <w:rsid w:val="00A842DD"/>
    <w:rsid w:val="00A85C52"/>
    <w:rsid w:val="00A86416"/>
    <w:rsid w:val="00A865EB"/>
    <w:rsid w:val="00A86CBC"/>
    <w:rsid w:val="00A909C5"/>
    <w:rsid w:val="00A90B87"/>
    <w:rsid w:val="00A95024"/>
    <w:rsid w:val="00A96975"/>
    <w:rsid w:val="00AA1FBE"/>
    <w:rsid w:val="00AA3450"/>
    <w:rsid w:val="00AA3B04"/>
    <w:rsid w:val="00AA4720"/>
    <w:rsid w:val="00AA548A"/>
    <w:rsid w:val="00AA59B8"/>
    <w:rsid w:val="00AB1C65"/>
    <w:rsid w:val="00AB3ACC"/>
    <w:rsid w:val="00AB5396"/>
    <w:rsid w:val="00AB70F3"/>
    <w:rsid w:val="00AC174B"/>
    <w:rsid w:val="00AC29F2"/>
    <w:rsid w:val="00AC353B"/>
    <w:rsid w:val="00AD3345"/>
    <w:rsid w:val="00AD4CBF"/>
    <w:rsid w:val="00AD58CE"/>
    <w:rsid w:val="00AD5E40"/>
    <w:rsid w:val="00AE0658"/>
    <w:rsid w:val="00AE0981"/>
    <w:rsid w:val="00AE34FF"/>
    <w:rsid w:val="00AE4029"/>
    <w:rsid w:val="00AE4086"/>
    <w:rsid w:val="00AE6FB9"/>
    <w:rsid w:val="00AF012C"/>
    <w:rsid w:val="00AF1AF4"/>
    <w:rsid w:val="00AF3864"/>
    <w:rsid w:val="00AF62D5"/>
    <w:rsid w:val="00B01055"/>
    <w:rsid w:val="00B0149B"/>
    <w:rsid w:val="00B016C7"/>
    <w:rsid w:val="00B028C6"/>
    <w:rsid w:val="00B03C5A"/>
    <w:rsid w:val="00B0475C"/>
    <w:rsid w:val="00B055EE"/>
    <w:rsid w:val="00B068C3"/>
    <w:rsid w:val="00B06DC3"/>
    <w:rsid w:val="00B07204"/>
    <w:rsid w:val="00B0756B"/>
    <w:rsid w:val="00B101E6"/>
    <w:rsid w:val="00B1123E"/>
    <w:rsid w:val="00B11C9D"/>
    <w:rsid w:val="00B12796"/>
    <w:rsid w:val="00B132DA"/>
    <w:rsid w:val="00B13E01"/>
    <w:rsid w:val="00B14C66"/>
    <w:rsid w:val="00B15175"/>
    <w:rsid w:val="00B168ED"/>
    <w:rsid w:val="00B16AF0"/>
    <w:rsid w:val="00B1766C"/>
    <w:rsid w:val="00B2243C"/>
    <w:rsid w:val="00B23E79"/>
    <w:rsid w:val="00B33E18"/>
    <w:rsid w:val="00B376B6"/>
    <w:rsid w:val="00B40632"/>
    <w:rsid w:val="00B4164D"/>
    <w:rsid w:val="00B41806"/>
    <w:rsid w:val="00B42358"/>
    <w:rsid w:val="00B5382C"/>
    <w:rsid w:val="00B538EC"/>
    <w:rsid w:val="00B55E60"/>
    <w:rsid w:val="00B55FD7"/>
    <w:rsid w:val="00B57E01"/>
    <w:rsid w:val="00B60FC3"/>
    <w:rsid w:val="00B620D9"/>
    <w:rsid w:val="00B64B2F"/>
    <w:rsid w:val="00B655D2"/>
    <w:rsid w:val="00B67C71"/>
    <w:rsid w:val="00B75315"/>
    <w:rsid w:val="00B771B1"/>
    <w:rsid w:val="00B81257"/>
    <w:rsid w:val="00B81959"/>
    <w:rsid w:val="00B82A15"/>
    <w:rsid w:val="00B82E9F"/>
    <w:rsid w:val="00B83691"/>
    <w:rsid w:val="00B855D9"/>
    <w:rsid w:val="00B862C6"/>
    <w:rsid w:val="00B9064C"/>
    <w:rsid w:val="00B9748B"/>
    <w:rsid w:val="00BA0DD7"/>
    <w:rsid w:val="00BA2EB5"/>
    <w:rsid w:val="00BA79DB"/>
    <w:rsid w:val="00BB0EF9"/>
    <w:rsid w:val="00BB155D"/>
    <w:rsid w:val="00BB4557"/>
    <w:rsid w:val="00BB4C33"/>
    <w:rsid w:val="00BB6A12"/>
    <w:rsid w:val="00BC08C2"/>
    <w:rsid w:val="00BC3A5B"/>
    <w:rsid w:val="00BC45C7"/>
    <w:rsid w:val="00BD21C5"/>
    <w:rsid w:val="00BD43FD"/>
    <w:rsid w:val="00BD6824"/>
    <w:rsid w:val="00BD6FDF"/>
    <w:rsid w:val="00BE292C"/>
    <w:rsid w:val="00BE3D78"/>
    <w:rsid w:val="00BE58D9"/>
    <w:rsid w:val="00BE5E6D"/>
    <w:rsid w:val="00BF0064"/>
    <w:rsid w:val="00BF1543"/>
    <w:rsid w:val="00BF2351"/>
    <w:rsid w:val="00BF2529"/>
    <w:rsid w:val="00BF2C64"/>
    <w:rsid w:val="00BF2C99"/>
    <w:rsid w:val="00BF4079"/>
    <w:rsid w:val="00BF412D"/>
    <w:rsid w:val="00BF45F1"/>
    <w:rsid w:val="00BF46DF"/>
    <w:rsid w:val="00BF5595"/>
    <w:rsid w:val="00BF6AC1"/>
    <w:rsid w:val="00BF7448"/>
    <w:rsid w:val="00C04DB7"/>
    <w:rsid w:val="00C068BF"/>
    <w:rsid w:val="00C07EEE"/>
    <w:rsid w:val="00C128EB"/>
    <w:rsid w:val="00C224D7"/>
    <w:rsid w:val="00C2373C"/>
    <w:rsid w:val="00C26264"/>
    <w:rsid w:val="00C27399"/>
    <w:rsid w:val="00C2743F"/>
    <w:rsid w:val="00C277A4"/>
    <w:rsid w:val="00C27E38"/>
    <w:rsid w:val="00C328CD"/>
    <w:rsid w:val="00C32F50"/>
    <w:rsid w:val="00C332EF"/>
    <w:rsid w:val="00C3403E"/>
    <w:rsid w:val="00C34B45"/>
    <w:rsid w:val="00C372C6"/>
    <w:rsid w:val="00C454CE"/>
    <w:rsid w:val="00C46CA5"/>
    <w:rsid w:val="00C50273"/>
    <w:rsid w:val="00C527B5"/>
    <w:rsid w:val="00C54332"/>
    <w:rsid w:val="00C54D14"/>
    <w:rsid w:val="00C56D92"/>
    <w:rsid w:val="00C602F6"/>
    <w:rsid w:val="00C608B8"/>
    <w:rsid w:val="00C60ED8"/>
    <w:rsid w:val="00C66F4F"/>
    <w:rsid w:val="00C7044C"/>
    <w:rsid w:val="00C80BDA"/>
    <w:rsid w:val="00C8231D"/>
    <w:rsid w:val="00C82E83"/>
    <w:rsid w:val="00C83FC7"/>
    <w:rsid w:val="00C84626"/>
    <w:rsid w:val="00C85543"/>
    <w:rsid w:val="00C862C5"/>
    <w:rsid w:val="00C87EEF"/>
    <w:rsid w:val="00C921C7"/>
    <w:rsid w:val="00C93A24"/>
    <w:rsid w:val="00C94242"/>
    <w:rsid w:val="00C943C0"/>
    <w:rsid w:val="00C94F73"/>
    <w:rsid w:val="00C951CE"/>
    <w:rsid w:val="00C9613F"/>
    <w:rsid w:val="00C9634B"/>
    <w:rsid w:val="00C97213"/>
    <w:rsid w:val="00CA0778"/>
    <w:rsid w:val="00CA0BFD"/>
    <w:rsid w:val="00CA496C"/>
    <w:rsid w:val="00CA4DEE"/>
    <w:rsid w:val="00CA527A"/>
    <w:rsid w:val="00CA6276"/>
    <w:rsid w:val="00CB0127"/>
    <w:rsid w:val="00CB075B"/>
    <w:rsid w:val="00CB2B0E"/>
    <w:rsid w:val="00CB6AFC"/>
    <w:rsid w:val="00CC22EA"/>
    <w:rsid w:val="00CC4DB2"/>
    <w:rsid w:val="00CC7558"/>
    <w:rsid w:val="00CD21A6"/>
    <w:rsid w:val="00CD3FCD"/>
    <w:rsid w:val="00CE0023"/>
    <w:rsid w:val="00CE4818"/>
    <w:rsid w:val="00CE4932"/>
    <w:rsid w:val="00CF2BC1"/>
    <w:rsid w:val="00CF37F8"/>
    <w:rsid w:val="00CF5DD2"/>
    <w:rsid w:val="00D007CF"/>
    <w:rsid w:val="00D00F68"/>
    <w:rsid w:val="00D01DB7"/>
    <w:rsid w:val="00D02787"/>
    <w:rsid w:val="00D058EE"/>
    <w:rsid w:val="00D062FB"/>
    <w:rsid w:val="00D06A94"/>
    <w:rsid w:val="00D1046A"/>
    <w:rsid w:val="00D107C7"/>
    <w:rsid w:val="00D108A6"/>
    <w:rsid w:val="00D1268A"/>
    <w:rsid w:val="00D12C6F"/>
    <w:rsid w:val="00D15376"/>
    <w:rsid w:val="00D2024A"/>
    <w:rsid w:val="00D20B7F"/>
    <w:rsid w:val="00D23112"/>
    <w:rsid w:val="00D263A1"/>
    <w:rsid w:val="00D33A30"/>
    <w:rsid w:val="00D3584C"/>
    <w:rsid w:val="00D3790A"/>
    <w:rsid w:val="00D400E8"/>
    <w:rsid w:val="00D44AC9"/>
    <w:rsid w:val="00D45525"/>
    <w:rsid w:val="00D47354"/>
    <w:rsid w:val="00D54056"/>
    <w:rsid w:val="00D54741"/>
    <w:rsid w:val="00D54AAA"/>
    <w:rsid w:val="00D6037C"/>
    <w:rsid w:val="00D60F8F"/>
    <w:rsid w:val="00D6187E"/>
    <w:rsid w:val="00D6428F"/>
    <w:rsid w:val="00D6444A"/>
    <w:rsid w:val="00D644C3"/>
    <w:rsid w:val="00D64ABB"/>
    <w:rsid w:val="00D665E5"/>
    <w:rsid w:val="00D67E15"/>
    <w:rsid w:val="00D71BDC"/>
    <w:rsid w:val="00D72AC7"/>
    <w:rsid w:val="00D73814"/>
    <w:rsid w:val="00D74886"/>
    <w:rsid w:val="00D75981"/>
    <w:rsid w:val="00D75D9E"/>
    <w:rsid w:val="00D761A4"/>
    <w:rsid w:val="00D767A0"/>
    <w:rsid w:val="00D7775C"/>
    <w:rsid w:val="00D83304"/>
    <w:rsid w:val="00D85F50"/>
    <w:rsid w:val="00D85FB5"/>
    <w:rsid w:val="00D900B8"/>
    <w:rsid w:val="00D93D92"/>
    <w:rsid w:val="00D96744"/>
    <w:rsid w:val="00DA2938"/>
    <w:rsid w:val="00DA48CE"/>
    <w:rsid w:val="00DA4DAA"/>
    <w:rsid w:val="00DA5624"/>
    <w:rsid w:val="00DA6D6B"/>
    <w:rsid w:val="00DB0445"/>
    <w:rsid w:val="00DB390D"/>
    <w:rsid w:val="00DB41D4"/>
    <w:rsid w:val="00DB48D0"/>
    <w:rsid w:val="00DB5AD8"/>
    <w:rsid w:val="00DB63C6"/>
    <w:rsid w:val="00DB70AB"/>
    <w:rsid w:val="00DC0958"/>
    <w:rsid w:val="00DC2F95"/>
    <w:rsid w:val="00DC5600"/>
    <w:rsid w:val="00DC5C40"/>
    <w:rsid w:val="00DD0D54"/>
    <w:rsid w:val="00DD1455"/>
    <w:rsid w:val="00DD1746"/>
    <w:rsid w:val="00DD367F"/>
    <w:rsid w:val="00DD7157"/>
    <w:rsid w:val="00DE0052"/>
    <w:rsid w:val="00DE0BB4"/>
    <w:rsid w:val="00DE0E17"/>
    <w:rsid w:val="00DE377A"/>
    <w:rsid w:val="00DE480F"/>
    <w:rsid w:val="00DE6519"/>
    <w:rsid w:val="00DE67C7"/>
    <w:rsid w:val="00DF077A"/>
    <w:rsid w:val="00DF1B5C"/>
    <w:rsid w:val="00DF20F3"/>
    <w:rsid w:val="00DF56EA"/>
    <w:rsid w:val="00DF60E6"/>
    <w:rsid w:val="00E0185B"/>
    <w:rsid w:val="00E02371"/>
    <w:rsid w:val="00E0351D"/>
    <w:rsid w:val="00E04314"/>
    <w:rsid w:val="00E051B5"/>
    <w:rsid w:val="00E06B1E"/>
    <w:rsid w:val="00E12FBF"/>
    <w:rsid w:val="00E14DAC"/>
    <w:rsid w:val="00E14F6D"/>
    <w:rsid w:val="00E219A5"/>
    <w:rsid w:val="00E23E1E"/>
    <w:rsid w:val="00E242F3"/>
    <w:rsid w:val="00E2507E"/>
    <w:rsid w:val="00E25AD6"/>
    <w:rsid w:val="00E25C7C"/>
    <w:rsid w:val="00E265B0"/>
    <w:rsid w:val="00E276B4"/>
    <w:rsid w:val="00E302B8"/>
    <w:rsid w:val="00E30EA4"/>
    <w:rsid w:val="00E316FF"/>
    <w:rsid w:val="00E3278D"/>
    <w:rsid w:val="00E32CCA"/>
    <w:rsid w:val="00E36B09"/>
    <w:rsid w:val="00E42D24"/>
    <w:rsid w:val="00E45D3E"/>
    <w:rsid w:val="00E470DC"/>
    <w:rsid w:val="00E523A4"/>
    <w:rsid w:val="00E527BA"/>
    <w:rsid w:val="00E62273"/>
    <w:rsid w:val="00E6234D"/>
    <w:rsid w:val="00E626B7"/>
    <w:rsid w:val="00E6288E"/>
    <w:rsid w:val="00E63E6D"/>
    <w:rsid w:val="00E64E8C"/>
    <w:rsid w:val="00E655F6"/>
    <w:rsid w:val="00E66CD1"/>
    <w:rsid w:val="00E710B4"/>
    <w:rsid w:val="00E71BEB"/>
    <w:rsid w:val="00E74B13"/>
    <w:rsid w:val="00E80975"/>
    <w:rsid w:val="00E80A32"/>
    <w:rsid w:val="00E84286"/>
    <w:rsid w:val="00E862AC"/>
    <w:rsid w:val="00E86331"/>
    <w:rsid w:val="00E91B9E"/>
    <w:rsid w:val="00E91DD9"/>
    <w:rsid w:val="00E921BB"/>
    <w:rsid w:val="00E92BAD"/>
    <w:rsid w:val="00E95002"/>
    <w:rsid w:val="00E95195"/>
    <w:rsid w:val="00E9678F"/>
    <w:rsid w:val="00E976A2"/>
    <w:rsid w:val="00EA016A"/>
    <w:rsid w:val="00EA1604"/>
    <w:rsid w:val="00EA3834"/>
    <w:rsid w:val="00EA42AF"/>
    <w:rsid w:val="00EA4324"/>
    <w:rsid w:val="00EB440D"/>
    <w:rsid w:val="00EB4FB1"/>
    <w:rsid w:val="00EB6F89"/>
    <w:rsid w:val="00EC2DD1"/>
    <w:rsid w:val="00EC4EFA"/>
    <w:rsid w:val="00EC5FF0"/>
    <w:rsid w:val="00ED023E"/>
    <w:rsid w:val="00ED274A"/>
    <w:rsid w:val="00ED3D15"/>
    <w:rsid w:val="00ED3F68"/>
    <w:rsid w:val="00ED4FCA"/>
    <w:rsid w:val="00ED5CDA"/>
    <w:rsid w:val="00ED648E"/>
    <w:rsid w:val="00ED7764"/>
    <w:rsid w:val="00EE0F64"/>
    <w:rsid w:val="00EE1DCF"/>
    <w:rsid w:val="00EE3CC6"/>
    <w:rsid w:val="00EE4119"/>
    <w:rsid w:val="00EE61CC"/>
    <w:rsid w:val="00EE7AD8"/>
    <w:rsid w:val="00EF0898"/>
    <w:rsid w:val="00EF14BC"/>
    <w:rsid w:val="00EF4270"/>
    <w:rsid w:val="00F00217"/>
    <w:rsid w:val="00F02BD0"/>
    <w:rsid w:val="00F069DD"/>
    <w:rsid w:val="00F10F11"/>
    <w:rsid w:val="00F11E87"/>
    <w:rsid w:val="00F13C9F"/>
    <w:rsid w:val="00F14522"/>
    <w:rsid w:val="00F14959"/>
    <w:rsid w:val="00F16869"/>
    <w:rsid w:val="00F17C43"/>
    <w:rsid w:val="00F25B08"/>
    <w:rsid w:val="00F30D0E"/>
    <w:rsid w:val="00F31360"/>
    <w:rsid w:val="00F34510"/>
    <w:rsid w:val="00F35BA8"/>
    <w:rsid w:val="00F36E46"/>
    <w:rsid w:val="00F3761B"/>
    <w:rsid w:val="00F379B5"/>
    <w:rsid w:val="00F37BA6"/>
    <w:rsid w:val="00F412B1"/>
    <w:rsid w:val="00F419B4"/>
    <w:rsid w:val="00F43519"/>
    <w:rsid w:val="00F46C97"/>
    <w:rsid w:val="00F50CE4"/>
    <w:rsid w:val="00F51342"/>
    <w:rsid w:val="00F5436B"/>
    <w:rsid w:val="00F54F7D"/>
    <w:rsid w:val="00F553A1"/>
    <w:rsid w:val="00F57058"/>
    <w:rsid w:val="00F604A2"/>
    <w:rsid w:val="00F60F7A"/>
    <w:rsid w:val="00F61750"/>
    <w:rsid w:val="00F6245A"/>
    <w:rsid w:val="00F658DA"/>
    <w:rsid w:val="00F66A91"/>
    <w:rsid w:val="00F71BE0"/>
    <w:rsid w:val="00F71C86"/>
    <w:rsid w:val="00F75A11"/>
    <w:rsid w:val="00F800FE"/>
    <w:rsid w:val="00F82767"/>
    <w:rsid w:val="00F83867"/>
    <w:rsid w:val="00F83B4A"/>
    <w:rsid w:val="00F83C3F"/>
    <w:rsid w:val="00F90856"/>
    <w:rsid w:val="00F909BF"/>
    <w:rsid w:val="00F90AF6"/>
    <w:rsid w:val="00F947A1"/>
    <w:rsid w:val="00F95E8F"/>
    <w:rsid w:val="00F96DA0"/>
    <w:rsid w:val="00F97246"/>
    <w:rsid w:val="00FA1032"/>
    <w:rsid w:val="00FA106C"/>
    <w:rsid w:val="00FA1FF3"/>
    <w:rsid w:val="00FA315A"/>
    <w:rsid w:val="00FA3386"/>
    <w:rsid w:val="00FA354A"/>
    <w:rsid w:val="00FA6655"/>
    <w:rsid w:val="00FB0361"/>
    <w:rsid w:val="00FB2464"/>
    <w:rsid w:val="00FB2603"/>
    <w:rsid w:val="00FB2A0A"/>
    <w:rsid w:val="00FB352F"/>
    <w:rsid w:val="00FB5521"/>
    <w:rsid w:val="00FC044B"/>
    <w:rsid w:val="00FC2B19"/>
    <w:rsid w:val="00FC4271"/>
    <w:rsid w:val="00FD0182"/>
    <w:rsid w:val="00FD4464"/>
    <w:rsid w:val="00FE2AE8"/>
    <w:rsid w:val="00FE3C50"/>
    <w:rsid w:val="00FE3F68"/>
    <w:rsid w:val="00FE642A"/>
    <w:rsid w:val="00FE6B92"/>
    <w:rsid w:val="00FF1441"/>
    <w:rsid w:val="00FF505F"/>
    <w:rsid w:val="00FF5868"/>
    <w:rsid w:val="00FF68B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colormru v:ext="edit" colors="#c6d3e3,#d7dce4"/>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AU" w:eastAsia="en-US" w:bidi="ar-SA"/>
      </w:rPr>
    </w:rPrDefault>
    <w:pPrDefault>
      <w:pPr>
        <w:spacing w:after="200" w:line="252" w:lineRule="auto"/>
      </w:pPr>
    </w:pPrDefault>
  </w:docDefaults>
  <w:latentStyles w:defLockedState="0" w:defUIPriority="0" w:defSemiHidden="0" w:defUnhideWhenUsed="0" w:defQFormat="0" w:count="267">
    <w:lsdException w:name="Normal" w:qFormat="1"/>
    <w:lsdException w:name="heading 1" w:locked="1" w:uiPriority="9" w:qFormat="1"/>
    <w:lsdException w:name="heading 2" w:locked="1" w:semiHidden="1" w:uiPriority="9" w:qFormat="1"/>
    <w:lsdException w:name="heading 3" w:locked="1" w:semiHidden="1" w:uiPriority="9" w:qFormat="1"/>
    <w:lsdException w:name="heading 4" w:locked="1" w:semiHidden="1" w:uiPriority="9" w:qFormat="1"/>
    <w:lsdException w:name="heading 5" w:locked="1" w:semiHidden="1" w:uiPriority="9" w:qFormat="1"/>
    <w:lsdException w:name="heading 6" w:locked="1" w:semiHidden="1" w:uiPriority="9" w:qFormat="1"/>
    <w:lsdException w:name="heading 7" w:locked="1" w:semiHidden="1" w:uiPriority="9" w:qFormat="1"/>
    <w:lsdException w:name="heading 8" w:locked="1" w:semiHidden="1" w:uiPriority="9" w:qFormat="1"/>
    <w:lsdException w:name="heading 9" w:locked="1" w:semiHidden="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annotation text" w:semiHidden="1" w:unhideWhenUsed="1"/>
    <w:lsdException w:name="header" w:uiPriority="5"/>
    <w:lsdException w:name="footer" w:uiPriority="99"/>
    <w:lsdException w:name="index heading" w:locked="1" w:semiHidden="1" w:unhideWhenUsed="1"/>
    <w:lsdException w:name="caption" w:semiHidden="1" w:uiPriority="5" w:unhideWhenUsed="1" w:qFormat="1"/>
    <w:lsdException w:name="table of figures" w:uiPriority="99"/>
    <w:lsdException w:name="envelope address" w:locked="1" w:semiHidden="1" w:unhideWhenUsed="1"/>
    <w:lsdException w:name="envelope return" w:locked="1" w:semiHidden="1" w:unhideWhenUsed="1"/>
    <w:lsdException w:name="annotation reference" w:semiHidden="1" w:uiPriority="99" w:unhideWhenUsed="1"/>
    <w:lsdException w:name="line number" w:uiPriority="3"/>
    <w:lsdException w:name="page number" w:locked="1" w:uiPriority="4"/>
    <w:lsdException w:name="endnote reference" w:semiHidden="1" w:unhideWhenUsed="1"/>
    <w:lsdException w:name="endnote text" w:semiHidden="1" w:unhideWhenUsed="1"/>
    <w:lsdException w:name="table of authorities" w:locked="1"/>
    <w:lsdException w:name="macro" w:locked="1" w:semiHidden="1" w:unhideWhenUsed="1"/>
    <w:lsdException w:name="toa heading" w:locked="1" w:semiHidden="1" w:unhideWhenUsed="1"/>
    <w:lsdException w:name="List" w:uiPriority="3"/>
    <w:lsdException w:name="List 2" w:uiPriority="3"/>
    <w:lsdException w:name="List 3" w:locked="1" w:semiHidden="1" w:unhideWhenUsed="1"/>
    <w:lsdException w:name="List 4" w:locked="1" w:semiHidden="1" w:unhideWhenUsed="1"/>
    <w:lsdException w:name="List 5"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semiHidden="1" w:unhideWhenUsed="1"/>
    <w:lsdException w:name="Signature" w:locked="1" w:semiHidden="1" w:unhideWhenUsed="1"/>
    <w:lsdException w:name="Body Text Indent"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lsdException w:name="Salutation" w:locked="1" w:semiHidden="1" w:unhideWhenUsed="1"/>
    <w:lsdException w:name="Date" w:semiHidden="1" w:unhideWhenUsed="1"/>
    <w:lsdException w:name="Body Text First Indent 2" w:semiHidden="1" w:unhideWhenUsed="1"/>
    <w:lsdException w:name="Note Heading"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uiPriority="5"/>
    <w:lsdException w:name="Strong" w:uiPriority="22"/>
    <w:lsdException w:name="Emphasis" w:uiPriority="20"/>
    <w:lsdException w:name="Document Map" w:semiHidden="1" w:unhideWhenUsed="1"/>
    <w:lsdException w:name="Plain Text" w:locked="1" w:semiHidden="1" w:unhideWhenUsed="1"/>
    <w:lsdException w:name="E-mail Signature"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Table Web 1" w:locked="1"/>
    <w:lsdException w:name="Table Web 2" w:locked="1"/>
    <w:lsdException w:name="Table Web 3" w:locked="1"/>
    <w:lsdException w:name="Balloon Text" w:semiHidden="1" w:unhideWhenUsed="1"/>
    <w:lsdException w:name="Placeholder Text" w:locked="1" w:semiHidden="1" w:unhideWhenUsed="1"/>
    <w:lsdException w:name="No Spacing" w:locked="1" w:semiHidden="1" w:uiPriority="1" w:unhideWhenUsed="1"/>
    <w:lsdException w:name="Medium Shading 1" w:locked="1"/>
    <w:lsdException w:name="Medium Shading 2" w:locked="1"/>
    <w:lsdException w:name="Medium List 1" w:locked="1"/>
    <w:lsdException w:name="Medium List 2" w:locked="1"/>
    <w:lsdException w:name="Medium Grid 1" w:locked="1"/>
    <w:lsdException w:name="Medium Grid 2" w:locked="1"/>
    <w:lsdException w:name="Medium Grid 3" w:locked="1"/>
    <w:lsdException w:name="Medium Shading 1 Accent 1" w:locked="1"/>
    <w:lsdException w:name="Medium Shading 2 Accent 1" w:locked="1"/>
    <w:lsdException w:name="Medium List 1 Accent 1" w:locked="1"/>
    <w:lsdException w:name="List Paragraph" w:uiPriority="34" w:qFormat="1"/>
    <w:lsdException w:name="Quote" w:uiPriority="29"/>
    <w:lsdException w:name="Intense Quote" w:uiPriority="30"/>
    <w:lsdException w:name="Medium List 2 Accent 1" w:locked="1"/>
    <w:lsdException w:name="Medium Grid 1 Accent 1" w:locked="1"/>
    <w:lsdException w:name="Medium Grid 2 Accent 1" w:locked="1"/>
    <w:lsdException w:name="Medium Grid 3 Accent 1" w:locked="1"/>
    <w:lsdException w:name="Medium Shading 1 Accent 2" w:locked="1"/>
    <w:lsdException w:name="Medium Shading 2 Accent 2" w:locked="1"/>
    <w:lsdException w:name="Medium List 1 Accent 2" w:locked="1"/>
    <w:lsdException w:name="Medium List 2 Accent 2" w:locked="1"/>
    <w:lsdException w:name="Medium Grid 1 Accent 2" w:locked="1"/>
    <w:lsdException w:name="Medium Grid 2 Accent 2" w:locked="1"/>
    <w:lsdException w:name="Medium Grid 3 Accent 2" w:locked="1"/>
    <w:lsdException w:name="Medium Shading 1 Accent 3" w:locked="1"/>
    <w:lsdException w:name="Medium Shading 2 Accent 3" w:locked="1"/>
    <w:lsdException w:name="Medium List 1 Accent 3" w:locked="1"/>
    <w:lsdException w:name="Medium List 2 Accent 3" w:locked="1"/>
    <w:lsdException w:name="Medium Grid 1 Accent 3" w:locked="1"/>
    <w:lsdException w:name="Medium Grid 2 Accent 3" w:locked="1"/>
    <w:lsdException w:name="Medium Grid 3 Accent 3" w:locked="1"/>
    <w:lsdException w:name="Medium Shading 1 Accent 4" w:locked="1"/>
    <w:lsdException w:name="Medium Shading 2 Accent 4" w:locked="1"/>
    <w:lsdException w:name="Medium List 1 Accent 4" w:locked="1"/>
    <w:lsdException w:name="Medium List 2 Accent 4" w:locked="1"/>
    <w:lsdException w:name="Medium Grid 1 Accent 4" w:locked="1"/>
    <w:lsdException w:name="Medium Grid 2 Accent 4" w:locked="1"/>
    <w:lsdException w:name="Medium Grid 3 Accent 4" w:locked="1"/>
    <w:lsdException w:name="Medium Shading 1 Accent 5" w:locked="1"/>
    <w:lsdException w:name="Medium Shading 2 Accent 5" w:locked="1"/>
    <w:lsdException w:name="Medium List 1 Accent 5" w:locked="1"/>
    <w:lsdException w:name="Medium List 2 Accent 5" w:locked="1"/>
    <w:lsdException w:name="Medium Grid 1 Accent 5" w:locked="1"/>
    <w:lsdException w:name="Medium Grid 2 Accent 5" w:locked="1"/>
    <w:lsdException w:name="Medium Grid 3 Accent 5" w:locked="1"/>
    <w:lsdException w:name="Medium Shading 1 Accent 6" w:locked="1"/>
    <w:lsdException w:name="Medium Shading 2 Accent 6" w:locked="1"/>
    <w:lsdException w:name="Medium List 1 Accent 6" w:locked="1"/>
    <w:lsdException w:name="Medium List 2 Accent 6" w:locked="1"/>
    <w:lsdException w:name="Medium Grid 1 Accent 6" w:locked="1"/>
    <w:lsdException w:name="Medium Grid 2 Accent 6" w:locked="1"/>
    <w:lsdException w:name="Medium Grid 3 Accent 6" w:locked="1"/>
    <w:lsdException w:name="Subtle Emphasis" w:uiPriority="19"/>
    <w:lsdException w:name="Intense Emphasis" w:uiPriority="21"/>
    <w:lsdException w:name="Subtle Reference" w:locked="1" w:semiHidden="1" w:uiPriority="31" w:unhideWhenUsed="1"/>
    <w:lsdException w:name="Intense Reference" w:locked="1" w:semiHidden="1" w:uiPriority="32" w:unhideWhenUsed="1"/>
    <w:lsdException w:name="Book Title" w:semiHidden="1" w:uiPriority="33" w:unhideWhenUsed="1"/>
    <w:lsdException w:name="Bibliography" w:semiHidden="1" w:unhideWhenUsed="1"/>
    <w:lsdException w:name="TOC Heading" w:semiHidden="1" w:uiPriority="39" w:unhideWhenUsed="1" w:qFormat="1"/>
  </w:latentStyles>
  <w:style w:type="paragraph" w:default="1" w:styleId="Normal">
    <w:name w:val="Normal"/>
    <w:qFormat/>
    <w:rsid w:val="00247070"/>
    <w:pPr>
      <w:spacing w:before="120" w:after="114" w:line="288" w:lineRule="auto"/>
    </w:pPr>
    <w:rPr>
      <w:rFonts w:ascii="Calibri" w:eastAsia="Cambria" w:hAnsi="Calibri" w:cs="Times New Roman"/>
      <w:sz w:val="20"/>
      <w:szCs w:val="20"/>
      <w:lang w:eastAsia="en-AU"/>
    </w:rPr>
  </w:style>
  <w:style w:type="paragraph" w:styleId="Heading1">
    <w:name w:val="heading 1"/>
    <w:basedOn w:val="PBOheading1"/>
    <w:next w:val="Normal"/>
    <w:link w:val="Heading1Char"/>
    <w:uiPriority w:val="9"/>
    <w:qFormat/>
    <w:locked/>
    <w:rsid w:val="00BF2529"/>
    <w:pPr>
      <w:spacing w:before="240"/>
      <w:outlineLvl w:val="0"/>
    </w:pPr>
  </w:style>
  <w:style w:type="paragraph" w:styleId="Heading2">
    <w:name w:val="heading 2"/>
    <w:basedOn w:val="Normal"/>
    <w:next w:val="Normal"/>
    <w:link w:val="Heading2Char"/>
    <w:uiPriority w:val="9"/>
    <w:unhideWhenUsed/>
    <w:qFormat/>
    <w:locked/>
    <w:rsid w:val="00344501"/>
    <w:pPr>
      <w:numPr>
        <w:ilvl w:val="1"/>
        <w:numId w:val="8"/>
      </w:num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locked/>
    <w:rsid w:val="00344501"/>
    <w:pPr>
      <w:numPr>
        <w:ilvl w:val="2"/>
        <w:numId w:val="8"/>
      </w:num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locked/>
    <w:rsid w:val="00344501"/>
    <w:pPr>
      <w:numPr>
        <w:ilvl w:val="3"/>
        <w:numId w:val="8"/>
      </w:num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locked/>
    <w:rsid w:val="00344501"/>
    <w:pPr>
      <w:numPr>
        <w:ilvl w:val="4"/>
        <w:numId w:val="8"/>
      </w:num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locked/>
    <w:rsid w:val="00344501"/>
    <w:pPr>
      <w:numPr>
        <w:ilvl w:val="5"/>
        <w:numId w:val="8"/>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locked/>
    <w:rsid w:val="00344501"/>
    <w:pPr>
      <w:numPr>
        <w:ilvl w:val="6"/>
        <w:numId w:val="8"/>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locked/>
    <w:rsid w:val="00344501"/>
    <w:pPr>
      <w:numPr>
        <w:ilvl w:val="7"/>
        <w:numId w:val="8"/>
      </w:numPr>
      <w:spacing w:after="120"/>
      <w:jc w:val="center"/>
      <w:outlineLvl w:val="7"/>
    </w:pPr>
    <w:rPr>
      <w:caps/>
      <w:spacing w:val="10"/>
    </w:rPr>
  </w:style>
  <w:style w:type="paragraph" w:styleId="Heading9">
    <w:name w:val="heading 9"/>
    <w:basedOn w:val="Normal"/>
    <w:next w:val="Normal"/>
    <w:link w:val="Heading9Char"/>
    <w:uiPriority w:val="9"/>
    <w:semiHidden/>
    <w:unhideWhenUsed/>
    <w:qFormat/>
    <w:locked/>
    <w:rsid w:val="00344501"/>
    <w:pPr>
      <w:numPr>
        <w:ilvl w:val="8"/>
        <w:numId w:val="8"/>
      </w:numPr>
      <w:spacing w:after="120"/>
      <w:jc w:val="center"/>
      <w:outlineLvl w:val="8"/>
    </w:pPr>
    <w:rPr>
      <w:i/>
      <w:iCs/>
      <w:caps/>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BOtables">
    <w:name w:val="PBO tables"/>
    <w:basedOn w:val="TableNormal"/>
    <w:qFormat/>
    <w:rsid w:val="007A74D9"/>
    <w:tblPr>
      <w:tblStyleRowBandSize w:val="1"/>
    </w:tblPr>
    <w:tcPr>
      <w:vAlign w:val="center"/>
    </w:tcPr>
    <w:tblStylePr w:type="firstRow">
      <w:pPr>
        <w:jc w:val="center"/>
      </w:pPr>
      <w:rPr>
        <w:rFonts w:ascii="Symbol" w:hAnsi="Symbol"/>
        <w:b/>
        <w:color w:val="FFFFFF"/>
        <w:sz w:val="19"/>
      </w:rPr>
      <w:tblPr/>
      <w:tcPr>
        <w:tcBorders>
          <w:insideV w:val="nil"/>
        </w:tcBorders>
        <w:shd w:val="clear" w:color="auto" w:fill="264A76"/>
        <w:vAlign w:val="center"/>
      </w:tcPr>
    </w:tblStylePr>
    <w:tblStylePr w:type="firstCol">
      <w:pPr>
        <w:jc w:val="left"/>
      </w:pPr>
      <w:rPr>
        <w:rFonts w:ascii="Symbol" w:hAnsi="Symbol"/>
        <w:b/>
      </w:rPr>
      <w:tblPr/>
      <w:tcPr>
        <w:vAlign w:val="center"/>
      </w:tcPr>
    </w:tblStylePr>
    <w:tblStylePr w:type="band1Horz">
      <w:pPr>
        <w:jc w:val="center"/>
      </w:pPr>
      <w:tblPr/>
      <w:tcPr>
        <w:shd w:val="clear" w:color="auto" w:fill="D7DCE4"/>
        <w:vAlign w:val="center"/>
      </w:tcPr>
    </w:tblStylePr>
    <w:tblStylePr w:type="band2Horz">
      <w:pPr>
        <w:jc w:val="center"/>
      </w:pPr>
      <w:rPr>
        <w:rFonts w:ascii="Symbol" w:hAnsi="Symbol"/>
        <w:sz w:val="20"/>
      </w:rPr>
      <w:tblPr/>
      <w:tcPr>
        <w:shd w:val="clear" w:color="auto" w:fill="FFFFFF"/>
        <w:vAlign w:val="center"/>
      </w:tcPr>
    </w:tblStylePr>
  </w:style>
  <w:style w:type="paragraph" w:customStyle="1" w:styleId="PBOtext">
    <w:name w:val="PBO text"/>
    <w:basedOn w:val="Normal"/>
    <w:link w:val="PBOtextChar"/>
    <w:qFormat/>
    <w:rsid w:val="00983CE4"/>
  </w:style>
  <w:style w:type="paragraph" w:customStyle="1" w:styleId="PBObullet">
    <w:name w:val="PBO bullet"/>
    <w:basedOn w:val="PBOtext"/>
    <w:qFormat/>
    <w:rsid w:val="00983CE4"/>
    <w:pPr>
      <w:ind w:left="284" w:hanging="284"/>
    </w:pPr>
  </w:style>
  <w:style w:type="paragraph" w:customStyle="1" w:styleId="PBOheading1">
    <w:name w:val="PBO heading 1"/>
    <w:link w:val="PBOheading1Char"/>
    <w:uiPriority w:val="1"/>
    <w:qFormat/>
    <w:rsid w:val="00ED5CDA"/>
    <w:pPr>
      <w:keepNext/>
      <w:spacing w:before="680" w:after="480"/>
    </w:pPr>
    <w:rPr>
      <w:rFonts w:ascii="Georgia" w:hAnsi="Georgia"/>
      <w:color w:val="2B3B5F"/>
      <w:sz w:val="36"/>
      <w:szCs w:val="24"/>
    </w:rPr>
  </w:style>
  <w:style w:type="paragraph" w:customStyle="1" w:styleId="PBOheading2">
    <w:name w:val="PBO heading 2"/>
    <w:basedOn w:val="PBOheading1"/>
    <w:link w:val="PBOheading2Char"/>
    <w:uiPriority w:val="1"/>
    <w:qFormat/>
    <w:rsid w:val="00983CE4"/>
    <w:pPr>
      <w:spacing w:before="320" w:after="170" w:line="288" w:lineRule="auto"/>
    </w:pPr>
    <w:rPr>
      <w:sz w:val="28"/>
    </w:rPr>
  </w:style>
  <w:style w:type="paragraph" w:customStyle="1" w:styleId="PBOfiguretableheading">
    <w:name w:val="PBO figure/table heading"/>
    <w:uiPriority w:val="2"/>
    <w:qFormat/>
    <w:rsid w:val="00ED5CDA"/>
    <w:pPr>
      <w:spacing w:before="120" w:after="0" w:line="288" w:lineRule="auto"/>
    </w:pPr>
    <w:rPr>
      <w:rFonts w:ascii="Calibri" w:hAnsi="Calibri"/>
      <w:b/>
      <w:color w:val="2B3B5F"/>
      <w:szCs w:val="24"/>
    </w:rPr>
  </w:style>
  <w:style w:type="paragraph" w:customStyle="1" w:styleId="PBOheading3">
    <w:name w:val="PBO heading 3"/>
    <w:link w:val="PBOheading3Char"/>
    <w:uiPriority w:val="1"/>
    <w:qFormat/>
    <w:rsid w:val="00DB70AB"/>
    <w:pPr>
      <w:keepNext/>
      <w:spacing w:before="200"/>
    </w:pPr>
    <w:rPr>
      <w:rFonts w:ascii="Calibri" w:hAnsi="Calibri"/>
      <w:b/>
      <w:szCs w:val="24"/>
    </w:rPr>
  </w:style>
  <w:style w:type="paragraph" w:styleId="Title">
    <w:name w:val="Title"/>
    <w:basedOn w:val="Heading1"/>
    <w:next w:val="Subtitle"/>
    <w:link w:val="TitleChar"/>
    <w:qFormat/>
    <w:rsid w:val="000B50F5"/>
    <w:pPr>
      <w:spacing w:before="4300" w:after="114" w:line="240" w:lineRule="auto"/>
      <w:jc w:val="right"/>
    </w:pPr>
    <w:rPr>
      <w:sz w:val="50"/>
    </w:rPr>
  </w:style>
  <w:style w:type="character" w:customStyle="1" w:styleId="TitleChar">
    <w:name w:val="Title Char"/>
    <w:basedOn w:val="DefaultParagraphFont"/>
    <w:link w:val="Title"/>
    <w:rsid w:val="000B50F5"/>
    <w:rPr>
      <w:rFonts w:ascii="Georgia" w:hAnsi="Georgia"/>
      <w:color w:val="2B3B5F"/>
      <w:sz w:val="50"/>
      <w:szCs w:val="24"/>
    </w:rPr>
  </w:style>
  <w:style w:type="paragraph" w:styleId="Subtitle">
    <w:name w:val="Subtitle"/>
    <w:basedOn w:val="Heading20"/>
    <w:next w:val="Normal"/>
    <w:link w:val="SubtitleChar"/>
    <w:uiPriority w:val="11"/>
    <w:rsid w:val="000B50F5"/>
    <w:pPr>
      <w:spacing w:before="120" w:after="114" w:line="240" w:lineRule="auto"/>
      <w:jc w:val="right"/>
    </w:pPr>
    <w:rPr>
      <w:spacing w:val="20"/>
      <w:szCs w:val="18"/>
    </w:rPr>
  </w:style>
  <w:style w:type="character" w:customStyle="1" w:styleId="SubtitleChar">
    <w:name w:val="Subtitle Char"/>
    <w:basedOn w:val="DefaultParagraphFont"/>
    <w:link w:val="Subtitle"/>
    <w:uiPriority w:val="11"/>
    <w:rsid w:val="000B50F5"/>
    <w:rPr>
      <w:rFonts w:ascii="Georgia" w:hAnsi="Georgia"/>
      <w:bCs/>
      <w:color w:val="2B3B5F"/>
      <w:spacing w:val="20"/>
      <w:sz w:val="28"/>
      <w:szCs w:val="18"/>
      <w:lang w:eastAsia="en-AU"/>
    </w:rPr>
  </w:style>
  <w:style w:type="paragraph" w:styleId="Header">
    <w:name w:val="header"/>
    <w:basedOn w:val="Normal"/>
    <w:link w:val="HeaderChar"/>
    <w:uiPriority w:val="5"/>
    <w:rsid w:val="00CD21A6"/>
    <w:pPr>
      <w:tabs>
        <w:tab w:val="center" w:pos="4513"/>
        <w:tab w:val="right" w:pos="9026"/>
      </w:tabs>
    </w:pPr>
    <w:rPr>
      <w:color w:val="808080"/>
    </w:rPr>
  </w:style>
  <w:style w:type="character" w:customStyle="1" w:styleId="HeaderChar">
    <w:name w:val="Header Char"/>
    <w:link w:val="Header"/>
    <w:uiPriority w:val="5"/>
    <w:rsid w:val="00CD21A6"/>
    <w:rPr>
      <w:color w:val="808080"/>
    </w:rPr>
  </w:style>
  <w:style w:type="paragraph" w:styleId="Footer">
    <w:name w:val="footer"/>
    <w:basedOn w:val="Normal"/>
    <w:link w:val="FooterChar"/>
    <w:uiPriority w:val="99"/>
    <w:rsid w:val="00983CE4"/>
    <w:rPr>
      <w:b/>
      <w:sz w:val="18"/>
    </w:rPr>
  </w:style>
  <w:style w:type="character" w:customStyle="1" w:styleId="FooterChar">
    <w:name w:val="Footer Char"/>
    <w:link w:val="Footer"/>
    <w:uiPriority w:val="99"/>
    <w:rsid w:val="00983CE4"/>
    <w:rPr>
      <w:b/>
      <w:sz w:val="18"/>
    </w:rPr>
  </w:style>
  <w:style w:type="character" w:styleId="PageNumber">
    <w:name w:val="page number"/>
    <w:uiPriority w:val="4"/>
    <w:unhideWhenUsed/>
    <w:locked/>
    <w:rsid w:val="00983CE4"/>
    <w:rPr>
      <w:rFonts w:ascii="Calibri" w:hAnsi="Calibri"/>
      <w:b/>
      <w:color w:val="224A76"/>
      <w:sz w:val="18"/>
    </w:rPr>
  </w:style>
  <w:style w:type="paragraph" w:customStyle="1" w:styleId="Oddpagefooter">
    <w:name w:val="Odd page footer"/>
    <w:basedOn w:val="Footer"/>
    <w:unhideWhenUsed/>
    <w:rsid w:val="00983CE4"/>
    <w:pPr>
      <w:jc w:val="right"/>
    </w:pPr>
  </w:style>
  <w:style w:type="table" w:styleId="TableGrid">
    <w:name w:val="Table Grid"/>
    <w:basedOn w:val="TableNormal"/>
    <w:rsid w:val="00953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heading4">
    <w:name w:val="PBO heading 4"/>
    <w:basedOn w:val="PBOheading3"/>
    <w:next w:val="PBOtext"/>
    <w:link w:val="PBOheading4Char"/>
    <w:uiPriority w:val="1"/>
    <w:qFormat/>
    <w:rsid w:val="00983CE4"/>
    <w:rPr>
      <w:b w:val="0"/>
      <w:i/>
      <w:sz w:val="24"/>
    </w:rPr>
  </w:style>
  <w:style w:type="paragraph" w:styleId="Quote">
    <w:name w:val="Quote"/>
    <w:basedOn w:val="Normal"/>
    <w:next w:val="Normal"/>
    <w:link w:val="QuoteChar"/>
    <w:uiPriority w:val="29"/>
    <w:rsid w:val="00344501"/>
    <w:rPr>
      <w:i/>
      <w:iCs/>
    </w:rPr>
  </w:style>
  <w:style w:type="character" w:customStyle="1" w:styleId="QuoteChar">
    <w:name w:val="Quote Char"/>
    <w:basedOn w:val="DefaultParagraphFont"/>
    <w:link w:val="Quote"/>
    <w:uiPriority w:val="29"/>
    <w:rsid w:val="00344501"/>
    <w:rPr>
      <w:i/>
      <w:iCs/>
    </w:rPr>
  </w:style>
  <w:style w:type="character" w:styleId="Strong">
    <w:name w:val="Strong"/>
    <w:uiPriority w:val="22"/>
    <w:rsid w:val="00344501"/>
    <w:rPr>
      <w:b/>
      <w:bCs/>
      <w:color w:val="943634" w:themeColor="accent2" w:themeShade="BF"/>
      <w:spacing w:val="5"/>
    </w:rPr>
  </w:style>
  <w:style w:type="paragraph" w:styleId="BodyText">
    <w:name w:val="Body Text"/>
    <w:basedOn w:val="PBOtext"/>
    <w:link w:val="BodyTextChar"/>
    <w:uiPriority w:val="2"/>
    <w:unhideWhenUsed/>
    <w:rsid w:val="00B771B1"/>
    <w:pPr>
      <w:spacing w:after="120"/>
    </w:pPr>
  </w:style>
  <w:style w:type="character" w:customStyle="1" w:styleId="BodyTextChar">
    <w:name w:val="Body Text Char"/>
    <w:basedOn w:val="DefaultParagraphFont"/>
    <w:link w:val="BodyText"/>
    <w:uiPriority w:val="2"/>
    <w:rsid w:val="00CD21A6"/>
  </w:style>
  <w:style w:type="paragraph" w:styleId="BodyText2">
    <w:name w:val="Body Text 2"/>
    <w:basedOn w:val="PBOtext"/>
    <w:link w:val="BodyText2Char"/>
    <w:uiPriority w:val="2"/>
    <w:unhideWhenUsed/>
    <w:rsid w:val="00B771B1"/>
    <w:pPr>
      <w:spacing w:after="120" w:line="480" w:lineRule="auto"/>
    </w:pPr>
  </w:style>
  <w:style w:type="character" w:customStyle="1" w:styleId="BodyText2Char">
    <w:name w:val="Body Text 2 Char"/>
    <w:basedOn w:val="DefaultParagraphFont"/>
    <w:link w:val="BodyText2"/>
    <w:uiPriority w:val="2"/>
    <w:rsid w:val="00CD21A6"/>
  </w:style>
  <w:style w:type="paragraph" w:styleId="BodyTextFirstIndent">
    <w:name w:val="Body Text First Indent"/>
    <w:basedOn w:val="BodyText"/>
    <w:link w:val="BodyTextFirstIndentChar"/>
    <w:autoRedefine/>
    <w:uiPriority w:val="2"/>
    <w:unhideWhenUsed/>
    <w:rsid w:val="00B771B1"/>
    <w:pPr>
      <w:spacing w:before="0" w:line="240" w:lineRule="auto"/>
      <w:ind w:firstLine="210"/>
    </w:pPr>
    <w:rPr>
      <w:rFonts w:ascii="Cambria" w:hAnsi="Cambria"/>
      <w:sz w:val="24"/>
    </w:rPr>
  </w:style>
  <w:style w:type="character" w:customStyle="1" w:styleId="BodyTextFirstIndentChar">
    <w:name w:val="Body Text First Indent Char"/>
    <w:link w:val="BodyTextFirstIndent"/>
    <w:uiPriority w:val="2"/>
    <w:rsid w:val="00CD21A6"/>
    <w:rPr>
      <w:rFonts w:ascii="Cambria" w:hAnsi="Cambria"/>
      <w:sz w:val="24"/>
    </w:rPr>
  </w:style>
  <w:style w:type="paragraph" w:styleId="Caption">
    <w:name w:val="caption"/>
    <w:aliases w:val="Figure"/>
    <w:basedOn w:val="PBOfiguretableheading"/>
    <w:next w:val="Normal"/>
    <w:link w:val="CaptionChar"/>
    <w:autoRedefine/>
    <w:uiPriority w:val="5"/>
    <w:unhideWhenUsed/>
    <w:qFormat/>
    <w:rsid w:val="007A4A40"/>
    <w:pPr>
      <w:keepNext/>
      <w:tabs>
        <w:tab w:val="left" w:pos="1134"/>
      </w:tabs>
    </w:pPr>
    <w:rPr>
      <w:rFonts w:eastAsia="Cambria" w:cs="Times New Roman"/>
      <w:szCs w:val="22"/>
      <w:lang w:eastAsia="en-AU"/>
    </w:rPr>
  </w:style>
  <w:style w:type="character" w:styleId="Emphasis">
    <w:name w:val="Emphasis"/>
    <w:uiPriority w:val="20"/>
    <w:rsid w:val="00344501"/>
    <w:rPr>
      <w:caps/>
      <w:spacing w:val="5"/>
      <w:sz w:val="20"/>
      <w:szCs w:val="20"/>
    </w:rPr>
  </w:style>
  <w:style w:type="character" w:styleId="SubtleEmphasis">
    <w:name w:val="Subtle Emphasis"/>
    <w:uiPriority w:val="19"/>
    <w:rsid w:val="00344501"/>
    <w:rPr>
      <w:i/>
      <w:iCs/>
    </w:rPr>
  </w:style>
  <w:style w:type="paragraph" w:styleId="TableofFigures">
    <w:name w:val="table of figures"/>
    <w:basedOn w:val="Normal"/>
    <w:next w:val="Normal"/>
    <w:uiPriority w:val="99"/>
    <w:unhideWhenUsed/>
    <w:rsid w:val="009C4DAA"/>
  </w:style>
  <w:style w:type="paragraph" w:styleId="TableofAuthorities">
    <w:name w:val="table of authorities"/>
    <w:basedOn w:val="Normal"/>
    <w:next w:val="Normal"/>
    <w:semiHidden/>
    <w:locked/>
    <w:rsid w:val="009C4DAA"/>
    <w:pPr>
      <w:ind w:left="240" w:hanging="240"/>
    </w:pPr>
  </w:style>
  <w:style w:type="character" w:customStyle="1" w:styleId="Heading1Char">
    <w:name w:val="Heading 1 Char"/>
    <w:basedOn w:val="DefaultParagraphFont"/>
    <w:link w:val="Heading1"/>
    <w:uiPriority w:val="9"/>
    <w:rsid w:val="00BF2529"/>
    <w:rPr>
      <w:rFonts w:ascii="Georgia" w:hAnsi="Georgia"/>
      <w:color w:val="2B3B5F"/>
      <w:sz w:val="36"/>
      <w:szCs w:val="24"/>
    </w:rPr>
  </w:style>
  <w:style w:type="paragraph" w:styleId="TOCHeading">
    <w:name w:val="TOC Heading"/>
    <w:basedOn w:val="Heading1"/>
    <w:next w:val="Normal"/>
    <w:uiPriority w:val="39"/>
    <w:unhideWhenUsed/>
    <w:qFormat/>
    <w:rsid w:val="00344501"/>
    <w:pPr>
      <w:outlineLvl w:val="9"/>
    </w:pPr>
    <w:rPr>
      <w:lang w:bidi="en-US"/>
    </w:rPr>
  </w:style>
  <w:style w:type="paragraph" w:styleId="ListBullet">
    <w:name w:val="List Bullet"/>
    <w:basedOn w:val="PBObullet"/>
    <w:uiPriority w:val="3"/>
    <w:rsid w:val="009C4DAA"/>
    <w:pPr>
      <w:numPr>
        <w:numId w:val="1"/>
      </w:numPr>
      <w:contextualSpacing/>
    </w:pPr>
  </w:style>
  <w:style w:type="paragraph" w:styleId="ListBullet2">
    <w:name w:val="List Bullet 2"/>
    <w:basedOn w:val="ListBullet"/>
    <w:uiPriority w:val="3"/>
    <w:rsid w:val="009C4DAA"/>
    <w:pPr>
      <w:numPr>
        <w:numId w:val="2"/>
      </w:numPr>
    </w:pPr>
  </w:style>
  <w:style w:type="paragraph" w:styleId="ListContinue">
    <w:name w:val="List Continue"/>
    <w:basedOn w:val="PBOtext"/>
    <w:uiPriority w:val="3"/>
    <w:rsid w:val="009C4DAA"/>
    <w:pPr>
      <w:spacing w:after="120"/>
      <w:ind w:left="283"/>
      <w:contextualSpacing/>
    </w:pPr>
  </w:style>
  <w:style w:type="paragraph" w:styleId="ListContinue2">
    <w:name w:val="List Continue 2"/>
    <w:basedOn w:val="PBOtext"/>
    <w:uiPriority w:val="3"/>
    <w:rsid w:val="009C4DAA"/>
    <w:pPr>
      <w:spacing w:after="120"/>
      <w:ind w:left="566"/>
      <w:contextualSpacing/>
    </w:pPr>
  </w:style>
  <w:style w:type="paragraph" w:styleId="ListNumber">
    <w:name w:val="List Number"/>
    <w:basedOn w:val="PBOtext"/>
    <w:uiPriority w:val="3"/>
    <w:rsid w:val="009C4DAA"/>
    <w:pPr>
      <w:numPr>
        <w:numId w:val="3"/>
      </w:numPr>
      <w:contextualSpacing/>
    </w:pPr>
  </w:style>
  <w:style w:type="paragraph" w:styleId="ListNumber2">
    <w:name w:val="List Number 2"/>
    <w:basedOn w:val="PBOtext"/>
    <w:uiPriority w:val="3"/>
    <w:rsid w:val="009C4DAA"/>
    <w:pPr>
      <w:numPr>
        <w:numId w:val="4"/>
      </w:numPr>
      <w:contextualSpacing/>
    </w:pPr>
  </w:style>
  <w:style w:type="character" w:styleId="IntenseEmphasis">
    <w:name w:val="Intense Emphasis"/>
    <w:uiPriority w:val="21"/>
    <w:rsid w:val="00344501"/>
    <w:rPr>
      <w:i/>
      <w:iCs/>
      <w:caps/>
      <w:spacing w:val="10"/>
      <w:sz w:val="20"/>
      <w:szCs w:val="20"/>
    </w:rPr>
  </w:style>
  <w:style w:type="paragraph" w:styleId="IntenseQuote">
    <w:name w:val="Intense Quote"/>
    <w:basedOn w:val="Normal"/>
    <w:next w:val="Normal"/>
    <w:link w:val="IntenseQuoteChar"/>
    <w:uiPriority w:val="30"/>
    <w:rsid w:val="0034450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rPr>
  </w:style>
  <w:style w:type="character" w:customStyle="1" w:styleId="IntenseQuoteChar">
    <w:name w:val="Intense Quote Char"/>
    <w:basedOn w:val="DefaultParagraphFont"/>
    <w:link w:val="IntenseQuote"/>
    <w:uiPriority w:val="30"/>
    <w:rsid w:val="00344501"/>
    <w:rPr>
      <w:caps/>
      <w:color w:val="622423" w:themeColor="accent2" w:themeShade="7F"/>
      <w:spacing w:val="5"/>
      <w:sz w:val="20"/>
      <w:szCs w:val="20"/>
    </w:rPr>
  </w:style>
  <w:style w:type="paragraph" w:styleId="BalloonText">
    <w:name w:val="Balloon Text"/>
    <w:basedOn w:val="Normal"/>
    <w:link w:val="BalloonTextChar"/>
    <w:semiHidden/>
    <w:unhideWhenUsed/>
    <w:rsid w:val="005F24F2"/>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5F24F2"/>
    <w:rPr>
      <w:rFonts w:ascii="Tahoma" w:hAnsi="Tahoma" w:cs="Tahoma"/>
      <w:sz w:val="16"/>
      <w:szCs w:val="16"/>
    </w:rPr>
  </w:style>
  <w:style w:type="character" w:styleId="CommentReference">
    <w:name w:val="annotation reference"/>
    <w:basedOn w:val="DefaultParagraphFont"/>
    <w:uiPriority w:val="99"/>
    <w:semiHidden/>
    <w:unhideWhenUsed/>
    <w:rsid w:val="009A4F23"/>
    <w:rPr>
      <w:sz w:val="16"/>
      <w:szCs w:val="16"/>
    </w:rPr>
  </w:style>
  <w:style w:type="paragraph" w:styleId="CommentText">
    <w:name w:val="annotation text"/>
    <w:basedOn w:val="Normal"/>
    <w:link w:val="CommentTextChar"/>
    <w:unhideWhenUsed/>
    <w:rsid w:val="009A4F23"/>
  </w:style>
  <w:style w:type="character" w:customStyle="1" w:styleId="CommentTextChar">
    <w:name w:val="Comment Text Char"/>
    <w:basedOn w:val="DefaultParagraphFont"/>
    <w:link w:val="CommentText"/>
    <w:rsid w:val="009A4F23"/>
  </w:style>
  <w:style w:type="paragraph" w:styleId="CommentSubject">
    <w:name w:val="annotation subject"/>
    <w:basedOn w:val="CommentText"/>
    <w:next w:val="CommentText"/>
    <w:link w:val="CommentSubjectChar"/>
    <w:semiHidden/>
    <w:unhideWhenUsed/>
    <w:rsid w:val="009A4F23"/>
    <w:rPr>
      <w:b/>
      <w:bCs/>
    </w:rPr>
  </w:style>
  <w:style w:type="character" w:customStyle="1" w:styleId="CommentSubjectChar">
    <w:name w:val="Comment Subject Char"/>
    <w:basedOn w:val="CommentTextChar"/>
    <w:link w:val="CommentSubject"/>
    <w:semiHidden/>
    <w:rsid w:val="009A4F23"/>
    <w:rPr>
      <w:b/>
      <w:bCs/>
    </w:rPr>
  </w:style>
  <w:style w:type="character" w:customStyle="1" w:styleId="PBOtextChar">
    <w:name w:val="PBO text Char"/>
    <w:basedOn w:val="DefaultParagraphFont"/>
    <w:link w:val="PBOtext"/>
    <w:locked/>
    <w:rsid w:val="00983CE4"/>
  </w:style>
  <w:style w:type="paragraph" w:styleId="TOC2">
    <w:name w:val="toc 2"/>
    <w:basedOn w:val="Normal"/>
    <w:next w:val="Normal"/>
    <w:autoRedefine/>
    <w:uiPriority w:val="39"/>
    <w:unhideWhenUsed/>
    <w:rsid w:val="00983CE4"/>
    <w:pPr>
      <w:spacing w:before="0"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rsid w:val="001B2F44"/>
    <w:pPr>
      <w:tabs>
        <w:tab w:val="left" w:pos="567"/>
        <w:tab w:val="left" w:pos="8080"/>
        <w:tab w:val="right" w:leader="dot" w:pos="8296"/>
      </w:tabs>
      <w:spacing w:after="100" w:line="480" w:lineRule="auto"/>
    </w:pPr>
  </w:style>
  <w:style w:type="paragraph" w:styleId="TOC3">
    <w:name w:val="toc 3"/>
    <w:basedOn w:val="Normal"/>
    <w:next w:val="Normal"/>
    <w:autoRedefine/>
    <w:uiPriority w:val="39"/>
    <w:semiHidden/>
    <w:unhideWhenUsed/>
    <w:rsid w:val="00983CE4"/>
    <w:pPr>
      <w:spacing w:before="0" w:after="100" w:line="276" w:lineRule="auto"/>
      <w:ind w:left="440"/>
    </w:pPr>
    <w:rPr>
      <w:rFonts w:asciiTheme="minorHAnsi" w:eastAsiaTheme="minorEastAsia" w:hAnsiTheme="minorHAnsi" w:cstheme="minorBidi"/>
      <w:sz w:val="22"/>
      <w:szCs w:val="22"/>
      <w:lang w:val="en-US" w:eastAsia="ja-JP"/>
    </w:rPr>
  </w:style>
  <w:style w:type="character" w:styleId="FootnoteReference">
    <w:name w:val="footnote reference"/>
    <w:basedOn w:val="DefaultParagraphFont"/>
    <w:rsid w:val="001C5A93"/>
    <w:rPr>
      <w:vertAlign w:val="superscript"/>
    </w:rPr>
  </w:style>
  <w:style w:type="paragraph" w:styleId="FootnoteText">
    <w:name w:val="footnote text"/>
    <w:basedOn w:val="Normal"/>
    <w:link w:val="FootnoteTextChar"/>
    <w:rsid w:val="001C5A93"/>
    <w:pPr>
      <w:tabs>
        <w:tab w:val="left" w:pos="284"/>
      </w:tabs>
      <w:spacing w:before="0" w:after="0"/>
      <w:ind w:left="284" w:hanging="284"/>
    </w:pPr>
    <w:rPr>
      <w:rFonts w:asciiTheme="minorHAnsi" w:eastAsia="Times New Roman" w:hAnsiTheme="minorHAnsi"/>
      <w:sz w:val="18"/>
    </w:rPr>
  </w:style>
  <w:style w:type="character" w:customStyle="1" w:styleId="FootnoteTextChar">
    <w:name w:val="Footnote Text Char"/>
    <w:basedOn w:val="DefaultParagraphFont"/>
    <w:link w:val="FootnoteText"/>
    <w:rsid w:val="001C5A93"/>
    <w:rPr>
      <w:rFonts w:asciiTheme="minorHAnsi" w:eastAsia="Times New Roman" w:hAnsiTheme="minorHAnsi"/>
      <w:sz w:val="18"/>
    </w:rPr>
  </w:style>
  <w:style w:type="paragraph" w:customStyle="1" w:styleId="ChartGraphic">
    <w:name w:val="Chart Graphic"/>
    <w:basedOn w:val="Normal"/>
    <w:next w:val="Normal"/>
    <w:rsid w:val="001C5A93"/>
    <w:pPr>
      <w:keepNext/>
      <w:spacing w:before="0" w:after="0"/>
      <w:jc w:val="center"/>
    </w:pPr>
    <w:rPr>
      <w:rFonts w:asciiTheme="majorHAnsi" w:eastAsia="Times New Roman" w:hAnsiTheme="majorHAnsi"/>
      <w:color w:val="4F81BD" w:themeColor="accent1"/>
    </w:rPr>
  </w:style>
  <w:style w:type="character" w:customStyle="1" w:styleId="CaptionChar">
    <w:name w:val="Caption Char"/>
    <w:aliases w:val="Figure Char"/>
    <w:basedOn w:val="DefaultParagraphFont"/>
    <w:link w:val="Caption"/>
    <w:uiPriority w:val="5"/>
    <w:rsid w:val="007A4A40"/>
    <w:rPr>
      <w:rFonts w:ascii="Calibri" w:eastAsia="Cambria" w:hAnsi="Calibri" w:cs="Times New Roman"/>
      <w:b/>
      <w:color w:val="2B3B5F"/>
      <w:lang w:eastAsia="en-AU"/>
    </w:rPr>
  </w:style>
  <w:style w:type="paragraph" w:customStyle="1" w:styleId="FigureCaption">
    <w:name w:val="Figure Caption"/>
    <w:basedOn w:val="Normal"/>
    <w:link w:val="FigureCaptionChar"/>
    <w:qFormat/>
    <w:rsid w:val="008D5907"/>
    <w:pPr>
      <w:spacing w:before="0"/>
    </w:pPr>
    <w:rPr>
      <w:rFonts w:eastAsia="Times New Roman"/>
      <w:color w:val="000000"/>
      <w:sz w:val="18"/>
    </w:rPr>
  </w:style>
  <w:style w:type="character" w:customStyle="1" w:styleId="FigureCaptionChar">
    <w:name w:val="Figure Caption Char"/>
    <w:basedOn w:val="DefaultParagraphFont"/>
    <w:link w:val="FigureCaption"/>
    <w:rsid w:val="008D5907"/>
    <w:rPr>
      <w:rFonts w:ascii="Calibri" w:eastAsia="Times New Roman" w:hAnsi="Calibri" w:cs="Times New Roman"/>
      <w:color w:val="000000"/>
      <w:sz w:val="18"/>
      <w:szCs w:val="20"/>
      <w:lang w:eastAsia="en-AU"/>
    </w:rPr>
  </w:style>
  <w:style w:type="paragraph" w:customStyle="1" w:styleId="ChartorTableNote">
    <w:name w:val="Chart or Table Note"/>
    <w:next w:val="Normal"/>
    <w:link w:val="ChartorTableNoteChar"/>
    <w:rsid w:val="009A07F5"/>
    <w:pPr>
      <w:jc w:val="both"/>
    </w:pPr>
    <w:rPr>
      <w:rFonts w:ascii="Arial" w:eastAsia="Times New Roman" w:hAnsi="Arial"/>
      <w:color w:val="000000"/>
      <w:sz w:val="16"/>
      <w:lang w:eastAsia="en-AU"/>
    </w:rPr>
  </w:style>
  <w:style w:type="character" w:customStyle="1" w:styleId="ChartorTableNoteChar">
    <w:name w:val="Chart or Table Note Char"/>
    <w:basedOn w:val="DefaultParagraphFont"/>
    <w:link w:val="ChartorTableNote"/>
    <w:rsid w:val="009A07F5"/>
    <w:rPr>
      <w:rFonts w:ascii="Arial" w:eastAsia="Times New Roman" w:hAnsi="Arial"/>
      <w:color w:val="000000"/>
      <w:sz w:val="16"/>
      <w:lang w:eastAsia="en-AU"/>
    </w:rPr>
  </w:style>
  <w:style w:type="character" w:styleId="Hyperlink">
    <w:name w:val="Hyperlink"/>
    <w:basedOn w:val="DefaultParagraphFont"/>
    <w:uiPriority w:val="99"/>
    <w:rsid w:val="00857D55"/>
    <w:rPr>
      <w:color w:val="0000FF" w:themeColor="hyperlink"/>
      <w:u w:val="single"/>
    </w:rPr>
  </w:style>
  <w:style w:type="paragraph" w:customStyle="1" w:styleId="PBOsource">
    <w:name w:val="PBO source"/>
    <w:basedOn w:val="PBOtext"/>
    <w:link w:val="PBOsourceChar"/>
    <w:qFormat/>
    <w:rsid w:val="00983CE4"/>
    <w:rPr>
      <w:rFonts w:ascii="Arial" w:hAnsi="Arial" w:cs="Arial"/>
      <w:sz w:val="16"/>
    </w:rPr>
  </w:style>
  <w:style w:type="character" w:customStyle="1" w:styleId="PBOsourceChar">
    <w:name w:val="PBO source Char"/>
    <w:basedOn w:val="PBOtextChar"/>
    <w:link w:val="PBOsource"/>
    <w:rsid w:val="00983CE4"/>
    <w:rPr>
      <w:rFonts w:ascii="Arial" w:hAnsi="Arial" w:cs="Arial"/>
      <w:sz w:val="16"/>
      <w:lang w:eastAsia="en-AU"/>
    </w:rPr>
  </w:style>
  <w:style w:type="paragraph" w:customStyle="1" w:styleId="BoxHeading">
    <w:name w:val="Box Heading"/>
    <w:basedOn w:val="Normal"/>
    <w:next w:val="Normal"/>
    <w:rsid w:val="004925E8"/>
    <w:pPr>
      <w:keepNext/>
      <w:spacing w:before="240" w:after="120"/>
    </w:pPr>
    <w:rPr>
      <w:rFonts w:asciiTheme="majorHAnsi" w:eastAsia="Times New Roman" w:hAnsiTheme="majorHAnsi"/>
      <w:b/>
      <w:color w:val="4F81BD" w:themeColor="accent1"/>
      <w:sz w:val="22"/>
    </w:rPr>
  </w:style>
  <w:style w:type="character" w:customStyle="1" w:styleId="Heading2Char">
    <w:name w:val="Heading 2 Char"/>
    <w:basedOn w:val="DefaultParagraphFont"/>
    <w:link w:val="Heading2"/>
    <w:uiPriority w:val="9"/>
    <w:rsid w:val="00344501"/>
    <w:rPr>
      <w:rFonts w:ascii="Calibri" w:eastAsia="Cambria" w:hAnsi="Calibri" w:cs="Times New Roman"/>
      <w:caps/>
      <w:color w:val="632423" w:themeColor="accent2" w:themeShade="80"/>
      <w:spacing w:val="15"/>
      <w:sz w:val="24"/>
      <w:szCs w:val="24"/>
      <w:lang w:eastAsia="en-AU"/>
    </w:rPr>
  </w:style>
  <w:style w:type="character" w:customStyle="1" w:styleId="Heading3Char">
    <w:name w:val="Heading 3 Char"/>
    <w:basedOn w:val="DefaultParagraphFont"/>
    <w:link w:val="Heading3"/>
    <w:uiPriority w:val="9"/>
    <w:semiHidden/>
    <w:rsid w:val="00344501"/>
    <w:rPr>
      <w:rFonts w:ascii="Calibri" w:eastAsia="Cambria" w:hAnsi="Calibri" w:cs="Times New Roman"/>
      <w:caps/>
      <w:color w:val="622423" w:themeColor="accent2" w:themeShade="7F"/>
      <w:sz w:val="24"/>
      <w:szCs w:val="24"/>
      <w:lang w:eastAsia="en-AU"/>
    </w:rPr>
  </w:style>
  <w:style w:type="character" w:customStyle="1" w:styleId="Heading4Char">
    <w:name w:val="Heading 4 Char"/>
    <w:basedOn w:val="DefaultParagraphFont"/>
    <w:link w:val="Heading4"/>
    <w:uiPriority w:val="9"/>
    <w:semiHidden/>
    <w:rsid w:val="00344501"/>
    <w:rPr>
      <w:rFonts w:ascii="Calibri" w:eastAsia="Cambria" w:hAnsi="Calibri" w:cs="Times New Roman"/>
      <w:caps/>
      <w:color w:val="622423" w:themeColor="accent2" w:themeShade="7F"/>
      <w:spacing w:val="10"/>
      <w:sz w:val="20"/>
      <w:szCs w:val="20"/>
      <w:lang w:eastAsia="en-AU"/>
    </w:rPr>
  </w:style>
  <w:style w:type="character" w:customStyle="1" w:styleId="Heading5Char">
    <w:name w:val="Heading 5 Char"/>
    <w:basedOn w:val="DefaultParagraphFont"/>
    <w:link w:val="Heading5"/>
    <w:uiPriority w:val="9"/>
    <w:semiHidden/>
    <w:rsid w:val="00344501"/>
    <w:rPr>
      <w:rFonts w:ascii="Calibri" w:eastAsia="Cambria" w:hAnsi="Calibri" w:cs="Times New Roman"/>
      <w:caps/>
      <w:color w:val="622423" w:themeColor="accent2" w:themeShade="7F"/>
      <w:spacing w:val="10"/>
      <w:sz w:val="20"/>
      <w:szCs w:val="20"/>
      <w:lang w:eastAsia="en-AU"/>
    </w:rPr>
  </w:style>
  <w:style w:type="character" w:customStyle="1" w:styleId="Heading6Char">
    <w:name w:val="Heading 6 Char"/>
    <w:basedOn w:val="DefaultParagraphFont"/>
    <w:link w:val="Heading6"/>
    <w:uiPriority w:val="9"/>
    <w:semiHidden/>
    <w:rsid w:val="00344501"/>
    <w:rPr>
      <w:rFonts w:ascii="Calibri" w:eastAsia="Cambria" w:hAnsi="Calibri" w:cs="Times New Roman"/>
      <w:caps/>
      <w:color w:val="943634" w:themeColor="accent2" w:themeShade="BF"/>
      <w:spacing w:val="10"/>
      <w:sz w:val="20"/>
      <w:szCs w:val="20"/>
      <w:lang w:eastAsia="en-AU"/>
    </w:rPr>
  </w:style>
  <w:style w:type="character" w:customStyle="1" w:styleId="Heading7Char">
    <w:name w:val="Heading 7 Char"/>
    <w:basedOn w:val="DefaultParagraphFont"/>
    <w:link w:val="Heading7"/>
    <w:uiPriority w:val="9"/>
    <w:semiHidden/>
    <w:rsid w:val="00344501"/>
    <w:rPr>
      <w:rFonts w:ascii="Calibri" w:eastAsia="Cambria" w:hAnsi="Calibri" w:cs="Times New Roman"/>
      <w:i/>
      <w:iCs/>
      <w:caps/>
      <w:color w:val="943634" w:themeColor="accent2" w:themeShade="BF"/>
      <w:spacing w:val="10"/>
      <w:sz w:val="20"/>
      <w:szCs w:val="20"/>
      <w:lang w:eastAsia="en-AU"/>
    </w:rPr>
  </w:style>
  <w:style w:type="character" w:customStyle="1" w:styleId="Heading8Char">
    <w:name w:val="Heading 8 Char"/>
    <w:basedOn w:val="DefaultParagraphFont"/>
    <w:link w:val="Heading8"/>
    <w:uiPriority w:val="9"/>
    <w:semiHidden/>
    <w:rsid w:val="00344501"/>
    <w:rPr>
      <w:rFonts w:ascii="Calibri" w:eastAsia="Cambria" w:hAnsi="Calibri" w:cs="Times New Roman"/>
      <w:caps/>
      <w:spacing w:val="10"/>
      <w:sz w:val="20"/>
      <w:szCs w:val="20"/>
      <w:lang w:eastAsia="en-AU"/>
    </w:rPr>
  </w:style>
  <w:style w:type="character" w:customStyle="1" w:styleId="Heading9Char">
    <w:name w:val="Heading 9 Char"/>
    <w:basedOn w:val="DefaultParagraphFont"/>
    <w:link w:val="Heading9"/>
    <w:uiPriority w:val="9"/>
    <w:semiHidden/>
    <w:rsid w:val="00344501"/>
    <w:rPr>
      <w:rFonts w:ascii="Calibri" w:eastAsia="Cambria" w:hAnsi="Calibri" w:cs="Times New Roman"/>
      <w:i/>
      <w:iCs/>
      <w:caps/>
      <w:spacing w:val="10"/>
      <w:sz w:val="20"/>
      <w:szCs w:val="20"/>
      <w:lang w:eastAsia="en-AU"/>
    </w:rPr>
  </w:style>
  <w:style w:type="paragraph" w:styleId="NoSpacing">
    <w:name w:val="No Spacing"/>
    <w:basedOn w:val="Normal"/>
    <w:link w:val="NoSpacingChar"/>
    <w:uiPriority w:val="1"/>
    <w:locked/>
    <w:rsid w:val="00344501"/>
    <w:pPr>
      <w:spacing w:after="0" w:line="240" w:lineRule="auto"/>
    </w:pPr>
  </w:style>
  <w:style w:type="character" w:customStyle="1" w:styleId="NoSpacingChar">
    <w:name w:val="No Spacing Char"/>
    <w:basedOn w:val="DefaultParagraphFont"/>
    <w:link w:val="NoSpacing"/>
    <w:uiPriority w:val="1"/>
    <w:rsid w:val="00344501"/>
  </w:style>
  <w:style w:type="paragraph" w:styleId="ListParagraph">
    <w:name w:val="List Paragraph"/>
    <w:basedOn w:val="Normal"/>
    <w:uiPriority w:val="34"/>
    <w:qFormat/>
    <w:rsid w:val="00344501"/>
    <w:pPr>
      <w:ind w:left="720"/>
      <w:contextualSpacing/>
    </w:pPr>
  </w:style>
  <w:style w:type="character" w:styleId="SubtleReference">
    <w:name w:val="Subtle Reference"/>
    <w:basedOn w:val="DefaultParagraphFont"/>
    <w:uiPriority w:val="31"/>
    <w:locked/>
    <w:rsid w:val="00344501"/>
    <w:rPr>
      <w:rFonts w:asciiTheme="minorHAnsi" w:eastAsiaTheme="minorEastAsia" w:hAnsiTheme="minorHAnsi" w:cstheme="minorBidi"/>
      <w:i/>
      <w:iCs/>
      <w:color w:val="622423" w:themeColor="accent2" w:themeShade="7F"/>
    </w:rPr>
  </w:style>
  <w:style w:type="character" w:styleId="IntenseReference">
    <w:name w:val="Intense Reference"/>
    <w:uiPriority w:val="32"/>
    <w:locked/>
    <w:rsid w:val="00344501"/>
    <w:rPr>
      <w:rFonts w:asciiTheme="minorHAnsi" w:eastAsiaTheme="minorEastAsia" w:hAnsiTheme="minorHAnsi" w:cstheme="minorBidi"/>
      <w:b/>
      <w:bCs/>
      <w:i/>
      <w:iCs/>
      <w:color w:val="622423" w:themeColor="accent2" w:themeShade="7F"/>
    </w:rPr>
  </w:style>
  <w:style w:type="character" w:styleId="BookTitle">
    <w:name w:val="Book Title"/>
    <w:uiPriority w:val="33"/>
    <w:rsid w:val="00344501"/>
    <w:rPr>
      <w:caps/>
      <w:color w:val="622423" w:themeColor="accent2" w:themeShade="7F"/>
      <w:spacing w:val="5"/>
      <w:u w:color="622423" w:themeColor="accent2" w:themeShade="7F"/>
    </w:rPr>
  </w:style>
  <w:style w:type="paragraph" w:customStyle="1" w:styleId="Heading20">
    <w:name w:val="Heading2"/>
    <w:basedOn w:val="PBOheading2"/>
    <w:link w:val="Heading2Char0"/>
    <w:qFormat/>
    <w:rsid w:val="00D400E8"/>
    <w:pPr>
      <w:keepLines/>
      <w:outlineLvl w:val="1"/>
    </w:pPr>
    <w:rPr>
      <w:bCs/>
      <w:szCs w:val="26"/>
      <w:lang w:eastAsia="en-AU"/>
    </w:rPr>
  </w:style>
  <w:style w:type="paragraph" w:customStyle="1" w:styleId="Heading30">
    <w:name w:val="Heading3"/>
    <w:basedOn w:val="PBOheading3"/>
    <w:link w:val="Heading3Char0"/>
    <w:qFormat/>
    <w:rsid w:val="00233941"/>
    <w:pPr>
      <w:spacing w:line="240" w:lineRule="auto"/>
    </w:pPr>
    <w:rPr>
      <w:rFonts w:eastAsia="Cambria" w:cs="Times New Roman"/>
    </w:rPr>
  </w:style>
  <w:style w:type="character" w:customStyle="1" w:styleId="PBOheading1Char">
    <w:name w:val="PBO heading 1 Char"/>
    <w:basedOn w:val="DefaultParagraphFont"/>
    <w:link w:val="PBOheading1"/>
    <w:uiPriority w:val="1"/>
    <w:rsid w:val="00ED5CDA"/>
    <w:rPr>
      <w:rFonts w:ascii="Georgia" w:hAnsi="Georgia"/>
      <w:color w:val="2B3B5F"/>
      <w:sz w:val="36"/>
      <w:szCs w:val="24"/>
    </w:rPr>
  </w:style>
  <w:style w:type="character" w:customStyle="1" w:styleId="PBOheading2Char">
    <w:name w:val="PBO heading 2 Char"/>
    <w:basedOn w:val="PBOheading1Char"/>
    <w:link w:val="PBOheading2"/>
    <w:uiPriority w:val="1"/>
    <w:rsid w:val="00344501"/>
    <w:rPr>
      <w:rFonts w:ascii="Georgia" w:hAnsi="Georgia"/>
      <w:color w:val="264A76"/>
      <w:sz w:val="28"/>
      <w:szCs w:val="24"/>
    </w:rPr>
  </w:style>
  <w:style w:type="character" w:customStyle="1" w:styleId="Heading2Char0">
    <w:name w:val="Heading2 Char"/>
    <w:basedOn w:val="PBOheading2Char"/>
    <w:link w:val="Heading20"/>
    <w:rsid w:val="00D400E8"/>
    <w:rPr>
      <w:rFonts w:ascii="Georgia" w:hAnsi="Georgia"/>
      <w:bCs/>
      <w:color w:val="336AAD"/>
      <w:sz w:val="28"/>
      <w:szCs w:val="26"/>
      <w:lang w:eastAsia="en-AU"/>
    </w:rPr>
  </w:style>
  <w:style w:type="paragraph" w:customStyle="1" w:styleId="Heading40">
    <w:name w:val="Heading4"/>
    <w:basedOn w:val="PBOheading4"/>
    <w:link w:val="Heading4Char0"/>
    <w:qFormat/>
    <w:rsid w:val="00816B94"/>
    <w:rPr>
      <w:rFonts w:asciiTheme="minorHAnsi" w:hAnsiTheme="minorHAnsi"/>
    </w:rPr>
  </w:style>
  <w:style w:type="character" w:customStyle="1" w:styleId="PBOheading3Char">
    <w:name w:val="PBO heading 3 Char"/>
    <w:basedOn w:val="DefaultParagraphFont"/>
    <w:link w:val="PBOheading3"/>
    <w:uiPriority w:val="1"/>
    <w:rsid w:val="00DB70AB"/>
    <w:rPr>
      <w:rFonts w:ascii="Calibri" w:hAnsi="Calibri"/>
      <w:b/>
      <w:szCs w:val="24"/>
    </w:rPr>
  </w:style>
  <w:style w:type="character" w:customStyle="1" w:styleId="Heading3Char0">
    <w:name w:val="Heading3 Char"/>
    <w:basedOn w:val="PBOheading3Char"/>
    <w:link w:val="Heading30"/>
    <w:rsid w:val="00233941"/>
    <w:rPr>
      <w:rFonts w:ascii="Calibri" w:eastAsia="Cambria" w:hAnsi="Calibri" w:cs="Times New Roman"/>
      <w:b/>
      <w:szCs w:val="24"/>
    </w:rPr>
  </w:style>
  <w:style w:type="paragraph" w:customStyle="1" w:styleId="BoxText">
    <w:name w:val="Box Text"/>
    <w:basedOn w:val="Normal"/>
    <w:rsid w:val="00926671"/>
    <w:pPr>
      <w:spacing w:before="0" w:after="240" w:line="276" w:lineRule="auto"/>
    </w:pPr>
    <w:rPr>
      <w:rFonts w:asciiTheme="minorHAnsi" w:eastAsia="Times New Roman" w:hAnsiTheme="minorHAnsi"/>
      <w:sz w:val="22"/>
    </w:rPr>
  </w:style>
  <w:style w:type="character" w:customStyle="1" w:styleId="PBOheading4Char">
    <w:name w:val="PBO heading 4 Char"/>
    <w:basedOn w:val="PBOheading3Char"/>
    <w:link w:val="PBOheading4"/>
    <w:uiPriority w:val="1"/>
    <w:rsid w:val="00816B94"/>
    <w:rPr>
      <w:rFonts w:ascii="Calibri" w:hAnsi="Calibri"/>
      <w:b w:val="0"/>
      <w:i/>
      <w:sz w:val="24"/>
      <w:szCs w:val="24"/>
    </w:rPr>
  </w:style>
  <w:style w:type="character" w:customStyle="1" w:styleId="Heading4Char0">
    <w:name w:val="Heading4 Char"/>
    <w:basedOn w:val="PBOheading4Char"/>
    <w:link w:val="Heading40"/>
    <w:rsid w:val="00816B94"/>
    <w:rPr>
      <w:rFonts w:asciiTheme="minorHAnsi" w:hAnsiTheme="minorHAnsi"/>
      <w:b w:val="0"/>
      <w:i/>
      <w:sz w:val="24"/>
      <w:szCs w:val="24"/>
    </w:rPr>
  </w:style>
  <w:style w:type="paragraph" w:customStyle="1" w:styleId="Source">
    <w:name w:val="Source"/>
    <w:basedOn w:val="Normal"/>
    <w:link w:val="SourceChar"/>
    <w:autoRedefine/>
    <w:rsid w:val="00D23112"/>
    <w:pPr>
      <w:spacing w:before="0" w:line="240" w:lineRule="auto"/>
    </w:pPr>
    <w:rPr>
      <w:rFonts w:ascii="Arial" w:eastAsia="MS PGothic" w:hAnsi="Arial"/>
      <w:color w:val="000000"/>
      <w:sz w:val="16"/>
    </w:rPr>
  </w:style>
  <w:style w:type="character" w:customStyle="1" w:styleId="SourceChar">
    <w:name w:val="Source Char"/>
    <w:basedOn w:val="DefaultParagraphFont"/>
    <w:link w:val="Source"/>
    <w:rsid w:val="00D23112"/>
    <w:rPr>
      <w:rFonts w:ascii="Arial" w:eastAsia="MS PGothic" w:hAnsi="Arial" w:cs="Times New Roman"/>
      <w:color w:val="000000"/>
      <w:sz w:val="16"/>
      <w:szCs w:val="20"/>
      <w:lang w:eastAsia="en-AU"/>
    </w:rPr>
  </w:style>
  <w:style w:type="character" w:styleId="FollowedHyperlink">
    <w:name w:val="FollowedHyperlink"/>
    <w:basedOn w:val="DefaultParagraphFont"/>
    <w:uiPriority w:val="5"/>
    <w:rsid w:val="005139F7"/>
    <w:rPr>
      <w:color w:val="800080" w:themeColor="followedHyperlink"/>
      <w:u w:val="single"/>
    </w:rPr>
  </w:style>
  <w:style w:type="paragraph" w:customStyle="1" w:styleId="PBOfooter">
    <w:name w:val="PBO footer"/>
    <w:basedOn w:val="PBOtext"/>
    <w:qFormat/>
    <w:rsid w:val="00E91B9E"/>
    <w:pPr>
      <w:spacing w:before="0" w:after="0"/>
    </w:pPr>
    <w:rPr>
      <w:b/>
      <w:noProof/>
      <w:szCs w:val="24"/>
      <w:lang w:eastAsia="en-US"/>
    </w:rPr>
  </w:style>
  <w:style w:type="table" w:customStyle="1" w:styleId="TableGrid1">
    <w:name w:val="Table Grid1"/>
    <w:basedOn w:val="TableNormal"/>
    <w:next w:val="TableGrid"/>
    <w:rsid w:val="001526DD"/>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AU" w:eastAsia="en-US" w:bidi="ar-SA"/>
      </w:rPr>
    </w:rPrDefault>
    <w:pPrDefault>
      <w:pPr>
        <w:spacing w:after="200" w:line="252" w:lineRule="auto"/>
      </w:pPr>
    </w:pPrDefault>
  </w:docDefaults>
  <w:latentStyles w:defLockedState="0" w:defUIPriority="0" w:defSemiHidden="0" w:defUnhideWhenUsed="0" w:defQFormat="0" w:count="267">
    <w:lsdException w:name="Normal" w:qFormat="1"/>
    <w:lsdException w:name="heading 1" w:locked="1" w:uiPriority="9" w:qFormat="1"/>
    <w:lsdException w:name="heading 2" w:locked="1" w:semiHidden="1" w:uiPriority="9" w:qFormat="1"/>
    <w:lsdException w:name="heading 3" w:locked="1" w:semiHidden="1" w:uiPriority="9" w:qFormat="1"/>
    <w:lsdException w:name="heading 4" w:locked="1" w:semiHidden="1" w:uiPriority="9" w:qFormat="1"/>
    <w:lsdException w:name="heading 5" w:locked="1" w:semiHidden="1" w:uiPriority="9" w:qFormat="1"/>
    <w:lsdException w:name="heading 6" w:locked="1" w:semiHidden="1" w:uiPriority="9" w:qFormat="1"/>
    <w:lsdException w:name="heading 7" w:locked="1" w:semiHidden="1" w:uiPriority="9" w:qFormat="1"/>
    <w:lsdException w:name="heading 8" w:locked="1" w:semiHidden="1" w:uiPriority="9" w:qFormat="1"/>
    <w:lsdException w:name="heading 9" w:locked="1" w:semiHidden="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annotation text" w:semiHidden="1" w:unhideWhenUsed="1"/>
    <w:lsdException w:name="header" w:uiPriority="5"/>
    <w:lsdException w:name="footer" w:uiPriority="99"/>
    <w:lsdException w:name="index heading" w:locked="1" w:semiHidden="1" w:unhideWhenUsed="1"/>
    <w:lsdException w:name="caption" w:semiHidden="1" w:uiPriority="5" w:unhideWhenUsed="1" w:qFormat="1"/>
    <w:lsdException w:name="table of figures" w:uiPriority="99"/>
    <w:lsdException w:name="envelope address" w:locked="1" w:semiHidden="1" w:unhideWhenUsed="1"/>
    <w:lsdException w:name="envelope return" w:locked="1" w:semiHidden="1" w:unhideWhenUsed="1"/>
    <w:lsdException w:name="annotation reference" w:semiHidden="1" w:uiPriority="99" w:unhideWhenUsed="1"/>
    <w:lsdException w:name="line number" w:uiPriority="3"/>
    <w:lsdException w:name="page number" w:locked="1" w:uiPriority="4"/>
    <w:lsdException w:name="endnote reference" w:semiHidden="1" w:unhideWhenUsed="1"/>
    <w:lsdException w:name="endnote text" w:semiHidden="1" w:unhideWhenUsed="1"/>
    <w:lsdException w:name="table of authorities" w:locked="1"/>
    <w:lsdException w:name="macro" w:locked="1" w:semiHidden="1" w:unhideWhenUsed="1"/>
    <w:lsdException w:name="toa heading" w:locked="1" w:semiHidden="1" w:unhideWhenUsed="1"/>
    <w:lsdException w:name="List" w:uiPriority="3"/>
    <w:lsdException w:name="List 2" w:uiPriority="3"/>
    <w:lsdException w:name="List 3" w:locked="1" w:semiHidden="1" w:unhideWhenUsed="1"/>
    <w:lsdException w:name="List 4" w:locked="1" w:semiHidden="1" w:unhideWhenUsed="1"/>
    <w:lsdException w:name="List 5"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semiHidden="1" w:unhideWhenUsed="1"/>
    <w:lsdException w:name="Signature" w:locked="1" w:semiHidden="1" w:unhideWhenUsed="1"/>
    <w:lsdException w:name="Body Text Indent"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lsdException w:name="Salutation" w:locked="1" w:semiHidden="1" w:unhideWhenUsed="1"/>
    <w:lsdException w:name="Date" w:semiHidden="1" w:unhideWhenUsed="1"/>
    <w:lsdException w:name="Body Text First Indent 2" w:semiHidden="1" w:unhideWhenUsed="1"/>
    <w:lsdException w:name="Note Heading"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uiPriority="5"/>
    <w:lsdException w:name="Strong" w:uiPriority="22"/>
    <w:lsdException w:name="Emphasis" w:uiPriority="20"/>
    <w:lsdException w:name="Document Map" w:semiHidden="1" w:unhideWhenUsed="1"/>
    <w:lsdException w:name="Plain Text" w:locked="1" w:semiHidden="1" w:unhideWhenUsed="1"/>
    <w:lsdException w:name="E-mail Signature"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Table Web 1" w:locked="1"/>
    <w:lsdException w:name="Table Web 2" w:locked="1"/>
    <w:lsdException w:name="Table Web 3" w:locked="1"/>
    <w:lsdException w:name="Balloon Text" w:semiHidden="1" w:unhideWhenUsed="1"/>
    <w:lsdException w:name="Placeholder Text" w:locked="1" w:semiHidden="1" w:unhideWhenUsed="1"/>
    <w:lsdException w:name="No Spacing" w:locked="1" w:semiHidden="1" w:uiPriority="1" w:unhideWhenUsed="1"/>
    <w:lsdException w:name="Medium Shading 1" w:locked="1"/>
    <w:lsdException w:name="Medium Shading 2" w:locked="1"/>
    <w:lsdException w:name="Medium List 1" w:locked="1"/>
    <w:lsdException w:name="Medium List 2" w:locked="1"/>
    <w:lsdException w:name="Medium Grid 1" w:locked="1"/>
    <w:lsdException w:name="Medium Grid 2" w:locked="1"/>
    <w:lsdException w:name="Medium Grid 3" w:locked="1"/>
    <w:lsdException w:name="Medium Shading 1 Accent 1" w:locked="1"/>
    <w:lsdException w:name="Medium Shading 2 Accent 1" w:locked="1"/>
    <w:lsdException w:name="Medium List 1 Accent 1" w:locked="1"/>
    <w:lsdException w:name="List Paragraph" w:uiPriority="34" w:qFormat="1"/>
    <w:lsdException w:name="Quote" w:uiPriority="29"/>
    <w:lsdException w:name="Intense Quote" w:uiPriority="30"/>
    <w:lsdException w:name="Medium List 2 Accent 1" w:locked="1"/>
    <w:lsdException w:name="Medium Grid 1 Accent 1" w:locked="1"/>
    <w:lsdException w:name="Medium Grid 2 Accent 1" w:locked="1"/>
    <w:lsdException w:name="Medium Grid 3 Accent 1" w:locked="1"/>
    <w:lsdException w:name="Medium Shading 1 Accent 2" w:locked="1"/>
    <w:lsdException w:name="Medium Shading 2 Accent 2" w:locked="1"/>
    <w:lsdException w:name="Medium List 1 Accent 2" w:locked="1"/>
    <w:lsdException w:name="Medium List 2 Accent 2" w:locked="1"/>
    <w:lsdException w:name="Medium Grid 1 Accent 2" w:locked="1"/>
    <w:lsdException w:name="Medium Grid 2 Accent 2" w:locked="1"/>
    <w:lsdException w:name="Medium Grid 3 Accent 2" w:locked="1"/>
    <w:lsdException w:name="Medium Shading 1 Accent 3" w:locked="1"/>
    <w:lsdException w:name="Medium Shading 2 Accent 3" w:locked="1"/>
    <w:lsdException w:name="Medium List 1 Accent 3" w:locked="1"/>
    <w:lsdException w:name="Medium List 2 Accent 3" w:locked="1"/>
    <w:lsdException w:name="Medium Grid 1 Accent 3" w:locked="1"/>
    <w:lsdException w:name="Medium Grid 2 Accent 3" w:locked="1"/>
    <w:lsdException w:name="Medium Grid 3 Accent 3" w:locked="1"/>
    <w:lsdException w:name="Medium Shading 1 Accent 4" w:locked="1"/>
    <w:lsdException w:name="Medium Shading 2 Accent 4" w:locked="1"/>
    <w:lsdException w:name="Medium List 1 Accent 4" w:locked="1"/>
    <w:lsdException w:name="Medium List 2 Accent 4" w:locked="1"/>
    <w:lsdException w:name="Medium Grid 1 Accent 4" w:locked="1"/>
    <w:lsdException w:name="Medium Grid 2 Accent 4" w:locked="1"/>
    <w:lsdException w:name="Medium Grid 3 Accent 4" w:locked="1"/>
    <w:lsdException w:name="Medium Shading 1 Accent 5" w:locked="1"/>
    <w:lsdException w:name="Medium Shading 2 Accent 5" w:locked="1"/>
    <w:lsdException w:name="Medium List 1 Accent 5" w:locked="1"/>
    <w:lsdException w:name="Medium List 2 Accent 5" w:locked="1"/>
    <w:lsdException w:name="Medium Grid 1 Accent 5" w:locked="1"/>
    <w:lsdException w:name="Medium Grid 2 Accent 5" w:locked="1"/>
    <w:lsdException w:name="Medium Grid 3 Accent 5" w:locked="1"/>
    <w:lsdException w:name="Medium Shading 1 Accent 6" w:locked="1"/>
    <w:lsdException w:name="Medium Shading 2 Accent 6" w:locked="1"/>
    <w:lsdException w:name="Medium List 1 Accent 6" w:locked="1"/>
    <w:lsdException w:name="Medium List 2 Accent 6" w:locked="1"/>
    <w:lsdException w:name="Medium Grid 1 Accent 6" w:locked="1"/>
    <w:lsdException w:name="Medium Grid 2 Accent 6" w:locked="1"/>
    <w:lsdException w:name="Medium Grid 3 Accent 6" w:locked="1"/>
    <w:lsdException w:name="Subtle Emphasis" w:uiPriority="19"/>
    <w:lsdException w:name="Intense Emphasis" w:uiPriority="21"/>
    <w:lsdException w:name="Subtle Reference" w:locked="1" w:semiHidden="1" w:uiPriority="31" w:unhideWhenUsed="1"/>
    <w:lsdException w:name="Intense Reference" w:locked="1" w:semiHidden="1" w:uiPriority="32" w:unhideWhenUsed="1"/>
    <w:lsdException w:name="Book Title" w:semiHidden="1" w:uiPriority="33" w:unhideWhenUsed="1"/>
    <w:lsdException w:name="Bibliography" w:semiHidden="1" w:unhideWhenUsed="1"/>
    <w:lsdException w:name="TOC Heading" w:semiHidden="1" w:uiPriority="39" w:unhideWhenUsed="1" w:qFormat="1"/>
  </w:latentStyles>
  <w:style w:type="paragraph" w:default="1" w:styleId="Normal">
    <w:name w:val="Normal"/>
    <w:qFormat/>
    <w:rsid w:val="00247070"/>
    <w:pPr>
      <w:spacing w:before="120" w:after="114" w:line="288" w:lineRule="auto"/>
    </w:pPr>
    <w:rPr>
      <w:rFonts w:ascii="Calibri" w:eastAsia="Cambria" w:hAnsi="Calibri" w:cs="Times New Roman"/>
      <w:sz w:val="20"/>
      <w:szCs w:val="20"/>
      <w:lang w:eastAsia="en-AU"/>
    </w:rPr>
  </w:style>
  <w:style w:type="paragraph" w:styleId="Heading1">
    <w:name w:val="heading 1"/>
    <w:basedOn w:val="PBOheading1"/>
    <w:next w:val="Normal"/>
    <w:link w:val="Heading1Char"/>
    <w:uiPriority w:val="9"/>
    <w:qFormat/>
    <w:locked/>
    <w:rsid w:val="00BF2529"/>
    <w:pPr>
      <w:spacing w:before="240"/>
      <w:outlineLvl w:val="0"/>
    </w:pPr>
  </w:style>
  <w:style w:type="paragraph" w:styleId="Heading2">
    <w:name w:val="heading 2"/>
    <w:basedOn w:val="Normal"/>
    <w:next w:val="Normal"/>
    <w:link w:val="Heading2Char"/>
    <w:uiPriority w:val="9"/>
    <w:unhideWhenUsed/>
    <w:qFormat/>
    <w:locked/>
    <w:rsid w:val="00344501"/>
    <w:pPr>
      <w:numPr>
        <w:ilvl w:val="1"/>
        <w:numId w:val="8"/>
      </w:num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locked/>
    <w:rsid w:val="00344501"/>
    <w:pPr>
      <w:numPr>
        <w:ilvl w:val="2"/>
        <w:numId w:val="8"/>
      </w:num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locked/>
    <w:rsid w:val="00344501"/>
    <w:pPr>
      <w:numPr>
        <w:ilvl w:val="3"/>
        <w:numId w:val="8"/>
      </w:num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locked/>
    <w:rsid w:val="00344501"/>
    <w:pPr>
      <w:numPr>
        <w:ilvl w:val="4"/>
        <w:numId w:val="8"/>
      </w:num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locked/>
    <w:rsid w:val="00344501"/>
    <w:pPr>
      <w:numPr>
        <w:ilvl w:val="5"/>
        <w:numId w:val="8"/>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locked/>
    <w:rsid w:val="00344501"/>
    <w:pPr>
      <w:numPr>
        <w:ilvl w:val="6"/>
        <w:numId w:val="8"/>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locked/>
    <w:rsid w:val="00344501"/>
    <w:pPr>
      <w:numPr>
        <w:ilvl w:val="7"/>
        <w:numId w:val="8"/>
      </w:numPr>
      <w:spacing w:after="120"/>
      <w:jc w:val="center"/>
      <w:outlineLvl w:val="7"/>
    </w:pPr>
    <w:rPr>
      <w:caps/>
      <w:spacing w:val="10"/>
    </w:rPr>
  </w:style>
  <w:style w:type="paragraph" w:styleId="Heading9">
    <w:name w:val="heading 9"/>
    <w:basedOn w:val="Normal"/>
    <w:next w:val="Normal"/>
    <w:link w:val="Heading9Char"/>
    <w:uiPriority w:val="9"/>
    <w:semiHidden/>
    <w:unhideWhenUsed/>
    <w:qFormat/>
    <w:locked/>
    <w:rsid w:val="00344501"/>
    <w:pPr>
      <w:numPr>
        <w:ilvl w:val="8"/>
        <w:numId w:val="8"/>
      </w:numPr>
      <w:spacing w:after="120"/>
      <w:jc w:val="center"/>
      <w:outlineLvl w:val="8"/>
    </w:pPr>
    <w:rPr>
      <w:i/>
      <w:iCs/>
      <w:caps/>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BOtables">
    <w:name w:val="PBO tables"/>
    <w:basedOn w:val="TableNormal"/>
    <w:qFormat/>
    <w:rsid w:val="007A74D9"/>
    <w:tblPr>
      <w:tblStyleRowBandSize w:val="1"/>
    </w:tblPr>
    <w:tcPr>
      <w:vAlign w:val="center"/>
    </w:tcPr>
    <w:tblStylePr w:type="firstRow">
      <w:pPr>
        <w:jc w:val="center"/>
      </w:pPr>
      <w:rPr>
        <w:rFonts w:ascii="Symbol" w:hAnsi="Symbol"/>
        <w:b/>
        <w:color w:val="FFFFFF"/>
        <w:sz w:val="19"/>
      </w:rPr>
      <w:tblPr/>
      <w:tcPr>
        <w:tcBorders>
          <w:insideV w:val="nil"/>
        </w:tcBorders>
        <w:shd w:val="clear" w:color="auto" w:fill="264A76"/>
        <w:vAlign w:val="center"/>
      </w:tcPr>
    </w:tblStylePr>
    <w:tblStylePr w:type="firstCol">
      <w:pPr>
        <w:jc w:val="left"/>
      </w:pPr>
      <w:rPr>
        <w:rFonts w:ascii="Symbol" w:hAnsi="Symbol"/>
        <w:b/>
      </w:rPr>
      <w:tblPr/>
      <w:tcPr>
        <w:vAlign w:val="center"/>
      </w:tcPr>
    </w:tblStylePr>
    <w:tblStylePr w:type="band1Horz">
      <w:pPr>
        <w:jc w:val="center"/>
      </w:pPr>
      <w:tblPr/>
      <w:tcPr>
        <w:shd w:val="clear" w:color="auto" w:fill="D7DCE4"/>
        <w:vAlign w:val="center"/>
      </w:tcPr>
    </w:tblStylePr>
    <w:tblStylePr w:type="band2Horz">
      <w:pPr>
        <w:jc w:val="center"/>
      </w:pPr>
      <w:rPr>
        <w:rFonts w:ascii="Symbol" w:hAnsi="Symbol"/>
        <w:sz w:val="20"/>
      </w:rPr>
      <w:tblPr/>
      <w:tcPr>
        <w:shd w:val="clear" w:color="auto" w:fill="FFFFFF"/>
        <w:vAlign w:val="center"/>
      </w:tcPr>
    </w:tblStylePr>
  </w:style>
  <w:style w:type="paragraph" w:customStyle="1" w:styleId="PBOtext">
    <w:name w:val="PBO text"/>
    <w:basedOn w:val="Normal"/>
    <w:link w:val="PBOtextChar"/>
    <w:qFormat/>
    <w:rsid w:val="00983CE4"/>
  </w:style>
  <w:style w:type="paragraph" w:customStyle="1" w:styleId="PBObullet">
    <w:name w:val="PBO bullet"/>
    <w:basedOn w:val="PBOtext"/>
    <w:qFormat/>
    <w:rsid w:val="00983CE4"/>
    <w:pPr>
      <w:ind w:left="284" w:hanging="284"/>
    </w:pPr>
  </w:style>
  <w:style w:type="paragraph" w:customStyle="1" w:styleId="PBOheading1">
    <w:name w:val="PBO heading 1"/>
    <w:link w:val="PBOheading1Char"/>
    <w:uiPriority w:val="1"/>
    <w:qFormat/>
    <w:rsid w:val="00ED5CDA"/>
    <w:pPr>
      <w:keepNext/>
      <w:spacing w:before="680" w:after="480"/>
    </w:pPr>
    <w:rPr>
      <w:rFonts w:ascii="Georgia" w:hAnsi="Georgia"/>
      <w:color w:val="2B3B5F"/>
      <w:sz w:val="36"/>
      <w:szCs w:val="24"/>
    </w:rPr>
  </w:style>
  <w:style w:type="paragraph" w:customStyle="1" w:styleId="PBOheading2">
    <w:name w:val="PBO heading 2"/>
    <w:basedOn w:val="PBOheading1"/>
    <w:link w:val="PBOheading2Char"/>
    <w:uiPriority w:val="1"/>
    <w:qFormat/>
    <w:rsid w:val="00983CE4"/>
    <w:pPr>
      <w:spacing w:before="320" w:after="170" w:line="288" w:lineRule="auto"/>
    </w:pPr>
    <w:rPr>
      <w:sz w:val="28"/>
    </w:rPr>
  </w:style>
  <w:style w:type="paragraph" w:customStyle="1" w:styleId="PBOfiguretableheading">
    <w:name w:val="PBO figure/table heading"/>
    <w:uiPriority w:val="2"/>
    <w:qFormat/>
    <w:rsid w:val="00ED5CDA"/>
    <w:pPr>
      <w:spacing w:before="120" w:after="0" w:line="288" w:lineRule="auto"/>
    </w:pPr>
    <w:rPr>
      <w:rFonts w:ascii="Calibri" w:hAnsi="Calibri"/>
      <w:b/>
      <w:color w:val="2B3B5F"/>
      <w:szCs w:val="24"/>
    </w:rPr>
  </w:style>
  <w:style w:type="paragraph" w:customStyle="1" w:styleId="PBOheading3">
    <w:name w:val="PBO heading 3"/>
    <w:link w:val="PBOheading3Char"/>
    <w:uiPriority w:val="1"/>
    <w:qFormat/>
    <w:rsid w:val="00DB70AB"/>
    <w:pPr>
      <w:keepNext/>
      <w:spacing w:before="200"/>
    </w:pPr>
    <w:rPr>
      <w:rFonts w:ascii="Calibri" w:hAnsi="Calibri"/>
      <w:b/>
      <w:szCs w:val="24"/>
    </w:rPr>
  </w:style>
  <w:style w:type="paragraph" w:styleId="Title">
    <w:name w:val="Title"/>
    <w:basedOn w:val="Heading1"/>
    <w:next w:val="Subtitle"/>
    <w:link w:val="TitleChar"/>
    <w:qFormat/>
    <w:rsid w:val="000B50F5"/>
    <w:pPr>
      <w:spacing w:before="4300" w:after="114" w:line="240" w:lineRule="auto"/>
      <w:jc w:val="right"/>
    </w:pPr>
    <w:rPr>
      <w:sz w:val="50"/>
    </w:rPr>
  </w:style>
  <w:style w:type="character" w:customStyle="1" w:styleId="TitleChar">
    <w:name w:val="Title Char"/>
    <w:basedOn w:val="DefaultParagraphFont"/>
    <w:link w:val="Title"/>
    <w:rsid w:val="000B50F5"/>
    <w:rPr>
      <w:rFonts w:ascii="Georgia" w:hAnsi="Georgia"/>
      <w:color w:val="2B3B5F"/>
      <w:sz w:val="50"/>
      <w:szCs w:val="24"/>
    </w:rPr>
  </w:style>
  <w:style w:type="paragraph" w:styleId="Subtitle">
    <w:name w:val="Subtitle"/>
    <w:basedOn w:val="Heading20"/>
    <w:next w:val="Normal"/>
    <w:link w:val="SubtitleChar"/>
    <w:uiPriority w:val="11"/>
    <w:rsid w:val="000B50F5"/>
    <w:pPr>
      <w:spacing w:before="120" w:after="114" w:line="240" w:lineRule="auto"/>
      <w:jc w:val="right"/>
    </w:pPr>
    <w:rPr>
      <w:spacing w:val="20"/>
      <w:szCs w:val="18"/>
    </w:rPr>
  </w:style>
  <w:style w:type="character" w:customStyle="1" w:styleId="SubtitleChar">
    <w:name w:val="Subtitle Char"/>
    <w:basedOn w:val="DefaultParagraphFont"/>
    <w:link w:val="Subtitle"/>
    <w:uiPriority w:val="11"/>
    <w:rsid w:val="000B50F5"/>
    <w:rPr>
      <w:rFonts w:ascii="Georgia" w:hAnsi="Georgia"/>
      <w:bCs/>
      <w:color w:val="2B3B5F"/>
      <w:spacing w:val="20"/>
      <w:sz w:val="28"/>
      <w:szCs w:val="18"/>
      <w:lang w:eastAsia="en-AU"/>
    </w:rPr>
  </w:style>
  <w:style w:type="paragraph" w:styleId="Header">
    <w:name w:val="header"/>
    <w:basedOn w:val="Normal"/>
    <w:link w:val="HeaderChar"/>
    <w:uiPriority w:val="5"/>
    <w:rsid w:val="00CD21A6"/>
    <w:pPr>
      <w:tabs>
        <w:tab w:val="center" w:pos="4513"/>
        <w:tab w:val="right" w:pos="9026"/>
      </w:tabs>
    </w:pPr>
    <w:rPr>
      <w:color w:val="808080"/>
    </w:rPr>
  </w:style>
  <w:style w:type="character" w:customStyle="1" w:styleId="HeaderChar">
    <w:name w:val="Header Char"/>
    <w:link w:val="Header"/>
    <w:uiPriority w:val="5"/>
    <w:rsid w:val="00CD21A6"/>
    <w:rPr>
      <w:color w:val="808080"/>
    </w:rPr>
  </w:style>
  <w:style w:type="paragraph" w:styleId="Footer">
    <w:name w:val="footer"/>
    <w:basedOn w:val="Normal"/>
    <w:link w:val="FooterChar"/>
    <w:uiPriority w:val="99"/>
    <w:rsid w:val="00983CE4"/>
    <w:rPr>
      <w:b/>
      <w:sz w:val="18"/>
    </w:rPr>
  </w:style>
  <w:style w:type="character" w:customStyle="1" w:styleId="FooterChar">
    <w:name w:val="Footer Char"/>
    <w:link w:val="Footer"/>
    <w:uiPriority w:val="99"/>
    <w:rsid w:val="00983CE4"/>
    <w:rPr>
      <w:b/>
      <w:sz w:val="18"/>
    </w:rPr>
  </w:style>
  <w:style w:type="character" w:styleId="PageNumber">
    <w:name w:val="page number"/>
    <w:uiPriority w:val="4"/>
    <w:unhideWhenUsed/>
    <w:locked/>
    <w:rsid w:val="00983CE4"/>
    <w:rPr>
      <w:rFonts w:ascii="Calibri" w:hAnsi="Calibri"/>
      <w:b/>
      <w:color w:val="224A76"/>
      <w:sz w:val="18"/>
    </w:rPr>
  </w:style>
  <w:style w:type="paragraph" w:customStyle="1" w:styleId="Oddpagefooter">
    <w:name w:val="Odd page footer"/>
    <w:basedOn w:val="Footer"/>
    <w:unhideWhenUsed/>
    <w:rsid w:val="00983CE4"/>
    <w:pPr>
      <w:jc w:val="right"/>
    </w:pPr>
  </w:style>
  <w:style w:type="table" w:styleId="TableGrid">
    <w:name w:val="Table Grid"/>
    <w:basedOn w:val="TableNormal"/>
    <w:rsid w:val="00953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heading4">
    <w:name w:val="PBO heading 4"/>
    <w:basedOn w:val="PBOheading3"/>
    <w:next w:val="PBOtext"/>
    <w:link w:val="PBOheading4Char"/>
    <w:uiPriority w:val="1"/>
    <w:qFormat/>
    <w:rsid w:val="00983CE4"/>
    <w:rPr>
      <w:b w:val="0"/>
      <w:i/>
      <w:sz w:val="24"/>
    </w:rPr>
  </w:style>
  <w:style w:type="paragraph" w:styleId="Quote">
    <w:name w:val="Quote"/>
    <w:basedOn w:val="Normal"/>
    <w:next w:val="Normal"/>
    <w:link w:val="QuoteChar"/>
    <w:uiPriority w:val="29"/>
    <w:rsid w:val="00344501"/>
    <w:rPr>
      <w:i/>
      <w:iCs/>
    </w:rPr>
  </w:style>
  <w:style w:type="character" w:customStyle="1" w:styleId="QuoteChar">
    <w:name w:val="Quote Char"/>
    <w:basedOn w:val="DefaultParagraphFont"/>
    <w:link w:val="Quote"/>
    <w:uiPriority w:val="29"/>
    <w:rsid w:val="00344501"/>
    <w:rPr>
      <w:i/>
      <w:iCs/>
    </w:rPr>
  </w:style>
  <w:style w:type="character" w:styleId="Strong">
    <w:name w:val="Strong"/>
    <w:uiPriority w:val="22"/>
    <w:rsid w:val="00344501"/>
    <w:rPr>
      <w:b/>
      <w:bCs/>
      <w:color w:val="943634" w:themeColor="accent2" w:themeShade="BF"/>
      <w:spacing w:val="5"/>
    </w:rPr>
  </w:style>
  <w:style w:type="paragraph" w:styleId="BodyText">
    <w:name w:val="Body Text"/>
    <w:basedOn w:val="PBOtext"/>
    <w:link w:val="BodyTextChar"/>
    <w:uiPriority w:val="2"/>
    <w:unhideWhenUsed/>
    <w:rsid w:val="00B771B1"/>
    <w:pPr>
      <w:spacing w:after="120"/>
    </w:pPr>
  </w:style>
  <w:style w:type="character" w:customStyle="1" w:styleId="BodyTextChar">
    <w:name w:val="Body Text Char"/>
    <w:basedOn w:val="DefaultParagraphFont"/>
    <w:link w:val="BodyText"/>
    <w:uiPriority w:val="2"/>
    <w:rsid w:val="00CD21A6"/>
  </w:style>
  <w:style w:type="paragraph" w:styleId="BodyText2">
    <w:name w:val="Body Text 2"/>
    <w:basedOn w:val="PBOtext"/>
    <w:link w:val="BodyText2Char"/>
    <w:uiPriority w:val="2"/>
    <w:unhideWhenUsed/>
    <w:rsid w:val="00B771B1"/>
    <w:pPr>
      <w:spacing w:after="120" w:line="480" w:lineRule="auto"/>
    </w:pPr>
  </w:style>
  <w:style w:type="character" w:customStyle="1" w:styleId="BodyText2Char">
    <w:name w:val="Body Text 2 Char"/>
    <w:basedOn w:val="DefaultParagraphFont"/>
    <w:link w:val="BodyText2"/>
    <w:uiPriority w:val="2"/>
    <w:rsid w:val="00CD21A6"/>
  </w:style>
  <w:style w:type="paragraph" w:styleId="BodyTextFirstIndent">
    <w:name w:val="Body Text First Indent"/>
    <w:basedOn w:val="BodyText"/>
    <w:link w:val="BodyTextFirstIndentChar"/>
    <w:autoRedefine/>
    <w:uiPriority w:val="2"/>
    <w:unhideWhenUsed/>
    <w:rsid w:val="00B771B1"/>
    <w:pPr>
      <w:spacing w:before="0" w:line="240" w:lineRule="auto"/>
      <w:ind w:firstLine="210"/>
    </w:pPr>
    <w:rPr>
      <w:rFonts w:ascii="Cambria" w:hAnsi="Cambria"/>
      <w:sz w:val="24"/>
    </w:rPr>
  </w:style>
  <w:style w:type="character" w:customStyle="1" w:styleId="BodyTextFirstIndentChar">
    <w:name w:val="Body Text First Indent Char"/>
    <w:link w:val="BodyTextFirstIndent"/>
    <w:uiPriority w:val="2"/>
    <w:rsid w:val="00CD21A6"/>
    <w:rPr>
      <w:rFonts w:ascii="Cambria" w:hAnsi="Cambria"/>
      <w:sz w:val="24"/>
    </w:rPr>
  </w:style>
  <w:style w:type="paragraph" w:styleId="Caption">
    <w:name w:val="caption"/>
    <w:aliases w:val="Figure"/>
    <w:basedOn w:val="PBOfiguretableheading"/>
    <w:next w:val="Normal"/>
    <w:link w:val="CaptionChar"/>
    <w:autoRedefine/>
    <w:uiPriority w:val="5"/>
    <w:unhideWhenUsed/>
    <w:qFormat/>
    <w:rsid w:val="007A4A40"/>
    <w:pPr>
      <w:keepNext/>
      <w:tabs>
        <w:tab w:val="left" w:pos="1134"/>
      </w:tabs>
    </w:pPr>
    <w:rPr>
      <w:rFonts w:eastAsia="Cambria" w:cs="Times New Roman"/>
      <w:szCs w:val="22"/>
      <w:lang w:eastAsia="en-AU"/>
    </w:rPr>
  </w:style>
  <w:style w:type="character" w:styleId="Emphasis">
    <w:name w:val="Emphasis"/>
    <w:uiPriority w:val="20"/>
    <w:rsid w:val="00344501"/>
    <w:rPr>
      <w:caps/>
      <w:spacing w:val="5"/>
      <w:sz w:val="20"/>
      <w:szCs w:val="20"/>
    </w:rPr>
  </w:style>
  <w:style w:type="character" w:styleId="SubtleEmphasis">
    <w:name w:val="Subtle Emphasis"/>
    <w:uiPriority w:val="19"/>
    <w:rsid w:val="00344501"/>
    <w:rPr>
      <w:i/>
      <w:iCs/>
    </w:rPr>
  </w:style>
  <w:style w:type="paragraph" w:styleId="TableofFigures">
    <w:name w:val="table of figures"/>
    <w:basedOn w:val="Normal"/>
    <w:next w:val="Normal"/>
    <w:uiPriority w:val="99"/>
    <w:unhideWhenUsed/>
    <w:rsid w:val="009C4DAA"/>
  </w:style>
  <w:style w:type="paragraph" w:styleId="TableofAuthorities">
    <w:name w:val="table of authorities"/>
    <w:basedOn w:val="Normal"/>
    <w:next w:val="Normal"/>
    <w:semiHidden/>
    <w:locked/>
    <w:rsid w:val="009C4DAA"/>
    <w:pPr>
      <w:ind w:left="240" w:hanging="240"/>
    </w:pPr>
  </w:style>
  <w:style w:type="character" w:customStyle="1" w:styleId="Heading1Char">
    <w:name w:val="Heading 1 Char"/>
    <w:basedOn w:val="DefaultParagraphFont"/>
    <w:link w:val="Heading1"/>
    <w:uiPriority w:val="9"/>
    <w:rsid w:val="00BF2529"/>
    <w:rPr>
      <w:rFonts w:ascii="Georgia" w:hAnsi="Georgia"/>
      <w:color w:val="2B3B5F"/>
      <w:sz w:val="36"/>
      <w:szCs w:val="24"/>
    </w:rPr>
  </w:style>
  <w:style w:type="paragraph" w:styleId="TOCHeading">
    <w:name w:val="TOC Heading"/>
    <w:basedOn w:val="Heading1"/>
    <w:next w:val="Normal"/>
    <w:uiPriority w:val="39"/>
    <w:unhideWhenUsed/>
    <w:qFormat/>
    <w:rsid w:val="00344501"/>
    <w:pPr>
      <w:outlineLvl w:val="9"/>
    </w:pPr>
    <w:rPr>
      <w:lang w:bidi="en-US"/>
    </w:rPr>
  </w:style>
  <w:style w:type="paragraph" w:styleId="ListBullet">
    <w:name w:val="List Bullet"/>
    <w:basedOn w:val="PBObullet"/>
    <w:uiPriority w:val="3"/>
    <w:rsid w:val="009C4DAA"/>
    <w:pPr>
      <w:numPr>
        <w:numId w:val="1"/>
      </w:numPr>
      <w:contextualSpacing/>
    </w:pPr>
  </w:style>
  <w:style w:type="paragraph" w:styleId="ListBullet2">
    <w:name w:val="List Bullet 2"/>
    <w:basedOn w:val="ListBullet"/>
    <w:uiPriority w:val="3"/>
    <w:rsid w:val="009C4DAA"/>
    <w:pPr>
      <w:numPr>
        <w:numId w:val="2"/>
      </w:numPr>
    </w:pPr>
  </w:style>
  <w:style w:type="paragraph" w:styleId="ListContinue">
    <w:name w:val="List Continue"/>
    <w:basedOn w:val="PBOtext"/>
    <w:uiPriority w:val="3"/>
    <w:rsid w:val="009C4DAA"/>
    <w:pPr>
      <w:spacing w:after="120"/>
      <w:ind w:left="283"/>
      <w:contextualSpacing/>
    </w:pPr>
  </w:style>
  <w:style w:type="paragraph" w:styleId="ListContinue2">
    <w:name w:val="List Continue 2"/>
    <w:basedOn w:val="PBOtext"/>
    <w:uiPriority w:val="3"/>
    <w:rsid w:val="009C4DAA"/>
    <w:pPr>
      <w:spacing w:after="120"/>
      <w:ind w:left="566"/>
      <w:contextualSpacing/>
    </w:pPr>
  </w:style>
  <w:style w:type="paragraph" w:styleId="ListNumber">
    <w:name w:val="List Number"/>
    <w:basedOn w:val="PBOtext"/>
    <w:uiPriority w:val="3"/>
    <w:rsid w:val="009C4DAA"/>
    <w:pPr>
      <w:numPr>
        <w:numId w:val="3"/>
      </w:numPr>
      <w:contextualSpacing/>
    </w:pPr>
  </w:style>
  <w:style w:type="paragraph" w:styleId="ListNumber2">
    <w:name w:val="List Number 2"/>
    <w:basedOn w:val="PBOtext"/>
    <w:uiPriority w:val="3"/>
    <w:rsid w:val="009C4DAA"/>
    <w:pPr>
      <w:numPr>
        <w:numId w:val="4"/>
      </w:numPr>
      <w:contextualSpacing/>
    </w:pPr>
  </w:style>
  <w:style w:type="character" w:styleId="IntenseEmphasis">
    <w:name w:val="Intense Emphasis"/>
    <w:uiPriority w:val="21"/>
    <w:rsid w:val="00344501"/>
    <w:rPr>
      <w:i/>
      <w:iCs/>
      <w:caps/>
      <w:spacing w:val="10"/>
      <w:sz w:val="20"/>
      <w:szCs w:val="20"/>
    </w:rPr>
  </w:style>
  <w:style w:type="paragraph" w:styleId="IntenseQuote">
    <w:name w:val="Intense Quote"/>
    <w:basedOn w:val="Normal"/>
    <w:next w:val="Normal"/>
    <w:link w:val="IntenseQuoteChar"/>
    <w:uiPriority w:val="30"/>
    <w:rsid w:val="0034450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rPr>
  </w:style>
  <w:style w:type="character" w:customStyle="1" w:styleId="IntenseQuoteChar">
    <w:name w:val="Intense Quote Char"/>
    <w:basedOn w:val="DefaultParagraphFont"/>
    <w:link w:val="IntenseQuote"/>
    <w:uiPriority w:val="30"/>
    <w:rsid w:val="00344501"/>
    <w:rPr>
      <w:caps/>
      <w:color w:val="622423" w:themeColor="accent2" w:themeShade="7F"/>
      <w:spacing w:val="5"/>
      <w:sz w:val="20"/>
      <w:szCs w:val="20"/>
    </w:rPr>
  </w:style>
  <w:style w:type="paragraph" w:styleId="BalloonText">
    <w:name w:val="Balloon Text"/>
    <w:basedOn w:val="Normal"/>
    <w:link w:val="BalloonTextChar"/>
    <w:semiHidden/>
    <w:unhideWhenUsed/>
    <w:rsid w:val="005F24F2"/>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5F24F2"/>
    <w:rPr>
      <w:rFonts w:ascii="Tahoma" w:hAnsi="Tahoma" w:cs="Tahoma"/>
      <w:sz w:val="16"/>
      <w:szCs w:val="16"/>
    </w:rPr>
  </w:style>
  <w:style w:type="character" w:styleId="CommentReference">
    <w:name w:val="annotation reference"/>
    <w:basedOn w:val="DefaultParagraphFont"/>
    <w:uiPriority w:val="99"/>
    <w:semiHidden/>
    <w:unhideWhenUsed/>
    <w:rsid w:val="009A4F23"/>
    <w:rPr>
      <w:sz w:val="16"/>
      <w:szCs w:val="16"/>
    </w:rPr>
  </w:style>
  <w:style w:type="paragraph" w:styleId="CommentText">
    <w:name w:val="annotation text"/>
    <w:basedOn w:val="Normal"/>
    <w:link w:val="CommentTextChar"/>
    <w:unhideWhenUsed/>
    <w:rsid w:val="009A4F23"/>
  </w:style>
  <w:style w:type="character" w:customStyle="1" w:styleId="CommentTextChar">
    <w:name w:val="Comment Text Char"/>
    <w:basedOn w:val="DefaultParagraphFont"/>
    <w:link w:val="CommentText"/>
    <w:rsid w:val="009A4F23"/>
  </w:style>
  <w:style w:type="paragraph" w:styleId="CommentSubject">
    <w:name w:val="annotation subject"/>
    <w:basedOn w:val="CommentText"/>
    <w:next w:val="CommentText"/>
    <w:link w:val="CommentSubjectChar"/>
    <w:semiHidden/>
    <w:unhideWhenUsed/>
    <w:rsid w:val="009A4F23"/>
    <w:rPr>
      <w:b/>
      <w:bCs/>
    </w:rPr>
  </w:style>
  <w:style w:type="character" w:customStyle="1" w:styleId="CommentSubjectChar">
    <w:name w:val="Comment Subject Char"/>
    <w:basedOn w:val="CommentTextChar"/>
    <w:link w:val="CommentSubject"/>
    <w:semiHidden/>
    <w:rsid w:val="009A4F23"/>
    <w:rPr>
      <w:b/>
      <w:bCs/>
    </w:rPr>
  </w:style>
  <w:style w:type="character" w:customStyle="1" w:styleId="PBOtextChar">
    <w:name w:val="PBO text Char"/>
    <w:basedOn w:val="DefaultParagraphFont"/>
    <w:link w:val="PBOtext"/>
    <w:locked/>
    <w:rsid w:val="00983CE4"/>
  </w:style>
  <w:style w:type="paragraph" w:styleId="TOC2">
    <w:name w:val="toc 2"/>
    <w:basedOn w:val="Normal"/>
    <w:next w:val="Normal"/>
    <w:autoRedefine/>
    <w:uiPriority w:val="39"/>
    <w:unhideWhenUsed/>
    <w:rsid w:val="00983CE4"/>
    <w:pPr>
      <w:spacing w:before="0"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rsid w:val="001B2F44"/>
    <w:pPr>
      <w:tabs>
        <w:tab w:val="left" w:pos="567"/>
        <w:tab w:val="left" w:pos="8080"/>
        <w:tab w:val="right" w:leader="dot" w:pos="8296"/>
      </w:tabs>
      <w:spacing w:after="100" w:line="480" w:lineRule="auto"/>
    </w:pPr>
  </w:style>
  <w:style w:type="paragraph" w:styleId="TOC3">
    <w:name w:val="toc 3"/>
    <w:basedOn w:val="Normal"/>
    <w:next w:val="Normal"/>
    <w:autoRedefine/>
    <w:uiPriority w:val="39"/>
    <w:semiHidden/>
    <w:unhideWhenUsed/>
    <w:rsid w:val="00983CE4"/>
    <w:pPr>
      <w:spacing w:before="0" w:after="100" w:line="276" w:lineRule="auto"/>
      <w:ind w:left="440"/>
    </w:pPr>
    <w:rPr>
      <w:rFonts w:asciiTheme="minorHAnsi" w:eastAsiaTheme="minorEastAsia" w:hAnsiTheme="minorHAnsi" w:cstheme="minorBidi"/>
      <w:sz w:val="22"/>
      <w:szCs w:val="22"/>
      <w:lang w:val="en-US" w:eastAsia="ja-JP"/>
    </w:rPr>
  </w:style>
  <w:style w:type="character" w:styleId="FootnoteReference">
    <w:name w:val="footnote reference"/>
    <w:basedOn w:val="DefaultParagraphFont"/>
    <w:rsid w:val="001C5A93"/>
    <w:rPr>
      <w:vertAlign w:val="superscript"/>
    </w:rPr>
  </w:style>
  <w:style w:type="paragraph" w:styleId="FootnoteText">
    <w:name w:val="footnote text"/>
    <w:basedOn w:val="Normal"/>
    <w:link w:val="FootnoteTextChar"/>
    <w:rsid w:val="001C5A93"/>
    <w:pPr>
      <w:tabs>
        <w:tab w:val="left" w:pos="284"/>
      </w:tabs>
      <w:spacing w:before="0" w:after="0"/>
      <w:ind w:left="284" w:hanging="284"/>
    </w:pPr>
    <w:rPr>
      <w:rFonts w:asciiTheme="minorHAnsi" w:eastAsia="Times New Roman" w:hAnsiTheme="minorHAnsi"/>
      <w:sz w:val="18"/>
    </w:rPr>
  </w:style>
  <w:style w:type="character" w:customStyle="1" w:styleId="FootnoteTextChar">
    <w:name w:val="Footnote Text Char"/>
    <w:basedOn w:val="DefaultParagraphFont"/>
    <w:link w:val="FootnoteText"/>
    <w:rsid w:val="001C5A93"/>
    <w:rPr>
      <w:rFonts w:asciiTheme="minorHAnsi" w:eastAsia="Times New Roman" w:hAnsiTheme="minorHAnsi"/>
      <w:sz w:val="18"/>
    </w:rPr>
  </w:style>
  <w:style w:type="paragraph" w:customStyle="1" w:styleId="ChartGraphic">
    <w:name w:val="Chart Graphic"/>
    <w:basedOn w:val="Normal"/>
    <w:next w:val="Normal"/>
    <w:rsid w:val="001C5A93"/>
    <w:pPr>
      <w:keepNext/>
      <w:spacing w:before="0" w:after="0"/>
      <w:jc w:val="center"/>
    </w:pPr>
    <w:rPr>
      <w:rFonts w:asciiTheme="majorHAnsi" w:eastAsia="Times New Roman" w:hAnsiTheme="majorHAnsi"/>
      <w:color w:val="4F81BD" w:themeColor="accent1"/>
    </w:rPr>
  </w:style>
  <w:style w:type="character" w:customStyle="1" w:styleId="CaptionChar">
    <w:name w:val="Caption Char"/>
    <w:aliases w:val="Figure Char"/>
    <w:basedOn w:val="DefaultParagraphFont"/>
    <w:link w:val="Caption"/>
    <w:uiPriority w:val="5"/>
    <w:rsid w:val="007A4A40"/>
    <w:rPr>
      <w:rFonts w:ascii="Calibri" w:eastAsia="Cambria" w:hAnsi="Calibri" w:cs="Times New Roman"/>
      <w:b/>
      <w:color w:val="2B3B5F"/>
      <w:lang w:eastAsia="en-AU"/>
    </w:rPr>
  </w:style>
  <w:style w:type="paragraph" w:customStyle="1" w:styleId="FigureCaption">
    <w:name w:val="Figure Caption"/>
    <w:basedOn w:val="Normal"/>
    <w:link w:val="FigureCaptionChar"/>
    <w:qFormat/>
    <w:rsid w:val="008D5907"/>
    <w:pPr>
      <w:spacing w:before="0"/>
    </w:pPr>
    <w:rPr>
      <w:rFonts w:eastAsia="Times New Roman"/>
      <w:color w:val="000000"/>
      <w:sz w:val="18"/>
    </w:rPr>
  </w:style>
  <w:style w:type="character" w:customStyle="1" w:styleId="FigureCaptionChar">
    <w:name w:val="Figure Caption Char"/>
    <w:basedOn w:val="DefaultParagraphFont"/>
    <w:link w:val="FigureCaption"/>
    <w:rsid w:val="008D5907"/>
    <w:rPr>
      <w:rFonts w:ascii="Calibri" w:eastAsia="Times New Roman" w:hAnsi="Calibri" w:cs="Times New Roman"/>
      <w:color w:val="000000"/>
      <w:sz w:val="18"/>
      <w:szCs w:val="20"/>
      <w:lang w:eastAsia="en-AU"/>
    </w:rPr>
  </w:style>
  <w:style w:type="paragraph" w:customStyle="1" w:styleId="ChartorTableNote">
    <w:name w:val="Chart or Table Note"/>
    <w:next w:val="Normal"/>
    <w:link w:val="ChartorTableNoteChar"/>
    <w:rsid w:val="009A07F5"/>
    <w:pPr>
      <w:jc w:val="both"/>
    </w:pPr>
    <w:rPr>
      <w:rFonts w:ascii="Arial" w:eastAsia="Times New Roman" w:hAnsi="Arial"/>
      <w:color w:val="000000"/>
      <w:sz w:val="16"/>
      <w:lang w:eastAsia="en-AU"/>
    </w:rPr>
  </w:style>
  <w:style w:type="character" w:customStyle="1" w:styleId="ChartorTableNoteChar">
    <w:name w:val="Chart or Table Note Char"/>
    <w:basedOn w:val="DefaultParagraphFont"/>
    <w:link w:val="ChartorTableNote"/>
    <w:rsid w:val="009A07F5"/>
    <w:rPr>
      <w:rFonts w:ascii="Arial" w:eastAsia="Times New Roman" w:hAnsi="Arial"/>
      <w:color w:val="000000"/>
      <w:sz w:val="16"/>
      <w:lang w:eastAsia="en-AU"/>
    </w:rPr>
  </w:style>
  <w:style w:type="character" w:styleId="Hyperlink">
    <w:name w:val="Hyperlink"/>
    <w:basedOn w:val="DefaultParagraphFont"/>
    <w:uiPriority w:val="99"/>
    <w:rsid w:val="00857D55"/>
    <w:rPr>
      <w:color w:val="0000FF" w:themeColor="hyperlink"/>
      <w:u w:val="single"/>
    </w:rPr>
  </w:style>
  <w:style w:type="paragraph" w:customStyle="1" w:styleId="PBOsource">
    <w:name w:val="PBO source"/>
    <w:basedOn w:val="PBOtext"/>
    <w:link w:val="PBOsourceChar"/>
    <w:qFormat/>
    <w:rsid w:val="00983CE4"/>
    <w:rPr>
      <w:rFonts w:ascii="Arial" w:hAnsi="Arial" w:cs="Arial"/>
      <w:sz w:val="16"/>
    </w:rPr>
  </w:style>
  <w:style w:type="character" w:customStyle="1" w:styleId="PBOsourceChar">
    <w:name w:val="PBO source Char"/>
    <w:basedOn w:val="PBOtextChar"/>
    <w:link w:val="PBOsource"/>
    <w:rsid w:val="00983CE4"/>
    <w:rPr>
      <w:rFonts w:ascii="Arial" w:hAnsi="Arial" w:cs="Arial"/>
      <w:sz w:val="16"/>
      <w:lang w:eastAsia="en-AU"/>
    </w:rPr>
  </w:style>
  <w:style w:type="paragraph" w:customStyle="1" w:styleId="BoxHeading">
    <w:name w:val="Box Heading"/>
    <w:basedOn w:val="Normal"/>
    <w:next w:val="Normal"/>
    <w:rsid w:val="004925E8"/>
    <w:pPr>
      <w:keepNext/>
      <w:spacing w:before="240" w:after="120"/>
    </w:pPr>
    <w:rPr>
      <w:rFonts w:asciiTheme="majorHAnsi" w:eastAsia="Times New Roman" w:hAnsiTheme="majorHAnsi"/>
      <w:b/>
      <w:color w:val="4F81BD" w:themeColor="accent1"/>
      <w:sz w:val="22"/>
    </w:rPr>
  </w:style>
  <w:style w:type="character" w:customStyle="1" w:styleId="Heading2Char">
    <w:name w:val="Heading 2 Char"/>
    <w:basedOn w:val="DefaultParagraphFont"/>
    <w:link w:val="Heading2"/>
    <w:uiPriority w:val="9"/>
    <w:rsid w:val="00344501"/>
    <w:rPr>
      <w:rFonts w:ascii="Calibri" w:eastAsia="Cambria" w:hAnsi="Calibri" w:cs="Times New Roman"/>
      <w:caps/>
      <w:color w:val="632423" w:themeColor="accent2" w:themeShade="80"/>
      <w:spacing w:val="15"/>
      <w:sz w:val="24"/>
      <w:szCs w:val="24"/>
      <w:lang w:eastAsia="en-AU"/>
    </w:rPr>
  </w:style>
  <w:style w:type="character" w:customStyle="1" w:styleId="Heading3Char">
    <w:name w:val="Heading 3 Char"/>
    <w:basedOn w:val="DefaultParagraphFont"/>
    <w:link w:val="Heading3"/>
    <w:uiPriority w:val="9"/>
    <w:semiHidden/>
    <w:rsid w:val="00344501"/>
    <w:rPr>
      <w:rFonts w:ascii="Calibri" w:eastAsia="Cambria" w:hAnsi="Calibri" w:cs="Times New Roman"/>
      <w:caps/>
      <w:color w:val="622423" w:themeColor="accent2" w:themeShade="7F"/>
      <w:sz w:val="24"/>
      <w:szCs w:val="24"/>
      <w:lang w:eastAsia="en-AU"/>
    </w:rPr>
  </w:style>
  <w:style w:type="character" w:customStyle="1" w:styleId="Heading4Char">
    <w:name w:val="Heading 4 Char"/>
    <w:basedOn w:val="DefaultParagraphFont"/>
    <w:link w:val="Heading4"/>
    <w:uiPriority w:val="9"/>
    <w:semiHidden/>
    <w:rsid w:val="00344501"/>
    <w:rPr>
      <w:rFonts w:ascii="Calibri" w:eastAsia="Cambria" w:hAnsi="Calibri" w:cs="Times New Roman"/>
      <w:caps/>
      <w:color w:val="622423" w:themeColor="accent2" w:themeShade="7F"/>
      <w:spacing w:val="10"/>
      <w:sz w:val="20"/>
      <w:szCs w:val="20"/>
      <w:lang w:eastAsia="en-AU"/>
    </w:rPr>
  </w:style>
  <w:style w:type="character" w:customStyle="1" w:styleId="Heading5Char">
    <w:name w:val="Heading 5 Char"/>
    <w:basedOn w:val="DefaultParagraphFont"/>
    <w:link w:val="Heading5"/>
    <w:uiPriority w:val="9"/>
    <w:semiHidden/>
    <w:rsid w:val="00344501"/>
    <w:rPr>
      <w:rFonts w:ascii="Calibri" w:eastAsia="Cambria" w:hAnsi="Calibri" w:cs="Times New Roman"/>
      <w:caps/>
      <w:color w:val="622423" w:themeColor="accent2" w:themeShade="7F"/>
      <w:spacing w:val="10"/>
      <w:sz w:val="20"/>
      <w:szCs w:val="20"/>
      <w:lang w:eastAsia="en-AU"/>
    </w:rPr>
  </w:style>
  <w:style w:type="character" w:customStyle="1" w:styleId="Heading6Char">
    <w:name w:val="Heading 6 Char"/>
    <w:basedOn w:val="DefaultParagraphFont"/>
    <w:link w:val="Heading6"/>
    <w:uiPriority w:val="9"/>
    <w:semiHidden/>
    <w:rsid w:val="00344501"/>
    <w:rPr>
      <w:rFonts w:ascii="Calibri" w:eastAsia="Cambria" w:hAnsi="Calibri" w:cs="Times New Roman"/>
      <w:caps/>
      <w:color w:val="943634" w:themeColor="accent2" w:themeShade="BF"/>
      <w:spacing w:val="10"/>
      <w:sz w:val="20"/>
      <w:szCs w:val="20"/>
      <w:lang w:eastAsia="en-AU"/>
    </w:rPr>
  </w:style>
  <w:style w:type="character" w:customStyle="1" w:styleId="Heading7Char">
    <w:name w:val="Heading 7 Char"/>
    <w:basedOn w:val="DefaultParagraphFont"/>
    <w:link w:val="Heading7"/>
    <w:uiPriority w:val="9"/>
    <w:semiHidden/>
    <w:rsid w:val="00344501"/>
    <w:rPr>
      <w:rFonts w:ascii="Calibri" w:eastAsia="Cambria" w:hAnsi="Calibri" w:cs="Times New Roman"/>
      <w:i/>
      <w:iCs/>
      <w:caps/>
      <w:color w:val="943634" w:themeColor="accent2" w:themeShade="BF"/>
      <w:spacing w:val="10"/>
      <w:sz w:val="20"/>
      <w:szCs w:val="20"/>
      <w:lang w:eastAsia="en-AU"/>
    </w:rPr>
  </w:style>
  <w:style w:type="character" w:customStyle="1" w:styleId="Heading8Char">
    <w:name w:val="Heading 8 Char"/>
    <w:basedOn w:val="DefaultParagraphFont"/>
    <w:link w:val="Heading8"/>
    <w:uiPriority w:val="9"/>
    <w:semiHidden/>
    <w:rsid w:val="00344501"/>
    <w:rPr>
      <w:rFonts w:ascii="Calibri" w:eastAsia="Cambria" w:hAnsi="Calibri" w:cs="Times New Roman"/>
      <w:caps/>
      <w:spacing w:val="10"/>
      <w:sz w:val="20"/>
      <w:szCs w:val="20"/>
      <w:lang w:eastAsia="en-AU"/>
    </w:rPr>
  </w:style>
  <w:style w:type="character" w:customStyle="1" w:styleId="Heading9Char">
    <w:name w:val="Heading 9 Char"/>
    <w:basedOn w:val="DefaultParagraphFont"/>
    <w:link w:val="Heading9"/>
    <w:uiPriority w:val="9"/>
    <w:semiHidden/>
    <w:rsid w:val="00344501"/>
    <w:rPr>
      <w:rFonts w:ascii="Calibri" w:eastAsia="Cambria" w:hAnsi="Calibri" w:cs="Times New Roman"/>
      <w:i/>
      <w:iCs/>
      <w:caps/>
      <w:spacing w:val="10"/>
      <w:sz w:val="20"/>
      <w:szCs w:val="20"/>
      <w:lang w:eastAsia="en-AU"/>
    </w:rPr>
  </w:style>
  <w:style w:type="paragraph" w:styleId="NoSpacing">
    <w:name w:val="No Spacing"/>
    <w:basedOn w:val="Normal"/>
    <w:link w:val="NoSpacingChar"/>
    <w:uiPriority w:val="1"/>
    <w:locked/>
    <w:rsid w:val="00344501"/>
    <w:pPr>
      <w:spacing w:after="0" w:line="240" w:lineRule="auto"/>
    </w:pPr>
  </w:style>
  <w:style w:type="character" w:customStyle="1" w:styleId="NoSpacingChar">
    <w:name w:val="No Spacing Char"/>
    <w:basedOn w:val="DefaultParagraphFont"/>
    <w:link w:val="NoSpacing"/>
    <w:uiPriority w:val="1"/>
    <w:rsid w:val="00344501"/>
  </w:style>
  <w:style w:type="paragraph" w:styleId="ListParagraph">
    <w:name w:val="List Paragraph"/>
    <w:basedOn w:val="Normal"/>
    <w:uiPriority w:val="34"/>
    <w:qFormat/>
    <w:rsid w:val="00344501"/>
    <w:pPr>
      <w:ind w:left="720"/>
      <w:contextualSpacing/>
    </w:pPr>
  </w:style>
  <w:style w:type="character" w:styleId="SubtleReference">
    <w:name w:val="Subtle Reference"/>
    <w:basedOn w:val="DefaultParagraphFont"/>
    <w:uiPriority w:val="31"/>
    <w:locked/>
    <w:rsid w:val="00344501"/>
    <w:rPr>
      <w:rFonts w:asciiTheme="minorHAnsi" w:eastAsiaTheme="minorEastAsia" w:hAnsiTheme="minorHAnsi" w:cstheme="minorBidi"/>
      <w:i/>
      <w:iCs/>
      <w:color w:val="622423" w:themeColor="accent2" w:themeShade="7F"/>
    </w:rPr>
  </w:style>
  <w:style w:type="character" w:styleId="IntenseReference">
    <w:name w:val="Intense Reference"/>
    <w:uiPriority w:val="32"/>
    <w:locked/>
    <w:rsid w:val="00344501"/>
    <w:rPr>
      <w:rFonts w:asciiTheme="minorHAnsi" w:eastAsiaTheme="minorEastAsia" w:hAnsiTheme="minorHAnsi" w:cstheme="minorBidi"/>
      <w:b/>
      <w:bCs/>
      <w:i/>
      <w:iCs/>
      <w:color w:val="622423" w:themeColor="accent2" w:themeShade="7F"/>
    </w:rPr>
  </w:style>
  <w:style w:type="character" w:styleId="BookTitle">
    <w:name w:val="Book Title"/>
    <w:uiPriority w:val="33"/>
    <w:rsid w:val="00344501"/>
    <w:rPr>
      <w:caps/>
      <w:color w:val="622423" w:themeColor="accent2" w:themeShade="7F"/>
      <w:spacing w:val="5"/>
      <w:u w:color="622423" w:themeColor="accent2" w:themeShade="7F"/>
    </w:rPr>
  </w:style>
  <w:style w:type="paragraph" w:customStyle="1" w:styleId="Heading20">
    <w:name w:val="Heading2"/>
    <w:basedOn w:val="PBOheading2"/>
    <w:link w:val="Heading2Char0"/>
    <w:qFormat/>
    <w:rsid w:val="00D400E8"/>
    <w:pPr>
      <w:keepLines/>
      <w:outlineLvl w:val="1"/>
    </w:pPr>
    <w:rPr>
      <w:bCs/>
      <w:szCs w:val="26"/>
      <w:lang w:eastAsia="en-AU"/>
    </w:rPr>
  </w:style>
  <w:style w:type="paragraph" w:customStyle="1" w:styleId="Heading30">
    <w:name w:val="Heading3"/>
    <w:basedOn w:val="PBOheading3"/>
    <w:link w:val="Heading3Char0"/>
    <w:qFormat/>
    <w:rsid w:val="00233941"/>
    <w:pPr>
      <w:spacing w:line="240" w:lineRule="auto"/>
    </w:pPr>
    <w:rPr>
      <w:rFonts w:eastAsia="Cambria" w:cs="Times New Roman"/>
    </w:rPr>
  </w:style>
  <w:style w:type="character" w:customStyle="1" w:styleId="PBOheading1Char">
    <w:name w:val="PBO heading 1 Char"/>
    <w:basedOn w:val="DefaultParagraphFont"/>
    <w:link w:val="PBOheading1"/>
    <w:uiPriority w:val="1"/>
    <w:rsid w:val="00ED5CDA"/>
    <w:rPr>
      <w:rFonts w:ascii="Georgia" w:hAnsi="Georgia"/>
      <w:color w:val="2B3B5F"/>
      <w:sz w:val="36"/>
      <w:szCs w:val="24"/>
    </w:rPr>
  </w:style>
  <w:style w:type="character" w:customStyle="1" w:styleId="PBOheading2Char">
    <w:name w:val="PBO heading 2 Char"/>
    <w:basedOn w:val="PBOheading1Char"/>
    <w:link w:val="PBOheading2"/>
    <w:uiPriority w:val="1"/>
    <w:rsid w:val="00344501"/>
    <w:rPr>
      <w:rFonts w:ascii="Georgia" w:hAnsi="Georgia"/>
      <w:color w:val="264A76"/>
      <w:sz w:val="28"/>
      <w:szCs w:val="24"/>
    </w:rPr>
  </w:style>
  <w:style w:type="character" w:customStyle="1" w:styleId="Heading2Char0">
    <w:name w:val="Heading2 Char"/>
    <w:basedOn w:val="PBOheading2Char"/>
    <w:link w:val="Heading20"/>
    <w:rsid w:val="00D400E8"/>
    <w:rPr>
      <w:rFonts w:ascii="Georgia" w:hAnsi="Georgia"/>
      <w:bCs/>
      <w:color w:val="336AAD"/>
      <w:sz w:val="28"/>
      <w:szCs w:val="26"/>
      <w:lang w:eastAsia="en-AU"/>
    </w:rPr>
  </w:style>
  <w:style w:type="paragraph" w:customStyle="1" w:styleId="Heading40">
    <w:name w:val="Heading4"/>
    <w:basedOn w:val="PBOheading4"/>
    <w:link w:val="Heading4Char0"/>
    <w:qFormat/>
    <w:rsid w:val="00816B94"/>
    <w:rPr>
      <w:rFonts w:asciiTheme="minorHAnsi" w:hAnsiTheme="minorHAnsi"/>
    </w:rPr>
  </w:style>
  <w:style w:type="character" w:customStyle="1" w:styleId="PBOheading3Char">
    <w:name w:val="PBO heading 3 Char"/>
    <w:basedOn w:val="DefaultParagraphFont"/>
    <w:link w:val="PBOheading3"/>
    <w:uiPriority w:val="1"/>
    <w:rsid w:val="00DB70AB"/>
    <w:rPr>
      <w:rFonts w:ascii="Calibri" w:hAnsi="Calibri"/>
      <w:b/>
      <w:szCs w:val="24"/>
    </w:rPr>
  </w:style>
  <w:style w:type="character" w:customStyle="1" w:styleId="Heading3Char0">
    <w:name w:val="Heading3 Char"/>
    <w:basedOn w:val="PBOheading3Char"/>
    <w:link w:val="Heading30"/>
    <w:rsid w:val="00233941"/>
    <w:rPr>
      <w:rFonts w:ascii="Calibri" w:eastAsia="Cambria" w:hAnsi="Calibri" w:cs="Times New Roman"/>
      <w:b/>
      <w:szCs w:val="24"/>
    </w:rPr>
  </w:style>
  <w:style w:type="paragraph" w:customStyle="1" w:styleId="BoxText">
    <w:name w:val="Box Text"/>
    <w:basedOn w:val="Normal"/>
    <w:rsid w:val="00926671"/>
    <w:pPr>
      <w:spacing w:before="0" w:after="240" w:line="276" w:lineRule="auto"/>
    </w:pPr>
    <w:rPr>
      <w:rFonts w:asciiTheme="minorHAnsi" w:eastAsia="Times New Roman" w:hAnsiTheme="minorHAnsi"/>
      <w:sz w:val="22"/>
    </w:rPr>
  </w:style>
  <w:style w:type="character" w:customStyle="1" w:styleId="PBOheading4Char">
    <w:name w:val="PBO heading 4 Char"/>
    <w:basedOn w:val="PBOheading3Char"/>
    <w:link w:val="PBOheading4"/>
    <w:uiPriority w:val="1"/>
    <w:rsid w:val="00816B94"/>
    <w:rPr>
      <w:rFonts w:ascii="Calibri" w:hAnsi="Calibri"/>
      <w:b w:val="0"/>
      <w:i/>
      <w:sz w:val="24"/>
      <w:szCs w:val="24"/>
    </w:rPr>
  </w:style>
  <w:style w:type="character" w:customStyle="1" w:styleId="Heading4Char0">
    <w:name w:val="Heading4 Char"/>
    <w:basedOn w:val="PBOheading4Char"/>
    <w:link w:val="Heading40"/>
    <w:rsid w:val="00816B94"/>
    <w:rPr>
      <w:rFonts w:asciiTheme="minorHAnsi" w:hAnsiTheme="minorHAnsi"/>
      <w:b w:val="0"/>
      <w:i/>
      <w:sz w:val="24"/>
      <w:szCs w:val="24"/>
    </w:rPr>
  </w:style>
  <w:style w:type="paragraph" w:customStyle="1" w:styleId="Source">
    <w:name w:val="Source"/>
    <w:basedOn w:val="Normal"/>
    <w:link w:val="SourceChar"/>
    <w:autoRedefine/>
    <w:rsid w:val="00D23112"/>
    <w:pPr>
      <w:spacing w:before="0" w:line="240" w:lineRule="auto"/>
    </w:pPr>
    <w:rPr>
      <w:rFonts w:ascii="Arial" w:eastAsia="MS PGothic" w:hAnsi="Arial"/>
      <w:color w:val="000000"/>
      <w:sz w:val="16"/>
    </w:rPr>
  </w:style>
  <w:style w:type="character" w:customStyle="1" w:styleId="SourceChar">
    <w:name w:val="Source Char"/>
    <w:basedOn w:val="DefaultParagraphFont"/>
    <w:link w:val="Source"/>
    <w:rsid w:val="00D23112"/>
    <w:rPr>
      <w:rFonts w:ascii="Arial" w:eastAsia="MS PGothic" w:hAnsi="Arial" w:cs="Times New Roman"/>
      <w:color w:val="000000"/>
      <w:sz w:val="16"/>
      <w:szCs w:val="20"/>
      <w:lang w:eastAsia="en-AU"/>
    </w:rPr>
  </w:style>
  <w:style w:type="character" w:styleId="FollowedHyperlink">
    <w:name w:val="FollowedHyperlink"/>
    <w:basedOn w:val="DefaultParagraphFont"/>
    <w:uiPriority w:val="5"/>
    <w:rsid w:val="005139F7"/>
    <w:rPr>
      <w:color w:val="800080" w:themeColor="followedHyperlink"/>
      <w:u w:val="single"/>
    </w:rPr>
  </w:style>
  <w:style w:type="paragraph" w:customStyle="1" w:styleId="PBOfooter">
    <w:name w:val="PBO footer"/>
    <w:basedOn w:val="PBOtext"/>
    <w:qFormat/>
    <w:rsid w:val="00E91B9E"/>
    <w:pPr>
      <w:spacing w:before="0" w:after="0"/>
    </w:pPr>
    <w:rPr>
      <w:b/>
      <w:noProof/>
      <w:szCs w:val="24"/>
      <w:lang w:eastAsia="en-US"/>
    </w:rPr>
  </w:style>
  <w:style w:type="table" w:customStyle="1" w:styleId="TableGrid1">
    <w:name w:val="Table Grid1"/>
    <w:basedOn w:val="TableNormal"/>
    <w:next w:val="TableGrid"/>
    <w:rsid w:val="001526DD"/>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7136">
      <w:bodyDiv w:val="1"/>
      <w:marLeft w:val="0"/>
      <w:marRight w:val="0"/>
      <w:marTop w:val="0"/>
      <w:marBottom w:val="0"/>
      <w:divBdr>
        <w:top w:val="none" w:sz="0" w:space="0" w:color="auto"/>
        <w:left w:val="none" w:sz="0" w:space="0" w:color="auto"/>
        <w:bottom w:val="none" w:sz="0" w:space="0" w:color="auto"/>
        <w:right w:val="none" w:sz="0" w:space="0" w:color="auto"/>
      </w:divBdr>
    </w:div>
    <w:div w:id="106629583">
      <w:bodyDiv w:val="1"/>
      <w:marLeft w:val="0"/>
      <w:marRight w:val="0"/>
      <w:marTop w:val="0"/>
      <w:marBottom w:val="0"/>
      <w:divBdr>
        <w:top w:val="none" w:sz="0" w:space="0" w:color="auto"/>
        <w:left w:val="none" w:sz="0" w:space="0" w:color="auto"/>
        <w:bottom w:val="none" w:sz="0" w:space="0" w:color="auto"/>
        <w:right w:val="none" w:sz="0" w:space="0" w:color="auto"/>
      </w:divBdr>
    </w:div>
    <w:div w:id="140777207">
      <w:bodyDiv w:val="1"/>
      <w:marLeft w:val="0"/>
      <w:marRight w:val="0"/>
      <w:marTop w:val="0"/>
      <w:marBottom w:val="0"/>
      <w:divBdr>
        <w:top w:val="none" w:sz="0" w:space="0" w:color="auto"/>
        <w:left w:val="none" w:sz="0" w:space="0" w:color="auto"/>
        <w:bottom w:val="none" w:sz="0" w:space="0" w:color="auto"/>
        <w:right w:val="none" w:sz="0" w:space="0" w:color="auto"/>
      </w:divBdr>
    </w:div>
    <w:div w:id="348218314">
      <w:bodyDiv w:val="1"/>
      <w:marLeft w:val="0"/>
      <w:marRight w:val="0"/>
      <w:marTop w:val="0"/>
      <w:marBottom w:val="0"/>
      <w:divBdr>
        <w:top w:val="none" w:sz="0" w:space="0" w:color="auto"/>
        <w:left w:val="none" w:sz="0" w:space="0" w:color="auto"/>
        <w:bottom w:val="none" w:sz="0" w:space="0" w:color="auto"/>
        <w:right w:val="none" w:sz="0" w:space="0" w:color="auto"/>
      </w:divBdr>
    </w:div>
    <w:div w:id="486827128">
      <w:bodyDiv w:val="1"/>
      <w:marLeft w:val="0"/>
      <w:marRight w:val="0"/>
      <w:marTop w:val="0"/>
      <w:marBottom w:val="0"/>
      <w:divBdr>
        <w:top w:val="none" w:sz="0" w:space="0" w:color="auto"/>
        <w:left w:val="none" w:sz="0" w:space="0" w:color="auto"/>
        <w:bottom w:val="none" w:sz="0" w:space="0" w:color="auto"/>
        <w:right w:val="none" w:sz="0" w:space="0" w:color="auto"/>
      </w:divBdr>
    </w:div>
    <w:div w:id="609358385">
      <w:bodyDiv w:val="1"/>
      <w:marLeft w:val="0"/>
      <w:marRight w:val="0"/>
      <w:marTop w:val="0"/>
      <w:marBottom w:val="0"/>
      <w:divBdr>
        <w:top w:val="none" w:sz="0" w:space="0" w:color="auto"/>
        <w:left w:val="none" w:sz="0" w:space="0" w:color="auto"/>
        <w:bottom w:val="none" w:sz="0" w:space="0" w:color="auto"/>
        <w:right w:val="none" w:sz="0" w:space="0" w:color="auto"/>
      </w:divBdr>
    </w:div>
    <w:div w:id="610892995">
      <w:bodyDiv w:val="1"/>
      <w:marLeft w:val="0"/>
      <w:marRight w:val="0"/>
      <w:marTop w:val="0"/>
      <w:marBottom w:val="0"/>
      <w:divBdr>
        <w:top w:val="none" w:sz="0" w:space="0" w:color="auto"/>
        <w:left w:val="none" w:sz="0" w:space="0" w:color="auto"/>
        <w:bottom w:val="none" w:sz="0" w:space="0" w:color="auto"/>
        <w:right w:val="none" w:sz="0" w:space="0" w:color="auto"/>
      </w:divBdr>
    </w:div>
    <w:div w:id="621882283">
      <w:bodyDiv w:val="1"/>
      <w:marLeft w:val="0"/>
      <w:marRight w:val="0"/>
      <w:marTop w:val="0"/>
      <w:marBottom w:val="0"/>
      <w:divBdr>
        <w:top w:val="none" w:sz="0" w:space="0" w:color="auto"/>
        <w:left w:val="none" w:sz="0" w:space="0" w:color="auto"/>
        <w:bottom w:val="none" w:sz="0" w:space="0" w:color="auto"/>
        <w:right w:val="none" w:sz="0" w:space="0" w:color="auto"/>
      </w:divBdr>
    </w:div>
    <w:div w:id="753671518">
      <w:bodyDiv w:val="1"/>
      <w:marLeft w:val="0"/>
      <w:marRight w:val="0"/>
      <w:marTop w:val="0"/>
      <w:marBottom w:val="0"/>
      <w:divBdr>
        <w:top w:val="none" w:sz="0" w:space="0" w:color="auto"/>
        <w:left w:val="none" w:sz="0" w:space="0" w:color="auto"/>
        <w:bottom w:val="none" w:sz="0" w:space="0" w:color="auto"/>
        <w:right w:val="none" w:sz="0" w:space="0" w:color="auto"/>
      </w:divBdr>
    </w:div>
    <w:div w:id="788819102">
      <w:bodyDiv w:val="1"/>
      <w:marLeft w:val="0"/>
      <w:marRight w:val="0"/>
      <w:marTop w:val="0"/>
      <w:marBottom w:val="0"/>
      <w:divBdr>
        <w:top w:val="none" w:sz="0" w:space="0" w:color="auto"/>
        <w:left w:val="none" w:sz="0" w:space="0" w:color="auto"/>
        <w:bottom w:val="none" w:sz="0" w:space="0" w:color="auto"/>
        <w:right w:val="none" w:sz="0" w:space="0" w:color="auto"/>
      </w:divBdr>
    </w:div>
    <w:div w:id="859978190">
      <w:bodyDiv w:val="1"/>
      <w:marLeft w:val="0"/>
      <w:marRight w:val="0"/>
      <w:marTop w:val="0"/>
      <w:marBottom w:val="0"/>
      <w:divBdr>
        <w:top w:val="none" w:sz="0" w:space="0" w:color="auto"/>
        <w:left w:val="none" w:sz="0" w:space="0" w:color="auto"/>
        <w:bottom w:val="none" w:sz="0" w:space="0" w:color="auto"/>
        <w:right w:val="none" w:sz="0" w:space="0" w:color="auto"/>
      </w:divBdr>
    </w:div>
    <w:div w:id="974410390">
      <w:bodyDiv w:val="1"/>
      <w:marLeft w:val="0"/>
      <w:marRight w:val="0"/>
      <w:marTop w:val="0"/>
      <w:marBottom w:val="0"/>
      <w:divBdr>
        <w:top w:val="none" w:sz="0" w:space="0" w:color="auto"/>
        <w:left w:val="none" w:sz="0" w:space="0" w:color="auto"/>
        <w:bottom w:val="none" w:sz="0" w:space="0" w:color="auto"/>
        <w:right w:val="none" w:sz="0" w:space="0" w:color="auto"/>
      </w:divBdr>
    </w:div>
    <w:div w:id="1011301894">
      <w:bodyDiv w:val="1"/>
      <w:marLeft w:val="0"/>
      <w:marRight w:val="0"/>
      <w:marTop w:val="0"/>
      <w:marBottom w:val="0"/>
      <w:divBdr>
        <w:top w:val="none" w:sz="0" w:space="0" w:color="auto"/>
        <w:left w:val="none" w:sz="0" w:space="0" w:color="auto"/>
        <w:bottom w:val="none" w:sz="0" w:space="0" w:color="auto"/>
        <w:right w:val="none" w:sz="0" w:space="0" w:color="auto"/>
      </w:divBdr>
    </w:div>
    <w:div w:id="1104617965">
      <w:bodyDiv w:val="1"/>
      <w:marLeft w:val="0"/>
      <w:marRight w:val="0"/>
      <w:marTop w:val="0"/>
      <w:marBottom w:val="0"/>
      <w:divBdr>
        <w:top w:val="none" w:sz="0" w:space="0" w:color="auto"/>
        <w:left w:val="none" w:sz="0" w:space="0" w:color="auto"/>
        <w:bottom w:val="none" w:sz="0" w:space="0" w:color="auto"/>
        <w:right w:val="none" w:sz="0" w:space="0" w:color="auto"/>
      </w:divBdr>
    </w:div>
    <w:div w:id="1223909113">
      <w:bodyDiv w:val="1"/>
      <w:marLeft w:val="0"/>
      <w:marRight w:val="0"/>
      <w:marTop w:val="0"/>
      <w:marBottom w:val="0"/>
      <w:divBdr>
        <w:top w:val="none" w:sz="0" w:space="0" w:color="auto"/>
        <w:left w:val="none" w:sz="0" w:space="0" w:color="auto"/>
        <w:bottom w:val="none" w:sz="0" w:space="0" w:color="auto"/>
        <w:right w:val="none" w:sz="0" w:space="0" w:color="auto"/>
      </w:divBdr>
    </w:div>
    <w:div w:id="1229416610">
      <w:bodyDiv w:val="1"/>
      <w:marLeft w:val="0"/>
      <w:marRight w:val="0"/>
      <w:marTop w:val="0"/>
      <w:marBottom w:val="0"/>
      <w:divBdr>
        <w:top w:val="none" w:sz="0" w:space="0" w:color="auto"/>
        <w:left w:val="none" w:sz="0" w:space="0" w:color="auto"/>
        <w:bottom w:val="none" w:sz="0" w:space="0" w:color="auto"/>
        <w:right w:val="none" w:sz="0" w:space="0" w:color="auto"/>
      </w:divBdr>
    </w:div>
    <w:div w:id="1313410752">
      <w:bodyDiv w:val="1"/>
      <w:marLeft w:val="0"/>
      <w:marRight w:val="0"/>
      <w:marTop w:val="0"/>
      <w:marBottom w:val="0"/>
      <w:divBdr>
        <w:top w:val="none" w:sz="0" w:space="0" w:color="auto"/>
        <w:left w:val="none" w:sz="0" w:space="0" w:color="auto"/>
        <w:bottom w:val="none" w:sz="0" w:space="0" w:color="auto"/>
        <w:right w:val="none" w:sz="0" w:space="0" w:color="auto"/>
      </w:divBdr>
    </w:div>
    <w:div w:id="1424952513">
      <w:bodyDiv w:val="1"/>
      <w:marLeft w:val="0"/>
      <w:marRight w:val="0"/>
      <w:marTop w:val="0"/>
      <w:marBottom w:val="0"/>
      <w:divBdr>
        <w:top w:val="none" w:sz="0" w:space="0" w:color="auto"/>
        <w:left w:val="none" w:sz="0" w:space="0" w:color="auto"/>
        <w:bottom w:val="none" w:sz="0" w:space="0" w:color="auto"/>
        <w:right w:val="none" w:sz="0" w:space="0" w:color="auto"/>
      </w:divBdr>
    </w:div>
    <w:div w:id="1473715231">
      <w:bodyDiv w:val="1"/>
      <w:marLeft w:val="0"/>
      <w:marRight w:val="0"/>
      <w:marTop w:val="0"/>
      <w:marBottom w:val="0"/>
      <w:divBdr>
        <w:top w:val="none" w:sz="0" w:space="0" w:color="auto"/>
        <w:left w:val="none" w:sz="0" w:space="0" w:color="auto"/>
        <w:bottom w:val="none" w:sz="0" w:space="0" w:color="auto"/>
        <w:right w:val="none" w:sz="0" w:space="0" w:color="auto"/>
      </w:divBdr>
    </w:div>
    <w:div w:id="1486240072">
      <w:bodyDiv w:val="1"/>
      <w:marLeft w:val="0"/>
      <w:marRight w:val="0"/>
      <w:marTop w:val="0"/>
      <w:marBottom w:val="0"/>
      <w:divBdr>
        <w:top w:val="none" w:sz="0" w:space="0" w:color="auto"/>
        <w:left w:val="none" w:sz="0" w:space="0" w:color="auto"/>
        <w:bottom w:val="none" w:sz="0" w:space="0" w:color="auto"/>
        <w:right w:val="none" w:sz="0" w:space="0" w:color="auto"/>
      </w:divBdr>
    </w:div>
    <w:div w:id="1498493841">
      <w:bodyDiv w:val="1"/>
      <w:marLeft w:val="0"/>
      <w:marRight w:val="0"/>
      <w:marTop w:val="0"/>
      <w:marBottom w:val="0"/>
      <w:divBdr>
        <w:top w:val="none" w:sz="0" w:space="0" w:color="auto"/>
        <w:left w:val="none" w:sz="0" w:space="0" w:color="auto"/>
        <w:bottom w:val="none" w:sz="0" w:space="0" w:color="auto"/>
        <w:right w:val="none" w:sz="0" w:space="0" w:color="auto"/>
      </w:divBdr>
    </w:div>
    <w:div w:id="1613781354">
      <w:bodyDiv w:val="1"/>
      <w:marLeft w:val="0"/>
      <w:marRight w:val="0"/>
      <w:marTop w:val="0"/>
      <w:marBottom w:val="0"/>
      <w:divBdr>
        <w:top w:val="none" w:sz="0" w:space="0" w:color="auto"/>
        <w:left w:val="none" w:sz="0" w:space="0" w:color="auto"/>
        <w:bottom w:val="none" w:sz="0" w:space="0" w:color="auto"/>
        <w:right w:val="none" w:sz="0" w:space="0" w:color="auto"/>
      </w:divBdr>
    </w:div>
    <w:div w:id="1733231532">
      <w:bodyDiv w:val="1"/>
      <w:marLeft w:val="0"/>
      <w:marRight w:val="0"/>
      <w:marTop w:val="0"/>
      <w:marBottom w:val="0"/>
      <w:divBdr>
        <w:top w:val="none" w:sz="0" w:space="0" w:color="auto"/>
        <w:left w:val="none" w:sz="0" w:space="0" w:color="auto"/>
        <w:bottom w:val="none" w:sz="0" w:space="0" w:color="auto"/>
        <w:right w:val="none" w:sz="0" w:space="0" w:color="auto"/>
      </w:divBdr>
    </w:div>
    <w:div w:id="1783919152">
      <w:bodyDiv w:val="1"/>
      <w:marLeft w:val="0"/>
      <w:marRight w:val="0"/>
      <w:marTop w:val="0"/>
      <w:marBottom w:val="0"/>
      <w:divBdr>
        <w:top w:val="none" w:sz="0" w:space="0" w:color="auto"/>
        <w:left w:val="none" w:sz="0" w:space="0" w:color="auto"/>
        <w:bottom w:val="none" w:sz="0" w:space="0" w:color="auto"/>
        <w:right w:val="none" w:sz="0" w:space="0" w:color="auto"/>
      </w:divBdr>
    </w:div>
    <w:div w:id="1793862007">
      <w:bodyDiv w:val="1"/>
      <w:marLeft w:val="0"/>
      <w:marRight w:val="0"/>
      <w:marTop w:val="0"/>
      <w:marBottom w:val="0"/>
      <w:divBdr>
        <w:top w:val="none" w:sz="0" w:space="0" w:color="auto"/>
        <w:left w:val="none" w:sz="0" w:space="0" w:color="auto"/>
        <w:bottom w:val="none" w:sz="0" w:space="0" w:color="auto"/>
        <w:right w:val="none" w:sz="0" w:space="0" w:color="auto"/>
      </w:divBdr>
    </w:div>
    <w:div w:id="1830556180">
      <w:bodyDiv w:val="1"/>
      <w:marLeft w:val="0"/>
      <w:marRight w:val="0"/>
      <w:marTop w:val="0"/>
      <w:marBottom w:val="0"/>
      <w:divBdr>
        <w:top w:val="none" w:sz="0" w:space="0" w:color="auto"/>
        <w:left w:val="none" w:sz="0" w:space="0" w:color="auto"/>
        <w:bottom w:val="none" w:sz="0" w:space="0" w:color="auto"/>
        <w:right w:val="none" w:sz="0" w:space="0" w:color="auto"/>
      </w:divBdr>
    </w:div>
    <w:div w:id="1888685744">
      <w:bodyDiv w:val="1"/>
      <w:marLeft w:val="0"/>
      <w:marRight w:val="0"/>
      <w:marTop w:val="0"/>
      <w:marBottom w:val="0"/>
      <w:divBdr>
        <w:top w:val="none" w:sz="0" w:space="0" w:color="auto"/>
        <w:left w:val="none" w:sz="0" w:space="0" w:color="auto"/>
        <w:bottom w:val="none" w:sz="0" w:space="0" w:color="auto"/>
        <w:right w:val="none" w:sz="0" w:space="0" w:color="auto"/>
      </w:divBdr>
    </w:div>
    <w:div w:id="1990748030">
      <w:bodyDiv w:val="1"/>
      <w:marLeft w:val="0"/>
      <w:marRight w:val="0"/>
      <w:marTop w:val="0"/>
      <w:marBottom w:val="0"/>
      <w:divBdr>
        <w:top w:val="none" w:sz="0" w:space="0" w:color="auto"/>
        <w:left w:val="none" w:sz="0" w:space="0" w:color="auto"/>
        <w:bottom w:val="none" w:sz="0" w:space="0" w:color="auto"/>
        <w:right w:val="none" w:sz="0" w:space="0" w:color="auto"/>
      </w:divBdr>
    </w:div>
    <w:div w:id="202894810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footer" Target="footer9.xml"/><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17.png"/><Relationship Id="rId47" Type="http://schemas.openxmlformats.org/officeDocument/2006/relationships/footer" Target="footer11.xml"/><Relationship Id="rId50" Type="http://schemas.openxmlformats.org/officeDocument/2006/relationships/footer" Target="footer12.xml"/><Relationship Id="rId55" Type="http://schemas.openxmlformats.org/officeDocument/2006/relationships/footer" Target="footer14.xml"/><Relationship Id="rId63" Type="http://schemas.openxmlformats.org/officeDocument/2006/relationships/hyperlink" Target="http://www.health.gov.au/internet/main/publishing.nsf/Content/2011_Review_Extended_Medicare_Safety_Net/$File/Final%20Report%20-%20Review%20of%20EMSN%20benefit%20capping%20June%202011.pdf" TargetMode="External"/><Relationship Id="rId68" Type="http://schemas.openxmlformats.org/officeDocument/2006/relationships/hyperlink" Target="https://www.medicareaustralia.gov.au/statistics/mbs_group.shtml" TargetMode="External"/><Relationship Id="rId76" Type="http://schemas.openxmlformats.org/officeDocument/2006/relationships/footer" Target="footer16.xml"/><Relationship Id="rId84" Type="http://schemas.openxmlformats.org/officeDocument/2006/relationships/header" Target="header9.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grattan.edu.au/events/event/is-there-still-a-budget-emergency/"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6.xml"/><Relationship Id="rId11" Type="http://schemas.openxmlformats.org/officeDocument/2006/relationships/hyperlink" Target="http://creativecommons.org/licenses/by-nc-nd/3.0/au/" TargetMode="Externa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footer" Target="footer8.xml"/><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footer" Target="footer13.xml"/><Relationship Id="rId58" Type="http://schemas.openxmlformats.org/officeDocument/2006/relationships/image" Target="media/image28.png"/><Relationship Id="rId66" Type="http://schemas.openxmlformats.org/officeDocument/2006/relationships/hyperlink" Target="http://aid.dfat.gov.au/Publications/Documents/whitepaper.pdf" TargetMode="External"/><Relationship Id="rId74" Type="http://schemas.openxmlformats.org/officeDocument/2006/relationships/hyperlink" Target="http://www.aph.gov.au/~/media/05%20About%20Parliament/54%20Parliamentary%20Depts/548%20Parliamentary%20Budget%20Office/Parliamentary%20Budget%20Office%20Stuctural%20Budget%20Balance.ashx" TargetMode="External"/><Relationship Id="rId79" Type="http://schemas.openxmlformats.org/officeDocument/2006/relationships/footer" Target="footer19.xml"/><Relationship Id="rId87" Type="http://schemas.openxmlformats.org/officeDocument/2006/relationships/footer" Target="footer24.xml"/><Relationship Id="rId5" Type="http://schemas.openxmlformats.org/officeDocument/2006/relationships/settings" Target="settings.xml"/><Relationship Id="rId61" Type="http://schemas.openxmlformats.org/officeDocument/2006/relationships/hyperlink" Target="https://www.aihw.gov.au/WorkArea/DownloadAsset.aspx?id=60129544656" TargetMode="External"/><Relationship Id="rId82" Type="http://schemas.openxmlformats.org/officeDocument/2006/relationships/footer" Target="footer22.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eader" Target="header5.xml"/><Relationship Id="rId43" Type="http://schemas.openxmlformats.org/officeDocument/2006/relationships/footer" Target="footer10.xml"/><Relationship Id="rId48" Type="http://schemas.openxmlformats.org/officeDocument/2006/relationships/image" Target="media/image21.png"/><Relationship Id="rId56" Type="http://schemas.openxmlformats.org/officeDocument/2006/relationships/image" Target="media/image26.png"/><Relationship Id="rId64" Type="http://schemas.openxmlformats.org/officeDocument/2006/relationships/hyperlink" Target="http://www.defence.gov.au/publications/wpaper2000.PDF" TargetMode="External"/><Relationship Id="rId69" Type="http://schemas.openxmlformats.org/officeDocument/2006/relationships/hyperlink" Target="https://www.medicareaustralia.gov.au/statistics/pbs_group.shtml" TargetMode="External"/><Relationship Id="rId77"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hyperlink" Target="http://archive.treasury.gov.au/documents/1352/HTML/docshell.asp?URL=03_spending_growth.asp" TargetMode="External"/><Relationship Id="rId80" Type="http://schemas.openxmlformats.org/officeDocument/2006/relationships/footer" Target="footer20.xml"/><Relationship Id="rId85" Type="http://schemas.openxmlformats.org/officeDocument/2006/relationships/footer" Target="footer2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eader" Target="header7.xml"/><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hyperlink" Target="http://www.health.gov.au/internet/main/publishing.nsf/Content/health-budget2003-fact-hfact2.htm" TargetMode="External"/><Relationship Id="rId20" Type="http://schemas.openxmlformats.org/officeDocument/2006/relationships/image" Target="media/image3.png"/><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hyperlink" Target="http://www.aihw.gov.au/WorkArea/DownloadAsset.aspx?id=60129542629" TargetMode="External"/><Relationship Id="rId70" Type="http://schemas.openxmlformats.org/officeDocument/2006/relationships/hyperlink" Target="http://www.budget.gov.au/2008-09/content/ministerial_statements/download/ausaid.pdf" TargetMode="External"/><Relationship Id="rId75" Type="http://schemas.openxmlformats.org/officeDocument/2006/relationships/hyperlink" Target="http://www.aph.gov.au/About_Parliament/Parliamentary_Departments/Parliamentary_Budget_Office/2013_Election" TargetMode="External"/><Relationship Id="rId83" Type="http://schemas.openxmlformats.org/officeDocument/2006/relationships/header" Target="header8.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eader" Target="header6.xml"/><Relationship Id="rId49" Type="http://schemas.openxmlformats.org/officeDocument/2006/relationships/image" Target="media/image22.png"/><Relationship Id="rId57" Type="http://schemas.openxmlformats.org/officeDocument/2006/relationships/image" Target="media/image27.png"/><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footer" Target="footer15.xml"/><Relationship Id="rId65" Type="http://schemas.openxmlformats.org/officeDocument/2006/relationships/hyperlink" Target="http://www.dss.gov.au/about-fahcsia/publications-articles/research-publications/social-policy-research-paper-series/statistical-paper-no-10" TargetMode="External"/><Relationship Id="rId73" Type="http://schemas.openxmlformats.org/officeDocument/2006/relationships/hyperlink" Target="http://www.aph.gov.au/~/media/05%20About%20Parliament/54%20Parliamentary%20Depts/548%20Parliamentary%20Budget%20Office/PBO_WorkPlan2012_13.ashx" TargetMode="External"/><Relationship Id="rId78" Type="http://schemas.openxmlformats.org/officeDocument/2006/relationships/footer" Target="footer18.xml"/><Relationship Id="rId81" Type="http://schemas.openxmlformats.org/officeDocument/2006/relationships/footer" Target="footer21.xml"/><Relationship Id="rId86"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liganl\AppData\Local\Microsoft\Windows\Temporary%20Internet%20Files\Content.Outlook\HZ0VIN88\PBO%20Word%20Template%20Guide%20v3_unlock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1CC29-1F46-44A8-BD35-9B1BCE748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PBO Word Template Guide v3_unlocked.dot</Template>
  <TotalTime>929</TotalTime>
  <Pages>84</Pages>
  <Words>25153</Words>
  <Characters>145432</Characters>
  <Application>Microsoft Office Word</Application>
  <DocSecurity>0</DocSecurity>
  <Lines>1211</Lines>
  <Paragraphs>340</Paragraphs>
  <ScaleCrop>false</ScaleCrop>
  <HeadingPairs>
    <vt:vector size="2" baseType="variant">
      <vt:variant>
        <vt:lpstr>Title</vt:lpstr>
      </vt:variant>
      <vt:variant>
        <vt:i4>1</vt:i4>
      </vt:variant>
    </vt:vector>
  </HeadingPairs>
  <TitlesOfParts>
    <vt:vector size="1" baseType="lpstr">
      <vt:lpstr>Australian Government spending - Part 1: Historical trends from 2002-03 to 2012-13</vt:lpstr>
    </vt:vector>
  </TitlesOfParts>
  <Company>Kylie Smith Design</Company>
  <LinksUpToDate>false</LinksUpToDate>
  <CharactersWithSpaces>170245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spending - Part 1: Historical trends from 2002-03 to 2012-13</dc:title>
  <dc:creator>Parliamentary Budget Office</dc:creator>
  <cp:lastModifiedBy>Moorhouse, Helen (PBO)</cp:lastModifiedBy>
  <cp:revision>149</cp:revision>
  <cp:lastPrinted>2013-12-10T01:06:00Z</cp:lastPrinted>
  <dcterms:created xsi:type="dcterms:W3CDTF">2013-12-09T02:33:00Z</dcterms:created>
  <dcterms:modified xsi:type="dcterms:W3CDTF">2014-11-20T01:04:00Z</dcterms:modified>
</cp:coreProperties>
</file>