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DBB" w:rsidRDefault="00961DBB" w:rsidP="00961DBB"/>
    <w:tbl>
      <w:tblPr>
        <w:tblStyle w:val="TableAsPlaceholder"/>
        <w:tblpPr w:leftFromText="181" w:rightFromText="181" w:vertAnchor="page" w:horzAnchor="margin" w:tblpY="5779"/>
        <w:tblOverlap w:val="never"/>
        <w:tblW w:w="8277" w:type="dxa"/>
        <w:tblLayout w:type="fixed"/>
        <w:tblLook w:val="04A0" w:firstRow="1" w:lastRow="0" w:firstColumn="1" w:lastColumn="0" w:noHBand="0" w:noVBand="1"/>
      </w:tblPr>
      <w:tblGrid>
        <w:gridCol w:w="8277"/>
      </w:tblGrid>
      <w:tr w:rsidR="00961DBB" w:rsidTr="00C8728F">
        <w:trPr>
          <w:trHeight w:val="907"/>
        </w:trPr>
        <w:tc>
          <w:tcPr>
            <w:tcW w:w="8277" w:type="dxa"/>
          </w:tcPr>
          <w:p w:rsidR="00961DBB" w:rsidRDefault="00254B51" w:rsidP="008F2403">
            <w:pPr>
              <w:pStyle w:val="Title"/>
              <w:spacing w:line="264" w:lineRule="auto"/>
            </w:pPr>
            <w:r>
              <w:t>What is a</w:t>
            </w:r>
            <w:r w:rsidR="000631D3">
              <w:t xml:space="preserve"> Parliamentary Budget Office costing</w:t>
            </w:r>
            <w:r>
              <w:t>?</w:t>
            </w:r>
          </w:p>
        </w:tc>
      </w:tr>
      <w:tr w:rsidR="00F20647" w:rsidTr="008F2403">
        <w:trPr>
          <w:trHeight w:val="680"/>
        </w:trPr>
        <w:tc>
          <w:tcPr>
            <w:tcW w:w="8277" w:type="dxa"/>
            <w:vAlign w:val="center"/>
          </w:tcPr>
          <w:p w:rsidR="00F20647" w:rsidRPr="000631D3" w:rsidRDefault="00254B51" w:rsidP="008F2403">
            <w:pPr>
              <w:pStyle w:val="Title2"/>
              <w:spacing w:after="0"/>
              <w:rPr>
                <w:i/>
              </w:rPr>
            </w:pPr>
            <w:r>
              <w:rPr>
                <w:i/>
              </w:rPr>
              <w:t xml:space="preserve">Information paper </w:t>
            </w:r>
            <w:r w:rsidR="000631D3">
              <w:rPr>
                <w:i/>
              </w:rPr>
              <w:t>no</w:t>
            </w:r>
            <w:r w:rsidR="004F65DE">
              <w:rPr>
                <w:i/>
              </w:rPr>
              <w:t xml:space="preserve">.  </w:t>
            </w:r>
            <w:r w:rsidR="000631D3">
              <w:rPr>
                <w:i/>
              </w:rPr>
              <w:t>0</w:t>
            </w:r>
            <w:r>
              <w:rPr>
                <w:i/>
              </w:rPr>
              <w:t>2</w:t>
            </w:r>
            <w:r w:rsidR="000631D3">
              <w:rPr>
                <w:i/>
              </w:rPr>
              <w:t>/2017</w:t>
            </w:r>
          </w:p>
        </w:tc>
      </w:tr>
      <w:tr w:rsidR="00195228" w:rsidTr="008F2403">
        <w:trPr>
          <w:trHeight w:val="765"/>
        </w:trPr>
        <w:tc>
          <w:tcPr>
            <w:tcW w:w="8277" w:type="dxa"/>
            <w:vAlign w:val="center"/>
          </w:tcPr>
          <w:p w:rsidR="00195228" w:rsidRPr="009541CC" w:rsidRDefault="000631D3" w:rsidP="008F2403">
            <w:pPr>
              <w:pStyle w:val="Title3"/>
              <w:framePr w:wrap="auto" w:vAnchor="margin" w:hAnchor="text" w:yAlign="inline"/>
              <w:spacing w:after="0"/>
            </w:pPr>
            <w:r>
              <w:t xml:space="preserve">Date issued: </w:t>
            </w:r>
            <w:r w:rsidR="00CD3A68">
              <w:t>30</w:t>
            </w:r>
            <w:r w:rsidR="00254B51">
              <w:t xml:space="preserve"> Novem</w:t>
            </w:r>
            <w:r>
              <w:t>ber 2017</w:t>
            </w:r>
          </w:p>
        </w:tc>
      </w:tr>
    </w:tbl>
    <w:p w:rsidR="00961DBB" w:rsidRDefault="00961DBB" w:rsidP="00961DBB"/>
    <w:p w:rsidR="00961DBB" w:rsidRDefault="00961DBB">
      <w:pPr>
        <w:sectPr w:rsidR="00961DBB" w:rsidSect="009057D9">
          <w:headerReference w:type="even" r:id="rId9"/>
          <w:headerReference w:type="default" r:id="rId10"/>
          <w:headerReference w:type="first" r:id="rId11"/>
          <w:pgSz w:w="11906" w:h="16838" w:code="9"/>
          <w:pgMar w:top="1361" w:right="1797" w:bottom="1474" w:left="1797" w:header="284" w:footer="454" w:gutter="0"/>
          <w:cols w:space="708"/>
          <w:titlePg/>
          <w:docGrid w:linePitch="360"/>
        </w:sectPr>
      </w:pPr>
    </w:p>
    <w:p w:rsidR="000631D3" w:rsidRDefault="000631D3" w:rsidP="000631D3">
      <w:pPr>
        <w:pStyle w:val="Heading4"/>
        <w:rPr>
          <w:i w:val="0"/>
        </w:rPr>
      </w:pPr>
      <w:r>
        <w:rPr>
          <w:i w:val="0"/>
        </w:rPr>
        <w:lastRenderedPageBreak/>
        <w:t xml:space="preserve">PBO </w:t>
      </w:r>
      <w:r w:rsidR="00FF2155">
        <w:rPr>
          <w:i w:val="0"/>
        </w:rPr>
        <w:t>information paper</w:t>
      </w:r>
      <w:r>
        <w:rPr>
          <w:i w:val="0"/>
        </w:rPr>
        <w:t>s</w:t>
      </w:r>
    </w:p>
    <w:p w:rsidR="000631D3" w:rsidRDefault="000631D3" w:rsidP="000631D3">
      <w:pPr>
        <w:pStyle w:val="PlainText"/>
      </w:pPr>
      <w:r>
        <w:t xml:space="preserve">PBO </w:t>
      </w:r>
      <w:r w:rsidR="00FF2155">
        <w:t>information paper</w:t>
      </w:r>
      <w:r>
        <w:t>s are published to help explain</w:t>
      </w:r>
      <w:r w:rsidR="00DA44F2">
        <w:t>, in an acc</w:t>
      </w:r>
      <w:r w:rsidR="002876CA">
        <w:t>ess</w:t>
      </w:r>
      <w:r w:rsidR="00346892">
        <w:t>i</w:t>
      </w:r>
      <w:r w:rsidR="002876CA">
        <w:t xml:space="preserve">ble way, </w:t>
      </w:r>
      <w:r>
        <w:t>the underlying data, con</w:t>
      </w:r>
      <w:bookmarkStart w:id="0" w:name="_GoBack"/>
      <w:bookmarkEnd w:id="0"/>
      <w:r>
        <w:t>cepts</w:t>
      </w:r>
      <w:r w:rsidR="00620A79">
        <w:t>,</w:t>
      </w:r>
      <w:r>
        <w:t xml:space="preserve"> methodologies </w:t>
      </w:r>
      <w:r w:rsidR="00620A79">
        <w:t xml:space="preserve">and processes </w:t>
      </w:r>
      <w:r>
        <w:t>that the PBO uses in preparing costings of policy proposals and budget analys</w:t>
      </w:r>
      <w:r w:rsidR="0046591A">
        <w:t>e</w:t>
      </w:r>
      <w:r>
        <w:t>s</w:t>
      </w:r>
      <w:r w:rsidR="004F65DE">
        <w:t xml:space="preserve">.  </w:t>
      </w:r>
      <w:r>
        <w:t xml:space="preserve">The focus of PBO </w:t>
      </w:r>
      <w:r w:rsidR="00FF2155">
        <w:t>information paper</w:t>
      </w:r>
      <w:r>
        <w:t>s is different from that of PBO research reports which are aimed at improving the understanding of budget and fiscal policy issues more broadly.</w:t>
      </w:r>
    </w:p>
    <w:p w:rsidR="00961DBB" w:rsidRDefault="00961DBB" w:rsidP="00961DBB"/>
    <w:tbl>
      <w:tblPr>
        <w:tblStyle w:val="TableAsPlaceholder"/>
        <w:tblpPr w:leftFromText="181" w:rightFromText="181" w:horzAnchor="margin" w:tblpY="4310"/>
        <w:tblOverlap w:val="never"/>
        <w:tblW w:w="0" w:type="auto"/>
        <w:tblCellMar>
          <w:bottom w:w="57" w:type="dxa"/>
          <w:right w:w="57" w:type="dxa"/>
        </w:tblCellMar>
        <w:tblLook w:val="04A0" w:firstRow="1" w:lastRow="0" w:firstColumn="1" w:lastColumn="0" w:noHBand="0" w:noVBand="1"/>
      </w:tblPr>
      <w:tblGrid>
        <w:gridCol w:w="8220"/>
      </w:tblGrid>
      <w:tr w:rsidR="00961DBB" w:rsidTr="0087390B">
        <w:trPr>
          <w:trHeight w:val="8165"/>
        </w:trPr>
        <w:tc>
          <w:tcPr>
            <w:tcW w:w="8220" w:type="dxa"/>
            <w:vAlign w:val="bottom"/>
          </w:tcPr>
          <w:p w:rsidR="00961DBB" w:rsidRPr="00C77B5C" w:rsidRDefault="00961DBB" w:rsidP="00BB5013">
            <w:pPr>
              <w:pStyle w:val="xDisclaimerText2"/>
              <w:framePr w:hSpace="0" w:wrap="auto" w:hAnchor="text" w:yAlign="inline"/>
              <w:suppressOverlap w:val="0"/>
            </w:pPr>
            <w:bookmarkStart w:id="1" w:name="_DisclaimerMarker"/>
            <w:bookmarkEnd w:id="1"/>
            <w:r w:rsidRPr="00C77B5C">
              <w:t xml:space="preserve">© </w:t>
            </w:r>
            <w:r w:rsidRPr="0087390B">
              <w:t>Commonwealth</w:t>
            </w:r>
            <w:r w:rsidRPr="00C77B5C">
              <w:t xml:space="preserve"> of Australia</w:t>
            </w:r>
            <w:r w:rsidR="00F20647">
              <w:t xml:space="preserve"> </w:t>
            </w:r>
            <w:r w:rsidR="000631D3">
              <w:t>2017</w:t>
            </w:r>
            <w:bookmarkStart w:id="2" w:name="Here"/>
            <w:bookmarkEnd w:id="2"/>
          </w:p>
          <w:p w:rsidR="00961DBB" w:rsidRPr="00BB5013" w:rsidRDefault="00961DBB" w:rsidP="00BB5013">
            <w:pPr>
              <w:pStyle w:val="xDisclaimerText2"/>
              <w:framePr w:hSpace="0" w:wrap="auto" w:hAnchor="text" w:yAlign="inline"/>
              <w:suppressOverlap w:val="0"/>
            </w:pPr>
            <w:r w:rsidRPr="008E314A">
              <w:t>IS</w:t>
            </w:r>
            <w:r w:rsidR="003B1B0A">
              <w:t>B</w:t>
            </w:r>
            <w:r w:rsidRPr="008E314A">
              <w:t xml:space="preserve">N </w:t>
            </w:r>
            <w:r w:rsidR="003B1B0A" w:rsidRPr="003B1B0A">
              <w:t>978-0-9953836-8-5</w:t>
            </w:r>
            <w:r w:rsidRPr="008E314A">
              <w:t xml:space="preserve"> (</w:t>
            </w:r>
            <w:r w:rsidRPr="00870C85">
              <w:t>Online</w:t>
            </w:r>
            <w:r w:rsidRPr="00C77B5C">
              <w:t>)</w:t>
            </w:r>
          </w:p>
          <w:p w:rsidR="00961DBB" w:rsidRDefault="00CC54EC" w:rsidP="00BB5013">
            <w:pPr>
              <w:pStyle w:val="xDisclaimerText2"/>
              <w:framePr w:hSpace="0" w:wrap="auto" w:hAnchor="text" w:yAlign="inline"/>
              <w:suppressOverlap w:val="0"/>
            </w:pPr>
            <w:r w:rsidRPr="00CC54EC">
              <w:rPr>
                <w:rFonts w:ascii="Calibri" w:hAnsi="Calibri" w:cs="Times New Roman"/>
                <w:noProof/>
              </w:rPr>
              <w:drawing>
                <wp:anchor distT="0" distB="0" distL="114300" distR="114300" simplePos="0" relativeHeight="251658240" behindDoc="0" locked="0" layoutInCell="1" allowOverlap="1" wp14:anchorId="7846136F" wp14:editId="33647D2A">
                  <wp:simplePos x="0" y="0"/>
                  <wp:positionH relativeFrom="column">
                    <wp:posOffset>3810</wp:posOffset>
                  </wp:positionH>
                  <wp:positionV relativeFrom="paragraph">
                    <wp:posOffset>415290</wp:posOffset>
                  </wp:positionV>
                  <wp:extent cx="1078865" cy="377825"/>
                  <wp:effectExtent l="0" t="0" r="698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on creative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8865" cy="377825"/>
                          </a:xfrm>
                          <a:prstGeom prst="rect">
                            <a:avLst/>
                          </a:prstGeom>
                        </pic:spPr>
                      </pic:pic>
                    </a:graphicData>
                  </a:graphic>
                  <wp14:sizeRelH relativeFrom="page">
                    <wp14:pctWidth>0</wp14:pctWidth>
                  </wp14:sizeRelH>
                  <wp14:sizeRelV relativeFrom="page">
                    <wp14:pctHeight>0</wp14:pctHeight>
                  </wp14:sizeRelV>
                </wp:anchor>
              </w:drawing>
            </w:r>
            <w:r w:rsidR="00961DBB" w:rsidRPr="00C77B5C">
              <w:t>This work is licensed und</w:t>
            </w:r>
            <w:r w:rsidR="00961DBB" w:rsidRPr="00870C85">
              <w:t>e</w:t>
            </w:r>
            <w:r w:rsidR="00961DBB" w:rsidRPr="00C77B5C">
              <w:t xml:space="preserve">r </w:t>
            </w:r>
            <w:r w:rsidR="00961DBB" w:rsidRPr="008E314A">
              <w:t xml:space="preserve">the Creative </w:t>
            </w:r>
            <w:r w:rsidR="00961DBB" w:rsidRPr="0087390B">
              <w:t>Commons</w:t>
            </w:r>
            <w:r w:rsidR="00961DBB" w:rsidRPr="008E314A">
              <w:t xml:space="preserve"> Attribution-</w:t>
            </w:r>
            <w:proofErr w:type="spellStart"/>
            <w:r w:rsidR="00961DBB" w:rsidRPr="008E314A">
              <w:t>NonCommercial</w:t>
            </w:r>
            <w:proofErr w:type="spellEnd"/>
            <w:r w:rsidR="00961DBB" w:rsidRPr="008E314A">
              <w:t>-</w:t>
            </w:r>
            <w:proofErr w:type="spellStart"/>
            <w:r w:rsidR="00961DBB" w:rsidRPr="008E314A">
              <w:t>NoDerivs</w:t>
            </w:r>
            <w:proofErr w:type="spellEnd"/>
            <w:r w:rsidR="00961DBB" w:rsidRPr="008E314A">
              <w:t xml:space="preserve"> 3.0 Australia License</w:t>
            </w:r>
            <w:r w:rsidR="00961DBB">
              <w:t>.</w:t>
            </w:r>
          </w:p>
          <w:p w:rsidR="00961DBB" w:rsidRPr="0084503F" w:rsidRDefault="00961DBB" w:rsidP="00BB5013">
            <w:pPr>
              <w:pStyle w:val="xDisclaimerText2"/>
              <w:framePr w:hSpace="0" w:wrap="auto" w:hAnchor="text" w:yAlign="inline"/>
              <w:spacing w:before="240"/>
              <w:suppressOverlap w:val="0"/>
            </w:pPr>
          </w:p>
          <w:p w:rsidR="00961DBB" w:rsidRDefault="00961DBB" w:rsidP="00BB5013">
            <w:pPr>
              <w:pStyle w:val="xDisclaimerText2"/>
              <w:framePr w:hSpace="0" w:wrap="auto" w:hAnchor="text" w:yAlign="inline"/>
              <w:suppressOverlap w:val="0"/>
            </w:pPr>
            <w:r w:rsidRPr="00D0237F">
              <w:t xml:space="preserve">The details of this licence </w:t>
            </w:r>
            <w:r w:rsidRPr="00BB5013">
              <w:t>are</w:t>
            </w:r>
            <w:r w:rsidRPr="00D0237F">
              <w:t xml:space="preserve"> available on the Creative Commons website:</w:t>
            </w:r>
            <w:r w:rsidRPr="00D0237F">
              <w:rPr>
                <w:color w:val="FF0000"/>
              </w:rPr>
              <w:t xml:space="preserve"> </w:t>
            </w:r>
            <w:r w:rsidR="00D3546B" w:rsidRPr="00346892">
              <w:rPr>
                <w:u w:val="single"/>
              </w:rPr>
              <w:t>http://creativecommons.org/licenses/by-nc-nd/3.0/au/</w:t>
            </w:r>
            <w:r w:rsidR="00BB5013">
              <w:t xml:space="preserve"> </w:t>
            </w:r>
          </w:p>
          <w:p w:rsidR="00961DBB" w:rsidRPr="00BB5013" w:rsidRDefault="00961DBB" w:rsidP="00BB5013">
            <w:pPr>
              <w:pStyle w:val="xDisclaimerHeading"/>
              <w:framePr w:hSpace="0" w:wrap="auto" w:hAnchor="text" w:yAlign="inline"/>
              <w:suppressOverlap w:val="0"/>
            </w:pPr>
            <w:r>
              <w:t xml:space="preserve">Use </w:t>
            </w:r>
            <w:r w:rsidRPr="00D0237F">
              <w:t>of</w:t>
            </w:r>
            <w:r>
              <w:t xml:space="preserve"> </w:t>
            </w:r>
            <w:r w:rsidRPr="00D0237F">
              <w:t>the</w:t>
            </w:r>
            <w:r>
              <w:t xml:space="preserve"> Coat of Arms</w:t>
            </w:r>
          </w:p>
          <w:p w:rsidR="00961DBB" w:rsidRDefault="00961DBB" w:rsidP="00BB5013">
            <w:pPr>
              <w:pStyle w:val="xDisclaimerText2"/>
              <w:framePr w:hSpace="0" w:wrap="auto" w:hAnchor="text" w:yAlign="inline"/>
              <w:suppressOverlap w:val="0"/>
            </w:pPr>
            <w:r>
              <w:t xml:space="preserve">The terms under which the Coat of Arms </w:t>
            </w:r>
            <w:r w:rsidRPr="00BB5013">
              <w:t>can</w:t>
            </w:r>
            <w:r>
              <w:t xml:space="preserve"> be used are detailed on the following website: </w:t>
            </w:r>
            <w:r w:rsidR="00157303" w:rsidRPr="00346892">
              <w:rPr>
                <w:u w:val="single"/>
              </w:rPr>
              <w:t>www.itsanhonour.gov.au/coat-arms</w:t>
            </w:r>
          </w:p>
          <w:p w:rsidR="00CC54EC" w:rsidRPr="00937096" w:rsidRDefault="00CC54EC" w:rsidP="003C0B1E">
            <w:pPr>
              <w:spacing w:after="57" w:line="302" w:lineRule="atLeast"/>
              <w:rPr>
                <w:rFonts w:eastAsiaTheme="minorHAnsi" w:cs="Times New Roman"/>
                <w:lang w:eastAsia="en-US"/>
              </w:rPr>
            </w:pPr>
            <w:r w:rsidRPr="00997BFA">
              <w:rPr>
                <w:rFonts w:eastAsiaTheme="minorHAnsi" w:cs="Times New Roman"/>
                <w:lang w:eastAsia="en-US"/>
              </w:rPr>
              <w:t>Parliamentary Budget Office</w:t>
            </w:r>
          </w:p>
          <w:p w:rsidR="00CC54EC" w:rsidRPr="00CC54EC" w:rsidRDefault="00CC54EC" w:rsidP="00CC54EC">
            <w:pPr>
              <w:spacing w:after="57" w:line="302" w:lineRule="atLeast"/>
              <w:rPr>
                <w:rFonts w:eastAsiaTheme="minorHAnsi" w:cs="Times New Roman"/>
                <w:lang w:eastAsia="en-US"/>
              </w:rPr>
            </w:pPr>
            <w:r w:rsidRPr="00CC54EC">
              <w:rPr>
                <w:rFonts w:eastAsiaTheme="minorHAnsi" w:cs="Times New Roman"/>
                <w:lang w:eastAsia="en-US"/>
              </w:rPr>
              <w:t>Parliament House</w:t>
            </w:r>
          </w:p>
          <w:p w:rsidR="00CC54EC" w:rsidRPr="00CC54EC" w:rsidRDefault="00CC54EC" w:rsidP="00CC54EC">
            <w:pPr>
              <w:spacing w:after="57" w:line="302" w:lineRule="atLeast"/>
              <w:rPr>
                <w:rFonts w:eastAsiaTheme="minorHAnsi" w:cs="Times New Roman"/>
                <w:lang w:eastAsia="en-US"/>
              </w:rPr>
            </w:pPr>
            <w:r w:rsidRPr="00CC54EC">
              <w:rPr>
                <w:rFonts w:eastAsiaTheme="minorHAnsi" w:cs="Times New Roman"/>
                <w:lang w:eastAsia="en-US"/>
              </w:rPr>
              <w:t>PO Box 6010</w:t>
            </w:r>
          </w:p>
          <w:p w:rsidR="00CC54EC" w:rsidRPr="00CC54EC" w:rsidRDefault="00CC54EC" w:rsidP="00CC54EC">
            <w:pPr>
              <w:spacing w:after="170" w:line="302" w:lineRule="atLeast"/>
              <w:rPr>
                <w:rFonts w:eastAsiaTheme="minorHAnsi" w:cstheme="minorBidi"/>
                <w:lang w:eastAsia="en-US"/>
              </w:rPr>
            </w:pPr>
            <w:r w:rsidRPr="00CC54EC">
              <w:rPr>
                <w:rFonts w:eastAsiaTheme="minorHAnsi" w:cstheme="minorBidi"/>
                <w:lang w:eastAsia="en-US"/>
              </w:rPr>
              <w:t>CANBERRA ACT 2600</w:t>
            </w:r>
          </w:p>
          <w:p w:rsidR="00CC54EC" w:rsidRPr="00CC54EC" w:rsidRDefault="00CC54EC" w:rsidP="00CC54EC">
            <w:pPr>
              <w:spacing w:after="57" w:line="302" w:lineRule="atLeast"/>
              <w:rPr>
                <w:rFonts w:eastAsiaTheme="minorHAnsi" w:cs="Times New Roman"/>
                <w:lang w:eastAsia="en-US"/>
              </w:rPr>
            </w:pPr>
            <w:r w:rsidRPr="00CC54EC">
              <w:rPr>
                <w:rFonts w:eastAsiaTheme="minorHAnsi" w:cs="Times New Roman"/>
                <w:lang w:eastAsia="en-US"/>
              </w:rPr>
              <w:t>Phone: (02) 6277 9500</w:t>
            </w:r>
          </w:p>
          <w:p w:rsidR="00961DBB" w:rsidRDefault="00CC54EC" w:rsidP="00CC54EC">
            <w:pPr>
              <w:pStyle w:val="xDisclaimerText"/>
            </w:pPr>
            <w:r w:rsidRPr="00CC54EC">
              <w:rPr>
                <w:rFonts w:eastAsiaTheme="minorHAnsi" w:cstheme="minorBidi"/>
                <w:lang w:eastAsia="en-US"/>
              </w:rPr>
              <w:t>Email: pbo@pbo.gov.au</w:t>
            </w:r>
          </w:p>
        </w:tc>
      </w:tr>
    </w:tbl>
    <w:p w:rsidR="00961DBB" w:rsidRDefault="00961DBB" w:rsidP="00961DBB"/>
    <w:p w:rsidR="00961DBB" w:rsidRDefault="00961DBB">
      <w:pPr>
        <w:sectPr w:rsidR="00961DBB" w:rsidSect="000631D3">
          <w:headerReference w:type="even" r:id="rId13"/>
          <w:headerReference w:type="default" r:id="rId14"/>
          <w:footerReference w:type="default" r:id="rId15"/>
          <w:pgSz w:w="11906" w:h="16838" w:code="9"/>
          <w:pgMar w:top="1361" w:right="1797" w:bottom="1474" w:left="1797" w:header="284" w:footer="454" w:gutter="0"/>
          <w:pgNumType w:fmt="lowerRoman"/>
          <w:cols w:space="708"/>
          <w:docGrid w:linePitch="360"/>
        </w:sectPr>
      </w:pPr>
    </w:p>
    <w:p w:rsidR="00961DBB" w:rsidRPr="00733970" w:rsidRDefault="00903E3F" w:rsidP="00733970">
      <w:pPr>
        <w:pStyle w:val="TOCHeading"/>
      </w:pPr>
      <w:r w:rsidRPr="00903E3F">
        <w:lastRenderedPageBreak/>
        <w:t>Contents</w:t>
      </w:r>
      <w:bookmarkStart w:id="3" w:name="_TOCMarker"/>
      <w:bookmarkEnd w:id="3"/>
    </w:p>
    <w:p w:rsidR="005432F3" w:rsidRDefault="00903E3F" w:rsidP="005432F3">
      <w:pPr>
        <w:pStyle w:val="TOC1"/>
        <w:spacing w:line="260" w:lineRule="atLeast"/>
        <w:rPr>
          <w:rFonts w:eastAsiaTheme="minorEastAsia"/>
          <w:b w:val="0"/>
          <w:color w:val="auto"/>
          <w:lang w:eastAsia="en-AU"/>
        </w:rPr>
      </w:pPr>
      <w:r>
        <w:fldChar w:fldCharType="begin"/>
      </w:r>
      <w:r>
        <w:instrText xml:space="preserve"> TOC  \h \z \t "</w:instrText>
      </w:r>
      <w:r w:rsidR="00085F97">
        <w:instrText>Heading 1,1,Heading 1 No Numbering,1,Heading 2,2, Heading 3,3,</w:instrText>
      </w:r>
      <w:r>
        <w:instrText xml:space="preserve">Section Heading,5" </w:instrText>
      </w:r>
      <w:r>
        <w:fldChar w:fldCharType="separate"/>
      </w:r>
      <w:hyperlink w:anchor="_Toc499799340" w:history="1">
        <w:r w:rsidR="005432F3" w:rsidRPr="006C7D0F">
          <w:rPr>
            <w:rStyle w:val="Hyperlink"/>
          </w:rPr>
          <w:t>Foreword</w:t>
        </w:r>
        <w:r w:rsidR="005432F3">
          <w:rPr>
            <w:webHidden/>
          </w:rPr>
          <w:tab/>
        </w:r>
        <w:r w:rsidR="005432F3">
          <w:rPr>
            <w:webHidden/>
          </w:rPr>
          <w:fldChar w:fldCharType="begin"/>
        </w:r>
        <w:r w:rsidR="005432F3">
          <w:rPr>
            <w:webHidden/>
          </w:rPr>
          <w:instrText xml:space="preserve"> PAGEREF _Toc499799340 \h </w:instrText>
        </w:r>
        <w:r w:rsidR="005432F3">
          <w:rPr>
            <w:webHidden/>
          </w:rPr>
        </w:r>
        <w:r w:rsidR="005432F3">
          <w:rPr>
            <w:webHidden/>
          </w:rPr>
          <w:fldChar w:fldCharType="separate"/>
        </w:r>
        <w:r w:rsidR="001024B6">
          <w:rPr>
            <w:webHidden/>
          </w:rPr>
          <w:t>iv</w:t>
        </w:r>
        <w:r w:rsidR="005432F3">
          <w:rPr>
            <w:webHidden/>
          </w:rPr>
          <w:fldChar w:fldCharType="end"/>
        </w:r>
      </w:hyperlink>
    </w:p>
    <w:p w:rsidR="005432F3" w:rsidRDefault="004473A2" w:rsidP="005432F3">
      <w:pPr>
        <w:pStyle w:val="TOC1"/>
        <w:spacing w:line="260" w:lineRule="atLeast"/>
        <w:rPr>
          <w:rFonts w:eastAsiaTheme="minorEastAsia"/>
          <w:b w:val="0"/>
          <w:color w:val="auto"/>
          <w:lang w:eastAsia="en-AU"/>
        </w:rPr>
      </w:pPr>
      <w:hyperlink w:anchor="_Toc499799341" w:history="1">
        <w:r w:rsidR="005432F3" w:rsidRPr="006C7D0F">
          <w:rPr>
            <w:rStyle w:val="Hyperlink"/>
          </w:rPr>
          <w:t>Overview</w:t>
        </w:r>
        <w:r w:rsidR="005432F3">
          <w:rPr>
            <w:webHidden/>
          </w:rPr>
          <w:tab/>
        </w:r>
        <w:r w:rsidR="005432F3">
          <w:rPr>
            <w:webHidden/>
          </w:rPr>
          <w:fldChar w:fldCharType="begin"/>
        </w:r>
        <w:r w:rsidR="005432F3">
          <w:rPr>
            <w:webHidden/>
          </w:rPr>
          <w:instrText xml:space="preserve"> PAGEREF _Toc499799341 \h </w:instrText>
        </w:r>
        <w:r w:rsidR="005432F3">
          <w:rPr>
            <w:webHidden/>
          </w:rPr>
        </w:r>
        <w:r w:rsidR="005432F3">
          <w:rPr>
            <w:webHidden/>
          </w:rPr>
          <w:fldChar w:fldCharType="separate"/>
        </w:r>
        <w:r w:rsidR="001024B6">
          <w:rPr>
            <w:webHidden/>
          </w:rPr>
          <w:t>v</w:t>
        </w:r>
        <w:r w:rsidR="005432F3">
          <w:rPr>
            <w:webHidden/>
          </w:rPr>
          <w:fldChar w:fldCharType="end"/>
        </w:r>
      </w:hyperlink>
    </w:p>
    <w:p w:rsidR="005432F3" w:rsidRDefault="004473A2" w:rsidP="005432F3">
      <w:pPr>
        <w:pStyle w:val="TOC1"/>
        <w:spacing w:line="260" w:lineRule="atLeast"/>
        <w:rPr>
          <w:rFonts w:eastAsiaTheme="minorEastAsia"/>
          <w:b w:val="0"/>
          <w:color w:val="auto"/>
          <w:lang w:eastAsia="en-AU"/>
        </w:rPr>
      </w:pPr>
      <w:hyperlink w:anchor="_Toc499799342" w:history="1">
        <w:r w:rsidR="005432F3" w:rsidRPr="006C7D0F">
          <w:rPr>
            <w:rStyle w:val="Hyperlink"/>
          </w:rPr>
          <w:t>1</w:t>
        </w:r>
        <w:r w:rsidR="005432F3">
          <w:rPr>
            <w:rFonts w:eastAsiaTheme="minorEastAsia"/>
            <w:b w:val="0"/>
            <w:color w:val="auto"/>
            <w:lang w:eastAsia="en-AU"/>
          </w:rPr>
          <w:tab/>
        </w:r>
        <w:r w:rsidR="005432F3" w:rsidRPr="006C7D0F">
          <w:rPr>
            <w:rStyle w:val="Hyperlink"/>
          </w:rPr>
          <w:t>Introduction</w:t>
        </w:r>
        <w:r w:rsidR="005432F3">
          <w:rPr>
            <w:webHidden/>
          </w:rPr>
          <w:tab/>
        </w:r>
        <w:r w:rsidR="005432F3">
          <w:rPr>
            <w:webHidden/>
          </w:rPr>
          <w:fldChar w:fldCharType="begin"/>
        </w:r>
        <w:r w:rsidR="005432F3">
          <w:rPr>
            <w:webHidden/>
          </w:rPr>
          <w:instrText xml:space="preserve"> PAGEREF _Toc499799342 \h </w:instrText>
        </w:r>
        <w:r w:rsidR="005432F3">
          <w:rPr>
            <w:webHidden/>
          </w:rPr>
        </w:r>
        <w:r w:rsidR="005432F3">
          <w:rPr>
            <w:webHidden/>
          </w:rPr>
          <w:fldChar w:fldCharType="separate"/>
        </w:r>
        <w:r w:rsidR="001024B6">
          <w:rPr>
            <w:webHidden/>
          </w:rPr>
          <w:t>2</w:t>
        </w:r>
        <w:r w:rsidR="005432F3">
          <w:rPr>
            <w:webHidden/>
          </w:rPr>
          <w:fldChar w:fldCharType="end"/>
        </w:r>
      </w:hyperlink>
    </w:p>
    <w:p w:rsidR="005432F3" w:rsidRDefault="004473A2" w:rsidP="005432F3">
      <w:pPr>
        <w:pStyle w:val="TOC1"/>
        <w:spacing w:line="260" w:lineRule="atLeast"/>
        <w:rPr>
          <w:rFonts w:eastAsiaTheme="minorEastAsia"/>
          <w:b w:val="0"/>
          <w:color w:val="auto"/>
          <w:lang w:eastAsia="en-AU"/>
        </w:rPr>
      </w:pPr>
      <w:hyperlink w:anchor="_Toc499799343" w:history="1">
        <w:r w:rsidR="005432F3" w:rsidRPr="006C7D0F">
          <w:rPr>
            <w:rStyle w:val="Hyperlink"/>
          </w:rPr>
          <w:t>2</w:t>
        </w:r>
        <w:r w:rsidR="005432F3">
          <w:rPr>
            <w:rFonts w:eastAsiaTheme="minorEastAsia"/>
            <w:b w:val="0"/>
            <w:color w:val="auto"/>
            <w:lang w:eastAsia="en-AU"/>
          </w:rPr>
          <w:tab/>
        </w:r>
        <w:r w:rsidR="005432F3" w:rsidRPr="006C7D0F">
          <w:rPr>
            <w:rStyle w:val="Hyperlink"/>
          </w:rPr>
          <w:t>The role of costings in the policy debate</w:t>
        </w:r>
        <w:r w:rsidR="005432F3">
          <w:rPr>
            <w:webHidden/>
          </w:rPr>
          <w:tab/>
        </w:r>
        <w:r w:rsidR="005432F3">
          <w:rPr>
            <w:webHidden/>
          </w:rPr>
          <w:fldChar w:fldCharType="begin"/>
        </w:r>
        <w:r w:rsidR="005432F3">
          <w:rPr>
            <w:webHidden/>
          </w:rPr>
          <w:instrText xml:space="preserve"> PAGEREF _Toc499799343 \h </w:instrText>
        </w:r>
        <w:r w:rsidR="005432F3">
          <w:rPr>
            <w:webHidden/>
          </w:rPr>
        </w:r>
        <w:r w:rsidR="005432F3">
          <w:rPr>
            <w:webHidden/>
          </w:rPr>
          <w:fldChar w:fldCharType="separate"/>
        </w:r>
        <w:r w:rsidR="001024B6">
          <w:rPr>
            <w:webHidden/>
          </w:rPr>
          <w:t>3</w:t>
        </w:r>
        <w:r w:rsidR="005432F3">
          <w:rPr>
            <w:webHidden/>
          </w:rPr>
          <w:fldChar w:fldCharType="end"/>
        </w:r>
      </w:hyperlink>
    </w:p>
    <w:p w:rsidR="005432F3" w:rsidRDefault="004473A2" w:rsidP="005432F3">
      <w:pPr>
        <w:pStyle w:val="TOC1"/>
        <w:spacing w:line="260" w:lineRule="atLeast"/>
        <w:rPr>
          <w:rFonts w:eastAsiaTheme="minorEastAsia"/>
          <w:b w:val="0"/>
          <w:color w:val="auto"/>
          <w:lang w:eastAsia="en-AU"/>
        </w:rPr>
      </w:pPr>
      <w:hyperlink w:anchor="_Toc499799344" w:history="1">
        <w:r w:rsidR="005432F3" w:rsidRPr="006C7D0F">
          <w:rPr>
            <w:rStyle w:val="Hyperlink"/>
          </w:rPr>
          <w:t>3</w:t>
        </w:r>
        <w:r w:rsidR="005432F3">
          <w:rPr>
            <w:rFonts w:eastAsiaTheme="minorEastAsia"/>
            <w:b w:val="0"/>
            <w:color w:val="auto"/>
            <w:lang w:eastAsia="en-AU"/>
          </w:rPr>
          <w:tab/>
        </w:r>
        <w:r w:rsidR="005432F3" w:rsidRPr="006C7D0F">
          <w:rPr>
            <w:rStyle w:val="Hyperlink"/>
          </w:rPr>
          <w:t>What does a costing capture?</w:t>
        </w:r>
        <w:r w:rsidR="005432F3">
          <w:rPr>
            <w:webHidden/>
          </w:rPr>
          <w:tab/>
        </w:r>
        <w:r w:rsidR="005432F3">
          <w:rPr>
            <w:webHidden/>
          </w:rPr>
          <w:fldChar w:fldCharType="begin"/>
        </w:r>
        <w:r w:rsidR="005432F3">
          <w:rPr>
            <w:webHidden/>
          </w:rPr>
          <w:instrText xml:space="preserve"> PAGEREF _Toc499799344 \h </w:instrText>
        </w:r>
        <w:r w:rsidR="005432F3">
          <w:rPr>
            <w:webHidden/>
          </w:rPr>
        </w:r>
        <w:r w:rsidR="005432F3">
          <w:rPr>
            <w:webHidden/>
          </w:rPr>
          <w:fldChar w:fldCharType="separate"/>
        </w:r>
        <w:r w:rsidR="001024B6">
          <w:rPr>
            <w:webHidden/>
          </w:rPr>
          <w:t>3</w:t>
        </w:r>
        <w:r w:rsidR="005432F3">
          <w:rPr>
            <w:webHidden/>
          </w:rPr>
          <w:fldChar w:fldCharType="end"/>
        </w:r>
      </w:hyperlink>
    </w:p>
    <w:p w:rsidR="005432F3" w:rsidRDefault="004473A2" w:rsidP="005432F3">
      <w:pPr>
        <w:pStyle w:val="TOC1"/>
        <w:spacing w:line="260" w:lineRule="atLeast"/>
        <w:rPr>
          <w:rFonts w:eastAsiaTheme="minorEastAsia"/>
          <w:b w:val="0"/>
          <w:color w:val="auto"/>
          <w:lang w:eastAsia="en-AU"/>
        </w:rPr>
      </w:pPr>
      <w:hyperlink w:anchor="_Toc499799345" w:history="1">
        <w:r w:rsidR="005432F3" w:rsidRPr="006C7D0F">
          <w:rPr>
            <w:rStyle w:val="Hyperlink"/>
          </w:rPr>
          <w:t>4</w:t>
        </w:r>
        <w:r w:rsidR="005432F3">
          <w:rPr>
            <w:rFonts w:eastAsiaTheme="minorEastAsia"/>
            <w:b w:val="0"/>
            <w:color w:val="auto"/>
            <w:lang w:eastAsia="en-AU"/>
          </w:rPr>
          <w:tab/>
        </w:r>
        <w:r w:rsidR="005432F3" w:rsidRPr="006C7D0F">
          <w:rPr>
            <w:rStyle w:val="Hyperlink"/>
          </w:rPr>
          <w:t>Elements of the costing process</w:t>
        </w:r>
        <w:r w:rsidR="005432F3">
          <w:rPr>
            <w:webHidden/>
          </w:rPr>
          <w:tab/>
        </w:r>
        <w:r w:rsidR="005432F3">
          <w:rPr>
            <w:webHidden/>
          </w:rPr>
          <w:fldChar w:fldCharType="begin"/>
        </w:r>
        <w:r w:rsidR="005432F3">
          <w:rPr>
            <w:webHidden/>
          </w:rPr>
          <w:instrText xml:space="preserve"> PAGEREF _Toc499799345 \h </w:instrText>
        </w:r>
        <w:r w:rsidR="005432F3">
          <w:rPr>
            <w:webHidden/>
          </w:rPr>
        </w:r>
        <w:r w:rsidR="005432F3">
          <w:rPr>
            <w:webHidden/>
          </w:rPr>
          <w:fldChar w:fldCharType="separate"/>
        </w:r>
        <w:r w:rsidR="001024B6">
          <w:rPr>
            <w:webHidden/>
          </w:rPr>
          <w:t>6</w:t>
        </w:r>
        <w:r w:rsidR="005432F3">
          <w:rPr>
            <w:webHidden/>
          </w:rPr>
          <w:fldChar w:fldCharType="end"/>
        </w:r>
      </w:hyperlink>
    </w:p>
    <w:p w:rsidR="005432F3" w:rsidRDefault="004473A2" w:rsidP="005432F3">
      <w:pPr>
        <w:pStyle w:val="TOC2"/>
        <w:spacing w:line="260" w:lineRule="atLeast"/>
        <w:rPr>
          <w:rFonts w:eastAsiaTheme="minorEastAsia"/>
          <w:szCs w:val="22"/>
          <w:lang w:eastAsia="en-AU"/>
        </w:rPr>
      </w:pPr>
      <w:hyperlink w:anchor="_Toc499799346" w:history="1">
        <w:r w:rsidR="005432F3" w:rsidRPr="006C7D0F">
          <w:rPr>
            <w:rStyle w:val="Hyperlink"/>
          </w:rPr>
          <w:t>4.1</w:t>
        </w:r>
        <w:r w:rsidR="005432F3">
          <w:rPr>
            <w:rFonts w:eastAsiaTheme="minorEastAsia"/>
            <w:szCs w:val="22"/>
            <w:lang w:eastAsia="en-AU"/>
          </w:rPr>
          <w:tab/>
        </w:r>
        <w:r w:rsidR="005432F3" w:rsidRPr="006C7D0F">
          <w:rPr>
            <w:rStyle w:val="Hyperlink"/>
          </w:rPr>
          <w:t>Specification</w:t>
        </w:r>
        <w:r w:rsidR="005432F3">
          <w:rPr>
            <w:webHidden/>
          </w:rPr>
          <w:tab/>
        </w:r>
        <w:r w:rsidR="005432F3">
          <w:rPr>
            <w:webHidden/>
          </w:rPr>
          <w:fldChar w:fldCharType="begin"/>
        </w:r>
        <w:r w:rsidR="005432F3">
          <w:rPr>
            <w:webHidden/>
          </w:rPr>
          <w:instrText xml:space="preserve"> PAGEREF _Toc499799346 \h </w:instrText>
        </w:r>
        <w:r w:rsidR="005432F3">
          <w:rPr>
            <w:webHidden/>
          </w:rPr>
        </w:r>
        <w:r w:rsidR="005432F3">
          <w:rPr>
            <w:webHidden/>
          </w:rPr>
          <w:fldChar w:fldCharType="separate"/>
        </w:r>
        <w:r w:rsidR="001024B6">
          <w:rPr>
            <w:webHidden/>
          </w:rPr>
          <w:t>6</w:t>
        </w:r>
        <w:r w:rsidR="005432F3">
          <w:rPr>
            <w:webHidden/>
          </w:rPr>
          <w:fldChar w:fldCharType="end"/>
        </w:r>
      </w:hyperlink>
    </w:p>
    <w:p w:rsidR="005432F3" w:rsidRDefault="004473A2" w:rsidP="005432F3">
      <w:pPr>
        <w:pStyle w:val="TOC2"/>
        <w:spacing w:line="260" w:lineRule="atLeast"/>
        <w:rPr>
          <w:rFonts w:eastAsiaTheme="minorEastAsia"/>
          <w:szCs w:val="22"/>
          <w:lang w:eastAsia="en-AU"/>
        </w:rPr>
      </w:pPr>
      <w:hyperlink w:anchor="_Toc499799347" w:history="1">
        <w:r w:rsidR="005432F3" w:rsidRPr="006C7D0F">
          <w:rPr>
            <w:rStyle w:val="Hyperlink"/>
          </w:rPr>
          <w:t>4.2</w:t>
        </w:r>
        <w:r w:rsidR="005432F3">
          <w:rPr>
            <w:rFonts w:eastAsiaTheme="minorEastAsia"/>
            <w:szCs w:val="22"/>
            <w:lang w:eastAsia="en-AU"/>
          </w:rPr>
          <w:tab/>
        </w:r>
        <w:r w:rsidR="005432F3" w:rsidRPr="006C7D0F">
          <w:rPr>
            <w:rStyle w:val="Hyperlink"/>
          </w:rPr>
          <w:t>Data and assumptions</w:t>
        </w:r>
        <w:r w:rsidR="005432F3">
          <w:rPr>
            <w:webHidden/>
          </w:rPr>
          <w:tab/>
        </w:r>
        <w:r w:rsidR="005432F3">
          <w:rPr>
            <w:webHidden/>
          </w:rPr>
          <w:fldChar w:fldCharType="begin"/>
        </w:r>
        <w:r w:rsidR="005432F3">
          <w:rPr>
            <w:webHidden/>
          </w:rPr>
          <w:instrText xml:space="preserve"> PAGEREF _Toc499799347 \h </w:instrText>
        </w:r>
        <w:r w:rsidR="005432F3">
          <w:rPr>
            <w:webHidden/>
          </w:rPr>
        </w:r>
        <w:r w:rsidR="005432F3">
          <w:rPr>
            <w:webHidden/>
          </w:rPr>
          <w:fldChar w:fldCharType="separate"/>
        </w:r>
        <w:r w:rsidR="001024B6">
          <w:rPr>
            <w:webHidden/>
          </w:rPr>
          <w:t>7</w:t>
        </w:r>
        <w:r w:rsidR="005432F3">
          <w:rPr>
            <w:webHidden/>
          </w:rPr>
          <w:fldChar w:fldCharType="end"/>
        </w:r>
      </w:hyperlink>
    </w:p>
    <w:p w:rsidR="005432F3" w:rsidRDefault="004473A2" w:rsidP="005432F3">
      <w:pPr>
        <w:pStyle w:val="TOC3"/>
        <w:spacing w:line="260" w:lineRule="atLeast"/>
        <w:rPr>
          <w:lang w:eastAsia="en-AU"/>
        </w:rPr>
      </w:pPr>
      <w:hyperlink w:anchor="_Toc499799348" w:history="1">
        <w:r w:rsidR="005432F3" w:rsidRPr="006C7D0F">
          <w:rPr>
            <w:rStyle w:val="Hyperlink"/>
            <w14:scene3d>
              <w14:camera w14:prst="orthographicFront"/>
              <w14:lightRig w14:rig="threePt" w14:dir="t">
                <w14:rot w14:lat="0" w14:lon="0" w14:rev="0"/>
              </w14:lightRig>
            </w14:scene3d>
          </w:rPr>
          <w:t>4.2.1</w:t>
        </w:r>
        <w:r w:rsidR="005432F3">
          <w:rPr>
            <w:lang w:eastAsia="en-AU"/>
          </w:rPr>
          <w:tab/>
        </w:r>
        <w:r w:rsidR="005432F3" w:rsidRPr="006C7D0F">
          <w:rPr>
            <w:rStyle w:val="Hyperlink"/>
          </w:rPr>
          <w:t>Data sources</w:t>
        </w:r>
        <w:r w:rsidR="005432F3">
          <w:rPr>
            <w:webHidden/>
          </w:rPr>
          <w:tab/>
        </w:r>
        <w:r w:rsidR="005432F3">
          <w:rPr>
            <w:webHidden/>
          </w:rPr>
          <w:fldChar w:fldCharType="begin"/>
        </w:r>
        <w:r w:rsidR="005432F3">
          <w:rPr>
            <w:webHidden/>
          </w:rPr>
          <w:instrText xml:space="preserve"> PAGEREF _Toc499799348 \h </w:instrText>
        </w:r>
        <w:r w:rsidR="005432F3">
          <w:rPr>
            <w:webHidden/>
          </w:rPr>
        </w:r>
        <w:r w:rsidR="005432F3">
          <w:rPr>
            <w:webHidden/>
          </w:rPr>
          <w:fldChar w:fldCharType="separate"/>
        </w:r>
        <w:r w:rsidR="001024B6">
          <w:rPr>
            <w:webHidden/>
          </w:rPr>
          <w:t>8</w:t>
        </w:r>
        <w:r w:rsidR="005432F3">
          <w:rPr>
            <w:webHidden/>
          </w:rPr>
          <w:fldChar w:fldCharType="end"/>
        </w:r>
      </w:hyperlink>
    </w:p>
    <w:p w:rsidR="005432F3" w:rsidRDefault="004473A2" w:rsidP="005432F3">
      <w:pPr>
        <w:pStyle w:val="TOC3"/>
        <w:spacing w:line="260" w:lineRule="atLeast"/>
        <w:rPr>
          <w:lang w:eastAsia="en-AU"/>
        </w:rPr>
      </w:pPr>
      <w:hyperlink w:anchor="_Toc499799349" w:history="1">
        <w:r w:rsidR="005432F3" w:rsidRPr="006C7D0F">
          <w:rPr>
            <w:rStyle w:val="Hyperlink"/>
            <w14:scene3d>
              <w14:camera w14:prst="orthographicFront"/>
              <w14:lightRig w14:rig="threePt" w14:dir="t">
                <w14:rot w14:lat="0" w14:lon="0" w14:rev="0"/>
              </w14:lightRig>
            </w14:scene3d>
          </w:rPr>
          <w:t>4.2.2</w:t>
        </w:r>
        <w:r w:rsidR="005432F3">
          <w:rPr>
            <w:lang w:eastAsia="en-AU"/>
          </w:rPr>
          <w:tab/>
        </w:r>
        <w:r w:rsidR="005432F3" w:rsidRPr="006C7D0F">
          <w:rPr>
            <w:rStyle w:val="Hyperlink"/>
          </w:rPr>
          <w:t>Key assumptions</w:t>
        </w:r>
        <w:r w:rsidR="005432F3">
          <w:rPr>
            <w:webHidden/>
          </w:rPr>
          <w:tab/>
        </w:r>
        <w:r w:rsidR="005432F3">
          <w:rPr>
            <w:webHidden/>
          </w:rPr>
          <w:fldChar w:fldCharType="begin"/>
        </w:r>
        <w:r w:rsidR="005432F3">
          <w:rPr>
            <w:webHidden/>
          </w:rPr>
          <w:instrText xml:space="preserve"> PAGEREF _Toc499799349 \h </w:instrText>
        </w:r>
        <w:r w:rsidR="005432F3">
          <w:rPr>
            <w:webHidden/>
          </w:rPr>
        </w:r>
        <w:r w:rsidR="005432F3">
          <w:rPr>
            <w:webHidden/>
          </w:rPr>
          <w:fldChar w:fldCharType="separate"/>
        </w:r>
        <w:r w:rsidR="001024B6">
          <w:rPr>
            <w:webHidden/>
          </w:rPr>
          <w:t>8</w:t>
        </w:r>
        <w:r w:rsidR="005432F3">
          <w:rPr>
            <w:webHidden/>
          </w:rPr>
          <w:fldChar w:fldCharType="end"/>
        </w:r>
      </w:hyperlink>
    </w:p>
    <w:p w:rsidR="005432F3" w:rsidRDefault="004473A2" w:rsidP="005432F3">
      <w:pPr>
        <w:pStyle w:val="TOC3"/>
        <w:spacing w:line="260" w:lineRule="atLeast"/>
        <w:rPr>
          <w:lang w:eastAsia="en-AU"/>
        </w:rPr>
      </w:pPr>
      <w:hyperlink w:anchor="_Toc499799350" w:history="1">
        <w:r w:rsidR="005432F3" w:rsidRPr="006C7D0F">
          <w:rPr>
            <w:rStyle w:val="Hyperlink"/>
            <w14:scene3d>
              <w14:camera w14:prst="orthographicFront"/>
              <w14:lightRig w14:rig="threePt" w14:dir="t">
                <w14:rot w14:lat="0" w14:lon="0" w14:rev="0"/>
              </w14:lightRig>
            </w14:scene3d>
          </w:rPr>
          <w:t>4.2.3</w:t>
        </w:r>
        <w:r w:rsidR="005432F3">
          <w:rPr>
            <w:lang w:eastAsia="en-AU"/>
          </w:rPr>
          <w:tab/>
        </w:r>
        <w:r w:rsidR="005432F3" w:rsidRPr="006C7D0F">
          <w:rPr>
            <w:rStyle w:val="Hyperlink"/>
          </w:rPr>
          <w:t>Uncertainty</w:t>
        </w:r>
        <w:r w:rsidR="005432F3">
          <w:rPr>
            <w:webHidden/>
          </w:rPr>
          <w:tab/>
        </w:r>
        <w:r w:rsidR="005432F3">
          <w:rPr>
            <w:webHidden/>
          </w:rPr>
          <w:fldChar w:fldCharType="begin"/>
        </w:r>
        <w:r w:rsidR="005432F3">
          <w:rPr>
            <w:webHidden/>
          </w:rPr>
          <w:instrText xml:space="preserve"> PAGEREF _Toc499799350 \h </w:instrText>
        </w:r>
        <w:r w:rsidR="005432F3">
          <w:rPr>
            <w:webHidden/>
          </w:rPr>
        </w:r>
        <w:r w:rsidR="005432F3">
          <w:rPr>
            <w:webHidden/>
          </w:rPr>
          <w:fldChar w:fldCharType="separate"/>
        </w:r>
        <w:r w:rsidR="001024B6">
          <w:rPr>
            <w:webHidden/>
          </w:rPr>
          <w:t>9</w:t>
        </w:r>
        <w:r w:rsidR="005432F3">
          <w:rPr>
            <w:webHidden/>
          </w:rPr>
          <w:fldChar w:fldCharType="end"/>
        </w:r>
      </w:hyperlink>
    </w:p>
    <w:p w:rsidR="005432F3" w:rsidRDefault="004473A2" w:rsidP="005432F3">
      <w:pPr>
        <w:pStyle w:val="TOC2"/>
        <w:spacing w:line="260" w:lineRule="atLeast"/>
        <w:rPr>
          <w:rFonts w:eastAsiaTheme="minorEastAsia"/>
          <w:szCs w:val="22"/>
          <w:lang w:eastAsia="en-AU"/>
        </w:rPr>
      </w:pPr>
      <w:hyperlink w:anchor="_Toc499799351" w:history="1">
        <w:r w:rsidR="005432F3" w:rsidRPr="006C7D0F">
          <w:rPr>
            <w:rStyle w:val="Hyperlink"/>
          </w:rPr>
          <w:t>4.3</w:t>
        </w:r>
        <w:r w:rsidR="005432F3">
          <w:rPr>
            <w:rFonts w:eastAsiaTheme="minorEastAsia"/>
            <w:szCs w:val="22"/>
            <w:lang w:eastAsia="en-AU"/>
          </w:rPr>
          <w:tab/>
        </w:r>
        <w:r w:rsidR="005432F3" w:rsidRPr="006C7D0F">
          <w:rPr>
            <w:rStyle w:val="Hyperlink"/>
          </w:rPr>
          <w:t>Modelling</w:t>
        </w:r>
        <w:r w:rsidR="005432F3">
          <w:rPr>
            <w:webHidden/>
          </w:rPr>
          <w:tab/>
        </w:r>
        <w:r w:rsidR="005432F3">
          <w:rPr>
            <w:webHidden/>
          </w:rPr>
          <w:fldChar w:fldCharType="begin"/>
        </w:r>
        <w:r w:rsidR="005432F3">
          <w:rPr>
            <w:webHidden/>
          </w:rPr>
          <w:instrText xml:space="preserve"> PAGEREF _Toc499799351 \h </w:instrText>
        </w:r>
        <w:r w:rsidR="005432F3">
          <w:rPr>
            <w:webHidden/>
          </w:rPr>
        </w:r>
        <w:r w:rsidR="005432F3">
          <w:rPr>
            <w:webHidden/>
          </w:rPr>
          <w:fldChar w:fldCharType="separate"/>
        </w:r>
        <w:r w:rsidR="001024B6">
          <w:rPr>
            <w:webHidden/>
          </w:rPr>
          <w:t>9</w:t>
        </w:r>
        <w:r w:rsidR="005432F3">
          <w:rPr>
            <w:webHidden/>
          </w:rPr>
          <w:fldChar w:fldCharType="end"/>
        </w:r>
      </w:hyperlink>
    </w:p>
    <w:p w:rsidR="005432F3" w:rsidRDefault="004473A2" w:rsidP="005432F3">
      <w:pPr>
        <w:pStyle w:val="TOC3"/>
        <w:spacing w:line="260" w:lineRule="atLeast"/>
        <w:rPr>
          <w:lang w:eastAsia="en-AU"/>
        </w:rPr>
      </w:pPr>
      <w:hyperlink w:anchor="_Toc499799352" w:history="1">
        <w:r w:rsidR="005432F3" w:rsidRPr="006C7D0F">
          <w:rPr>
            <w:rStyle w:val="Hyperlink"/>
            <w14:scene3d>
              <w14:camera w14:prst="orthographicFront"/>
              <w14:lightRig w14:rig="threePt" w14:dir="t">
                <w14:rot w14:lat="0" w14:lon="0" w14:rev="0"/>
              </w14:lightRig>
            </w14:scene3d>
          </w:rPr>
          <w:t>4.3.1</w:t>
        </w:r>
        <w:r w:rsidR="005432F3">
          <w:rPr>
            <w:lang w:eastAsia="en-AU"/>
          </w:rPr>
          <w:tab/>
        </w:r>
        <w:r w:rsidR="005432F3" w:rsidRPr="006C7D0F">
          <w:rPr>
            <w:rStyle w:val="Hyperlink"/>
          </w:rPr>
          <w:t>The modelling framework</w:t>
        </w:r>
        <w:r w:rsidR="005432F3">
          <w:rPr>
            <w:webHidden/>
          </w:rPr>
          <w:tab/>
        </w:r>
        <w:r w:rsidR="005432F3">
          <w:rPr>
            <w:webHidden/>
          </w:rPr>
          <w:fldChar w:fldCharType="begin"/>
        </w:r>
        <w:r w:rsidR="005432F3">
          <w:rPr>
            <w:webHidden/>
          </w:rPr>
          <w:instrText xml:space="preserve"> PAGEREF _Toc499799352 \h </w:instrText>
        </w:r>
        <w:r w:rsidR="005432F3">
          <w:rPr>
            <w:webHidden/>
          </w:rPr>
        </w:r>
        <w:r w:rsidR="005432F3">
          <w:rPr>
            <w:webHidden/>
          </w:rPr>
          <w:fldChar w:fldCharType="separate"/>
        </w:r>
        <w:r w:rsidR="001024B6">
          <w:rPr>
            <w:webHidden/>
          </w:rPr>
          <w:t>10</w:t>
        </w:r>
        <w:r w:rsidR="005432F3">
          <w:rPr>
            <w:webHidden/>
          </w:rPr>
          <w:fldChar w:fldCharType="end"/>
        </w:r>
      </w:hyperlink>
    </w:p>
    <w:p w:rsidR="005432F3" w:rsidRDefault="004473A2" w:rsidP="005432F3">
      <w:pPr>
        <w:pStyle w:val="TOC3"/>
        <w:spacing w:line="260" w:lineRule="atLeast"/>
        <w:rPr>
          <w:lang w:eastAsia="en-AU"/>
        </w:rPr>
      </w:pPr>
      <w:hyperlink w:anchor="_Toc499799353" w:history="1">
        <w:r w:rsidR="005432F3" w:rsidRPr="006C7D0F">
          <w:rPr>
            <w:rStyle w:val="Hyperlink"/>
            <w14:scene3d>
              <w14:camera w14:prst="orthographicFront"/>
              <w14:lightRig w14:rig="threePt" w14:dir="t">
                <w14:rot w14:lat="0" w14:lon="0" w14:rev="0"/>
              </w14:lightRig>
            </w14:scene3d>
          </w:rPr>
          <w:t>4.3.2</w:t>
        </w:r>
        <w:r w:rsidR="005432F3">
          <w:rPr>
            <w:lang w:eastAsia="en-AU"/>
          </w:rPr>
          <w:tab/>
        </w:r>
        <w:r w:rsidR="005432F3" w:rsidRPr="006C7D0F">
          <w:rPr>
            <w:rStyle w:val="Hyperlink"/>
          </w:rPr>
          <w:t>Baseline and simulation estimates</w:t>
        </w:r>
        <w:r w:rsidR="005432F3">
          <w:rPr>
            <w:webHidden/>
          </w:rPr>
          <w:tab/>
        </w:r>
        <w:r w:rsidR="005432F3">
          <w:rPr>
            <w:webHidden/>
          </w:rPr>
          <w:fldChar w:fldCharType="begin"/>
        </w:r>
        <w:r w:rsidR="005432F3">
          <w:rPr>
            <w:webHidden/>
          </w:rPr>
          <w:instrText xml:space="preserve"> PAGEREF _Toc499799353 \h </w:instrText>
        </w:r>
        <w:r w:rsidR="005432F3">
          <w:rPr>
            <w:webHidden/>
          </w:rPr>
        </w:r>
        <w:r w:rsidR="005432F3">
          <w:rPr>
            <w:webHidden/>
          </w:rPr>
          <w:fldChar w:fldCharType="separate"/>
        </w:r>
        <w:r w:rsidR="001024B6">
          <w:rPr>
            <w:webHidden/>
          </w:rPr>
          <w:t>11</w:t>
        </w:r>
        <w:r w:rsidR="005432F3">
          <w:rPr>
            <w:webHidden/>
          </w:rPr>
          <w:fldChar w:fldCharType="end"/>
        </w:r>
      </w:hyperlink>
    </w:p>
    <w:p w:rsidR="005432F3" w:rsidRDefault="004473A2" w:rsidP="005432F3">
      <w:pPr>
        <w:pStyle w:val="TOC2"/>
        <w:spacing w:line="260" w:lineRule="atLeast"/>
        <w:rPr>
          <w:rFonts w:eastAsiaTheme="minorEastAsia"/>
          <w:szCs w:val="22"/>
          <w:lang w:eastAsia="en-AU"/>
        </w:rPr>
      </w:pPr>
      <w:hyperlink w:anchor="_Toc499799354" w:history="1">
        <w:r w:rsidR="005432F3" w:rsidRPr="006C7D0F">
          <w:rPr>
            <w:rStyle w:val="Hyperlink"/>
          </w:rPr>
          <w:t>4.4</w:t>
        </w:r>
        <w:r w:rsidR="005432F3">
          <w:rPr>
            <w:rFonts w:eastAsiaTheme="minorEastAsia"/>
            <w:szCs w:val="22"/>
            <w:lang w:eastAsia="en-AU"/>
          </w:rPr>
          <w:tab/>
        </w:r>
        <w:r w:rsidR="005432F3" w:rsidRPr="006C7D0F">
          <w:rPr>
            <w:rStyle w:val="Hyperlink"/>
          </w:rPr>
          <w:t>Quality assurance</w:t>
        </w:r>
        <w:r w:rsidR="005432F3">
          <w:rPr>
            <w:webHidden/>
          </w:rPr>
          <w:tab/>
        </w:r>
        <w:r w:rsidR="005432F3">
          <w:rPr>
            <w:webHidden/>
          </w:rPr>
          <w:fldChar w:fldCharType="begin"/>
        </w:r>
        <w:r w:rsidR="005432F3">
          <w:rPr>
            <w:webHidden/>
          </w:rPr>
          <w:instrText xml:space="preserve"> PAGEREF _Toc499799354 \h </w:instrText>
        </w:r>
        <w:r w:rsidR="005432F3">
          <w:rPr>
            <w:webHidden/>
          </w:rPr>
        </w:r>
        <w:r w:rsidR="005432F3">
          <w:rPr>
            <w:webHidden/>
          </w:rPr>
          <w:fldChar w:fldCharType="separate"/>
        </w:r>
        <w:r w:rsidR="001024B6">
          <w:rPr>
            <w:webHidden/>
          </w:rPr>
          <w:t>15</w:t>
        </w:r>
        <w:r w:rsidR="005432F3">
          <w:rPr>
            <w:webHidden/>
          </w:rPr>
          <w:fldChar w:fldCharType="end"/>
        </w:r>
      </w:hyperlink>
    </w:p>
    <w:p w:rsidR="005432F3" w:rsidRDefault="004473A2" w:rsidP="005432F3">
      <w:pPr>
        <w:pStyle w:val="TOC2"/>
        <w:spacing w:line="260" w:lineRule="atLeast"/>
        <w:rPr>
          <w:rFonts w:eastAsiaTheme="minorEastAsia"/>
          <w:szCs w:val="22"/>
          <w:lang w:eastAsia="en-AU"/>
        </w:rPr>
      </w:pPr>
      <w:hyperlink w:anchor="_Toc499799355" w:history="1">
        <w:r w:rsidR="005432F3" w:rsidRPr="006C7D0F">
          <w:rPr>
            <w:rStyle w:val="Hyperlink"/>
          </w:rPr>
          <w:t>4.5</w:t>
        </w:r>
        <w:r w:rsidR="005432F3">
          <w:rPr>
            <w:rFonts w:eastAsiaTheme="minorEastAsia"/>
            <w:szCs w:val="22"/>
            <w:lang w:eastAsia="en-AU"/>
          </w:rPr>
          <w:tab/>
        </w:r>
        <w:r w:rsidR="005432F3" w:rsidRPr="006C7D0F">
          <w:rPr>
            <w:rStyle w:val="Hyperlink"/>
          </w:rPr>
          <w:t>Matters of presentation</w:t>
        </w:r>
        <w:r w:rsidR="005432F3">
          <w:rPr>
            <w:webHidden/>
          </w:rPr>
          <w:tab/>
        </w:r>
        <w:r w:rsidR="005432F3">
          <w:rPr>
            <w:webHidden/>
          </w:rPr>
          <w:fldChar w:fldCharType="begin"/>
        </w:r>
        <w:r w:rsidR="005432F3">
          <w:rPr>
            <w:webHidden/>
          </w:rPr>
          <w:instrText xml:space="preserve"> PAGEREF _Toc499799355 \h </w:instrText>
        </w:r>
        <w:r w:rsidR="005432F3">
          <w:rPr>
            <w:webHidden/>
          </w:rPr>
        </w:r>
        <w:r w:rsidR="005432F3">
          <w:rPr>
            <w:webHidden/>
          </w:rPr>
          <w:fldChar w:fldCharType="separate"/>
        </w:r>
        <w:r w:rsidR="001024B6">
          <w:rPr>
            <w:webHidden/>
          </w:rPr>
          <w:t>15</w:t>
        </w:r>
        <w:r w:rsidR="005432F3">
          <w:rPr>
            <w:webHidden/>
          </w:rPr>
          <w:fldChar w:fldCharType="end"/>
        </w:r>
      </w:hyperlink>
    </w:p>
    <w:p w:rsidR="005432F3" w:rsidRDefault="004473A2" w:rsidP="005432F3">
      <w:pPr>
        <w:pStyle w:val="TOC3"/>
        <w:spacing w:line="260" w:lineRule="atLeast"/>
        <w:rPr>
          <w:lang w:eastAsia="en-AU"/>
        </w:rPr>
      </w:pPr>
      <w:hyperlink w:anchor="_Toc499799356" w:history="1">
        <w:r w:rsidR="005432F3" w:rsidRPr="006C7D0F">
          <w:rPr>
            <w:rStyle w:val="Hyperlink"/>
            <w14:scene3d>
              <w14:camera w14:prst="orthographicFront"/>
              <w14:lightRig w14:rig="threePt" w14:dir="t">
                <w14:rot w14:lat="0" w14:lon="0" w14:rev="0"/>
              </w14:lightRig>
            </w14:scene3d>
          </w:rPr>
          <w:t>4.5.1</w:t>
        </w:r>
        <w:r w:rsidR="005432F3">
          <w:rPr>
            <w:lang w:eastAsia="en-AU"/>
          </w:rPr>
          <w:tab/>
        </w:r>
        <w:r w:rsidR="005432F3" w:rsidRPr="006C7D0F">
          <w:rPr>
            <w:rStyle w:val="Hyperlink"/>
          </w:rPr>
          <w:t>Budget balances</w:t>
        </w:r>
        <w:r w:rsidR="005432F3">
          <w:rPr>
            <w:webHidden/>
          </w:rPr>
          <w:tab/>
        </w:r>
        <w:r w:rsidR="005432F3">
          <w:rPr>
            <w:webHidden/>
          </w:rPr>
          <w:fldChar w:fldCharType="begin"/>
        </w:r>
        <w:r w:rsidR="005432F3">
          <w:rPr>
            <w:webHidden/>
          </w:rPr>
          <w:instrText xml:space="preserve"> PAGEREF _Toc499799356 \h </w:instrText>
        </w:r>
        <w:r w:rsidR="005432F3">
          <w:rPr>
            <w:webHidden/>
          </w:rPr>
        </w:r>
        <w:r w:rsidR="005432F3">
          <w:rPr>
            <w:webHidden/>
          </w:rPr>
          <w:fldChar w:fldCharType="separate"/>
        </w:r>
        <w:r w:rsidR="001024B6">
          <w:rPr>
            <w:webHidden/>
          </w:rPr>
          <w:t>15</w:t>
        </w:r>
        <w:r w:rsidR="005432F3">
          <w:rPr>
            <w:webHidden/>
          </w:rPr>
          <w:fldChar w:fldCharType="end"/>
        </w:r>
      </w:hyperlink>
    </w:p>
    <w:p w:rsidR="005432F3" w:rsidRDefault="004473A2" w:rsidP="005432F3">
      <w:pPr>
        <w:pStyle w:val="TOC3"/>
        <w:spacing w:line="260" w:lineRule="atLeast"/>
        <w:rPr>
          <w:lang w:eastAsia="en-AU"/>
        </w:rPr>
      </w:pPr>
      <w:hyperlink w:anchor="_Toc499799357" w:history="1">
        <w:r w:rsidR="005432F3" w:rsidRPr="006C7D0F">
          <w:rPr>
            <w:rStyle w:val="Hyperlink"/>
            <w14:scene3d>
              <w14:camera w14:prst="orthographicFront"/>
              <w14:lightRig w14:rig="threePt" w14:dir="t">
                <w14:rot w14:lat="0" w14:lon="0" w14:rev="0"/>
              </w14:lightRig>
            </w14:scene3d>
          </w:rPr>
          <w:t>4.5.2</w:t>
        </w:r>
        <w:r w:rsidR="005432F3">
          <w:rPr>
            <w:lang w:eastAsia="en-AU"/>
          </w:rPr>
          <w:tab/>
        </w:r>
        <w:r w:rsidR="005432F3" w:rsidRPr="006C7D0F">
          <w:rPr>
            <w:rStyle w:val="Hyperlink"/>
          </w:rPr>
          <w:t>Treatment of public debt interest payments</w:t>
        </w:r>
        <w:r w:rsidR="005432F3">
          <w:rPr>
            <w:webHidden/>
          </w:rPr>
          <w:tab/>
        </w:r>
        <w:r w:rsidR="005432F3">
          <w:rPr>
            <w:webHidden/>
          </w:rPr>
          <w:fldChar w:fldCharType="begin"/>
        </w:r>
        <w:r w:rsidR="005432F3">
          <w:rPr>
            <w:webHidden/>
          </w:rPr>
          <w:instrText xml:space="preserve"> PAGEREF _Toc499799357 \h </w:instrText>
        </w:r>
        <w:r w:rsidR="005432F3">
          <w:rPr>
            <w:webHidden/>
          </w:rPr>
        </w:r>
        <w:r w:rsidR="005432F3">
          <w:rPr>
            <w:webHidden/>
          </w:rPr>
          <w:fldChar w:fldCharType="separate"/>
        </w:r>
        <w:r w:rsidR="001024B6">
          <w:rPr>
            <w:webHidden/>
          </w:rPr>
          <w:t>16</w:t>
        </w:r>
        <w:r w:rsidR="005432F3">
          <w:rPr>
            <w:webHidden/>
          </w:rPr>
          <w:fldChar w:fldCharType="end"/>
        </w:r>
      </w:hyperlink>
    </w:p>
    <w:p w:rsidR="005432F3" w:rsidRDefault="004473A2" w:rsidP="005432F3">
      <w:pPr>
        <w:pStyle w:val="TOC3"/>
        <w:spacing w:line="260" w:lineRule="atLeast"/>
        <w:rPr>
          <w:lang w:eastAsia="en-AU"/>
        </w:rPr>
      </w:pPr>
      <w:hyperlink w:anchor="_Toc499799358" w:history="1">
        <w:r w:rsidR="005432F3" w:rsidRPr="006C7D0F">
          <w:rPr>
            <w:rStyle w:val="Hyperlink"/>
            <w14:scene3d>
              <w14:camera w14:prst="orthographicFront"/>
              <w14:lightRig w14:rig="threePt" w14:dir="t">
                <w14:rot w14:lat="0" w14:lon="0" w14:rev="0"/>
              </w14:lightRig>
            </w14:scene3d>
          </w:rPr>
          <w:t>4.5.3</w:t>
        </w:r>
        <w:r w:rsidR="005432F3">
          <w:rPr>
            <w:lang w:eastAsia="en-AU"/>
          </w:rPr>
          <w:tab/>
        </w:r>
        <w:r w:rsidR="005432F3" w:rsidRPr="006C7D0F">
          <w:rPr>
            <w:rStyle w:val="Hyperlink"/>
          </w:rPr>
          <w:t>Rounding</w:t>
        </w:r>
        <w:r w:rsidR="005432F3">
          <w:rPr>
            <w:webHidden/>
          </w:rPr>
          <w:tab/>
        </w:r>
        <w:r w:rsidR="005432F3">
          <w:rPr>
            <w:webHidden/>
          </w:rPr>
          <w:fldChar w:fldCharType="begin"/>
        </w:r>
        <w:r w:rsidR="005432F3">
          <w:rPr>
            <w:webHidden/>
          </w:rPr>
          <w:instrText xml:space="preserve"> PAGEREF _Toc499799358 \h </w:instrText>
        </w:r>
        <w:r w:rsidR="005432F3">
          <w:rPr>
            <w:webHidden/>
          </w:rPr>
        </w:r>
        <w:r w:rsidR="005432F3">
          <w:rPr>
            <w:webHidden/>
          </w:rPr>
          <w:fldChar w:fldCharType="separate"/>
        </w:r>
        <w:r w:rsidR="001024B6">
          <w:rPr>
            <w:webHidden/>
          </w:rPr>
          <w:t>17</w:t>
        </w:r>
        <w:r w:rsidR="005432F3">
          <w:rPr>
            <w:webHidden/>
          </w:rPr>
          <w:fldChar w:fldCharType="end"/>
        </w:r>
      </w:hyperlink>
    </w:p>
    <w:p w:rsidR="005432F3" w:rsidRDefault="004473A2" w:rsidP="005432F3">
      <w:pPr>
        <w:pStyle w:val="TOC3"/>
        <w:spacing w:line="260" w:lineRule="atLeast"/>
        <w:rPr>
          <w:lang w:eastAsia="en-AU"/>
        </w:rPr>
      </w:pPr>
      <w:hyperlink w:anchor="_Toc499799359" w:history="1">
        <w:r w:rsidR="005432F3" w:rsidRPr="006C7D0F">
          <w:rPr>
            <w:rStyle w:val="Hyperlink"/>
            <w14:scene3d>
              <w14:camera w14:prst="orthographicFront"/>
              <w14:lightRig w14:rig="threePt" w14:dir="t">
                <w14:rot w14:lat="0" w14:lon="0" w14:rev="0"/>
              </w14:lightRig>
            </w14:scene3d>
          </w:rPr>
          <w:t>4.5.4</w:t>
        </w:r>
        <w:r w:rsidR="005432F3">
          <w:rPr>
            <w:lang w:eastAsia="en-AU"/>
          </w:rPr>
          <w:tab/>
        </w:r>
        <w:r w:rsidR="005432F3" w:rsidRPr="006C7D0F">
          <w:rPr>
            <w:rStyle w:val="Hyperlink"/>
          </w:rPr>
          <w:t>Unquantifiable estimates</w:t>
        </w:r>
        <w:r w:rsidR="005432F3">
          <w:rPr>
            <w:webHidden/>
          </w:rPr>
          <w:tab/>
        </w:r>
        <w:r w:rsidR="005432F3">
          <w:rPr>
            <w:webHidden/>
          </w:rPr>
          <w:fldChar w:fldCharType="begin"/>
        </w:r>
        <w:r w:rsidR="005432F3">
          <w:rPr>
            <w:webHidden/>
          </w:rPr>
          <w:instrText xml:space="preserve"> PAGEREF _Toc499799359 \h </w:instrText>
        </w:r>
        <w:r w:rsidR="005432F3">
          <w:rPr>
            <w:webHidden/>
          </w:rPr>
        </w:r>
        <w:r w:rsidR="005432F3">
          <w:rPr>
            <w:webHidden/>
          </w:rPr>
          <w:fldChar w:fldCharType="separate"/>
        </w:r>
        <w:r w:rsidR="001024B6">
          <w:rPr>
            <w:webHidden/>
          </w:rPr>
          <w:t>17</w:t>
        </w:r>
        <w:r w:rsidR="005432F3">
          <w:rPr>
            <w:webHidden/>
          </w:rPr>
          <w:fldChar w:fldCharType="end"/>
        </w:r>
      </w:hyperlink>
    </w:p>
    <w:p w:rsidR="005432F3" w:rsidRDefault="004473A2" w:rsidP="005432F3">
      <w:pPr>
        <w:pStyle w:val="TOC1"/>
        <w:spacing w:line="260" w:lineRule="atLeast"/>
        <w:rPr>
          <w:rFonts w:eastAsiaTheme="minorEastAsia"/>
          <w:b w:val="0"/>
          <w:color w:val="auto"/>
          <w:lang w:eastAsia="en-AU"/>
        </w:rPr>
      </w:pPr>
      <w:hyperlink w:anchor="_Toc499799360" w:history="1">
        <w:r w:rsidR="005432F3" w:rsidRPr="006C7D0F">
          <w:rPr>
            <w:rStyle w:val="Hyperlink"/>
          </w:rPr>
          <w:t>5</w:t>
        </w:r>
        <w:r w:rsidR="005432F3">
          <w:rPr>
            <w:rFonts w:eastAsiaTheme="minorEastAsia"/>
            <w:b w:val="0"/>
            <w:color w:val="auto"/>
            <w:lang w:eastAsia="en-AU"/>
          </w:rPr>
          <w:tab/>
        </w:r>
        <w:r w:rsidR="005432F3" w:rsidRPr="006C7D0F">
          <w:rPr>
            <w:rStyle w:val="Hyperlink"/>
          </w:rPr>
          <w:t>The costing minute</w:t>
        </w:r>
        <w:r w:rsidR="005432F3">
          <w:rPr>
            <w:webHidden/>
          </w:rPr>
          <w:tab/>
        </w:r>
        <w:r w:rsidR="005432F3">
          <w:rPr>
            <w:webHidden/>
          </w:rPr>
          <w:fldChar w:fldCharType="begin"/>
        </w:r>
        <w:r w:rsidR="005432F3">
          <w:rPr>
            <w:webHidden/>
          </w:rPr>
          <w:instrText xml:space="preserve"> PAGEREF _Toc499799360 \h </w:instrText>
        </w:r>
        <w:r w:rsidR="005432F3">
          <w:rPr>
            <w:webHidden/>
          </w:rPr>
        </w:r>
        <w:r w:rsidR="005432F3">
          <w:rPr>
            <w:webHidden/>
          </w:rPr>
          <w:fldChar w:fldCharType="separate"/>
        </w:r>
        <w:r w:rsidR="001024B6">
          <w:rPr>
            <w:webHidden/>
          </w:rPr>
          <w:t>18</w:t>
        </w:r>
        <w:r w:rsidR="005432F3">
          <w:rPr>
            <w:webHidden/>
          </w:rPr>
          <w:fldChar w:fldCharType="end"/>
        </w:r>
      </w:hyperlink>
    </w:p>
    <w:p w:rsidR="005432F3" w:rsidRDefault="004473A2" w:rsidP="005432F3">
      <w:pPr>
        <w:pStyle w:val="TOC1"/>
        <w:spacing w:line="260" w:lineRule="atLeast"/>
        <w:rPr>
          <w:rFonts w:eastAsiaTheme="minorEastAsia"/>
          <w:b w:val="0"/>
          <w:color w:val="auto"/>
          <w:lang w:eastAsia="en-AU"/>
        </w:rPr>
      </w:pPr>
      <w:hyperlink w:anchor="_Toc499799361" w:history="1">
        <w:r w:rsidR="005432F3" w:rsidRPr="006C7D0F">
          <w:rPr>
            <w:rStyle w:val="Hyperlink"/>
          </w:rPr>
          <w:t>Appendix A: Examples of costing minutes</w:t>
        </w:r>
        <w:r w:rsidR="005432F3">
          <w:rPr>
            <w:webHidden/>
          </w:rPr>
          <w:tab/>
        </w:r>
        <w:r w:rsidR="005432F3">
          <w:rPr>
            <w:webHidden/>
          </w:rPr>
          <w:fldChar w:fldCharType="begin"/>
        </w:r>
        <w:r w:rsidR="005432F3">
          <w:rPr>
            <w:webHidden/>
          </w:rPr>
          <w:instrText xml:space="preserve"> PAGEREF _Toc499799361 \h </w:instrText>
        </w:r>
        <w:r w:rsidR="005432F3">
          <w:rPr>
            <w:webHidden/>
          </w:rPr>
        </w:r>
        <w:r w:rsidR="005432F3">
          <w:rPr>
            <w:webHidden/>
          </w:rPr>
          <w:fldChar w:fldCharType="separate"/>
        </w:r>
        <w:r w:rsidR="001024B6">
          <w:rPr>
            <w:webHidden/>
          </w:rPr>
          <w:t>19</w:t>
        </w:r>
        <w:r w:rsidR="005432F3">
          <w:rPr>
            <w:webHidden/>
          </w:rPr>
          <w:fldChar w:fldCharType="end"/>
        </w:r>
      </w:hyperlink>
    </w:p>
    <w:p w:rsidR="005432F3" w:rsidRDefault="004473A2" w:rsidP="005432F3">
      <w:pPr>
        <w:pStyle w:val="TOC2"/>
        <w:spacing w:line="260" w:lineRule="atLeast"/>
        <w:ind w:left="454" w:firstLine="0"/>
        <w:rPr>
          <w:rFonts w:eastAsiaTheme="minorEastAsia"/>
          <w:szCs w:val="22"/>
          <w:lang w:eastAsia="en-AU"/>
        </w:rPr>
      </w:pPr>
      <w:hyperlink w:anchor="_Toc499799362" w:history="1">
        <w:r w:rsidR="005432F3" w:rsidRPr="006C7D0F">
          <w:rPr>
            <w:rStyle w:val="Hyperlink"/>
          </w:rPr>
          <w:t>A.1  2016 PER ALP026—Not proceeding with income tax cuts for high-income Australians</w:t>
        </w:r>
        <w:r w:rsidR="005432F3">
          <w:rPr>
            <w:webHidden/>
          </w:rPr>
          <w:tab/>
        </w:r>
        <w:r w:rsidR="005432F3">
          <w:rPr>
            <w:webHidden/>
          </w:rPr>
          <w:fldChar w:fldCharType="begin"/>
        </w:r>
        <w:r w:rsidR="005432F3">
          <w:rPr>
            <w:webHidden/>
          </w:rPr>
          <w:instrText xml:space="preserve"> PAGEREF _Toc499799362 \h </w:instrText>
        </w:r>
        <w:r w:rsidR="005432F3">
          <w:rPr>
            <w:webHidden/>
          </w:rPr>
        </w:r>
        <w:r w:rsidR="005432F3">
          <w:rPr>
            <w:webHidden/>
          </w:rPr>
          <w:fldChar w:fldCharType="separate"/>
        </w:r>
        <w:r w:rsidR="001024B6">
          <w:rPr>
            <w:webHidden/>
          </w:rPr>
          <w:t>20</w:t>
        </w:r>
        <w:r w:rsidR="005432F3">
          <w:rPr>
            <w:webHidden/>
          </w:rPr>
          <w:fldChar w:fldCharType="end"/>
        </w:r>
      </w:hyperlink>
    </w:p>
    <w:p w:rsidR="005432F3" w:rsidRDefault="004473A2" w:rsidP="005432F3">
      <w:pPr>
        <w:pStyle w:val="TOC2"/>
        <w:spacing w:line="260" w:lineRule="atLeast"/>
        <w:rPr>
          <w:rFonts w:eastAsiaTheme="minorEastAsia"/>
          <w:szCs w:val="22"/>
          <w:lang w:eastAsia="en-AU"/>
        </w:rPr>
      </w:pPr>
      <w:hyperlink w:anchor="_Toc499799363" w:history="1">
        <w:r w:rsidR="005432F3" w:rsidRPr="006C7D0F">
          <w:rPr>
            <w:rStyle w:val="Hyperlink"/>
          </w:rPr>
          <w:t>A.2  2016 PER GRN033—Universities: Base Funding Lift</w:t>
        </w:r>
        <w:r w:rsidR="005432F3">
          <w:rPr>
            <w:webHidden/>
          </w:rPr>
          <w:tab/>
        </w:r>
        <w:r w:rsidR="005432F3">
          <w:rPr>
            <w:webHidden/>
          </w:rPr>
          <w:fldChar w:fldCharType="begin"/>
        </w:r>
        <w:r w:rsidR="005432F3">
          <w:rPr>
            <w:webHidden/>
          </w:rPr>
          <w:instrText xml:space="preserve"> PAGEREF _Toc499799363 \h </w:instrText>
        </w:r>
        <w:r w:rsidR="005432F3">
          <w:rPr>
            <w:webHidden/>
          </w:rPr>
        </w:r>
        <w:r w:rsidR="005432F3">
          <w:rPr>
            <w:webHidden/>
          </w:rPr>
          <w:fldChar w:fldCharType="separate"/>
        </w:r>
        <w:r w:rsidR="001024B6">
          <w:rPr>
            <w:webHidden/>
          </w:rPr>
          <w:t>23</w:t>
        </w:r>
        <w:r w:rsidR="005432F3">
          <w:rPr>
            <w:webHidden/>
          </w:rPr>
          <w:fldChar w:fldCharType="end"/>
        </w:r>
      </w:hyperlink>
    </w:p>
    <w:p w:rsidR="00E915E6" w:rsidRDefault="00903E3F" w:rsidP="005432F3">
      <w:pPr>
        <w:spacing w:line="260" w:lineRule="atLeast"/>
        <w:sectPr w:rsidR="00E915E6" w:rsidSect="00F20F31">
          <w:headerReference w:type="even" r:id="rId16"/>
          <w:headerReference w:type="default" r:id="rId17"/>
          <w:footerReference w:type="even" r:id="rId18"/>
          <w:footerReference w:type="default" r:id="rId19"/>
          <w:pgSz w:w="11906" w:h="16838" w:code="9"/>
          <w:pgMar w:top="1361" w:right="1797" w:bottom="1474" w:left="1797" w:header="284" w:footer="454" w:gutter="0"/>
          <w:pgNumType w:fmt="lowerRoman"/>
          <w:cols w:space="708"/>
          <w:docGrid w:linePitch="360"/>
        </w:sectPr>
      </w:pPr>
      <w:r>
        <w:fldChar w:fldCharType="end"/>
      </w:r>
    </w:p>
    <w:p w:rsidR="004F1297" w:rsidRDefault="00E915E6" w:rsidP="00A12C39">
      <w:pPr>
        <w:pStyle w:val="Heading1NoNumbering"/>
      </w:pPr>
      <w:bookmarkStart w:id="4" w:name="_Toc499799340"/>
      <w:r>
        <w:lastRenderedPageBreak/>
        <w:t>Foreword</w:t>
      </w:r>
      <w:bookmarkStart w:id="5" w:name="_ForewordMarker"/>
      <w:bookmarkEnd w:id="5"/>
      <w:bookmarkEnd w:id="4"/>
    </w:p>
    <w:p w:rsidR="00472EEA" w:rsidRDefault="00CC5AB3" w:rsidP="00DA44F2">
      <w:r>
        <w:t>T</w:t>
      </w:r>
      <w:r w:rsidR="001C0814">
        <w:t xml:space="preserve">he </w:t>
      </w:r>
      <w:r w:rsidR="001C0814" w:rsidRPr="00BF7CAC">
        <w:rPr>
          <w:i/>
        </w:rPr>
        <w:t>Parliamentary Budget Office</w:t>
      </w:r>
      <w:r w:rsidR="0056667D">
        <w:rPr>
          <w:i/>
        </w:rPr>
        <w:t xml:space="preserve"> </w:t>
      </w:r>
      <w:r w:rsidR="001C0814" w:rsidRPr="00BF7CAC">
        <w:rPr>
          <w:i/>
        </w:rPr>
        <w:t>Review 2016</w:t>
      </w:r>
      <w:r w:rsidR="004D6356">
        <w:rPr>
          <w:i/>
        </w:rPr>
        <w:t>–</w:t>
      </w:r>
      <w:r w:rsidR="001C0814" w:rsidRPr="00BF7CAC">
        <w:rPr>
          <w:i/>
        </w:rPr>
        <w:t>17, Report of the independent review panel</w:t>
      </w:r>
      <w:r w:rsidR="001C0814">
        <w:t xml:space="preserve"> </w:t>
      </w:r>
      <w:r>
        <w:t xml:space="preserve">recommended </w:t>
      </w:r>
      <w:r w:rsidR="001C0814">
        <w:t>that</w:t>
      </w:r>
      <w:r>
        <w:t xml:space="preserve"> the </w:t>
      </w:r>
      <w:r w:rsidR="001D1B9F">
        <w:t>PBO</w:t>
      </w:r>
      <w:r>
        <w:t xml:space="preserve"> should more fully explain, in a non-technical fashion, what a policy costing is</w:t>
      </w:r>
      <w:r w:rsidR="004F65DE">
        <w:t xml:space="preserve">.  </w:t>
      </w:r>
      <w:r w:rsidR="001C0814">
        <w:t>This recommendation was directed at increasing the level of public understanding of the policy costing process</w:t>
      </w:r>
      <w:r w:rsidR="004F65DE">
        <w:t xml:space="preserve">.  </w:t>
      </w:r>
    </w:p>
    <w:p w:rsidR="001C0814" w:rsidRDefault="001C0814" w:rsidP="00DA44F2">
      <w:r>
        <w:t xml:space="preserve">This </w:t>
      </w:r>
      <w:r w:rsidR="00997BFA">
        <w:t>information paper</w:t>
      </w:r>
      <w:r w:rsidR="00CC5AB3">
        <w:t xml:space="preserve"> aims to provide a better understanding of what a costing is, how it is produced and how a PBO costing note should be interpreted</w:t>
      </w:r>
      <w:r w:rsidR="004F65DE">
        <w:t xml:space="preserve">.  </w:t>
      </w:r>
    </w:p>
    <w:p w:rsidR="0047026F" w:rsidRDefault="0047026F" w:rsidP="001C0814">
      <w:pPr>
        <w:pStyle w:val="OverviewBodyText"/>
      </w:pPr>
      <w:r w:rsidRPr="00DA44F2">
        <w:t xml:space="preserve">This is one of </w:t>
      </w:r>
      <w:r w:rsidR="00620A79" w:rsidRPr="00DA44F2">
        <w:t xml:space="preserve">three </w:t>
      </w:r>
      <w:r w:rsidR="00B06B84" w:rsidRPr="00DA44F2">
        <w:t>information paper</w:t>
      </w:r>
      <w:r w:rsidRPr="00DA44F2">
        <w:t>s that provide information on PBO costings</w:t>
      </w:r>
      <w:r w:rsidR="004F65DE" w:rsidRPr="00DA44F2">
        <w:t xml:space="preserve">.  </w:t>
      </w:r>
      <w:r w:rsidRPr="00DA44F2">
        <w:t xml:space="preserve">PBO </w:t>
      </w:r>
      <w:r w:rsidR="00620A79" w:rsidRPr="00DA44F2">
        <w:t>information paper</w:t>
      </w:r>
      <w:r w:rsidRPr="00DA44F2">
        <w:t xml:space="preserve"> no</w:t>
      </w:r>
      <w:r w:rsidR="004F65DE" w:rsidRPr="00DA44F2">
        <w:t xml:space="preserve">. </w:t>
      </w:r>
      <w:r w:rsidRPr="00DA44F2">
        <w:t>01/2017</w:t>
      </w:r>
      <w:r w:rsidR="004D6356">
        <w:t>―</w:t>
      </w:r>
      <w:hyperlink r:id="rId20" w:history="1">
        <w:r w:rsidR="00D3546B" w:rsidRPr="00E7409F">
          <w:rPr>
            <w:rStyle w:val="Hyperlink"/>
            <w:i/>
          </w:rPr>
          <w:t>Factors influencing the reliability of policy proposal</w:t>
        </w:r>
      </w:hyperlink>
      <w:r w:rsidR="00D3546B" w:rsidRPr="00D3546B">
        <w:rPr>
          <w:i/>
          <w:u w:val="single"/>
        </w:rPr>
        <w:t xml:space="preserve"> costings</w:t>
      </w:r>
      <w:r w:rsidR="004D6356">
        <w:t>―</w:t>
      </w:r>
      <w:r w:rsidR="00997BFA" w:rsidRPr="00DA44F2">
        <w:t>provides an explanation of the factors that affect the reliability of costing estimates and how these are reflected in PBO costing advice</w:t>
      </w:r>
      <w:r w:rsidR="004F65DE" w:rsidRPr="00DA44F2">
        <w:t xml:space="preserve">.  </w:t>
      </w:r>
      <w:r w:rsidRPr="00DA44F2">
        <w:t xml:space="preserve">PBO </w:t>
      </w:r>
      <w:r w:rsidR="00620A79" w:rsidRPr="00DA44F2">
        <w:t>information paper</w:t>
      </w:r>
      <w:r w:rsidRPr="00DA44F2">
        <w:t xml:space="preserve"> no</w:t>
      </w:r>
      <w:r w:rsidR="004F65DE" w:rsidRPr="00DA44F2">
        <w:t>.</w:t>
      </w:r>
      <w:r w:rsidR="00054760" w:rsidRPr="00DA44F2">
        <w:t> </w:t>
      </w:r>
      <w:r w:rsidRPr="00DA44F2">
        <w:t>03/201</w:t>
      </w:r>
      <w:r w:rsidRPr="007D75C6">
        <w:t>7</w:t>
      </w:r>
      <w:r w:rsidR="004D6356">
        <w:t>―</w:t>
      </w:r>
      <w:hyperlink r:id="rId21" w:history="1">
        <w:r w:rsidRPr="00E7409F">
          <w:rPr>
            <w:rStyle w:val="Hyperlink"/>
            <w:i/>
          </w:rPr>
          <w:t>Including broader economic effects in policy costings</w:t>
        </w:r>
      </w:hyperlink>
      <w:r w:rsidR="004D6356">
        <w:t>―</w:t>
      </w:r>
      <w:r w:rsidR="00997BFA" w:rsidRPr="00DA44F2">
        <w:t>discusses</w:t>
      </w:r>
      <w:r w:rsidR="00C42675" w:rsidRPr="00DA44F2">
        <w:t xml:space="preserve"> the challenges associated with incorporating broader economic effects in policy costings and the PBO’s approach</w:t>
      </w:r>
      <w:r w:rsidR="004F65DE" w:rsidRPr="00DA44F2">
        <w:t xml:space="preserve">.  </w:t>
      </w:r>
      <w:r w:rsidRPr="00DA44F2">
        <w:t xml:space="preserve">Together, these </w:t>
      </w:r>
      <w:r w:rsidR="00CC5AB3" w:rsidRPr="00DA44F2">
        <w:t xml:space="preserve">three </w:t>
      </w:r>
      <w:r w:rsidR="00997BFA" w:rsidRPr="00DA44F2">
        <w:t xml:space="preserve">papers </w:t>
      </w:r>
      <w:r w:rsidRPr="00DA44F2">
        <w:t>provide material aimed at increasing public understanding of PBO costings.</w:t>
      </w:r>
    </w:p>
    <w:p w:rsidR="008D3961" w:rsidRDefault="008D3961" w:rsidP="00DA44F2">
      <w:r>
        <w:t xml:space="preserve">I would like to thank the </w:t>
      </w:r>
      <w:r w:rsidRPr="00A32198">
        <w:t>PBO staff involved</w:t>
      </w:r>
      <w:r>
        <w:t xml:space="preserve"> in the preparation of this report, namely </w:t>
      </w:r>
      <w:r w:rsidR="000B138E">
        <w:t>Colin</w:t>
      </w:r>
      <w:r w:rsidR="00DD176E">
        <w:t> </w:t>
      </w:r>
      <w:r w:rsidR="000B138E">
        <w:t xml:space="preserve">Brown, </w:t>
      </w:r>
      <w:r>
        <w:t>Michael Robinson</w:t>
      </w:r>
      <w:r w:rsidR="00997BFA">
        <w:t>, Gareth Tunks</w:t>
      </w:r>
      <w:r w:rsidR="00ED0787">
        <w:t xml:space="preserve"> </w:t>
      </w:r>
      <w:r w:rsidR="000B138E">
        <w:t>and</w:t>
      </w:r>
      <w:r>
        <w:t xml:space="preserve"> Andrew Watterson</w:t>
      </w:r>
      <w:r w:rsidR="004F65DE">
        <w:t xml:space="preserve">.  </w:t>
      </w:r>
      <w:r>
        <w:t>The report was prepared for publication by Lauren Pratley.</w:t>
      </w:r>
    </w:p>
    <w:p w:rsidR="008D3961" w:rsidRPr="001C0814" w:rsidRDefault="008D3961" w:rsidP="001C0814">
      <w:pPr>
        <w:pStyle w:val="OverviewBodyText"/>
      </w:pPr>
    </w:p>
    <w:p w:rsidR="00351F62" w:rsidRDefault="000B138E" w:rsidP="00925603">
      <w:pPr>
        <w:spacing w:before="960"/>
      </w:pPr>
      <w:r>
        <w:t>Jenny Wilkinson</w:t>
      </w:r>
    </w:p>
    <w:p w:rsidR="00351F62" w:rsidRDefault="000B138E" w:rsidP="00925603">
      <w:pPr>
        <w:spacing w:after="114"/>
      </w:pPr>
      <w:r>
        <w:t>Parliamentary Budget Officer</w:t>
      </w:r>
    </w:p>
    <w:sdt>
      <w:sdtPr>
        <w:alias w:val="Date"/>
        <w:tag w:val="Date"/>
        <w:id w:val="-226846581"/>
        <w:placeholder>
          <w:docPart w:val="35F00FF5DA3B4817A4700D926FB9F32D"/>
        </w:placeholder>
        <w:date w:fullDate="2017-11-30T00:00:00Z">
          <w:dateFormat w:val="d MMMM yyyy"/>
          <w:lid w:val="en-AU"/>
          <w:storeMappedDataAs w:val="dateTime"/>
          <w:calendar w:val="gregorian"/>
        </w:date>
      </w:sdtPr>
      <w:sdtEndPr/>
      <w:sdtContent>
        <w:p w:rsidR="00EA6EB3" w:rsidRDefault="00997BFA" w:rsidP="00351F62">
          <w:r>
            <w:t>30 November 2017</w:t>
          </w:r>
        </w:p>
      </w:sdtContent>
    </w:sdt>
    <w:p w:rsidR="00EA6EB3" w:rsidRDefault="00EA6EB3">
      <w:pPr>
        <w:sectPr w:rsidR="00EA6EB3" w:rsidSect="000631D3">
          <w:footerReference w:type="default" r:id="rId22"/>
          <w:pgSz w:w="11906" w:h="16838" w:code="9"/>
          <w:pgMar w:top="1361" w:right="1797" w:bottom="1474" w:left="1797" w:header="284" w:footer="454" w:gutter="0"/>
          <w:pgNumType w:fmt="lowerRoman"/>
          <w:cols w:space="708"/>
          <w:docGrid w:linePitch="360"/>
        </w:sectPr>
      </w:pPr>
    </w:p>
    <w:p w:rsidR="00903E3F" w:rsidRPr="00C51D0B" w:rsidRDefault="000A348F" w:rsidP="00EA6EB3">
      <w:pPr>
        <w:pStyle w:val="Heading1NoNumbering"/>
      </w:pPr>
      <w:bookmarkStart w:id="6" w:name="_Toc499799341"/>
      <w:r w:rsidRPr="00C51D0B">
        <w:lastRenderedPageBreak/>
        <w:t>Overview</w:t>
      </w:r>
      <w:bookmarkStart w:id="7" w:name="_OverviewMarker"/>
      <w:bookmarkEnd w:id="7"/>
      <w:bookmarkEnd w:id="6"/>
    </w:p>
    <w:p w:rsidR="00760A64" w:rsidRDefault="00760A64">
      <w:r>
        <w:t xml:space="preserve">Every year, the </w:t>
      </w:r>
      <w:r w:rsidR="001D1B9F">
        <w:t>Parliamentary Budget Office (PBO)</w:t>
      </w:r>
      <w:r>
        <w:t xml:space="preserve"> prepares a large number of policy costings for </w:t>
      </w:r>
      <w:r w:rsidR="008309D1">
        <w:t>p</w:t>
      </w:r>
      <w:r>
        <w:t>arliamentarians</w:t>
      </w:r>
      <w:r w:rsidR="004F65DE">
        <w:t xml:space="preserve">.  </w:t>
      </w:r>
      <w:r>
        <w:t>In 2016</w:t>
      </w:r>
      <w:r w:rsidR="004D6356">
        <w:t>–</w:t>
      </w:r>
      <w:r>
        <w:t xml:space="preserve">17, for example, </w:t>
      </w:r>
      <w:r w:rsidR="00937096">
        <w:t xml:space="preserve">we prepared </w:t>
      </w:r>
      <w:r>
        <w:t>over 1,600 policy costings</w:t>
      </w:r>
      <w:r w:rsidR="004F65DE">
        <w:t xml:space="preserve">.  </w:t>
      </w:r>
      <w:r w:rsidR="00BF6BF3">
        <w:t xml:space="preserve">Each costing </w:t>
      </w:r>
      <w:r>
        <w:t>provide</w:t>
      </w:r>
      <w:r w:rsidR="00DD176E">
        <w:t>s</w:t>
      </w:r>
      <w:r>
        <w:t xml:space="preserve"> an estimate of the proposed polic</w:t>
      </w:r>
      <w:r w:rsidR="00DD176E">
        <w:t>y’s financial implications</w:t>
      </w:r>
      <w:r>
        <w:t xml:space="preserve"> on the </w:t>
      </w:r>
      <w:r w:rsidR="006B6F60">
        <w:t>Australian Government</w:t>
      </w:r>
      <w:r>
        <w:t xml:space="preserve"> Budget over the </w:t>
      </w:r>
      <w:r w:rsidR="00732B00">
        <w:t>next decade</w:t>
      </w:r>
      <w:r>
        <w:t>.</w:t>
      </w:r>
    </w:p>
    <w:p w:rsidR="00960E75" w:rsidRDefault="00960E75" w:rsidP="00960E75">
      <w:pPr>
        <w:pStyle w:val="BodyText"/>
      </w:pPr>
      <w:r>
        <w:rPr>
          <w:lang w:val="en"/>
        </w:rPr>
        <w:t>Our</w:t>
      </w:r>
      <w:r w:rsidR="00AF586A">
        <w:rPr>
          <w:lang w:val="en"/>
        </w:rPr>
        <w:t xml:space="preserve"> objective is to</w:t>
      </w:r>
      <w:r w:rsidR="00760A64" w:rsidRPr="00760A64">
        <w:rPr>
          <w:lang w:val="en"/>
        </w:rPr>
        <w:t xml:space="preserve"> provid</w:t>
      </w:r>
      <w:r w:rsidR="00AF586A">
        <w:rPr>
          <w:lang w:val="en"/>
        </w:rPr>
        <w:t>e</w:t>
      </w:r>
      <w:r w:rsidR="00760A64" w:rsidRPr="00760A64">
        <w:rPr>
          <w:lang w:val="en"/>
        </w:rPr>
        <w:t xml:space="preserve"> independent cost</w:t>
      </w:r>
      <w:r w:rsidR="00F2289A">
        <w:rPr>
          <w:lang w:val="en"/>
        </w:rPr>
        <w:t>ings</w:t>
      </w:r>
      <w:r w:rsidR="00760A64" w:rsidRPr="00760A64">
        <w:rPr>
          <w:lang w:val="en"/>
        </w:rPr>
        <w:t xml:space="preserve"> of policy proposals that </w:t>
      </w:r>
      <w:r w:rsidR="00760A64">
        <w:rPr>
          <w:lang w:val="en"/>
        </w:rPr>
        <w:t>can be interpreted in the same way as those presented by the Government in the Budget</w:t>
      </w:r>
      <w:r w:rsidR="004F65DE">
        <w:rPr>
          <w:lang w:val="en"/>
        </w:rPr>
        <w:t xml:space="preserve">.  </w:t>
      </w:r>
      <w:r w:rsidR="00AF586A" w:rsidRPr="00760A64">
        <w:rPr>
          <w:lang w:val="en"/>
        </w:rPr>
        <w:t xml:space="preserve">PBO costings are </w:t>
      </w:r>
      <w:r w:rsidR="00AF586A">
        <w:rPr>
          <w:lang w:val="en"/>
        </w:rPr>
        <w:t xml:space="preserve">therefore </w:t>
      </w:r>
      <w:r w:rsidR="00AF586A" w:rsidRPr="00760A64">
        <w:rPr>
          <w:lang w:val="en"/>
        </w:rPr>
        <w:t xml:space="preserve">prepared to the same standards and using the same concepts as </w:t>
      </w:r>
      <w:r w:rsidR="00B96D06">
        <w:rPr>
          <w:lang w:val="en"/>
        </w:rPr>
        <w:t>B</w:t>
      </w:r>
      <w:r w:rsidR="00AF586A" w:rsidRPr="00760A64">
        <w:rPr>
          <w:lang w:val="en"/>
        </w:rPr>
        <w:t>udget costings</w:t>
      </w:r>
      <w:r w:rsidR="004F65DE">
        <w:rPr>
          <w:lang w:val="en"/>
        </w:rPr>
        <w:t xml:space="preserve">.  </w:t>
      </w:r>
      <w:r>
        <w:t xml:space="preserve">The purpose of </w:t>
      </w:r>
      <w:r w:rsidR="00D91B75">
        <w:t xml:space="preserve">PBO </w:t>
      </w:r>
      <w:r>
        <w:t xml:space="preserve">costings is </w:t>
      </w:r>
      <w:r w:rsidR="00F2289A">
        <w:t xml:space="preserve">to </w:t>
      </w:r>
      <w:r>
        <w:rPr>
          <w:rFonts w:ascii="Calibri" w:eastAsia="Calibri" w:hAnsi="Calibri"/>
        </w:rPr>
        <w:t>support a more informed policy debate</w:t>
      </w:r>
      <w:r w:rsidR="00083166">
        <w:rPr>
          <w:rFonts w:ascii="Calibri" w:eastAsia="Calibri" w:hAnsi="Calibri"/>
        </w:rPr>
        <w:t xml:space="preserve"> by allowing all </w:t>
      </w:r>
      <w:r w:rsidR="008309D1">
        <w:rPr>
          <w:rFonts w:ascii="Calibri" w:eastAsia="Calibri" w:hAnsi="Calibri"/>
        </w:rPr>
        <w:t>p</w:t>
      </w:r>
      <w:r w:rsidR="00083166">
        <w:rPr>
          <w:rFonts w:ascii="Calibri" w:eastAsia="Calibri" w:hAnsi="Calibri"/>
        </w:rPr>
        <w:t xml:space="preserve">arliamentarians to include the financial impact </w:t>
      </w:r>
      <w:r w:rsidR="00D91B75">
        <w:rPr>
          <w:rFonts w:ascii="Calibri" w:eastAsia="Calibri" w:hAnsi="Calibri"/>
        </w:rPr>
        <w:t xml:space="preserve">of their policy proposal </w:t>
      </w:r>
      <w:r w:rsidR="00180C69">
        <w:rPr>
          <w:rFonts w:ascii="Calibri" w:eastAsia="Calibri" w:hAnsi="Calibri"/>
        </w:rPr>
        <w:t>in</w:t>
      </w:r>
      <w:r w:rsidR="00083166">
        <w:rPr>
          <w:rFonts w:ascii="Calibri" w:eastAsia="Calibri" w:hAnsi="Calibri"/>
        </w:rPr>
        <w:t xml:space="preserve"> the</w:t>
      </w:r>
      <w:r w:rsidR="008309D1">
        <w:rPr>
          <w:rFonts w:ascii="Calibri" w:eastAsia="Calibri" w:hAnsi="Calibri"/>
        </w:rPr>
        <w:t>ir</w:t>
      </w:r>
      <w:r w:rsidR="00083166">
        <w:rPr>
          <w:rFonts w:ascii="Calibri" w:eastAsia="Calibri" w:hAnsi="Calibri"/>
        </w:rPr>
        <w:t xml:space="preserve"> policy development process</w:t>
      </w:r>
      <w:r w:rsidR="008309D1">
        <w:rPr>
          <w:rFonts w:ascii="Calibri" w:eastAsia="Calibri" w:hAnsi="Calibri"/>
        </w:rPr>
        <w:t>es</w:t>
      </w:r>
      <w:r>
        <w:rPr>
          <w:rFonts w:ascii="Calibri" w:eastAsia="Calibri" w:hAnsi="Calibri"/>
        </w:rPr>
        <w:t>.</w:t>
      </w:r>
    </w:p>
    <w:p w:rsidR="00AF586A" w:rsidRDefault="00960E75" w:rsidP="00760A64">
      <w:pPr>
        <w:pStyle w:val="BodyText"/>
      </w:pPr>
      <w:r>
        <w:rPr>
          <w:lang w:val="en"/>
        </w:rPr>
        <w:t>Our</w:t>
      </w:r>
      <w:r w:rsidR="00AF586A">
        <w:rPr>
          <w:lang w:val="en"/>
        </w:rPr>
        <w:t xml:space="preserve"> costings </w:t>
      </w:r>
      <w:r>
        <w:t>present e</w:t>
      </w:r>
      <w:r w:rsidR="00AF586A">
        <w:t xml:space="preserve">stimates </w:t>
      </w:r>
      <w:r>
        <w:t>of budget impacts on each measure</w:t>
      </w:r>
      <w:r w:rsidR="00AF586A">
        <w:t xml:space="preserve"> of the budget balance (fiscal, underlying cash and headline cash) and the </w:t>
      </w:r>
      <w:r w:rsidR="00FD308F">
        <w:t xml:space="preserve">Government’s </w:t>
      </w:r>
      <w:r w:rsidR="00AF586A">
        <w:t>balance sheet, where relevant</w:t>
      </w:r>
      <w:r w:rsidR="004F65DE">
        <w:t xml:space="preserve">.  </w:t>
      </w:r>
      <w:r w:rsidR="00AF586A">
        <w:t xml:space="preserve">These </w:t>
      </w:r>
      <w:r w:rsidR="001D1B9F">
        <w:t>costings</w:t>
      </w:r>
      <w:r w:rsidR="00AF586A">
        <w:t xml:space="preserve"> include an estimate of </w:t>
      </w:r>
      <w:r w:rsidR="00F2289A">
        <w:t xml:space="preserve">the changes to the revenue or expenditure streams directly associated with the policy as well as </w:t>
      </w:r>
      <w:r w:rsidR="00AF586A">
        <w:t xml:space="preserve">any </w:t>
      </w:r>
      <w:r>
        <w:t>changes in</w:t>
      </w:r>
      <w:r w:rsidR="00AF586A">
        <w:t xml:space="preserve"> departmental resources required to deliver a policy proposal</w:t>
      </w:r>
      <w:r w:rsidR="004F65DE">
        <w:t xml:space="preserve">.  </w:t>
      </w:r>
      <w:r w:rsidR="00E428E3">
        <w:t xml:space="preserve">A disaggregation of the impacts is usually </w:t>
      </w:r>
      <w:r w:rsidR="00F2289A">
        <w:t>provided</w:t>
      </w:r>
      <w:r w:rsidR="00E428E3">
        <w:t xml:space="preserve"> to illustrate the impact on different components of the </w:t>
      </w:r>
      <w:r w:rsidR="00C508D1">
        <w:t>Budget</w:t>
      </w:r>
      <w:r w:rsidR="00E428E3">
        <w:t>.</w:t>
      </w:r>
    </w:p>
    <w:p w:rsidR="00C8064B" w:rsidRDefault="00C8064B" w:rsidP="00760A64">
      <w:pPr>
        <w:pStyle w:val="BodyText"/>
      </w:pPr>
      <w:r>
        <w:t xml:space="preserve">PBO costings </w:t>
      </w:r>
      <w:r w:rsidR="00960E75">
        <w:t>include</w:t>
      </w:r>
      <w:r>
        <w:t xml:space="preserve"> the static</w:t>
      </w:r>
      <w:r w:rsidR="008309D1">
        <w:t xml:space="preserve"> (</w:t>
      </w:r>
      <w:r w:rsidR="00FD308F">
        <w:t>‘</w:t>
      </w:r>
      <w:r w:rsidR="008309D1">
        <w:t>day after</w:t>
      </w:r>
      <w:r w:rsidR="00FD308F">
        <w:t>’</w:t>
      </w:r>
      <w:r w:rsidR="008309D1">
        <w:t>)</w:t>
      </w:r>
      <w:r>
        <w:t xml:space="preserve"> and direct behavioural impact</w:t>
      </w:r>
      <w:r w:rsidR="001D1B9F">
        <w:t>s</w:t>
      </w:r>
      <w:r>
        <w:t xml:space="preserve"> of </w:t>
      </w:r>
      <w:r w:rsidR="00E50180">
        <w:t xml:space="preserve">policy </w:t>
      </w:r>
      <w:r>
        <w:t>proposals</w:t>
      </w:r>
      <w:r w:rsidR="004F65DE">
        <w:t xml:space="preserve">.  </w:t>
      </w:r>
      <w:r w:rsidR="00960E75">
        <w:t xml:space="preserve">We generally do not </w:t>
      </w:r>
      <w:r>
        <w:t xml:space="preserve">include quantitative estimates of broader economic effects in </w:t>
      </w:r>
      <w:r w:rsidR="00E50180">
        <w:t>our</w:t>
      </w:r>
      <w:r>
        <w:t xml:space="preserve"> costings</w:t>
      </w:r>
      <w:r w:rsidR="00E50180">
        <w:t xml:space="preserve"> but provide a qualitative statement about these effects if they are likely to be significant</w:t>
      </w:r>
      <w:r>
        <w:t>.</w:t>
      </w:r>
    </w:p>
    <w:p w:rsidR="00760A64" w:rsidRDefault="00760A64" w:rsidP="00760A64">
      <w:pPr>
        <w:pStyle w:val="BodyText"/>
        <w:rPr>
          <w:lang w:val="en"/>
        </w:rPr>
      </w:pPr>
      <w:r>
        <w:rPr>
          <w:lang w:val="en"/>
        </w:rPr>
        <w:t>The</w:t>
      </w:r>
      <w:r w:rsidR="00AF586A">
        <w:rPr>
          <w:lang w:val="en"/>
        </w:rPr>
        <w:t xml:space="preserve">re are four key elements of </w:t>
      </w:r>
      <w:r>
        <w:rPr>
          <w:lang w:val="en"/>
        </w:rPr>
        <w:t xml:space="preserve">a </w:t>
      </w:r>
      <w:r w:rsidR="00C8064B">
        <w:rPr>
          <w:lang w:val="en"/>
        </w:rPr>
        <w:t xml:space="preserve">policy </w:t>
      </w:r>
      <w:r>
        <w:rPr>
          <w:lang w:val="en"/>
        </w:rPr>
        <w:t>costing:</w:t>
      </w:r>
    </w:p>
    <w:p w:rsidR="00AF586A" w:rsidRDefault="00CC54EC" w:rsidP="00760A64">
      <w:pPr>
        <w:pStyle w:val="ListBullet"/>
        <w:rPr>
          <w:lang w:val="en"/>
        </w:rPr>
      </w:pPr>
      <w:r>
        <w:rPr>
          <w:lang w:val="en"/>
        </w:rPr>
        <w:t>t</w:t>
      </w:r>
      <w:r w:rsidR="00AF586A">
        <w:rPr>
          <w:lang w:val="en"/>
        </w:rPr>
        <w:t>he policy specification</w:t>
      </w:r>
    </w:p>
    <w:p w:rsidR="00BF6BF3" w:rsidRDefault="00CC54EC" w:rsidP="00BF6BF3">
      <w:pPr>
        <w:pStyle w:val="ListBullet"/>
        <w:rPr>
          <w:lang w:val="en"/>
        </w:rPr>
      </w:pPr>
      <w:r>
        <w:rPr>
          <w:lang w:val="en"/>
        </w:rPr>
        <w:t>t</w:t>
      </w:r>
      <w:r w:rsidR="00BF6BF3">
        <w:rPr>
          <w:lang w:val="en"/>
        </w:rPr>
        <w:t>he data and key assumptions informing the costing</w:t>
      </w:r>
    </w:p>
    <w:p w:rsidR="00AF586A" w:rsidRDefault="00CC54EC" w:rsidP="00760A64">
      <w:pPr>
        <w:pStyle w:val="ListBullet"/>
        <w:rPr>
          <w:lang w:val="en"/>
        </w:rPr>
      </w:pPr>
      <w:r>
        <w:rPr>
          <w:lang w:val="en"/>
        </w:rPr>
        <w:t>t</w:t>
      </w:r>
      <w:r w:rsidR="00AF586A">
        <w:rPr>
          <w:lang w:val="en"/>
        </w:rPr>
        <w:t>he costing model and methodology</w:t>
      </w:r>
    </w:p>
    <w:p w:rsidR="00AF586A" w:rsidRDefault="00CC54EC" w:rsidP="00760A64">
      <w:pPr>
        <w:pStyle w:val="ListBullet"/>
        <w:rPr>
          <w:lang w:val="en"/>
        </w:rPr>
      </w:pPr>
      <w:proofErr w:type="gramStart"/>
      <w:r>
        <w:rPr>
          <w:lang w:val="en"/>
        </w:rPr>
        <w:t>a</w:t>
      </w:r>
      <w:proofErr w:type="gramEnd"/>
      <w:r w:rsidR="001F0FEC">
        <w:rPr>
          <w:lang w:val="en"/>
        </w:rPr>
        <w:t xml:space="preserve"> summary of the factors affecting the </w:t>
      </w:r>
      <w:r w:rsidR="004B78C2">
        <w:rPr>
          <w:lang w:val="en"/>
        </w:rPr>
        <w:t>reliability</w:t>
      </w:r>
      <w:r w:rsidR="001F0FEC">
        <w:rPr>
          <w:lang w:val="en"/>
        </w:rPr>
        <w:t xml:space="preserve"> of the costing estimate</w:t>
      </w:r>
      <w:r w:rsidR="00A12720">
        <w:rPr>
          <w:lang w:val="en"/>
        </w:rPr>
        <w:t>.</w:t>
      </w:r>
    </w:p>
    <w:p w:rsidR="00912A80" w:rsidRDefault="002A4B68" w:rsidP="00385FCE">
      <w:pPr>
        <w:pStyle w:val="BodyText"/>
        <w:sectPr w:rsidR="00912A80" w:rsidSect="00700053">
          <w:footerReference w:type="default" r:id="rId23"/>
          <w:pgSz w:w="11906" w:h="16838" w:code="9"/>
          <w:pgMar w:top="1361" w:right="1797" w:bottom="1474" w:left="1797" w:header="283" w:footer="454" w:gutter="0"/>
          <w:pgNumType w:fmt="lowerRoman" w:start="5"/>
          <w:cols w:space="708"/>
          <w:docGrid w:linePitch="360"/>
        </w:sectPr>
      </w:pPr>
      <w:r>
        <w:t>E</w:t>
      </w:r>
      <w:r w:rsidR="00960E75">
        <w:t xml:space="preserve">ach of these elements are </w:t>
      </w:r>
      <w:r>
        <w:t xml:space="preserve">summarised </w:t>
      </w:r>
      <w:r w:rsidR="00960E75">
        <w:t xml:space="preserve">in PBO costing </w:t>
      </w:r>
      <w:r w:rsidR="00E50180">
        <w:t>minutes, in addition to the quantitative estimates of budget impacts, to provide transparency around the costing estimates</w:t>
      </w:r>
      <w:r w:rsidR="00AA1CAF">
        <w:t xml:space="preserve">. </w:t>
      </w:r>
    </w:p>
    <w:p w:rsidR="00903E3F" w:rsidRDefault="000631D3" w:rsidP="00385FCE">
      <w:pPr>
        <w:pStyle w:val="Heading1"/>
      </w:pPr>
      <w:bookmarkStart w:id="8" w:name="_Toc499799342"/>
      <w:r>
        <w:lastRenderedPageBreak/>
        <w:t>Introduction</w:t>
      </w:r>
      <w:bookmarkEnd w:id="8"/>
    </w:p>
    <w:p w:rsidR="002A2857" w:rsidRDefault="00937096" w:rsidP="002A2857">
      <w:pPr>
        <w:pStyle w:val="BodyText"/>
      </w:pPr>
      <w:r>
        <w:t>A key objective of</w:t>
      </w:r>
      <w:r w:rsidR="002A2857">
        <w:t xml:space="preserve"> the PBO is to support</w:t>
      </w:r>
      <w:r w:rsidR="002A2857" w:rsidRPr="008C7B41">
        <w:t xml:space="preserve"> a more informed policy debate</w:t>
      </w:r>
      <w:r w:rsidR="004F65DE">
        <w:t xml:space="preserve">.  </w:t>
      </w:r>
      <w:r w:rsidR="002A2857">
        <w:t>Part of that objective is</w:t>
      </w:r>
      <w:r w:rsidR="002A2857" w:rsidRPr="008C7B41">
        <w:t xml:space="preserve"> achieved by providing</w:t>
      </w:r>
      <w:r w:rsidR="002A2857">
        <w:t xml:space="preserve"> services to</w:t>
      </w:r>
      <w:r w:rsidR="002A2857" w:rsidRPr="008C7B41">
        <w:t xml:space="preserve"> </w:t>
      </w:r>
      <w:r w:rsidR="004B78C2">
        <w:t xml:space="preserve">all </w:t>
      </w:r>
      <w:r w:rsidR="002A2857" w:rsidRPr="008C7B41">
        <w:t xml:space="preserve">parliamentarians </w:t>
      </w:r>
      <w:r>
        <w:t>to</w:t>
      </w:r>
      <w:r w:rsidRPr="008C7B41">
        <w:t xml:space="preserve"> </w:t>
      </w:r>
      <w:r w:rsidR="002A2857" w:rsidRPr="008C7B41">
        <w:t>estimate the financial implications</w:t>
      </w:r>
      <w:r>
        <w:t xml:space="preserve">, or ‘cost’, </w:t>
      </w:r>
      <w:r w:rsidR="002A2857" w:rsidRPr="008C7B41">
        <w:t xml:space="preserve">of </w:t>
      </w:r>
      <w:r w:rsidR="002A2857">
        <w:t xml:space="preserve">their </w:t>
      </w:r>
      <w:r w:rsidR="002A2857" w:rsidRPr="008C7B41">
        <w:t>policy proposals.</w:t>
      </w:r>
      <w:r w:rsidR="004B78C2">
        <w:t xml:space="preserve">  This aims to help level the playing field by providing access to costing and other analytical services that, in the absence of the PBO, would normally be exclusively available to the Government.  The PBO’s estimates are prepared subject to the same rules and conventions as Government budget estimates. </w:t>
      </w:r>
      <w:r>
        <w:t xml:space="preserve"> </w:t>
      </w:r>
    </w:p>
    <w:p w:rsidR="00AE3EB0" w:rsidRDefault="00AE3EB0" w:rsidP="00937096">
      <w:pPr>
        <w:pStyle w:val="BodyText"/>
      </w:pPr>
      <w:r w:rsidRPr="00AE3EB0">
        <w:t xml:space="preserve">This </w:t>
      </w:r>
      <w:r w:rsidR="00B06B84">
        <w:t>information paper</w:t>
      </w:r>
      <w:r w:rsidRPr="00AE3EB0">
        <w:t xml:space="preserve"> </w:t>
      </w:r>
      <w:r w:rsidR="003C37C8">
        <w:t>provides a conceptual explanation of what a costing is, what a costing is designed to capture and how a costing estimate is generated</w:t>
      </w:r>
      <w:r w:rsidRPr="00AE3EB0">
        <w:t>.</w:t>
      </w:r>
      <w:r w:rsidR="00937096" w:rsidDel="00937096">
        <w:t xml:space="preserve"> </w:t>
      </w:r>
      <w:r w:rsidR="005E0E9E">
        <w:t xml:space="preserve"> </w:t>
      </w:r>
      <w:r w:rsidR="00937096">
        <w:t>It</w:t>
      </w:r>
      <w:r w:rsidR="00937096" w:rsidRPr="00C7281D">
        <w:t xml:space="preserve"> has been prepared to </w:t>
      </w:r>
      <w:r w:rsidR="00937096">
        <w:t>improve understanding of what a costing represents and assist in the interpretation of the material that is presented in our costing minutes</w:t>
      </w:r>
      <w:r w:rsidR="00937096" w:rsidRPr="00C7281D">
        <w:t>.</w:t>
      </w:r>
    </w:p>
    <w:p w:rsidR="00AE3EB0" w:rsidRPr="005368DD" w:rsidRDefault="00AE3EB0" w:rsidP="00AE3EB0">
      <w:pPr>
        <w:pStyle w:val="BodyText"/>
      </w:pPr>
      <w:r>
        <w:rPr>
          <w:lang w:val="en"/>
        </w:rPr>
        <w:t xml:space="preserve">Policy costings prepared by the PBO fall into </w:t>
      </w:r>
      <w:r w:rsidR="00065866">
        <w:rPr>
          <w:lang w:val="en"/>
        </w:rPr>
        <w:t>three</w:t>
      </w:r>
      <w:r>
        <w:rPr>
          <w:lang w:val="en"/>
        </w:rPr>
        <w:t xml:space="preserve"> categories</w:t>
      </w:r>
      <w:r w:rsidR="00AA6CAC">
        <w:rPr>
          <w:rStyle w:val="FootnoteReference"/>
          <w:lang w:val="en"/>
        </w:rPr>
        <w:footnoteReference w:id="1"/>
      </w:r>
      <w:r w:rsidR="008309D1">
        <w:rPr>
          <w:lang w:val="en"/>
        </w:rPr>
        <w:t>:</w:t>
      </w:r>
    </w:p>
    <w:p w:rsidR="00AE3EB0" w:rsidRPr="005368DD" w:rsidRDefault="00AE3EB0" w:rsidP="00AE3EB0">
      <w:pPr>
        <w:pStyle w:val="ListBullet"/>
      </w:pPr>
      <w:r>
        <w:rPr>
          <w:lang w:val="en"/>
        </w:rPr>
        <w:t xml:space="preserve">outside the caretaker period of a general election, policy costings are completed </w:t>
      </w:r>
      <w:r w:rsidR="00E4794C">
        <w:rPr>
          <w:lang w:val="en"/>
        </w:rPr>
        <w:t xml:space="preserve">following </w:t>
      </w:r>
      <w:r>
        <w:rPr>
          <w:lang w:val="en"/>
        </w:rPr>
        <w:t>request</w:t>
      </w:r>
      <w:r w:rsidR="00E4794C">
        <w:rPr>
          <w:lang w:val="en"/>
        </w:rPr>
        <w:t>s</w:t>
      </w:r>
      <w:r>
        <w:rPr>
          <w:lang w:val="en"/>
        </w:rPr>
        <w:t xml:space="preserve"> </w:t>
      </w:r>
      <w:r w:rsidR="00E4794C">
        <w:rPr>
          <w:lang w:val="en"/>
        </w:rPr>
        <w:t xml:space="preserve">from </w:t>
      </w:r>
      <w:r w:rsidR="002A2575">
        <w:rPr>
          <w:lang w:val="en"/>
        </w:rPr>
        <w:t>s</w:t>
      </w:r>
      <w:r>
        <w:rPr>
          <w:lang w:val="en"/>
        </w:rPr>
        <w:t xml:space="preserve">enators and </w:t>
      </w:r>
      <w:r w:rsidR="002A2575">
        <w:rPr>
          <w:lang w:val="en"/>
        </w:rPr>
        <w:t>m</w:t>
      </w:r>
      <w:r>
        <w:rPr>
          <w:lang w:val="en"/>
        </w:rPr>
        <w:t xml:space="preserve">embers, with the requests and </w:t>
      </w:r>
      <w:r w:rsidR="0095246E">
        <w:rPr>
          <w:lang w:val="en"/>
        </w:rPr>
        <w:t>our</w:t>
      </w:r>
      <w:r>
        <w:rPr>
          <w:lang w:val="en"/>
        </w:rPr>
        <w:t xml:space="preserve"> responses kept confidential if so directed by the requestor</w:t>
      </w:r>
    </w:p>
    <w:p w:rsidR="00AE3EB0" w:rsidRDefault="00AE3EB0" w:rsidP="00AE3EB0">
      <w:pPr>
        <w:pStyle w:val="ListBullet"/>
      </w:pPr>
      <w:proofErr w:type="gramStart"/>
      <w:r>
        <w:rPr>
          <w:lang w:val="en"/>
        </w:rPr>
        <w:t>during</w:t>
      </w:r>
      <w:proofErr w:type="gramEnd"/>
      <w:r>
        <w:rPr>
          <w:lang w:val="en"/>
        </w:rPr>
        <w:t xml:space="preserve"> the caretaker period of a general election, policy costings of publicly announced policies are completed </w:t>
      </w:r>
      <w:r w:rsidR="00142AB5">
        <w:rPr>
          <w:lang w:val="en"/>
        </w:rPr>
        <w:t xml:space="preserve">following </w:t>
      </w:r>
      <w:r>
        <w:rPr>
          <w:lang w:val="en"/>
        </w:rPr>
        <w:t>request</w:t>
      </w:r>
      <w:r w:rsidR="00937096">
        <w:rPr>
          <w:lang w:val="en"/>
        </w:rPr>
        <w:t>s</w:t>
      </w:r>
      <w:r>
        <w:rPr>
          <w:lang w:val="en"/>
        </w:rPr>
        <w:t xml:space="preserve"> </w:t>
      </w:r>
      <w:r w:rsidR="00142AB5">
        <w:rPr>
          <w:lang w:val="en"/>
        </w:rPr>
        <w:t>from</w:t>
      </w:r>
      <w:r>
        <w:rPr>
          <w:lang w:val="en"/>
        </w:rPr>
        <w:t xml:space="preserve"> </w:t>
      </w:r>
      <w:proofErr w:type="spellStart"/>
      <w:r>
        <w:rPr>
          <w:lang w:val="en"/>
        </w:rPr>
        <w:t>authorised</w:t>
      </w:r>
      <w:proofErr w:type="spellEnd"/>
      <w:r>
        <w:rPr>
          <w:lang w:val="en"/>
        </w:rPr>
        <w:t xml:space="preserve"> members of Parliamentary parties or independent members</w:t>
      </w:r>
      <w:r w:rsidR="004F65DE">
        <w:t xml:space="preserve">.  </w:t>
      </w:r>
      <w:r>
        <w:t>These costings are then publicly released upon completion</w:t>
      </w:r>
    </w:p>
    <w:p w:rsidR="00065866" w:rsidRPr="00346892" w:rsidRDefault="005D13D3" w:rsidP="00AE3EB0">
      <w:pPr>
        <w:pStyle w:val="ListBullet"/>
        <w:rPr>
          <w:lang w:val="en"/>
        </w:rPr>
      </w:pPr>
      <w:proofErr w:type="gramStart"/>
      <w:r>
        <w:rPr>
          <w:lang w:val="en"/>
        </w:rPr>
        <w:t>following</w:t>
      </w:r>
      <w:proofErr w:type="gramEnd"/>
      <w:r>
        <w:rPr>
          <w:lang w:val="en"/>
        </w:rPr>
        <w:t xml:space="preserve"> each general election the PBO prepares a Post</w:t>
      </w:r>
      <w:r>
        <w:rPr>
          <w:lang w:val="en"/>
        </w:rPr>
        <w:noBreakHyphen/>
        <w:t>Election Report of the budget impacts of the election commitments of designated parliamentary parties</w:t>
      </w:r>
      <w:r w:rsidR="00065866" w:rsidRPr="00346892">
        <w:rPr>
          <w:lang w:val="en"/>
        </w:rPr>
        <w:t>.</w:t>
      </w:r>
      <w:r w:rsidR="00C37B76">
        <w:rPr>
          <w:rStyle w:val="FootnoteReference"/>
          <w:lang w:val="en"/>
        </w:rPr>
        <w:footnoteReference w:id="2"/>
      </w:r>
      <w:r w:rsidR="00065866" w:rsidRPr="00346892">
        <w:rPr>
          <w:lang w:val="en"/>
        </w:rPr>
        <w:t xml:space="preserve"> </w:t>
      </w:r>
      <w:r>
        <w:rPr>
          <w:lang w:val="en"/>
        </w:rPr>
        <w:t xml:space="preserve"> This report contains costings for policies deemed by the PBO, in consultation with each party, to have been an election commitment.</w:t>
      </w:r>
    </w:p>
    <w:p w:rsidR="000873B5" w:rsidRDefault="000873B5" w:rsidP="000873B5">
      <w:pPr>
        <w:pStyle w:val="BodyText"/>
      </w:pPr>
      <w:r>
        <w:t xml:space="preserve">PBO costings estimate the financial impact of policy proposals on the </w:t>
      </w:r>
      <w:r w:rsidR="00C508D1">
        <w:t>B</w:t>
      </w:r>
      <w:r>
        <w:t>udget</w:t>
      </w:r>
      <w:r w:rsidR="007C402C">
        <w:t xml:space="preserve"> </w:t>
      </w:r>
      <w:r w:rsidR="005536F0">
        <w:t xml:space="preserve">over the next decade </w:t>
      </w:r>
      <w:r w:rsidR="007C402C">
        <w:t>and</w:t>
      </w:r>
      <w:r>
        <w:t xml:space="preserve">, </w:t>
      </w:r>
      <w:r w:rsidR="007C402C" w:rsidRPr="00314C06">
        <w:t xml:space="preserve">consistent with the </w:t>
      </w:r>
      <w:r w:rsidR="007C402C" w:rsidRPr="00DD26C8">
        <w:rPr>
          <w:i/>
        </w:rPr>
        <w:t>Charter of Budget Honesty Policy Costing Guidelines</w:t>
      </w:r>
      <w:r w:rsidR="007C402C" w:rsidRPr="008309D1">
        <w:rPr>
          <w:rStyle w:val="FootnoteReference"/>
        </w:rPr>
        <w:footnoteReference w:id="3"/>
      </w:r>
      <w:r w:rsidR="008309D1">
        <w:rPr>
          <w:i/>
        </w:rPr>
        <w:t>,</w:t>
      </w:r>
      <w:r w:rsidR="007C402C" w:rsidRPr="008309D1">
        <w:t xml:space="preserve"> </w:t>
      </w:r>
      <w:r w:rsidR="00531D50">
        <w:t xml:space="preserve">they take account of any significant direct behavioural responses to policy proposals but </w:t>
      </w:r>
      <w:r>
        <w:t>do not generally include b</w:t>
      </w:r>
      <w:r w:rsidR="007C402C">
        <w:t>r</w:t>
      </w:r>
      <w:r>
        <w:t>oader economic effects</w:t>
      </w:r>
      <w:r w:rsidR="004F65DE">
        <w:t xml:space="preserve">.  </w:t>
      </w:r>
    </w:p>
    <w:p w:rsidR="00C7281D" w:rsidRDefault="000873B5" w:rsidP="000873B5">
      <w:pPr>
        <w:pStyle w:val="BodyText"/>
      </w:pPr>
      <w:r>
        <w:t xml:space="preserve">Although policy costings completed outside the caretaker period generally remain confidential, </w:t>
      </w:r>
      <w:r w:rsidR="00200CD1">
        <w:t>we are</w:t>
      </w:r>
      <w:r>
        <w:t xml:space="preserve"> committed to providing transparency in relation to costing processes</w:t>
      </w:r>
      <w:r w:rsidR="004F65DE">
        <w:t xml:space="preserve">.  </w:t>
      </w:r>
      <w:r w:rsidR="001559A4">
        <w:t xml:space="preserve">A wide selection of PBO costing minutes </w:t>
      </w:r>
      <w:r w:rsidR="00F835E2">
        <w:t>are</w:t>
      </w:r>
      <w:r w:rsidR="001559A4">
        <w:t xml:space="preserve"> published on </w:t>
      </w:r>
      <w:r w:rsidR="0095246E">
        <w:t>our</w:t>
      </w:r>
      <w:r w:rsidR="001559A4">
        <w:t xml:space="preserve"> website, including costings for parliamentarians that are no longer confidential and </w:t>
      </w:r>
      <w:r w:rsidR="00E46CC0">
        <w:t>costing</w:t>
      </w:r>
      <w:r w:rsidR="001F0FEC">
        <w:t>s</w:t>
      </w:r>
      <w:r w:rsidR="00E46CC0">
        <w:t xml:space="preserve"> contained </w:t>
      </w:r>
      <w:r w:rsidR="001559A4">
        <w:t>in the Post-Election Reports for the 2013 and 2016 elections</w:t>
      </w:r>
      <w:r w:rsidR="004F65DE">
        <w:t xml:space="preserve">.  </w:t>
      </w:r>
    </w:p>
    <w:p w:rsidR="00C37B76" w:rsidRDefault="00E46CC0" w:rsidP="00C37B76">
      <w:pPr>
        <w:pStyle w:val="BodyText"/>
      </w:pPr>
      <w:r>
        <w:t xml:space="preserve">The </w:t>
      </w:r>
      <w:r w:rsidR="00773829">
        <w:t xml:space="preserve">remainder </w:t>
      </w:r>
      <w:r>
        <w:t>of this paper is structured as follows</w:t>
      </w:r>
      <w:r w:rsidR="00773829">
        <w:t>:</w:t>
      </w:r>
      <w:r w:rsidR="004F65DE">
        <w:t xml:space="preserve">  </w:t>
      </w:r>
      <w:r w:rsidR="0089389A">
        <w:t>Section 2 outlines the purpose of the PBO undertaking costing analys</w:t>
      </w:r>
      <w:r>
        <w:t>e</w:t>
      </w:r>
      <w:r w:rsidR="0089389A">
        <w:t>s</w:t>
      </w:r>
      <w:r w:rsidR="00773829">
        <w:t>;</w:t>
      </w:r>
      <w:r w:rsidR="004F65DE">
        <w:t xml:space="preserve"> </w:t>
      </w:r>
      <w:r w:rsidR="0089389A">
        <w:t xml:space="preserve">Section 3 </w:t>
      </w:r>
      <w:r>
        <w:t xml:space="preserve">discusses </w:t>
      </w:r>
      <w:r w:rsidR="0089389A">
        <w:t>what a costing is</w:t>
      </w:r>
      <w:r>
        <w:t xml:space="preserve"> trying to capture</w:t>
      </w:r>
      <w:r w:rsidR="0089389A">
        <w:t xml:space="preserve"> and </w:t>
      </w:r>
      <w:r>
        <w:t xml:space="preserve">summarises </w:t>
      </w:r>
      <w:r w:rsidR="0089389A">
        <w:t>the key conceptual elements of a policy costing</w:t>
      </w:r>
      <w:r w:rsidR="00773829">
        <w:t>;</w:t>
      </w:r>
      <w:r w:rsidR="004F65DE">
        <w:t xml:space="preserve"> </w:t>
      </w:r>
      <w:r w:rsidR="0089389A">
        <w:t xml:space="preserve">Section 4 </w:t>
      </w:r>
      <w:r w:rsidR="004E2B07">
        <w:t xml:space="preserve">outlines the key </w:t>
      </w:r>
      <w:r w:rsidR="004E2B07">
        <w:lastRenderedPageBreak/>
        <w:t xml:space="preserve">elements of the process of generating a </w:t>
      </w:r>
      <w:r w:rsidR="0089389A">
        <w:t xml:space="preserve">costing, including the </w:t>
      </w:r>
      <w:r w:rsidR="00200CD1">
        <w:t xml:space="preserve">policy specification, the </w:t>
      </w:r>
      <w:r w:rsidR="0089389A">
        <w:t xml:space="preserve">costing methodology </w:t>
      </w:r>
      <w:r>
        <w:t>applied</w:t>
      </w:r>
      <w:r w:rsidR="00200CD1">
        <w:t>, the role of</w:t>
      </w:r>
      <w:r>
        <w:t xml:space="preserve"> </w:t>
      </w:r>
      <w:r w:rsidR="00200CD1">
        <w:t xml:space="preserve">assumptions, </w:t>
      </w:r>
      <w:r w:rsidR="0089389A">
        <w:t xml:space="preserve">and </w:t>
      </w:r>
      <w:r w:rsidR="005536F0">
        <w:t xml:space="preserve">the </w:t>
      </w:r>
      <w:r w:rsidR="00200CD1">
        <w:t>assessment of reliability</w:t>
      </w:r>
      <w:r w:rsidR="0094046B">
        <w:t>; and</w:t>
      </w:r>
      <w:r w:rsidR="004F65DE">
        <w:t xml:space="preserve"> </w:t>
      </w:r>
      <w:r w:rsidR="0089389A">
        <w:t>Section 5 summaris</w:t>
      </w:r>
      <w:r w:rsidR="00200CD1">
        <w:t xml:space="preserve">es </w:t>
      </w:r>
      <w:r w:rsidR="00DE02A4">
        <w:t xml:space="preserve">the </w:t>
      </w:r>
      <w:r w:rsidR="004E2B07">
        <w:t xml:space="preserve">information presented in </w:t>
      </w:r>
      <w:r w:rsidR="00200CD1">
        <w:t xml:space="preserve">a </w:t>
      </w:r>
      <w:r w:rsidR="0089389A">
        <w:t>costing</w:t>
      </w:r>
      <w:r w:rsidR="00200CD1">
        <w:t xml:space="preserve"> minute</w:t>
      </w:r>
      <w:r w:rsidR="00C37B76">
        <w:t xml:space="preserve">. </w:t>
      </w:r>
    </w:p>
    <w:p w:rsidR="000873B5" w:rsidRDefault="00134FAD" w:rsidP="00C37B76">
      <w:pPr>
        <w:pStyle w:val="Heading1"/>
      </w:pPr>
      <w:bookmarkStart w:id="9" w:name="_Toc499799343"/>
      <w:r>
        <w:t>The role of costings in the policy debate</w:t>
      </w:r>
      <w:bookmarkEnd w:id="9"/>
    </w:p>
    <w:p w:rsidR="000873B5" w:rsidRDefault="000873B5" w:rsidP="00F42914">
      <w:pPr>
        <w:pStyle w:val="BodyText"/>
      </w:pPr>
      <w:r w:rsidRPr="005F2D0F">
        <w:t xml:space="preserve">The </w:t>
      </w:r>
      <w:r>
        <w:t>purpose</w:t>
      </w:r>
      <w:r w:rsidRPr="005F2D0F">
        <w:t xml:space="preserve"> of a costing is to </w:t>
      </w:r>
      <w:r w:rsidR="000678F7">
        <w:t>determine</w:t>
      </w:r>
      <w:r w:rsidR="008309D1">
        <w:t xml:space="preserve"> and present</w:t>
      </w:r>
      <w:r w:rsidR="000678F7" w:rsidRPr="005F2D0F">
        <w:t xml:space="preserve"> </w:t>
      </w:r>
      <w:r w:rsidRPr="005F2D0F">
        <w:t xml:space="preserve">the </w:t>
      </w:r>
      <w:r w:rsidR="000678F7">
        <w:t xml:space="preserve">likely </w:t>
      </w:r>
      <w:r w:rsidRPr="005F2D0F">
        <w:t>financial im</w:t>
      </w:r>
      <w:r>
        <w:t>plications</w:t>
      </w:r>
      <w:r w:rsidRPr="005F2D0F">
        <w:t xml:space="preserve"> of a </w:t>
      </w:r>
      <w:r>
        <w:t xml:space="preserve">proposal on the </w:t>
      </w:r>
      <w:r w:rsidR="00C508D1">
        <w:t>B</w:t>
      </w:r>
      <w:r>
        <w:t>udget</w:t>
      </w:r>
      <w:r w:rsidR="004F65DE">
        <w:t xml:space="preserve">.  </w:t>
      </w:r>
      <w:r>
        <w:t xml:space="preserve">The cost of a proposal and its </w:t>
      </w:r>
      <w:r w:rsidRPr="005F2D0F">
        <w:t>affordability</w:t>
      </w:r>
      <w:r w:rsidR="000678F7">
        <w:t>,</w:t>
      </w:r>
      <w:r w:rsidRPr="005F2D0F">
        <w:t xml:space="preserve"> in the context of </w:t>
      </w:r>
      <w:r>
        <w:t>Australia</w:t>
      </w:r>
      <w:r w:rsidRPr="005F2D0F">
        <w:t>’s broader budgetary position</w:t>
      </w:r>
      <w:r w:rsidR="000678F7">
        <w:t>,</w:t>
      </w:r>
      <w:r>
        <w:t xml:space="preserve"> </w:t>
      </w:r>
      <w:r w:rsidR="001559A4">
        <w:t>are</w:t>
      </w:r>
      <w:r>
        <w:t xml:space="preserve"> important </w:t>
      </w:r>
      <w:r w:rsidR="00DE02A4">
        <w:t xml:space="preserve">issues to take into account as part of the </w:t>
      </w:r>
      <w:r>
        <w:t>policy consideration process</w:t>
      </w:r>
      <w:r w:rsidR="004F65DE">
        <w:t xml:space="preserve">.  </w:t>
      </w:r>
    </w:p>
    <w:p w:rsidR="000873B5" w:rsidRDefault="000873B5" w:rsidP="000873B5">
      <w:pPr>
        <w:pStyle w:val="BodyText"/>
        <w:rPr>
          <w:lang w:val="en"/>
        </w:rPr>
      </w:pPr>
      <w:r>
        <w:t xml:space="preserve">The PBO’s independent costing advice helps </w:t>
      </w:r>
      <w:r w:rsidR="005536F0">
        <w:t xml:space="preserve">all </w:t>
      </w:r>
      <w:r w:rsidR="005536F0">
        <w:rPr>
          <w:lang w:val="en"/>
        </w:rPr>
        <w:t>parliamentarians</w:t>
      </w:r>
      <w:r>
        <w:rPr>
          <w:lang w:val="en"/>
        </w:rPr>
        <w:t xml:space="preserve"> compare the costs and the benefits of </w:t>
      </w:r>
      <w:r w:rsidR="005536F0">
        <w:rPr>
          <w:lang w:val="en"/>
        </w:rPr>
        <w:t xml:space="preserve">policy </w:t>
      </w:r>
      <w:r>
        <w:rPr>
          <w:lang w:val="en"/>
        </w:rPr>
        <w:t>proposals</w:t>
      </w:r>
      <w:r w:rsidR="004F65DE">
        <w:rPr>
          <w:lang w:val="en"/>
        </w:rPr>
        <w:t xml:space="preserve">.  </w:t>
      </w:r>
      <w:r>
        <w:rPr>
          <w:lang w:val="en"/>
        </w:rPr>
        <w:t xml:space="preserve">PBO costings are prepared </w:t>
      </w:r>
      <w:r w:rsidR="000678F7">
        <w:t>according to the same standards and concepts as the Government’s budget costings</w:t>
      </w:r>
      <w:r w:rsidR="000678F7">
        <w:rPr>
          <w:lang w:val="en"/>
        </w:rPr>
        <w:t xml:space="preserve">, </w:t>
      </w:r>
      <w:r w:rsidR="001559A4">
        <w:rPr>
          <w:lang w:val="en"/>
        </w:rPr>
        <w:t>us</w:t>
      </w:r>
      <w:r w:rsidR="000678F7">
        <w:rPr>
          <w:lang w:val="en"/>
        </w:rPr>
        <w:t>e</w:t>
      </w:r>
      <w:r w:rsidR="001559A4">
        <w:rPr>
          <w:lang w:val="en"/>
        </w:rPr>
        <w:t xml:space="preserve"> the best available data</w:t>
      </w:r>
      <w:r>
        <w:rPr>
          <w:lang w:val="en"/>
        </w:rPr>
        <w:t xml:space="preserve">, </w:t>
      </w:r>
      <w:r w:rsidR="000678F7">
        <w:rPr>
          <w:lang w:val="en"/>
        </w:rPr>
        <w:t xml:space="preserve">and </w:t>
      </w:r>
      <w:r>
        <w:rPr>
          <w:lang w:val="en"/>
        </w:rPr>
        <w:t>can be interpreted in the same way as those presented by the Government in the Budget</w:t>
      </w:r>
      <w:r w:rsidR="004F65DE">
        <w:rPr>
          <w:lang w:val="en"/>
        </w:rPr>
        <w:t xml:space="preserve">.  </w:t>
      </w:r>
    </w:p>
    <w:p w:rsidR="00DA3E74" w:rsidRDefault="007A0492" w:rsidP="000873B5">
      <w:pPr>
        <w:pStyle w:val="BodyText"/>
      </w:pPr>
      <w:r>
        <w:t xml:space="preserve">By providing </w:t>
      </w:r>
      <w:r w:rsidR="00FD0586">
        <w:t>this</w:t>
      </w:r>
      <w:r>
        <w:t xml:space="preserve"> costing advice, </w:t>
      </w:r>
      <w:r w:rsidR="00FE6050">
        <w:t xml:space="preserve">we </w:t>
      </w:r>
      <w:r>
        <w:t xml:space="preserve">aim to </w:t>
      </w:r>
      <w:r w:rsidR="000678F7">
        <w:t xml:space="preserve">support </w:t>
      </w:r>
      <w:r>
        <w:t>those engaged in the public policy debate to focus on</w:t>
      </w:r>
      <w:r w:rsidR="001B2A6F">
        <w:t xml:space="preserve"> the merits of </w:t>
      </w:r>
      <w:r w:rsidR="00433104">
        <w:t xml:space="preserve">individual </w:t>
      </w:r>
      <w:r w:rsidR="001B2A6F">
        <w:t>policy proposals</w:t>
      </w:r>
      <w:r w:rsidR="00433104">
        <w:t xml:space="preserve">, </w:t>
      </w:r>
      <w:r>
        <w:t xml:space="preserve">how </w:t>
      </w:r>
      <w:r w:rsidR="00433104">
        <w:t xml:space="preserve">each </w:t>
      </w:r>
      <w:r>
        <w:t xml:space="preserve">policy proposal </w:t>
      </w:r>
      <w:r w:rsidR="005536F0">
        <w:t xml:space="preserve">affects </w:t>
      </w:r>
      <w:r>
        <w:t xml:space="preserve">the </w:t>
      </w:r>
      <w:r w:rsidR="00C508D1">
        <w:t>B</w:t>
      </w:r>
      <w:r>
        <w:t>udget</w:t>
      </w:r>
      <w:r w:rsidR="00433104">
        <w:t xml:space="preserve"> and the net impact on the </w:t>
      </w:r>
      <w:r w:rsidR="00C508D1">
        <w:t>B</w:t>
      </w:r>
      <w:r w:rsidR="00433104">
        <w:t>udget of a set of policy proposals</w:t>
      </w:r>
      <w:r>
        <w:t>.</w:t>
      </w:r>
    </w:p>
    <w:p w:rsidR="00FA16C4" w:rsidRDefault="00FA16C4" w:rsidP="000873B5">
      <w:pPr>
        <w:pStyle w:val="BodyText"/>
      </w:pPr>
      <w:r>
        <w:t xml:space="preserve">Parliamentarians can request </w:t>
      </w:r>
      <w:r w:rsidR="000678F7">
        <w:t xml:space="preserve">the PBO to undertake a range of other pieces of analysis that </w:t>
      </w:r>
      <w:r w:rsidR="00433104">
        <w:t>are budget related</w:t>
      </w:r>
      <w:r w:rsidR="004F65DE">
        <w:t xml:space="preserve">.  </w:t>
      </w:r>
      <w:r>
        <w:t>The</w:t>
      </w:r>
      <w:r w:rsidR="00AC3F86">
        <w:t xml:space="preserve"> purpose of the</w:t>
      </w:r>
      <w:r>
        <w:t>se requests</w:t>
      </w:r>
      <w:r w:rsidR="00AC3F86">
        <w:t xml:space="preserve"> is also to inform parliamentarians </w:t>
      </w:r>
      <w:r w:rsidR="000678F7">
        <w:t>and the parliamentary debate</w:t>
      </w:r>
      <w:r w:rsidR="004F65DE">
        <w:t xml:space="preserve">.  </w:t>
      </w:r>
      <w:r w:rsidR="00DE02A4">
        <w:t xml:space="preserve">They may </w:t>
      </w:r>
      <w:r>
        <w:t>includ</w:t>
      </w:r>
      <w:r w:rsidR="000678F7">
        <w:t xml:space="preserve">e </w:t>
      </w:r>
      <w:r w:rsidR="00DE02A4">
        <w:t xml:space="preserve">requests for </w:t>
      </w:r>
      <w:r w:rsidR="000678F7">
        <w:t xml:space="preserve">analysis </w:t>
      </w:r>
      <w:r w:rsidR="00DE02A4">
        <w:t>such as</w:t>
      </w:r>
      <w:r>
        <w:t>:</w:t>
      </w:r>
    </w:p>
    <w:p w:rsidR="00FA16C4" w:rsidRDefault="000678F7" w:rsidP="00FA16C4">
      <w:pPr>
        <w:pStyle w:val="ListBullet"/>
      </w:pPr>
      <w:r>
        <w:t>t</w:t>
      </w:r>
      <w:r w:rsidR="00FA16C4">
        <w:t xml:space="preserve">he amount included in the budget estimates for particular </w:t>
      </w:r>
      <w:r w:rsidR="00BF6BF3">
        <w:t xml:space="preserve">measures or </w:t>
      </w:r>
      <w:r w:rsidR="00FA16C4">
        <w:t>programs</w:t>
      </w:r>
    </w:p>
    <w:p w:rsidR="00FA16C4" w:rsidRDefault="000678F7" w:rsidP="00FA16C4">
      <w:pPr>
        <w:pStyle w:val="ListBullet"/>
      </w:pPr>
      <w:r>
        <w:t>p</w:t>
      </w:r>
      <w:r w:rsidR="00FA16C4">
        <w:t>rojections of budget estimates over different time periods</w:t>
      </w:r>
    </w:p>
    <w:p w:rsidR="00FA16C4" w:rsidRDefault="00AE2C3B" w:rsidP="00FA16C4">
      <w:pPr>
        <w:pStyle w:val="ListBullet"/>
      </w:pPr>
      <w:proofErr w:type="gramStart"/>
      <w:r>
        <w:t>t</w:t>
      </w:r>
      <w:r w:rsidR="00FA16C4">
        <w:t>he</w:t>
      </w:r>
      <w:proofErr w:type="gramEnd"/>
      <w:r w:rsidR="00FA16C4">
        <w:t xml:space="preserve"> distributional impacts of particular</w:t>
      </w:r>
      <w:r w:rsidR="00BF6BF3">
        <w:t xml:space="preserve"> measures or</w:t>
      </w:r>
      <w:r w:rsidR="00FA16C4">
        <w:t xml:space="preserve"> programs across variables such as age, gender, industry, income level</w:t>
      </w:r>
      <w:r w:rsidR="0094046B">
        <w:t xml:space="preserve"> and</w:t>
      </w:r>
      <w:r w:rsidR="00FA16C4">
        <w:t xml:space="preserve"> occupation</w:t>
      </w:r>
      <w:r w:rsidR="00924A10">
        <w:t>,</w:t>
      </w:r>
      <w:r w:rsidR="004F65DE">
        <w:t xml:space="preserve"> </w:t>
      </w:r>
      <w:r w:rsidR="00FA16C4">
        <w:t xml:space="preserve">where the relevant </w:t>
      </w:r>
      <w:r w:rsidR="00DE02A4">
        <w:t>information is available</w:t>
      </w:r>
      <w:r w:rsidR="00433104">
        <w:t>.</w:t>
      </w:r>
    </w:p>
    <w:p w:rsidR="00ED49C3" w:rsidRPr="000873B5" w:rsidRDefault="00FA16C4" w:rsidP="004D6356">
      <w:pPr>
        <w:pStyle w:val="BodyText"/>
      </w:pPr>
      <w:r>
        <w:t xml:space="preserve">This </w:t>
      </w:r>
      <w:r w:rsidR="00B06B84">
        <w:t>information paper</w:t>
      </w:r>
      <w:r>
        <w:t xml:space="preserve"> does not cover the PBO’s responses to these </w:t>
      </w:r>
      <w:r w:rsidR="00AE2C3B">
        <w:t xml:space="preserve">broader </w:t>
      </w:r>
      <w:r>
        <w:t>requests for budget analysis because the subjects of such requests</w:t>
      </w:r>
      <w:r w:rsidR="00031831">
        <w:t>,</w:t>
      </w:r>
      <w:r>
        <w:t xml:space="preserve"> and the form in which responses may be provided</w:t>
      </w:r>
      <w:r w:rsidR="00031831">
        <w:t>,</w:t>
      </w:r>
      <w:r>
        <w:t xml:space="preserve"> are too varied</w:t>
      </w:r>
      <w:r w:rsidR="004F65DE">
        <w:t xml:space="preserve">.  </w:t>
      </w:r>
      <w:r w:rsidR="00AC3F86">
        <w:t>It</w:t>
      </w:r>
      <w:r>
        <w:t xml:space="preserve"> should be noted</w:t>
      </w:r>
      <w:r w:rsidR="00AC3F86">
        <w:t>, however,</w:t>
      </w:r>
      <w:r>
        <w:t xml:space="preserve"> that </w:t>
      </w:r>
      <w:r w:rsidR="00AC3F86">
        <w:t xml:space="preserve">they serve a complementary purpose to costings and that </w:t>
      </w:r>
      <w:r>
        <w:t>many of the data sources and methods used to respond to requests for costing advice from the PBO can also be applied to these other requests.</w:t>
      </w:r>
    </w:p>
    <w:p w:rsidR="000631D3" w:rsidRDefault="000631D3" w:rsidP="00346892">
      <w:pPr>
        <w:pStyle w:val="Heading1"/>
      </w:pPr>
      <w:bookmarkStart w:id="10" w:name="_Toc499799344"/>
      <w:r>
        <w:t xml:space="preserve">What </w:t>
      </w:r>
      <w:r w:rsidR="002C2D6E">
        <w:t xml:space="preserve">does </w:t>
      </w:r>
      <w:r>
        <w:t>a costing</w:t>
      </w:r>
      <w:r w:rsidR="002C2D6E">
        <w:t xml:space="preserve"> capture</w:t>
      </w:r>
      <w:r>
        <w:t>?</w:t>
      </w:r>
      <w:bookmarkEnd w:id="10"/>
    </w:p>
    <w:p w:rsidR="0089389A" w:rsidRDefault="007A0492" w:rsidP="0089389A">
      <w:pPr>
        <w:pStyle w:val="BodyText"/>
      </w:pPr>
      <w:r>
        <w:t>The costings prepared by the PBO are</w:t>
      </w:r>
      <w:r w:rsidRPr="005F2D0F">
        <w:t xml:space="preserve"> assessment</w:t>
      </w:r>
      <w:r>
        <w:t>s</w:t>
      </w:r>
      <w:r w:rsidRPr="005F2D0F">
        <w:t xml:space="preserve"> of the financial impact</w:t>
      </w:r>
      <w:r>
        <w:t xml:space="preserve"> of proposed </w:t>
      </w:r>
      <w:r w:rsidRPr="00C474F4">
        <w:t xml:space="preserve">policy </w:t>
      </w:r>
      <w:r>
        <w:t xml:space="preserve">changes on the </w:t>
      </w:r>
      <w:r w:rsidR="006B6F60">
        <w:t>Australian Government</w:t>
      </w:r>
      <w:r>
        <w:t xml:space="preserve"> Budget</w:t>
      </w:r>
      <w:r w:rsidR="005536F0">
        <w:t xml:space="preserve"> over the next decade</w:t>
      </w:r>
      <w:r w:rsidRPr="005F2D0F">
        <w:t>.</w:t>
      </w:r>
      <w:r w:rsidR="004B78C2">
        <w:t xml:space="preserve">  They estimate</w:t>
      </w:r>
      <w:r w:rsidR="0089389A">
        <w:t xml:space="preserve"> how much a policy proposal</w:t>
      </w:r>
      <w:r w:rsidR="00222DF9">
        <w:t xml:space="preserve">, if implemented, </w:t>
      </w:r>
      <w:r w:rsidR="00433104">
        <w:t xml:space="preserve">would </w:t>
      </w:r>
      <w:r w:rsidR="0089389A" w:rsidRPr="0057108B">
        <w:t>change</w:t>
      </w:r>
      <w:r w:rsidR="0089389A">
        <w:t xml:space="preserve"> the </w:t>
      </w:r>
      <w:r w:rsidR="00C508D1">
        <w:t>b</w:t>
      </w:r>
      <w:r w:rsidR="0089389A">
        <w:t>udget outcome</w:t>
      </w:r>
      <w:r w:rsidR="00222DF9">
        <w:t xml:space="preserve"> </w:t>
      </w:r>
      <w:r w:rsidR="0089389A">
        <w:t xml:space="preserve">as </w:t>
      </w:r>
      <w:r w:rsidR="0089389A" w:rsidRPr="005F2D0F">
        <w:t xml:space="preserve">presented in the </w:t>
      </w:r>
      <w:r w:rsidR="0089389A">
        <w:t>most recent</w:t>
      </w:r>
      <w:r w:rsidR="0089389A" w:rsidRPr="005F2D0F">
        <w:t xml:space="preserve"> Economic and Fiscal </w:t>
      </w:r>
      <w:r w:rsidR="0089389A">
        <w:t>O</w:t>
      </w:r>
      <w:r w:rsidR="0089389A" w:rsidRPr="005F2D0F">
        <w:t>utlook</w:t>
      </w:r>
      <w:r w:rsidR="00C508D1">
        <w:t>.</w:t>
      </w:r>
      <w:r w:rsidR="00AA6CAC">
        <w:rPr>
          <w:rStyle w:val="FootnoteReference"/>
        </w:rPr>
        <w:footnoteReference w:id="4"/>
      </w:r>
      <w:r w:rsidR="00C37B76" w:rsidRPr="00700053">
        <w:rPr>
          <w:sz w:val="2"/>
          <w:szCs w:val="2"/>
        </w:rPr>
        <w:t xml:space="preserve"> </w:t>
      </w:r>
      <w:r w:rsidR="00C37B76" w:rsidRPr="00700053">
        <w:rPr>
          <w:sz w:val="24"/>
          <w:vertAlign w:val="superscript"/>
        </w:rPr>
        <w:t>,</w:t>
      </w:r>
      <w:r w:rsidR="00C37B76" w:rsidRPr="00700053">
        <w:rPr>
          <w:sz w:val="2"/>
          <w:szCs w:val="2"/>
        </w:rPr>
        <w:t xml:space="preserve"> </w:t>
      </w:r>
      <w:r w:rsidR="00C37B76">
        <w:rPr>
          <w:rStyle w:val="FootnoteReference"/>
        </w:rPr>
        <w:footnoteReference w:id="5"/>
      </w:r>
      <w:r w:rsidR="00C37B76">
        <w:t xml:space="preserve">  </w:t>
      </w:r>
      <w:r w:rsidR="00222DF9">
        <w:t xml:space="preserve">Given that the budget outcome is the </w:t>
      </w:r>
      <w:r w:rsidR="00222DF9">
        <w:lastRenderedPageBreak/>
        <w:t xml:space="preserve">amount by which the </w:t>
      </w:r>
      <w:r w:rsidR="00C508D1">
        <w:t>B</w:t>
      </w:r>
      <w:r w:rsidR="00222DF9">
        <w:t>udget is expected to be in surplus or deficit, a costing</w:t>
      </w:r>
      <w:r w:rsidR="00433104">
        <w:t xml:space="preserve"> assesses whether implementation of a given policy proposal would lead the </w:t>
      </w:r>
      <w:r w:rsidR="00C508D1">
        <w:t>B</w:t>
      </w:r>
      <w:r w:rsidR="00433104">
        <w:t xml:space="preserve">udget to be more </w:t>
      </w:r>
      <w:r w:rsidR="00222DF9">
        <w:t xml:space="preserve">or less </w:t>
      </w:r>
      <w:r w:rsidR="00433104">
        <w:t>in surplus</w:t>
      </w:r>
      <w:r w:rsidR="00222DF9">
        <w:t xml:space="preserve"> or more or less in</w:t>
      </w:r>
      <w:r w:rsidR="00433104">
        <w:t xml:space="preserve"> deficit</w:t>
      </w:r>
      <w:r w:rsidR="004F65DE">
        <w:t xml:space="preserve">.  </w:t>
      </w:r>
    </w:p>
    <w:p w:rsidR="0089389A" w:rsidRDefault="0089389A" w:rsidP="0089389A">
      <w:pPr>
        <w:pStyle w:val="BodyText"/>
      </w:pPr>
      <w:r>
        <w:t xml:space="preserve">In practice, </w:t>
      </w:r>
      <w:r w:rsidR="00222DF9">
        <w:t xml:space="preserve">many </w:t>
      </w:r>
      <w:r w:rsidR="00BF7CAC">
        <w:t xml:space="preserve">policy proposals affect just one part of the </w:t>
      </w:r>
      <w:r w:rsidR="00C508D1">
        <w:t>B</w:t>
      </w:r>
      <w:r w:rsidR="00BF7CAC">
        <w:t>udget</w:t>
      </w:r>
      <w:r w:rsidR="004F65DE">
        <w:t xml:space="preserve">.  </w:t>
      </w:r>
      <w:r>
        <w:t xml:space="preserve">So a school spending costing will mainly focus on </w:t>
      </w:r>
      <w:r w:rsidR="00606B21">
        <w:t xml:space="preserve">the change in </w:t>
      </w:r>
      <w:r>
        <w:t xml:space="preserve">expenditure on schools </w:t>
      </w:r>
      <w:r w:rsidR="00222DF9">
        <w:t xml:space="preserve">as a consequence of the new policy </w:t>
      </w:r>
      <w:r w:rsidR="00E62C79">
        <w:t xml:space="preserve">proposal </w:t>
      </w:r>
      <w:r>
        <w:t xml:space="preserve">and a </w:t>
      </w:r>
      <w:r w:rsidR="00031831">
        <w:t>Goods and Services Tax (</w:t>
      </w:r>
      <w:r w:rsidR="00E14FAD">
        <w:t>GST</w:t>
      </w:r>
      <w:r w:rsidR="00031831">
        <w:t>)</w:t>
      </w:r>
      <w:r>
        <w:t xml:space="preserve"> costing will mainly focus on </w:t>
      </w:r>
      <w:r w:rsidR="00606B21">
        <w:t xml:space="preserve">the change in </w:t>
      </w:r>
      <w:r w:rsidR="00E14FAD">
        <w:t>GST</w:t>
      </w:r>
      <w:r w:rsidR="00BF7CAC">
        <w:t xml:space="preserve"> </w:t>
      </w:r>
      <w:r w:rsidR="007B361A">
        <w:t xml:space="preserve">revenue </w:t>
      </w:r>
      <w:r w:rsidR="00BF7CAC">
        <w:t>as a result of the new policy</w:t>
      </w:r>
      <w:r w:rsidR="00E62C79">
        <w:t xml:space="preserve"> proposal</w:t>
      </w:r>
      <w:r w:rsidR="004F65DE">
        <w:t xml:space="preserve">.  </w:t>
      </w:r>
      <w:r w:rsidR="00BF7CAC">
        <w:t>On occasions</w:t>
      </w:r>
      <w:r w:rsidR="00031831">
        <w:t>,</w:t>
      </w:r>
      <w:r w:rsidR="00BF7CAC">
        <w:t xml:space="preserve"> a policy </w:t>
      </w:r>
      <w:r w:rsidR="00E62C79">
        <w:t xml:space="preserve">proposal </w:t>
      </w:r>
      <w:r w:rsidR="00BF7CAC">
        <w:t xml:space="preserve">will affect a number of different components of the </w:t>
      </w:r>
      <w:r w:rsidR="00C508D1">
        <w:t>B</w:t>
      </w:r>
      <w:r w:rsidR="00BF7CAC">
        <w:t xml:space="preserve">udget and these </w:t>
      </w:r>
      <w:r w:rsidR="00FD0586">
        <w:t xml:space="preserve">will </w:t>
      </w:r>
      <w:r w:rsidR="00BF7CAC">
        <w:t>all need to be taken into account</w:t>
      </w:r>
      <w:r w:rsidR="004F65DE">
        <w:t xml:space="preserve">.  </w:t>
      </w:r>
      <w:r w:rsidR="00BF7CAC">
        <w:t xml:space="preserve">A change in </w:t>
      </w:r>
      <w:r w:rsidR="00C95B54">
        <w:t>a particular welfare payment</w:t>
      </w:r>
      <w:r w:rsidR="00BF7CAC">
        <w:t xml:space="preserve">, for example, may </w:t>
      </w:r>
      <w:r w:rsidR="00C95B54">
        <w:t xml:space="preserve">also </w:t>
      </w:r>
      <w:r w:rsidR="00BF7CAC">
        <w:t>affect individual tax receipts or the eligibility for other welfare payments</w:t>
      </w:r>
      <w:r w:rsidR="00F73621">
        <w:t>.  A</w:t>
      </w:r>
      <w:r w:rsidR="00C95B54">
        <w:t xml:space="preserve">ll of these </w:t>
      </w:r>
      <w:r w:rsidR="00F73621">
        <w:t xml:space="preserve">implications </w:t>
      </w:r>
      <w:r w:rsidR="00C95B54">
        <w:t>are taken into account in determining the costing</w:t>
      </w:r>
      <w:r w:rsidR="004F65DE">
        <w:t xml:space="preserve">.  </w:t>
      </w:r>
    </w:p>
    <w:p w:rsidR="0089389A" w:rsidRDefault="0089389A" w:rsidP="0089389A">
      <w:pPr>
        <w:pStyle w:val="BodyText"/>
      </w:pPr>
      <w:r>
        <w:t xml:space="preserve">Conceptually, </w:t>
      </w:r>
      <w:r w:rsidR="00D66FD3">
        <w:t xml:space="preserve">when simulating the impact of a policy </w:t>
      </w:r>
      <w:r w:rsidR="00E62C79">
        <w:t xml:space="preserve">proposal </w:t>
      </w:r>
      <w:r w:rsidR="00D66FD3">
        <w:t xml:space="preserve">on the </w:t>
      </w:r>
      <w:r w:rsidR="00C508D1">
        <w:t>B</w:t>
      </w:r>
      <w:r w:rsidR="00D66FD3">
        <w:t xml:space="preserve">udget, </w:t>
      </w:r>
      <w:r w:rsidR="00FD0586">
        <w:t xml:space="preserve">we consider </w:t>
      </w:r>
      <w:r>
        <w:t xml:space="preserve">three broad </w:t>
      </w:r>
      <w:r w:rsidR="00D66FD3">
        <w:t>impacts</w:t>
      </w:r>
      <w:r>
        <w:t>:</w:t>
      </w:r>
    </w:p>
    <w:p w:rsidR="0089389A" w:rsidRDefault="0089389A" w:rsidP="0089389A">
      <w:pPr>
        <w:pStyle w:val="ListBullet"/>
      </w:pPr>
      <w:r>
        <w:t xml:space="preserve">The </w:t>
      </w:r>
      <w:r w:rsidRPr="00B4182E">
        <w:rPr>
          <w:b/>
        </w:rPr>
        <w:t>direct static</w:t>
      </w:r>
      <w:r>
        <w:t xml:space="preserve"> impact of the proposal</w:t>
      </w:r>
      <w:r w:rsidR="004F65DE">
        <w:t xml:space="preserve">.  </w:t>
      </w:r>
      <w:r>
        <w:t>This is sometimes referred to as the ‘day after’ impact of the policy proposal</w:t>
      </w:r>
      <w:r w:rsidR="004F65DE">
        <w:t xml:space="preserve">.  </w:t>
      </w:r>
      <w:r>
        <w:t xml:space="preserve">It assumes there is no </w:t>
      </w:r>
      <w:r w:rsidR="001D1B9F">
        <w:t xml:space="preserve">behavioural </w:t>
      </w:r>
      <w:r>
        <w:t>response to the policy change on the part of those affected by it</w:t>
      </w:r>
      <w:r w:rsidR="004F65DE">
        <w:t xml:space="preserve">.  </w:t>
      </w:r>
      <w:r>
        <w:t>It is an element of all costing analyses.</w:t>
      </w:r>
    </w:p>
    <w:p w:rsidR="0089389A" w:rsidRDefault="0089389A" w:rsidP="0089389A">
      <w:pPr>
        <w:pStyle w:val="ListBullet"/>
      </w:pPr>
      <w:r>
        <w:t xml:space="preserve">The </w:t>
      </w:r>
      <w:r w:rsidRPr="00B4182E">
        <w:rPr>
          <w:b/>
        </w:rPr>
        <w:t>direct behavioural</w:t>
      </w:r>
      <w:r>
        <w:t xml:space="preserve"> impact of the proposal</w:t>
      </w:r>
      <w:r w:rsidR="004F65DE">
        <w:t xml:space="preserve">.  </w:t>
      </w:r>
      <w:r w:rsidR="00FD0586">
        <w:t xml:space="preserve">This </w:t>
      </w:r>
      <w:r>
        <w:t>takes account of changes in behaviour by individuals</w:t>
      </w:r>
      <w:r w:rsidR="008309D1">
        <w:t>,</w:t>
      </w:r>
      <w:r>
        <w:t xml:space="preserve"> business</w:t>
      </w:r>
      <w:r w:rsidR="008309D1">
        <w:t xml:space="preserve">es or </w:t>
      </w:r>
      <w:proofErr w:type="gramStart"/>
      <w:r w:rsidR="008309D1">
        <w:t>organisations</w:t>
      </w:r>
      <w:r>
        <w:t xml:space="preserve"> dire</w:t>
      </w:r>
      <w:r w:rsidR="001D1B9F">
        <w:t>ctly affected by the proposal</w:t>
      </w:r>
      <w:r w:rsidR="008309D1">
        <w:t>,</w:t>
      </w:r>
      <w:r w:rsidR="001D1B9F">
        <w:t xml:space="preserve"> and includes</w:t>
      </w:r>
      <w:proofErr w:type="gramEnd"/>
      <w:r w:rsidR="001D1B9F">
        <w:t xml:space="preserve"> impacts on closely related industries</w:t>
      </w:r>
      <w:r w:rsidR="004F65DE">
        <w:t xml:space="preserve">.  </w:t>
      </w:r>
      <w:r>
        <w:t>Behavioural effects are often included in costing estimates where they are likely to have a measurable impact</w:t>
      </w:r>
      <w:r w:rsidR="004F65DE">
        <w:t xml:space="preserve">.  </w:t>
      </w:r>
    </w:p>
    <w:p w:rsidR="0089389A" w:rsidRDefault="0089389A" w:rsidP="0089389A">
      <w:pPr>
        <w:pStyle w:val="ListBullet"/>
      </w:pPr>
      <w:r>
        <w:t xml:space="preserve">The </w:t>
      </w:r>
      <w:r w:rsidRPr="00B4182E">
        <w:rPr>
          <w:b/>
        </w:rPr>
        <w:t xml:space="preserve">broader economic </w:t>
      </w:r>
      <w:r w:rsidR="00BF6BF3">
        <w:rPr>
          <w:b/>
        </w:rPr>
        <w:t>effects</w:t>
      </w:r>
      <w:r w:rsidR="00BF6BF3">
        <w:t xml:space="preserve"> </w:t>
      </w:r>
      <w:r>
        <w:t>(or second round effects)</w:t>
      </w:r>
      <w:r w:rsidR="00176BC7">
        <w:t xml:space="preserve"> of the proposal</w:t>
      </w:r>
      <w:r w:rsidR="00073592">
        <w:t>.  These</w:t>
      </w:r>
      <w:r>
        <w:t xml:space="preserve"> refer to the impacts on the </w:t>
      </w:r>
      <w:r w:rsidR="00C508D1">
        <w:t>B</w:t>
      </w:r>
      <w:r>
        <w:t xml:space="preserve">udget that arise from the further economic feedbacks from a policy change, for instance due to changes in </w:t>
      </w:r>
      <w:r w:rsidR="00FD0586">
        <w:t xml:space="preserve">aggregate </w:t>
      </w:r>
      <w:r>
        <w:t>prices, wages or employment levels flowing on from the</w:t>
      </w:r>
      <w:r w:rsidR="005825DA">
        <w:t xml:space="preserve"> introduction of a new policy.</w:t>
      </w:r>
    </w:p>
    <w:p w:rsidR="00237E36" w:rsidRDefault="00237E36" w:rsidP="00760A64">
      <w:pPr>
        <w:pStyle w:val="BodyText"/>
      </w:pPr>
      <w:r>
        <w:t xml:space="preserve">Examples of direct impacts and broader economic </w:t>
      </w:r>
      <w:r w:rsidR="00BF6BF3">
        <w:t>effects</w:t>
      </w:r>
      <w:r>
        <w:t xml:space="preserve"> are set out in </w:t>
      </w:r>
      <w:r w:rsidR="00A85B50">
        <w:t>Box </w:t>
      </w:r>
      <w:r>
        <w:t>1, using the example of an increase in the wine equalisation tax.</w:t>
      </w:r>
    </w:p>
    <w:p w:rsidR="00237E36" w:rsidRDefault="00237E36" w:rsidP="00760A64">
      <w:pPr>
        <w:pStyle w:val="ListBullet"/>
        <w:numPr>
          <w:ilvl w:val="0"/>
          <w:numId w:val="0"/>
        </w:numPr>
      </w:pPr>
    </w:p>
    <w:tbl>
      <w:tblPr>
        <w:tblStyle w:val="LightList-Accent1"/>
        <w:tblW w:w="8472" w:type="dxa"/>
        <w:tblInd w:w="108" w:type="dxa"/>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4236"/>
        <w:gridCol w:w="4236"/>
      </w:tblGrid>
      <w:tr w:rsidR="00ED49C3" w:rsidTr="005432F3">
        <w:trPr>
          <w:cnfStyle w:val="100000000000" w:firstRow="1" w:lastRow="0" w:firstColumn="0" w:lastColumn="0" w:oddVBand="0" w:evenVBand="0" w:oddHBand="0"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8472" w:type="dxa"/>
            <w:gridSpan w:val="2"/>
            <w:shd w:val="clear" w:color="auto" w:fill="D7DDE9" w:themeFill="accent3"/>
            <w:vAlign w:val="center"/>
          </w:tcPr>
          <w:p w:rsidR="00FF1963" w:rsidRPr="001779C4" w:rsidRDefault="00FF1963" w:rsidP="001779C4">
            <w:pPr>
              <w:pStyle w:val="PullOutBoxBodyText"/>
              <w:keepNext/>
              <w:keepLines/>
              <w:rPr>
                <w:color w:val="2B3B5F" w:themeColor="text2"/>
              </w:rPr>
            </w:pPr>
            <w:r w:rsidRPr="001779C4">
              <w:rPr>
                <w:color w:val="2B3B5F" w:themeColor="text2"/>
              </w:rPr>
              <w:lastRenderedPageBreak/>
              <w:t>Box 1: Examples of direct impacts versus broader economic effects</w:t>
            </w:r>
          </w:p>
          <w:p w:rsidR="00ED49C3" w:rsidRPr="00E7409F" w:rsidRDefault="00ED49C3" w:rsidP="00AD1B0D">
            <w:pPr>
              <w:pStyle w:val="PullOutBoxBodyText"/>
              <w:keepNext/>
              <w:keepLines/>
              <w:spacing w:before="120" w:after="120"/>
              <w:rPr>
                <w:b w:val="0"/>
              </w:rPr>
            </w:pPr>
            <w:r w:rsidRPr="00E7409F">
              <w:rPr>
                <w:b w:val="0"/>
                <w:color w:val="000000" w:themeColor="text1"/>
              </w:rPr>
              <w:t xml:space="preserve">This </w:t>
            </w:r>
            <w:r w:rsidR="006759CE" w:rsidRPr="00E7409F">
              <w:rPr>
                <w:b w:val="0"/>
                <w:color w:val="000000" w:themeColor="text1"/>
              </w:rPr>
              <w:t xml:space="preserve">box </w:t>
            </w:r>
            <w:r w:rsidRPr="00E7409F">
              <w:rPr>
                <w:b w:val="0"/>
                <w:color w:val="000000" w:themeColor="text1"/>
              </w:rPr>
              <w:t>illustrates a range of potential direct and broader economic impacts of a policy change, using the example of an increase in the tax levied on wine called the wine equalisation tax (WET):</w:t>
            </w:r>
          </w:p>
        </w:tc>
      </w:tr>
      <w:tr w:rsidR="00700053" w:rsidTr="00DA44F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236" w:type="dxa"/>
            <w:tcBorders>
              <w:top w:val="none" w:sz="0" w:space="0" w:color="auto"/>
              <w:left w:val="none" w:sz="0" w:space="0" w:color="auto"/>
              <w:bottom w:val="none" w:sz="0" w:space="0" w:color="auto"/>
            </w:tcBorders>
            <w:shd w:val="clear" w:color="auto" w:fill="2B3B5F" w:themeFill="text2"/>
            <w:vAlign w:val="center"/>
          </w:tcPr>
          <w:p w:rsidR="00237E36" w:rsidRPr="006759CE" w:rsidRDefault="00237E36" w:rsidP="00346892">
            <w:pPr>
              <w:pStyle w:val="PullOutBoxBodyText"/>
              <w:keepNext/>
              <w:keepLines/>
              <w:spacing w:before="0" w:after="0"/>
            </w:pPr>
            <w:r w:rsidRPr="006759CE">
              <w:t xml:space="preserve">Direct </w:t>
            </w:r>
            <w:r w:rsidR="001D1B9F" w:rsidRPr="006759CE">
              <w:t>impacts</w:t>
            </w:r>
          </w:p>
        </w:tc>
        <w:tc>
          <w:tcPr>
            <w:tcW w:w="4236" w:type="dxa"/>
            <w:tcBorders>
              <w:top w:val="none" w:sz="0" w:space="0" w:color="auto"/>
              <w:bottom w:val="none" w:sz="0" w:space="0" w:color="auto"/>
              <w:right w:val="none" w:sz="0" w:space="0" w:color="auto"/>
            </w:tcBorders>
            <w:shd w:val="clear" w:color="auto" w:fill="2B3B5F" w:themeFill="text2"/>
            <w:vAlign w:val="center"/>
          </w:tcPr>
          <w:p w:rsidR="00237E36" w:rsidRPr="00346892" w:rsidRDefault="00237E36" w:rsidP="00346892">
            <w:pPr>
              <w:pStyle w:val="PullOutBoxBodyText"/>
              <w:keepNext/>
              <w:keepLines/>
              <w:spacing w:before="0" w:after="0"/>
              <w:cnfStyle w:val="000000100000" w:firstRow="0" w:lastRow="0" w:firstColumn="0" w:lastColumn="0" w:oddVBand="0" w:evenVBand="0" w:oddHBand="1" w:evenHBand="0" w:firstRowFirstColumn="0" w:firstRowLastColumn="0" w:lastRowFirstColumn="0" w:lastRowLastColumn="0"/>
              <w:rPr>
                <w:b/>
              </w:rPr>
            </w:pPr>
            <w:r w:rsidRPr="00346892">
              <w:rPr>
                <w:b/>
              </w:rPr>
              <w:t xml:space="preserve">Broader economic </w:t>
            </w:r>
            <w:r w:rsidR="001D1B9F" w:rsidRPr="00346892">
              <w:rPr>
                <w:b/>
              </w:rPr>
              <w:t>impacts</w:t>
            </w:r>
          </w:p>
        </w:tc>
      </w:tr>
      <w:tr w:rsidR="00700053" w:rsidTr="00DA44F2">
        <w:tc>
          <w:tcPr>
            <w:cnfStyle w:val="001000000000" w:firstRow="0" w:lastRow="0" w:firstColumn="1" w:lastColumn="0" w:oddVBand="0" w:evenVBand="0" w:oddHBand="0" w:evenHBand="0" w:firstRowFirstColumn="0" w:firstRowLastColumn="0" w:lastRowFirstColumn="0" w:lastRowLastColumn="0"/>
            <w:tcW w:w="4236" w:type="dxa"/>
            <w:tcBorders>
              <w:right w:val="single" w:sz="4" w:space="0" w:color="BFBFBF" w:themeColor="background1" w:themeShade="BF"/>
            </w:tcBorders>
            <w:shd w:val="clear" w:color="auto" w:fill="D7DDE9" w:themeFill="accent3"/>
            <w:tcMar>
              <w:left w:w="108" w:type="dxa"/>
              <w:right w:w="108" w:type="dxa"/>
            </w:tcMar>
          </w:tcPr>
          <w:p w:rsidR="00237E36" w:rsidRPr="006D3D57" w:rsidRDefault="00ED49C3" w:rsidP="00346892">
            <w:pPr>
              <w:pStyle w:val="PullOutBoxBullet"/>
              <w:keepNext/>
              <w:keepLines/>
              <w:numPr>
                <w:ilvl w:val="0"/>
                <w:numId w:val="4"/>
              </w:numPr>
              <w:tabs>
                <w:tab w:val="left" w:pos="3780"/>
              </w:tabs>
              <w:spacing w:before="60" w:after="60" w:line="264" w:lineRule="auto"/>
              <w:ind w:left="397" w:right="0"/>
              <w:rPr>
                <w:b w:val="0"/>
              </w:rPr>
            </w:pPr>
            <w:r>
              <w:t>T</w:t>
            </w:r>
            <w:r w:rsidR="00237E36" w:rsidRPr="00F06540">
              <w:t xml:space="preserve">he </w:t>
            </w:r>
            <w:r w:rsidR="000A55D4">
              <w:t xml:space="preserve">direct </w:t>
            </w:r>
            <w:r w:rsidR="00237E36" w:rsidRPr="00F06540">
              <w:t>static impact</w:t>
            </w:r>
            <w:r w:rsidR="00310505">
              <w:t>.</w:t>
            </w:r>
            <w:r w:rsidR="00237E36" w:rsidRPr="001D1B9F">
              <w:rPr>
                <w:b w:val="0"/>
              </w:rPr>
              <w:t xml:space="preserve"> </w:t>
            </w:r>
            <w:r w:rsidR="00310505">
              <w:rPr>
                <w:b w:val="0"/>
              </w:rPr>
              <w:t xml:space="preserve"> T</w:t>
            </w:r>
            <w:r w:rsidR="00237E36" w:rsidRPr="001D1B9F">
              <w:rPr>
                <w:b w:val="0"/>
              </w:rPr>
              <w:t xml:space="preserve">he impact of the proposal on the </w:t>
            </w:r>
            <w:r w:rsidR="00C508D1">
              <w:rPr>
                <w:b w:val="0"/>
              </w:rPr>
              <w:t>B</w:t>
            </w:r>
            <w:r w:rsidR="00237E36" w:rsidRPr="001D1B9F">
              <w:rPr>
                <w:b w:val="0"/>
              </w:rPr>
              <w:t>udget, before any behavioural impact</w:t>
            </w:r>
            <w:r w:rsidR="00237E36">
              <w:rPr>
                <w:b w:val="0"/>
              </w:rPr>
              <w:t xml:space="preserve"> </w:t>
            </w:r>
            <w:r w:rsidR="00F65172">
              <w:rPr>
                <w:b w:val="0"/>
              </w:rPr>
              <w:t xml:space="preserve">is </w:t>
            </w:r>
            <w:r w:rsidR="00237E36">
              <w:rPr>
                <w:b w:val="0"/>
              </w:rPr>
              <w:t>included</w:t>
            </w:r>
            <w:r w:rsidR="004F65DE" w:rsidRPr="006759CE">
              <w:t xml:space="preserve">.  </w:t>
            </w:r>
            <w:r w:rsidR="00237E36">
              <w:rPr>
                <w:b w:val="0"/>
              </w:rPr>
              <w:t xml:space="preserve">It is equal to the increase in the </w:t>
            </w:r>
            <w:r w:rsidR="003A5AEA">
              <w:rPr>
                <w:b w:val="0"/>
              </w:rPr>
              <w:t>WET</w:t>
            </w:r>
            <w:r w:rsidR="00237E36">
              <w:rPr>
                <w:b w:val="0"/>
              </w:rPr>
              <w:t xml:space="preserve"> on wine multiplied by the </w:t>
            </w:r>
            <w:r w:rsidR="003B60AB">
              <w:rPr>
                <w:b w:val="0"/>
              </w:rPr>
              <w:t xml:space="preserve">value </w:t>
            </w:r>
            <w:r w:rsidR="00237E36">
              <w:rPr>
                <w:b w:val="0"/>
              </w:rPr>
              <w:t>of wine sold</w:t>
            </w:r>
            <w:r w:rsidR="00623FA4">
              <w:rPr>
                <w:b w:val="0"/>
              </w:rPr>
              <w:t xml:space="preserve"> each year</w:t>
            </w:r>
            <w:r w:rsidR="006759CE">
              <w:rPr>
                <w:b w:val="0"/>
              </w:rPr>
              <w:t>.</w:t>
            </w:r>
          </w:p>
          <w:p w:rsidR="00237E36" w:rsidRPr="00777AE8" w:rsidRDefault="00ED49C3" w:rsidP="00346892">
            <w:pPr>
              <w:pStyle w:val="PullOutBoxBullet"/>
              <w:keepNext/>
              <w:keepLines/>
              <w:numPr>
                <w:ilvl w:val="0"/>
                <w:numId w:val="4"/>
              </w:numPr>
              <w:spacing w:before="60" w:after="60" w:line="264" w:lineRule="auto"/>
              <w:ind w:left="397" w:right="0"/>
            </w:pPr>
            <w:r>
              <w:t>T</w:t>
            </w:r>
            <w:r w:rsidR="00237E36" w:rsidRPr="00DB36DB">
              <w:t>he direct behavioural impact</w:t>
            </w:r>
            <w:r w:rsidR="004F65DE">
              <w:t xml:space="preserve">.  </w:t>
            </w:r>
            <w:r w:rsidR="00237E36" w:rsidRPr="001D1B9F">
              <w:rPr>
                <w:b w:val="0"/>
              </w:rPr>
              <w:t>A higher tax on wine will increase the pri</w:t>
            </w:r>
            <w:r w:rsidR="00237E36">
              <w:rPr>
                <w:b w:val="0"/>
              </w:rPr>
              <w:t>ce of wine and tend to reduce the volume of wine consumed</w:t>
            </w:r>
            <w:r w:rsidR="004F65DE">
              <w:rPr>
                <w:b w:val="0"/>
              </w:rPr>
              <w:t xml:space="preserve">.  </w:t>
            </w:r>
            <w:r w:rsidR="00237E36">
              <w:rPr>
                <w:b w:val="0"/>
              </w:rPr>
              <w:t>This behavioural impact would reduce the revenue raised from the wine equalisation tax</w:t>
            </w:r>
            <w:r w:rsidR="006759CE">
              <w:rPr>
                <w:b w:val="0"/>
              </w:rPr>
              <w:t>.</w:t>
            </w:r>
          </w:p>
          <w:p w:rsidR="00237E36" w:rsidRPr="000116FB" w:rsidRDefault="00ED49C3" w:rsidP="00346892">
            <w:pPr>
              <w:pStyle w:val="PullOutBoxBullet"/>
              <w:keepNext/>
              <w:keepLines/>
              <w:numPr>
                <w:ilvl w:val="0"/>
                <w:numId w:val="4"/>
              </w:numPr>
              <w:spacing w:before="60" w:after="60" w:line="264" w:lineRule="auto"/>
              <w:ind w:left="397" w:right="0"/>
              <w:rPr>
                <w:b w:val="0"/>
              </w:rPr>
            </w:pPr>
            <w:r>
              <w:t xml:space="preserve">Related </w:t>
            </w:r>
            <w:r w:rsidR="00237E36">
              <w:t>behavioural impacts</w:t>
            </w:r>
            <w:r>
              <w:t>―</w:t>
            </w:r>
            <w:r w:rsidR="00237E36">
              <w:t xml:space="preserve">due to </w:t>
            </w:r>
            <w:r w:rsidR="00237E36" w:rsidRPr="006D3D57">
              <w:t>changes in the consumption of close substitute or complementary goods</w:t>
            </w:r>
            <w:r w:rsidR="004F65DE" w:rsidRPr="005E0E9E">
              <w:t>.</w:t>
            </w:r>
            <w:r w:rsidR="004F65DE">
              <w:rPr>
                <w:b w:val="0"/>
              </w:rPr>
              <w:t xml:space="preserve">  </w:t>
            </w:r>
            <w:r w:rsidR="00237E36">
              <w:rPr>
                <w:b w:val="0"/>
              </w:rPr>
              <w:t xml:space="preserve">An increase in the </w:t>
            </w:r>
            <w:r w:rsidR="003A5AEA">
              <w:rPr>
                <w:b w:val="0"/>
              </w:rPr>
              <w:t>WET</w:t>
            </w:r>
            <w:r w:rsidR="00237E36">
              <w:rPr>
                <w:b w:val="0"/>
              </w:rPr>
              <w:t xml:space="preserve"> alone would tend </w:t>
            </w:r>
            <w:r w:rsidR="00237E36" w:rsidRPr="006B5810">
              <w:rPr>
                <w:b w:val="0"/>
              </w:rPr>
              <w:t>to encourage individuals to switch to consuming other beverages</w:t>
            </w:r>
            <w:r>
              <w:rPr>
                <w:b w:val="0"/>
              </w:rPr>
              <w:t>―</w:t>
            </w:r>
            <w:r w:rsidR="00237E36" w:rsidRPr="006B5810">
              <w:rPr>
                <w:b w:val="0"/>
              </w:rPr>
              <w:t>including beer,</w:t>
            </w:r>
            <w:r w:rsidR="00237E36">
              <w:rPr>
                <w:b w:val="0"/>
              </w:rPr>
              <w:t xml:space="preserve"> spirits and soft drinks</w:t>
            </w:r>
            <w:r>
              <w:rPr>
                <w:b w:val="0"/>
              </w:rPr>
              <w:t>―</w:t>
            </w:r>
            <w:r w:rsidR="00237E36">
              <w:rPr>
                <w:b w:val="0"/>
              </w:rPr>
              <w:t>and lead to higher revenue from the direct taxation of these substitute goods</w:t>
            </w:r>
            <w:r w:rsidR="006759CE">
              <w:rPr>
                <w:b w:val="0"/>
              </w:rPr>
              <w:t>.</w:t>
            </w:r>
          </w:p>
          <w:p w:rsidR="00237E36" w:rsidRDefault="00ED49C3" w:rsidP="00346892">
            <w:pPr>
              <w:pStyle w:val="PullOutBoxBullet"/>
              <w:keepNext/>
              <w:keepLines/>
              <w:numPr>
                <w:ilvl w:val="0"/>
                <w:numId w:val="4"/>
              </w:numPr>
              <w:spacing w:before="60" w:after="60" w:line="264" w:lineRule="auto"/>
              <w:ind w:left="397" w:right="0"/>
              <w:rPr>
                <w:b w:val="0"/>
              </w:rPr>
            </w:pPr>
            <w:r>
              <w:t>C</w:t>
            </w:r>
            <w:r w:rsidRPr="00A1713A">
              <w:t xml:space="preserve">hanges </w:t>
            </w:r>
            <w:r w:rsidR="00237E36" w:rsidRPr="00A1713A">
              <w:t xml:space="preserve">in </w:t>
            </w:r>
            <w:r w:rsidR="00237E36">
              <w:t xml:space="preserve">other </w:t>
            </w:r>
            <w:r w:rsidR="00237E36" w:rsidRPr="00A1713A">
              <w:t xml:space="preserve">taxes directly related to </w:t>
            </w:r>
            <w:r w:rsidR="00237E36">
              <w:t>wine</w:t>
            </w:r>
            <w:r w:rsidR="00237E36" w:rsidRPr="00A1713A">
              <w:t xml:space="preserve"> consumption</w:t>
            </w:r>
            <w:r w:rsidR="004F65DE" w:rsidRPr="005E0E9E">
              <w:t>.</w:t>
            </w:r>
            <w:r w:rsidR="004F65DE">
              <w:rPr>
                <w:b w:val="0"/>
              </w:rPr>
              <w:t xml:space="preserve">  </w:t>
            </w:r>
            <w:r w:rsidR="00237E36">
              <w:rPr>
                <w:b w:val="0"/>
              </w:rPr>
              <w:t xml:space="preserve">As well as the </w:t>
            </w:r>
            <w:r w:rsidR="003A5AEA">
              <w:rPr>
                <w:b w:val="0"/>
              </w:rPr>
              <w:t>WET</w:t>
            </w:r>
            <w:r w:rsidR="00237E36">
              <w:rPr>
                <w:b w:val="0"/>
              </w:rPr>
              <w:t>, GST is levied on the value of wine consumption</w:t>
            </w:r>
            <w:r w:rsidR="004F65DE">
              <w:rPr>
                <w:b w:val="0"/>
              </w:rPr>
              <w:t xml:space="preserve">.  </w:t>
            </w:r>
            <w:r w:rsidR="00237E36">
              <w:rPr>
                <w:b w:val="0"/>
              </w:rPr>
              <w:t>A change in the value of wine consumption (and consumption of closely substitute products) would therefore affect GST revenue</w:t>
            </w:r>
            <w:r w:rsidR="006759CE">
              <w:rPr>
                <w:b w:val="0"/>
              </w:rPr>
              <w:t>.</w:t>
            </w:r>
          </w:p>
          <w:p w:rsidR="00237E36" w:rsidRPr="00946F3A" w:rsidRDefault="00ED49C3" w:rsidP="00346892">
            <w:pPr>
              <w:pStyle w:val="PullOutBoxBullet"/>
              <w:keepNext/>
              <w:keepLines/>
              <w:numPr>
                <w:ilvl w:val="0"/>
                <w:numId w:val="4"/>
              </w:numPr>
              <w:spacing w:before="60" w:after="60" w:line="264" w:lineRule="auto"/>
              <w:ind w:left="397" w:right="0"/>
              <w:rPr>
                <w:b w:val="0"/>
              </w:rPr>
            </w:pPr>
            <w:r>
              <w:t>C</w:t>
            </w:r>
            <w:r w:rsidR="00237E36">
              <w:t>hanges in Government expenditures directly related to wine consumption</w:t>
            </w:r>
            <w:r w:rsidR="004F65DE">
              <w:t xml:space="preserve">.  </w:t>
            </w:r>
            <w:r w:rsidR="00237E36">
              <w:rPr>
                <w:b w:val="0"/>
              </w:rPr>
              <w:t xml:space="preserve">This would capture the change in any other Government expenditures that support wine production and </w:t>
            </w:r>
            <w:r w:rsidR="00623FA4">
              <w:rPr>
                <w:b w:val="0"/>
              </w:rPr>
              <w:t xml:space="preserve">are </w:t>
            </w:r>
            <w:r w:rsidR="00237E36">
              <w:rPr>
                <w:b w:val="0"/>
              </w:rPr>
              <w:t>affected by the reduction in wine consumption that occurs</w:t>
            </w:r>
            <w:r w:rsidR="006759CE">
              <w:rPr>
                <w:b w:val="0"/>
              </w:rPr>
              <w:t>.</w:t>
            </w:r>
            <w:r w:rsidR="00237E36">
              <w:rPr>
                <w:b w:val="0"/>
              </w:rPr>
              <w:t xml:space="preserve">  </w:t>
            </w:r>
          </w:p>
        </w:tc>
        <w:tc>
          <w:tcPr>
            <w:tcW w:w="4236" w:type="dxa"/>
            <w:tcBorders>
              <w:left w:val="single" w:sz="4" w:space="0" w:color="BFBFBF" w:themeColor="background1" w:themeShade="BF"/>
            </w:tcBorders>
            <w:shd w:val="clear" w:color="auto" w:fill="D7DDE9" w:themeFill="accent3"/>
            <w:tcMar>
              <w:left w:w="108" w:type="dxa"/>
              <w:right w:w="108" w:type="dxa"/>
            </w:tcMar>
          </w:tcPr>
          <w:p w:rsidR="00237E36" w:rsidRDefault="00ED49C3" w:rsidP="00346892">
            <w:pPr>
              <w:pStyle w:val="PullOutBoxBullet"/>
              <w:keepNext/>
              <w:keepLines/>
              <w:numPr>
                <w:ilvl w:val="0"/>
                <w:numId w:val="4"/>
              </w:numPr>
              <w:tabs>
                <w:tab w:val="num" w:pos="399"/>
              </w:tabs>
              <w:spacing w:before="60" w:after="60" w:line="264" w:lineRule="auto"/>
              <w:ind w:left="399" w:right="0"/>
              <w:cnfStyle w:val="000000000000" w:firstRow="0" w:lastRow="0" w:firstColumn="0" w:lastColumn="0" w:oddVBand="0" w:evenVBand="0" w:oddHBand="0" w:evenHBand="0" w:firstRowFirstColumn="0" w:firstRowLastColumn="0" w:lastRowFirstColumn="0" w:lastRowLastColumn="0"/>
            </w:pPr>
            <w:r>
              <w:rPr>
                <w:b/>
              </w:rPr>
              <w:t>A</w:t>
            </w:r>
            <w:r w:rsidR="001D1B9F">
              <w:rPr>
                <w:b/>
              </w:rPr>
              <w:t>utomatic flow-</w:t>
            </w:r>
            <w:r w:rsidR="00237E36">
              <w:rPr>
                <w:b/>
              </w:rPr>
              <w:t xml:space="preserve">on </w:t>
            </w:r>
            <w:r w:rsidR="00363562">
              <w:rPr>
                <w:b/>
              </w:rPr>
              <w:t>impacts</w:t>
            </w:r>
            <w:r w:rsidR="004F65DE">
              <w:rPr>
                <w:b/>
              </w:rPr>
              <w:t xml:space="preserve">.  </w:t>
            </w:r>
            <w:r w:rsidR="00237E36">
              <w:t xml:space="preserve">The direct price </w:t>
            </w:r>
            <w:r w:rsidR="001D1B9F">
              <w:t>impact</w:t>
            </w:r>
            <w:r w:rsidR="00237E36">
              <w:t xml:space="preserve"> of an increase in the </w:t>
            </w:r>
            <w:r w:rsidR="00ED17BA">
              <w:t>WET</w:t>
            </w:r>
            <w:r w:rsidR="00237E36">
              <w:t xml:space="preserve"> would have an impact on the consumer price index (CPI) that would flow through into CPI</w:t>
            </w:r>
            <w:r w:rsidR="0051062B">
              <w:t>-</w:t>
            </w:r>
            <w:r w:rsidR="00237E36" w:rsidRPr="00777AE8">
              <w:t>indexed taxes and payments</w:t>
            </w:r>
            <w:r w:rsidR="006759CE">
              <w:t>.</w:t>
            </w:r>
          </w:p>
          <w:p w:rsidR="00237E36" w:rsidRDefault="00ED49C3" w:rsidP="00346892">
            <w:pPr>
              <w:pStyle w:val="PullOutBoxBullet"/>
              <w:keepNext/>
              <w:keepLines/>
              <w:numPr>
                <w:ilvl w:val="0"/>
                <w:numId w:val="4"/>
              </w:numPr>
              <w:tabs>
                <w:tab w:val="num" w:pos="399"/>
              </w:tabs>
              <w:spacing w:before="60" w:after="60" w:line="264" w:lineRule="auto"/>
              <w:ind w:left="399"/>
              <w:cnfStyle w:val="000000000000" w:firstRow="0" w:lastRow="0" w:firstColumn="0" w:lastColumn="0" w:oddVBand="0" w:evenVBand="0" w:oddHBand="0" w:evenHBand="0" w:firstRowFirstColumn="0" w:firstRowLastColumn="0" w:lastRowFirstColumn="0" w:lastRowLastColumn="0"/>
            </w:pPr>
            <w:r>
              <w:rPr>
                <w:b/>
              </w:rPr>
              <w:t>F</w:t>
            </w:r>
            <w:r w:rsidR="00237E36" w:rsidRPr="00777AE8">
              <w:rPr>
                <w:b/>
              </w:rPr>
              <w:t xml:space="preserve">low on </w:t>
            </w:r>
            <w:r w:rsidR="002326A6">
              <w:rPr>
                <w:b/>
              </w:rPr>
              <w:t>effects on</w:t>
            </w:r>
            <w:r w:rsidR="00237E36">
              <w:rPr>
                <w:b/>
              </w:rPr>
              <w:t xml:space="preserve"> the demand for labour and resources in </w:t>
            </w:r>
            <w:r w:rsidR="00237E36" w:rsidRPr="00777AE8">
              <w:rPr>
                <w:b/>
              </w:rPr>
              <w:t>the general</w:t>
            </w:r>
            <w:r w:rsidR="00237E36">
              <w:t xml:space="preserve"> </w:t>
            </w:r>
            <w:r w:rsidR="00237E36" w:rsidRPr="00777AE8">
              <w:rPr>
                <w:b/>
              </w:rPr>
              <w:t>economy</w:t>
            </w:r>
            <w:r w:rsidR="004F65DE">
              <w:rPr>
                <w:b/>
              </w:rPr>
              <w:t xml:space="preserve">.  </w:t>
            </w:r>
            <w:r w:rsidR="00237E36">
              <w:t>These effects arise as the change in demand</w:t>
            </w:r>
            <w:r w:rsidR="006B5810">
              <w:t xml:space="preserve"> for</w:t>
            </w:r>
            <w:r w:rsidR="00237E36">
              <w:t xml:space="preserve"> wine affects the demand for labour and resources in the wine industry and this, in turn, affects the demand for labour and resources in other industries</w:t>
            </w:r>
            <w:r w:rsidR="004F65DE">
              <w:t xml:space="preserve">.  </w:t>
            </w:r>
            <w:r w:rsidR="00237E36">
              <w:t xml:space="preserve">These </w:t>
            </w:r>
            <w:proofErr w:type="gramStart"/>
            <w:r w:rsidR="00237E36">
              <w:t>impact</w:t>
            </w:r>
            <w:proofErr w:type="gramEnd"/>
            <w:r w:rsidR="00237E36">
              <w:t xml:space="preserve"> on, for example, wage, employment, investment and profit outcomes</w:t>
            </w:r>
            <w:r w:rsidR="004C1B7B">
              <w:t>, which</w:t>
            </w:r>
            <w:r w:rsidR="00237E36">
              <w:t xml:space="preserve"> may in turn affect Government revenue and expenses</w:t>
            </w:r>
            <w:r w:rsidR="004F65DE">
              <w:t xml:space="preserve">.  </w:t>
            </w:r>
          </w:p>
          <w:p w:rsidR="00237E36" w:rsidRDefault="00ED49C3" w:rsidP="00346892">
            <w:pPr>
              <w:pStyle w:val="PullOutBoxBullet"/>
              <w:keepNext/>
              <w:keepLines/>
              <w:numPr>
                <w:ilvl w:val="0"/>
                <w:numId w:val="4"/>
              </w:numPr>
              <w:tabs>
                <w:tab w:val="num" w:pos="399"/>
              </w:tabs>
              <w:spacing w:before="60" w:after="60" w:line="264" w:lineRule="auto"/>
              <w:ind w:left="399"/>
              <w:cnfStyle w:val="000000000000" w:firstRow="0" w:lastRow="0" w:firstColumn="0" w:lastColumn="0" w:oddVBand="0" w:evenVBand="0" w:oddHBand="0" w:evenHBand="0" w:firstRowFirstColumn="0" w:firstRowLastColumn="0" w:lastRowFirstColumn="0" w:lastRowLastColumn="0"/>
            </w:pPr>
            <w:r>
              <w:rPr>
                <w:b/>
              </w:rPr>
              <w:t>F</w:t>
            </w:r>
            <w:r w:rsidR="00237E36">
              <w:rPr>
                <w:b/>
              </w:rPr>
              <w:t xml:space="preserve">low on </w:t>
            </w:r>
            <w:r w:rsidR="00BF6BF3">
              <w:rPr>
                <w:b/>
              </w:rPr>
              <w:t>effects</w:t>
            </w:r>
            <w:r w:rsidR="00237E36">
              <w:rPr>
                <w:b/>
              </w:rPr>
              <w:t xml:space="preserve"> on other payments and programs</w:t>
            </w:r>
            <w:r w:rsidR="004F65DE">
              <w:rPr>
                <w:b/>
              </w:rPr>
              <w:t xml:space="preserve">.  </w:t>
            </w:r>
            <w:r w:rsidR="00237E36">
              <w:t xml:space="preserve">Changing the </w:t>
            </w:r>
            <w:r w:rsidR="00ED17BA">
              <w:t>WET</w:t>
            </w:r>
            <w:r w:rsidR="00237E36">
              <w:t xml:space="preserve"> may affect health outcomes and/or life expectancy</w:t>
            </w:r>
            <w:r w:rsidR="004F65DE">
              <w:t xml:space="preserve">.  </w:t>
            </w:r>
            <w:r w:rsidR="00237E36">
              <w:t>These, in turn, may affect health expenditure and age pension outlays.</w:t>
            </w:r>
          </w:p>
          <w:p w:rsidR="00D91D62" w:rsidRDefault="00D91D62" w:rsidP="00D91D62">
            <w:pPr>
              <w:pStyle w:val="PullOutBoxBullet"/>
              <w:keepNext/>
              <w:keepLines/>
              <w:numPr>
                <w:ilvl w:val="0"/>
                <w:numId w:val="4"/>
              </w:numPr>
              <w:tabs>
                <w:tab w:val="num" w:pos="399"/>
              </w:tabs>
              <w:spacing w:before="60" w:after="60" w:line="264" w:lineRule="auto"/>
              <w:ind w:left="399"/>
              <w:cnfStyle w:val="000000000000" w:firstRow="0" w:lastRow="0" w:firstColumn="0" w:lastColumn="0" w:oddVBand="0" w:evenVBand="0" w:oddHBand="0" w:evenHBand="0" w:firstRowFirstColumn="0" w:firstRowLastColumn="0" w:lastRowFirstColumn="0" w:lastRowLastColumn="0"/>
            </w:pPr>
            <w:r w:rsidRPr="00D91D62">
              <w:rPr>
                <w:b/>
                <w:spacing w:val="0"/>
              </w:rPr>
              <w:t>Flow</w:t>
            </w:r>
            <w:r w:rsidRPr="00D91D62">
              <w:rPr>
                <w:b/>
                <w:spacing w:val="0"/>
              </w:rPr>
              <w:noBreakHyphen/>
              <w:t xml:space="preserve">on effects to economic efficiency.  </w:t>
            </w:r>
            <w:r w:rsidRPr="00D91D62">
              <w:rPr>
                <w:spacing w:val="0"/>
              </w:rPr>
              <w:t>An assessment of the budget impact of the economic efficiency effect of an increase in the tax levied on wine would need to be considered against the budget impact of how the additional tax revenue is used.</w:t>
            </w:r>
          </w:p>
        </w:tc>
      </w:tr>
    </w:tbl>
    <w:p w:rsidR="00237E36" w:rsidRDefault="00237E36" w:rsidP="00237E36"/>
    <w:p w:rsidR="00536D14" w:rsidRDefault="00536D14" w:rsidP="004B78C2">
      <w:pPr>
        <w:pStyle w:val="BodyText"/>
      </w:pPr>
    </w:p>
    <w:p w:rsidR="004D6356" w:rsidRDefault="004B78C2" w:rsidP="004B78C2">
      <w:pPr>
        <w:pStyle w:val="BodyText"/>
      </w:pPr>
      <w:r>
        <w:lastRenderedPageBreak/>
        <w:t>Generally, PBO costings focus on the direct static and direct behavioural impacts of policy proposals.  With a few exceptions, we have not included quantitative estimates of broader economic effects in our costings</w:t>
      </w:r>
      <w:r w:rsidRPr="00D66FD3">
        <w:t xml:space="preserve"> </w:t>
      </w:r>
      <w:r>
        <w:t xml:space="preserve">as </w:t>
      </w:r>
      <w:r w:rsidRPr="006C45E6">
        <w:t xml:space="preserve">the magnitude of those </w:t>
      </w:r>
      <w:r>
        <w:t>effects</w:t>
      </w:r>
      <w:r w:rsidRPr="006C45E6">
        <w:t xml:space="preserve"> is much smaller and more uncertain than the direct budget cost of the policy proposal, particularly over the standard budgetary horizons</w:t>
      </w:r>
      <w:r>
        <w:t>.</w:t>
      </w:r>
      <w:r w:rsidR="00AA6CAC">
        <w:rPr>
          <w:rStyle w:val="FootnoteReference"/>
        </w:rPr>
        <w:footnoteReference w:id="6"/>
      </w:r>
      <w:r w:rsidR="00C224F1" w:rsidRPr="00346892">
        <w:rPr>
          <w:color w:val="FFFFFF" w:themeColor="background1"/>
        </w:rPr>
        <w:t xml:space="preserve"> </w:t>
      </w:r>
      <w:r w:rsidR="00AA6CAC">
        <w:rPr>
          <w:color w:val="FFFFFF" w:themeColor="background1"/>
        </w:rPr>
        <w:t xml:space="preserve"> </w:t>
      </w:r>
      <w:r>
        <w:t xml:space="preserve">These issues are discussed in more detail in PBO Information Paper no. </w:t>
      </w:r>
      <w:r w:rsidRPr="00073592">
        <w:t>03/</w:t>
      </w:r>
      <w:r w:rsidRPr="009507EE">
        <w:t>2017</w:t>
      </w:r>
      <w:r>
        <w:t xml:space="preserve"> </w:t>
      </w:r>
      <w:r w:rsidR="006759CE">
        <w:t>―</w:t>
      </w:r>
      <w:r w:rsidRPr="005E7328">
        <w:rPr>
          <w:i/>
        </w:rPr>
        <w:t xml:space="preserve"> </w:t>
      </w:r>
      <w:proofErr w:type="gramStart"/>
      <w:r w:rsidRPr="00F27FE7">
        <w:rPr>
          <w:i/>
          <w:u w:val="single"/>
        </w:rPr>
        <w:t>Including</w:t>
      </w:r>
      <w:proofErr w:type="gramEnd"/>
      <w:r w:rsidRPr="00F27FE7">
        <w:rPr>
          <w:i/>
          <w:u w:val="single"/>
        </w:rPr>
        <w:t xml:space="preserve"> broader economic effects in policy costings</w:t>
      </w:r>
      <w:r>
        <w:t>.</w:t>
      </w:r>
    </w:p>
    <w:p w:rsidR="000631D3" w:rsidRDefault="000631D3" w:rsidP="004D6356">
      <w:pPr>
        <w:pStyle w:val="Heading1"/>
      </w:pPr>
      <w:bookmarkStart w:id="11" w:name="_Toc499730385"/>
      <w:bookmarkStart w:id="12" w:name="_Toc499730664"/>
      <w:bookmarkStart w:id="13" w:name="_Toc499730386"/>
      <w:bookmarkStart w:id="14" w:name="_Toc499730665"/>
      <w:bookmarkStart w:id="15" w:name="_Toc499730387"/>
      <w:bookmarkStart w:id="16" w:name="_Toc499730666"/>
      <w:bookmarkStart w:id="17" w:name="_Toc499799345"/>
      <w:bookmarkEnd w:id="11"/>
      <w:bookmarkEnd w:id="12"/>
      <w:bookmarkEnd w:id="13"/>
      <w:bookmarkEnd w:id="14"/>
      <w:bookmarkEnd w:id="15"/>
      <w:bookmarkEnd w:id="16"/>
      <w:r>
        <w:t xml:space="preserve">Elements of </w:t>
      </w:r>
      <w:r w:rsidR="00DD0EE1">
        <w:t xml:space="preserve">the </w:t>
      </w:r>
      <w:r>
        <w:t xml:space="preserve">costing </w:t>
      </w:r>
      <w:r w:rsidR="00DD0EE1">
        <w:t>process</w:t>
      </w:r>
      <w:bookmarkEnd w:id="17"/>
    </w:p>
    <w:p w:rsidR="00E87098" w:rsidRDefault="00E87098" w:rsidP="00E87098">
      <w:pPr>
        <w:pStyle w:val="BodyText"/>
      </w:pPr>
      <w:r>
        <w:t>The PBO has to undertake a number of steps</w:t>
      </w:r>
      <w:r w:rsidDel="00DD0EE1">
        <w:t xml:space="preserve"> </w:t>
      </w:r>
      <w:r>
        <w:t>in order to assess the cost to the budget of a policy proposal</w:t>
      </w:r>
      <w:r w:rsidR="005E0E9E">
        <w:t xml:space="preserve">: </w:t>
      </w:r>
    </w:p>
    <w:p w:rsidR="00BF6BF3" w:rsidRPr="000567FA" w:rsidRDefault="00E87098" w:rsidP="00C70584">
      <w:pPr>
        <w:pStyle w:val="Bullet1"/>
      </w:pPr>
      <w:r>
        <w:t xml:space="preserve">First, </w:t>
      </w:r>
      <w:r w:rsidR="00DD0EE1" w:rsidRPr="00C70584">
        <w:t xml:space="preserve">the policy has to be carefully specified to ensure that there is a good understanding of the details of </w:t>
      </w:r>
      <w:r w:rsidR="00426E57">
        <w:t>the</w:t>
      </w:r>
      <w:r w:rsidR="00DD0EE1" w:rsidRPr="00C70584">
        <w:t xml:space="preserve"> propos</w:t>
      </w:r>
      <w:r w:rsidR="00426E57">
        <w:t>al</w:t>
      </w:r>
      <w:r>
        <w:t>.</w:t>
      </w:r>
      <w:r w:rsidR="004F65DE" w:rsidRPr="00397D23">
        <w:t xml:space="preserve">  </w:t>
      </w:r>
    </w:p>
    <w:p w:rsidR="00BF6BF3" w:rsidRPr="00C70584" w:rsidRDefault="00E87098" w:rsidP="00397D23">
      <w:pPr>
        <w:pStyle w:val="Bullet1"/>
      </w:pPr>
      <w:r>
        <w:t xml:space="preserve">Second, </w:t>
      </w:r>
      <w:r w:rsidR="00DD0EE1" w:rsidRPr="00C70584">
        <w:t>the methodology for estimating the cost has to be determined</w:t>
      </w:r>
      <w:r w:rsidR="004F65DE" w:rsidRPr="00C70584">
        <w:t xml:space="preserve">.  </w:t>
      </w:r>
      <w:r w:rsidR="00DD0EE1" w:rsidRPr="00C70584">
        <w:t>This takes into account the availability of relevant data and the level of detail required for a reasonable estimate to be generated</w:t>
      </w:r>
      <w:r>
        <w:t>.</w:t>
      </w:r>
      <w:r w:rsidR="004F65DE" w:rsidRPr="00C70584">
        <w:t xml:space="preserve">  </w:t>
      </w:r>
    </w:p>
    <w:p w:rsidR="00BF6BF3" w:rsidRPr="000567FA" w:rsidRDefault="00E87098">
      <w:pPr>
        <w:pStyle w:val="Bullet1"/>
      </w:pPr>
      <w:r>
        <w:t xml:space="preserve">Third, </w:t>
      </w:r>
      <w:r w:rsidR="00DD0EE1" w:rsidRPr="00C70584">
        <w:t>key assumptions have to be made to fill in gaps in the data or information underlying the costing</w:t>
      </w:r>
      <w:r w:rsidR="00C70584">
        <w:t>,</w:t>
      </w:r>
      <w:r w:rsidR="00DD0EE1" w:rsidRPr="00C70584">
        <w:t xml:space="preserve"> or to take</w:t>
      </w:r>
      <w:r w:rsidR="00DD0EE1" w:rsidRPr="0059535F">
        <w:t xml:space="preserve"> account of likely behavioural effects</w:t>
      </w:r>
      <w:r>
        <w:t>.</w:t>
      </w:r>
      <w:r w:rsidR="004F65DE" w:rsidRPr="00397D23">
        <w:t xml:space="preserve">  </w:t>
      </w:r>
    </w:p>
    <w:p w:rsidR="00DD0EE1" w:rsidRPr="00C70584" w:rsidRDefault="00E87098">
      <w:pPr>
        <w:pStyle w:val="Bullet1"/>
      </w:pPr>
      <w:r>
        <w:t xml:space="preserve">Finally, </w:t>
      </w:r>
      <w:r w:rsidR="00DD0EE1" w:rsidRPr="00C70584">
        <w:t xml:space="preserve">an assessment of the </w:t>
      </w:r>
      <w:r w:rsidR="001F0FEC" w:rsidRPr="00C70584">
        <w:t xml:space="preserve">factors affecting the </w:t>
      </w:r>
      <w:r w:rsidR="007A4E82">
        <w:t>reliability of</w:t>
      </w:r>
      <w:r w:rsidR="001F0FEC" w:rsidRPr="00C70584">
        <w:t xml:space="preserve"> the </w:t>
      </w:r>
      <w:r w:rsidR="005F10AF">
        <w:t xml:space="preserve">costing </w:t>
      </w:r>
      <w:r w:rsidR="00680B2B">
        <w:t xml:space="preserve">estimates </w:t>
      </w:r>
      <w:r w:rsidR="00791502">
        <w:t>is made</w:t>
      </w:r>
      <w:r w:rsidR="004F65DE" w:rsidRPr="00C70584">
        <w:t xml:space="preserve">.  </w:t>
      </w:r>
    </w:p>
    <w:p w:rsidR="00DD0EE1" w:rsidRPr="005E7328" w:rsidRDefault="00DD0EE1" w:rsidP="00DD0EE1">
      <w:pPr>
        <w:pStyle w:val="BodyText"/>
      </w:pPr>
      <w:r>
        <w:t>The outcome of this process is a costing minute, which provides information on each of these steps and includes an overview that summarises the costing results and any key messages and caveats regarding the costing</w:t>
      </w:r>
      <w:r w:rsidR="004F65DE">
        <w:t xml:space="preserve">.  </w:t>
      </w:r>
      <w:r w:rsidR="00DA3E74">
        <w:t>The costing minute is intended to be a standalone document.</w:t>
      </w:r>
    </w:p>
    <w:p w:rsidR="00DC6240" w:rsidRPr="0089389A" w:rsidRDefault="00DD0EE1" w:rsidP="0089389A">
      <w:pPr>
        <w:pStyle w:val="BodyText"/>
      </w:pPr>
      <w:r>
        <w:t>T</w:t>
      </w:r>
      <w:r w:rsidR="00DC6240">
        <w:t xml:space="preserve">his section </w:t>
      </w:r>
      <w:r>
        <w:t xml:space="preserve">of the paper steps through each of these </w:t>
      </w:r>
      <w:r w:rsidR="00DC6240">
        <w:t xml:space="preserve">key elements of the </w:t>
      </w:r>
      <w:r>
        <w:t xml:space="preserve">costing process and </w:t>
      </w:r>
      <w:r w:rsidR="00FD0586">
        <w:t>in the next section we provide</w:t>
      </w:r>
      <w:r>
        <w:t xml:space="preserve"> details on the information that is </w:t>
      </w:r>
      <w:r w:rsidR="00DA3E74">
        <w:t xml:space="preserve">presented in costing </w:t>
      </w:r>
      <w:r w:rsidR="00C95B54">
        <w:t>minute</w:t>
      </w:r>
      <w:r w:rsidR="007071DF">
        <w:t>s</w:t>
      </w:r>
      <w:r w:rsidR="004F65DE">
        <w:t xml:space="preserve">.  </w:t>
      </w:r>
    </w:p>
    <w:p w:rsidR="000631D3" w:rsidRDefault="000631D3" w:rsidP="000631D3">
      <w:pPr>
        <w:pStyle w:val="Heading2"/>
      </w:pPr>
      <w:bookmarkStart w:id="18" w:name="_Toc499799346"/>
      <w:r>
        <w:t>Specification</w:t>
      </w:r>
      <w:bookmarkEnd w:id="18"/>
    </w:p>
    <w:p w:rsidR="00470DCC" w:rsidRDefault="00DD7A30" w:rsidP="0089389A">
      <w:pPr>
        <w:pStyle w:val="BodyText"/>
      </w:pPr>
      <w:r>
        <w:t>The specification of the policy proposal to be costed is the starting point for a costing analysis</w:t>
      </w:r>
      <w:r w:rsidR="004F65DE">
        <w:t xml:space="preserve">.  </w:t>
      </w:r>
      <w:r>
        <w:t>The costing specification sets out the change to existing policy</w:t>
      </w:r>
      <w:r w:rsidR="005F10AF">
        <w:t>, or introduction of new policy,</w:t>
      </w:r>
      <w:r>
        <w:t xml:space="preserve"> that is the subject of the costing analysis and is provided by the individual parliamentarian or political party that requests the costing.</w:t>
      </w:r>
    </w:p>
    <w:p w:rsidR="004D6356" w:rsidRDefault="004D6356" w:rsidP="0089389A">
      <w:pPr>
        <w:pStyle w:val="BodyText"/>
      </w:pPr>
    </w:p>
    <w:p w:rsidR="00AA6CAC" w:rsidRDefault="00AA6CAC">
      <w:pPr>
        <w:rPr>
          <w:rFonts w:cs="Times New Roman"/>
          <w:spacing w:val="-1"/>
        </w:rPr>
      </w:pPr>
      <w:r>
        <w:br w:type="page"/>
      </w:r>
    </w:p>
    <w:p w:rsidR="00A9029F" w:rsidRDefault="00A9029F" w:rsidP="008B002F">
      <w:pPr>
        <w:pStyle w:val="PullOutBoxBodyText"/>
        <w:pBdr>
          <w:top w:val="single" w:sz="4" w:space="1" w:color="auto"/>
          <w:left w:val="single" w:sz="4" w:space="4" w:color="auto"/>
          <w:bottom w:val="single" w:sz="4" w:space="1" w:color="auto"/>
          <w:right w:val="single" w:sz="4" w:space="4" w:color="auto"/>
        </w:pBdr>
        <w:shd w:val="clear" w:color="auto" w:fill="D7DDE9" w:themeFill="accent3"/>
        <w:ind w:left="0"/>
      </w:pPr>
      <w:r>
        <w:lastRenderedPageBreak/>
        <w:t>It is important to note that the PBO only costs policy proposals as specified by the parlia</w:t>
      </w:r>
      <w:r w:rsidR="00003EE0">
        <w:t>mentarian who makes the request</w:t>
      </w:r>
      <w:r w:rsidR="00470DCC">
        <w:t>,</w:t>
      </w:r>
      <w:r w:rsidR="00003EE0">
        <w:t xml:space="preserve"> so it would be incorrect to represent a</w:t>
      </w:r>
      <w:r w:rsidR="00470DCC">
        <w:t>ny costing done for one parliamentarian or party as a</w:t>
      </w:r>
      <w:r w:rsidR="00003EE0">
        <w:t xml:space="preserve"> PBO costing of the policy of any other </w:t>
      </w:r>
      <w:r w:rsidR="00470DCC">
        <w:t xml:space="preserve">parliamentarian or </w:t>
      </w:r>
      <w:r w:rsidR="00003EE0">
        <w:t>political party</w:t>
      </w:r>
      <w:r w:rsidR="004F65DE">
        <w:t>.</w:t>
      </w:r>
      <w:r w:rsidR="00003EE0" w:rsidRPr="00DD0202">
        <w:rPr>
          <w:rStyle w:val="FootnoteReference"/>
        </w:rPr>
        <w:footnoteReference w:id="7"/>
      </w:r>
      <w:r w:rsidR="00470DCC">
        <w:t xml:space="preserve">  While one policy specification may look similar to another, the financial implications can differ substantially depending upon the policy details.</w:t>
      </w:r>
    </w:p>
    <w:p w:rsidR="0089389A" w:rsidRDefault="00DD7A30" w:rsidP="00346892">
      <w:pPr>
        <w:pStyle w:val="BodyText17ptAbove"/>
      </w:pPr>
      <w:r>
        <w:t xml:space="preserve">The policy specification </w:t>
      </w:r>
      <w:r w:rsidR="00A10FD9">
        <w:t xml:space="preserve">needs to </w:t>
      </w:r>
      <w:r>
        <w:t>include the following details</w:t>
      </w:r>
      <w:r w:rsidR="00CC54EC">
        <w:t>:</w:t>
      </w:r>
    </w:p>
    <w:p w:rsidR="00BF6BF3" w:rsidRPr="00CC54EC" w:rsidRDefault="00CC54EC" w:rsidP="00AE7F85">
      <w:pPr>
        <w:pStyle w:val="ListBullet"/>
      </w:pPr>
      <w:r>
        <w:t>t</w:t>
      </w:r>
      <w:r w:rsidR="00DD7A30">
        <w:t xml:space="preserve">he aim of the policy change that is being made, which provides the context and </w:t>
      </w:r>
      <w:r w:rsidR="0086209E">
        <w:t xml:space="preserve">helps </w:t>
      </w:r>
      <w:r w:rsidR="00B71A7A">
        <w:t>us</w:t>
      </w:r>
      <w:r w:rsidR="00DD7A30">
        <w:t xml:space="preserve"> understand the policy proposal</w:t>
      </w:r>
    </w:p>
    <w:p w:rsidR="00DD7A30" w:rsidRDefault="00CC54EC" w:rsidP="00F507D0">
      <w:pPr>
        <w:pStyle w:val="ListBullet"/>
        <w:keepNext/>
      </w:pPr>
      <w:r>
        <w:t>t</w:t>
      </w:r>
      <w:r w:rsidR="00DD7A30">
        <w:t xml:space="preserve">he change that is being made </w:t>
      </w:r>
      <w:r w:rsidR="00BF6BF3">
        <w:t>to</w:t>
      </w:r>
      <w:r w:rsidR="00DD7A30">
        <w:t xml:space="preserve"> current policy</w:t>
      </w:r>
      <w:r w:rsidR="00BF6BF3">
        <w:t xml:space="preserve"> settings</w:t>
      </w:r>
      <w:r w:rsidR="00DD7A30">
        <w:t>, including details of any changes in:</w:t>
      </w:r>
    </w:p>
    <w:p w:rsidR="00A9029F" w:rsidRDefault="00A9029F" w:rsidP="00DD7A30">
      <w:pPr>
        <w:pStyle w:val="ListBullet2"/>
      </w:pPr>
      <w:r>
        <w:t>grant amounts</w:t>
      </w:r>
    </w:p>
    <w:p w:rsidR="00DD7A30" w:rsidRDefault="00DD7A30" w:rsidP="00DD7A30">
      <w:pPr>
        <w:pStyle w:val="ListBullet2"/>
      </w:pPr>
      <w:r>
        <w:t>payment rates</w:t>
      </w:r>
    </w:p>
    <w:p w:rsidR="00DD7A30" w:rsidRDefault="00DD7A30" w:rsidP="00DD7A30">
      <w:pPr>
        <w:pStyle w:val="ListBullet2"/>
      </w:pPr>
      <w:r>
        <w:t>tax rates</w:t>
      </w:r>
    </w:p>
    <w:p w:rsidR="00DD7A30" w:rsidRDefault="00DD7A30" w:rsidP="00DD7A30">
      <w:pPr>
        <w:pStyle w:val="ListBullet2"/>
      </w:pPr>
      <w:r>
        <w:t>the transactions base</w:t>
      </w:r>
      <w:r w:rsidR="00A9029F">
        <w:t xml:space="preserve"> </w:t>
      </w:r>
    </w:p>
    <w:p w:rsidR="00003EE0" w:rsidRDefault="00003EE0" w:rsidP="00DD7A30">
      <w:pPr>
        <w:pStyle w:val="ListBullet2"/>
      </w:pPr>
      <w:r>
        <w:t>eligibility criteria</w:t>
      </w:r>
    </w:p>
    <w:p w:rsidR="00A9029F" w:rsidRDefault="00A9029F" w:rsidP="00DD7A30">
      <w:pPr>
        <w:pStyle w:val="ListBullet2"/>
      </w:pPr>
      <w:r>
        <w:t>thresholds</w:t>
      </w:r>
    </w:p>
    <w:p w:rsidR="00A9029F" w:rsidRDefault="00A9029F" w:rsidP="00DD7A30">
      <w:pPr>
        <w:pStyle w:val="ListBullet2"/>
      </w:pPr>
      <w:r>
        <w:t>taper rates</w:t>
      </w:r>
    </w:p>
    <w:p w:rsidR="00A9029F" w:rsidRDefault="00A9029F" w:rsidP="00DD7A30">
      <w:pPr>
        <w:pStyle w:val="ListBullet2"/>
      </w:pPr>
      <w:r>
        <w:t>financing arrangements</w:t>
      </w:r>
      <w:r w:rsidR="00003EE0">
        <w:t>, and</w:t>
      </w:r>
    </w:p>
    <w:p w:rsidR="00003EE0" w:rsidRDefault="00003EE0" w:rsidP="00DD7A30">
      <w:pPr>
        <w:pStyle w:val="ListBullet2"/>
      </w:pPr>
      <w:proofErr w:type="gramStart"/>
      <w:r>
        <w:t>any</w:t>
      </w:r>
      <w:proofErr w:type="gramEnd"/>
      <w:r>
        <w:t xml:space="preserve"> other matter that has a bearing on the financial impact of the proposal</w:t>
      </w:r>
      <w:r w:rsidR="00256F64">
        <w:t>.</w:t>
      </w:r>
    </w:p>
    <w:p w:rsidR="00BF6BF3" w:rsidRDefault="00CC54EC" w:rsidP="00A9029F">
      <w:pPr>
        <w:pStyle w:val="ListBullet"/>
      </w:pPr>
      <w:r>
        <w:t>i</w:t>
      </w:r>
      <w:r w:rsidR="00BF6BF3">
        <w:t xml:space="preserve">mplementation details, such as which agency will administer </w:t>
      </w:r>
      <w:r w:rsidR="004324D8">
        <w:t>the policy</w:t>
      </w:r>
    </w:p>
    <w:p w:rsidR="00A9029F" w:rsidRDefault="00CC54EC" w:rsidP="00A9029F">
      <w:pPr>
        <w:pStyle w:val="ListBullet"/>
      </w:pPr>
      <w:r>
        <w:t>t</w:t>
      </w:r>
      <w:r w:rsidR="00A9029F">
        <w:t>he commencement date of the policy</w:t>
      </w:r>
    </w:p>
    <w:p w:rsidR="00A10FD9" w:rsidRDefault="00CC54EC" w:rsidP="00A9029F">
      <w:pPr>
        <w:pStyle w:val="ListBullet"/>
      </w:pPr>
      <w:r>
        <w:t>t</w:t>
      </w:r>
      <w:r w:rsidR="00A10FD9">
        <w:t>he date of announcement of the policy</w:t>
      </w:r>
    </w:p>
    <w:p w:rsidR="00A9029F" w:rsidRDefault="00CC54EC" w:rsidP="00A9029F">
      <w:pPr>
        <w:pStyle w:val="ListBullet"/>
      </w:pPr>
      <w:r>
        <w:t>d</w:t>
      </w:r>
      <w:r w:rsidR="00A9029F">
        <w:t>etails of any transitional arrangements</w:t>
      </w:r>
    </w:p>
    <w:p w:rsidR="00A9029F" w:rsidRDefault="00CC54EC" w:rsidP="00A9029F">
      <w:pPr>
        <w:pStyle w:val="ListBullet"/>
      </w:pPr>
      <w:r>
        <w:t>w</w:t>
      </w:r>
      <w:r w:rsidR="00A9029F">
        <w:t>hether the policy is ongoing or terminating, and if it is terminating, the termination date</w:t>
      </w:r>
    </w:p>
    <w:p w:rsidR="00470DCC" w:rsidRDefault="00E87098" w:rsidP="00A9029F">
      <w:pPr>
        <w:pStyle w:val="ListBullet"/>
      </w:pPr>
      <w:proofErr w:type="gramStart"/>
      <w:r>
        <w:t>any</w:t>
      </w:r>
      <w:proofErr w:type="gramEnd"/>
      <w:r>
        <w:t xml:space="preserve"> </w:t>
      </w:r>
      <w:r w:rsidR="00470DCC">
        <w:t>additional analysis that the requestor would like included in the costing minute.</w:t>
      </w:r>
    </w:p>
    <w:p w:rsidR="00A9029F" w:rsidRDefault="00FD0586" w:rsidP="00A9029F">
      <w:pPr>
        <w:pStyle w:val="BodyText"/>
      </w:pPr>
      <w:r>
        <w:t>We</w:t>
      </w:r>
      <w:r w:rsidR="00A9029F">
        <w:t xml:space="preserve"> </w:t>
      </w:r>
      <w:r>
        <w:t>always summarise</w:t>
      </w:r>
      <w:r w:rsidR="00A9029F">
        <w:t xml:space="preserve"> the policy specification for the costing at the start of </w:t>
      </w:r>
      <w:r>
        <w:t>a</w:t>
      </w:r>
      <w:r w:rsidR="00A9029F">
        <w:t xml:space="preserve"> costing minute</w:t>
      </w:r>
      <w:r>
        <w:t xml:space="preserve"> so that it is clear exactly what has been costed</w:t>
      </w:r>
      <w:r w:rsidR="00A9029F">
        <w:t>.</w:t>
      </w:r>
    </w:p>
    <w:p w:rsidR="00C21C45" w:rsidRDefault="00A7389D" w:rsidP="00A10FD9">
      <w:pPr>
        <w:pStyle w:val="Heading2"/>
      </w:pPr>
      <w:bookmarkStart w:id="19" w:name="_Toc499799347"/>
      <w:r>
        <w:t xml:space="preserve">Data and </w:t>
      </w:r>
      <w:r w:rsidR="004F65DE">
        <w:t>a</w:t>
      </w:r>
      <w:r>
        <w:t>ssumptions</w:t>
      </w:r>
      <w:bookmarkEnd w:id="19"/>
    </w:p>
    <w:p w:rsidR="00C21C45" w:rsidRDefault="00C21C45" w:rsidP="00F507D0">
      <w:pPr>
        <w:pStyle w:val="BodyText"/>
      </w:pPr>
      <w:r>
        <w:t xml:space="preserve">In order to </w:t>
      </w:r>
      <w:r w:rsidR="00EA647B">
        <w:t xml:space="preserve">fully </w:t>
      </w:r>
      <w:r>
        <w:t>unde</w:t>
      </w:r>
      <w:r w:rsidR="00EA647B">
        <w:t>rstand the policy specification</w:t>
      </w:r>
      <w:r w:rsidR="007863A2">
        <w:t xml:space="preserve"> and</w:t>
      </w:r>
      <w:r w:rsidR="00EA647B">
        <w:t xml:space="preserve"> the underlying policy framework</w:t>
      </w:r>
      <w:r w:rsidR="007863A2">
        <w:t>,</w:t>
      </w:r>
      <w:r w:rsidR="00EA647B">
        <w:t xml:space="preserve"> and </w:t>
      </w:r>
      <w:r w:rsidR="00391193">
        <w:t xml:space="preserve">to </w:t>
      </w:r>
      <w:r w:rsidR="00C70584">
        <w:t xml:space="preserve">subsequently </w:t>
      </w:r>
      <w:r w:rsidR="00EA647B">
        <w:t>undertake the requested costing</w:t>
      </w:r>
      <w:r w:rsidR="00E87098">
        <w:t>,</w:t>
      </w:r>
      <w:r w:rsidR="00EA647B">
        <w:t xml:space="preserve"> the PBO draw</w:t>
      </w:r>
      <w:r w:rsidR="004324D8">
        <w:t>s</w:t>
      </w:r>
      <w:r w:rsidR="00EA647B">
        <w:t xml:space="preserve"> upon a range of relevant information, research and data</w:t>
      </w:r>
      <w:r w:rsidR="004F65DE">
        <w:t xml:space="preserve">.  </w:t>
      </w:r>
      <w:r w:rsidR="00EA647B">
        <w:t xml:space="preserve">This information </w:t>
      </w:r>
      <w:r w:rsidR="00A7389D">
        <w:t>form</w:t>
      </w:r>
      <w:r w:rsidR="000F094A">
        <w:t>s</w:t>
      </w:r>
      <w:r w:rsidR="00A7389D">
        <w:t xml:space="preserve"> the basis of models </w:t>
      </w:r>
      <w:r w:rsidR="004324D8">
        <w:t xml:space="preserve">and assumptions </w:t>
      </w:r>
      <w:r w:rsidR="00A7389D">
        <w:lastRenderedPageBreak/>
        <w:t>used to undertake the costing</w:t>
      </w:r>
      <w:r w:rsidR="000F094A">
        <w:t>,</w:t>
      </w:r>
      <w:r w:rsidR="004324D8">
        <w:t xml:space="preserve"> and the quality of this information affects the certainty of the costing estimate</w:t>
      </w:r>
      <w:r w:rsidR="00A7389D">
        <w:t>.</w:t>
      </w:r>
    </w:p>
    <w:p w:rsidR="00C21C45" w:rsidRDefault="00C21C45" w:rsidP="004D6356">
      <w:pPr>
        <w:pStyle w:val="Heading3"/>
      </w:pPr>
      <w:bookmarkStart w:id="20" w:name="_Toc499799348"/>
      <w:r>
        <w:t>Data sources</w:t>
      </w:r>
      <w:bookmarkEnd w:id="20"/>
    </w:p>
    <w:p w:rsidR="00C21C45" w:rsidRDefault="00C21C45" w:rsidP="00C21C45">
      <w:pPr>
        <w:pStyle w:val="BodyText"/>
      </w:pPr>
      <w:r>
        <w:t>PBO costing minutes provide details of the data and other sources of information used to prepare the costing estimates.</w:t>
      </w:r>
    </w:p>
    <w:p w:rsidR="00C21C45" w:rsidRDefault="00C21C45" w:rsidP="00C21C45">
      <w:pPr>
        <w:pStyle w:val="BodyText"/>
      </w:pPr>
      <w:r>
        <w:t>Data are the factual base from which the costing analysis starts</w:t>
      </w:r>
      <w:r w:rsidR="004F65DE">
        <w:t xml:space="preserve">.  </w:t>
      </w:r>
      <w:r>
        <w:t>Data are used as the basis for describing the costing base and/or eligible population for a costing analysis</w:t>
      </w:r>
      <w:r w:rsidR="004F65DE">
        <w:t xml:space="preserve">.  </w:t>
      </w:r>
      <w:r>
        <w:t>The data used in policy costings can come from a range of sources which can differ significantly in the level of detail</w:t>
      </w:r>
      <w:r w:rsidR="004F65DE">
        <w:t xml:space="preserve">.  </w:t>
      </w:r>
    </w:p>
    <w:p w:rsidR="00C21C45" w:rsidRDefault="00C21C45" w:rsidP="00C21C45">
      <w:pPr>
        <w:pStyle w:val="BodyText"/>
      </w:pPr>
      <w:r>
        <w:t>The data that underpin many costing models will often relate to a period sometime in the past when the data was collected</w:t>
      </w:r>
      <w:r w:rsidR="004F65DE">
        <w:t xml:space="preserve">.  </w:t>
      </w:r>
      <w:r w:rsidR="00766130">
        <w:t>Our</w:t>
      </w:r>
      <w:r>
        <w:t xml:space="preserve"> costing models will adjust these data, growing the values by indexing them to representative price and quantity variables to estimate what their values would be in the years presented in the costing</w:t>
      </w:r>
      <w:r w:rsidR="004F65DE">
        <w:t xml:space="preserve">.  </w:t>
      </w:r>
    </w:p>
    <w:p w:rsidR="00C21C45" w:rsidRPr="008F130B" w:rsidRDefault="00C21C45" w:rsidP="00C21C45">
      <w:pPr>
        <w:pStyle w:val="BodyText"/>
      </w:pPr>
      <w:r w:rsidRPr="00CC4D65">
        <w:t xml:space="preserve">The PBO </w:t>
      </w:r>
      <w:r>
        <w:t xml:space="preserve">is able to access a range of unpublished government data from </w:t>
      </w:r>
      <w:r w:rsidR="006B6F60">
        <w:t>Australian Government</w:t>
      </w:r>
      <w:r>
        <w:t xml:space="preserve"> agencies</w:t>
      </w:r>
      <w:r w:rsidR="004F65DE">
        <w:t xml:space="preserve">.  </w:t>
      </w:r>
      <w:r>
        <w:t xml:space="preserve">We </w:t>
      </w:r>
      <w:r w:rsidRPr="00CC4D65">
        <w:t>ha</w:t>
      </w:r>
      <w:r>
        <w:t>ve</w:t>
      </w:r>
      <w:r w:rsidRPr="00CC4D65">
        <w:t xml:space="preserve"> working arrangements with </w:t>
      </w:r>
      <w:r w:rsidR="006B6F60">
        <w:t>Government</w:t>
      </w:r>
      <w:r w:rsidRPr="00CC4D65">
        <w:t xml:space="preserve"> departments and agencies through the</w:t>
      </w:r>
      <w:r w:rsidRPr="00F507D0">
        <w:rPr>
          <w:i/>
        </w:rPr>
        <w:t xml:space="preserve"> </w:t>
      </w:r>
      <w:hyperlink r:id="rId24" w:history="1">
        <w:r w:rsidRPr="001779C4">
          <w:rPr>
            <w:rStyle w:val="Hyperlink"/>
            <w:i/>
          </w:rPr>
          <w:t>Memorandum of Understanding between the Parliamentary Budget Officer and the Heads of Commonwealth Bodies in relation to the Provision of Information and Documents</w:t>
        </w:r>
      </w:hyperlink>
      <w:r w:rsidRPr="00CC4D65">
        <w:t xml:space="preserve"> (the MOU)</w:t>
      </w:r>
      <w:r w:rsidR="004F65DE">
        <w:t xml:space="preserve">.  </w:t>
      </w:r>
      <w:r w:rsidRPr="00CC4D65">
        <w:t>The purpose of the MOU is to facilitate the formation of a collaborative, productive and collegiate working relationship between the parties</w:t>
      </w:r>
      <w:r w:rsidR="004F65DE">
        <w:t xml:space="preserve">.  </w:t>
      </w:r>
      <w:r>
        <w:t xml:space="preserve">Data </w:t>
      </w:r>
      <w:r w:rsidR="009B69C3">
        <w:t xml:space="preserve">are </w:t>
      </w:r>
      <w:r>
        <w:t>usually received within five to ten days of a request</w:t>
      </w:r>
      <w:r w:rsidR="009B69C3">
        <w:t xml:space="preserve"> being made</w:t>
      </w:r>
      <w:r>
        <w:t>, although some requests may take longer where they require the compilation of more complex data.</w:t>
      </w:r>
    </w:p>
    <w:p w:rsidR="00C21C45" w:rsidRPr="007E767C" w:rsidRDefault="00C21C45" w:rsidP="00C21C45">
      <w:pPr>
        <w:pStyle w:val="BodyText"/>
      </w:pPr>
      <w:r w:rsidRPr="00CC4D65">
        <w:t xml:space="preserve">An </w:t>
      </w:r>
      <w:r w:rsidR="009B69C3">
        <w:t>a</w:t>
      </w:r>
      <w:r w:rsidRPr="00CC4D65">
        <w:t xml:space="preserve">gency </w:t>
      </w:r>
      <w:r w:rsidR="009B69C3">
        <w:t>h</w:t>
      </w:r>
      <w:r w:rsidRPr="00CC4D65">
        <w:t xml:space="preserve">ead may specify that some or all of that information </w:t>
      </w:r>
      <w:r w:rsidR="0059535F">
        <w:t xml:space="preserve">provided </w:t>
      </w:r>
      <w:r w:rsidRPr="00CC4D65">
        <w:t>be treated as confidential</w:t>
      </w:r>
      <w:r w:rsidR="004F65DE">
        <w:t xml:space="preserve">.  </w:t>
      </w:r>
      <w:r w:rsidRPr="00CC4D65">
        <w:t xml:space="preserve">Where that is the case, </w:t>
      </w:r>
      <w:r w:rsidR="00496AD6">
        <w:t>we are</w:t>
      </w:r>
      <w:r w:rsidRPr="00CC4D65">
        <w:t xml:space="preserve"> required by legislation to protect the information specified from disclosure</w:t>
      </w:r>
      <w:r>
        <w:t xml:space="preserve"> and will report this in the costing minute</w:t>
      </w:r>
      <w:r w:rsidR="004F65DE">
        <w:t xml:space="preserve">.  </w:t>
      </w:r>
    </w:p>
    <w:p w:rsidR="00C21C45" w:rsidRDefault="00C21C45" w:rsidP="004D6356">
      <w:pPr>
        <w:pStyle w:val="Heading3"/>
      </w:pPr>
      <w:bookmarkStart w:id="21" w:name="_Toc499799349"/>
      <w:r>
        <w:t>Key assumptions</w:t>
      </w:r>
      <w:bookmarkEnd w:id="21"/>
    </w:p>
    <w:p w:rsidR="00C21C45" w:rsidRDefault="00C21C45" w:rsidP="00C21C45">
      <w:pPr>
        <w:pStyle w:val="BodyText"/>
      </w:pPr>
      <w:r>
        <w:t>Costing models always contain a set of assumptions about matters such as the underlying policy settings or behavioural responses</w:t>
      </w:r>
      <w:r w:rsidR="004F65DE">
        <w:t xml:space="preserve">.  </w:t>
      </w:r>
      <w:r>
        <w:t>These assumptions are based on a combination of empirical evidence, theoretical conjecture and professional judgement.</w:t>
      </w:r>
    </w:p>
    <w:p w:rsidR="00C21C45" w:rsidRDefault="00C21C45" w:rsidP="00C21C45">
      <w:pPr>
        <w:pStyle w:val="BodyText"/>
        <w:rPr>
          <w:rFonts w:cs="Arial"/>
        </w:rPr>
      </w:pPr>
      <w:r>
        <w:rPr>
          <w:rFonts w:cs="Arial"/>
        </w:rPr>
        <w:t>Assumptions are used in costings in a number of roles:</w:t>
      </w:r>
    </w:p>
    <w:p w:rsidR="00C21C45" w:rsidRDefault="00C21C45" w:rsidP="00C21C45">
      <w:pPr>
        <w:pStyle w:val="ListBullet"/>
      </w:pPr>
      <w:r>
        <w:t>to fill gaps in the information or data underlying the costing</w:t>
      </w:r>
    </w:p>
    <w:p w:rsidR="00C21C45" w:rsidRDefault="00C21C45" w:rsidP="00C21C45">
      <w:pPr>
        <w:pStyle w:val="ListBullet"/>
      </w:pPr>
      <w:r>
        <w:t>to take account of elements in the costing such as the behavioural responses of those affected by a proposal</w:t>
      </w:r>
    </w:p>
    <w:p w:rsidR="00C21C45" w:rsidRDefault="00C21C45" w:rsidP="00C21C45">
      <w:pPr>
        <w:pStyle w:val="ListBullet"/>
      </w:pPr>
      <w:proofErr w:type="gramStart"/>
      <w:r>
        <w:t>as</w:t>
      </w:r>
      <w:proofErr w:type="gramEnd"/>
      <w:r>
        <w:t xml:space="preserve"> elements in the specification of the structure of the costing model.</w:t>
      </w:r>
    </w:p>
    <w:p w:rsidR="00C21C45" w:rsidRDefault="00C21C45" w:rsidP="00C21C45">
      <w:pPr>
        <w:pStyle w:val="BodyText"/>
      </w:pPr>
      <w:r>
        <w:t>The assumptions used in a costing may be explicit or implicit</w:t>
      </w:r>
      <w:r w:rsidR="004F65DE">
        <w:t xml:space="preserve">.  </w:t>
      </w:r>
      <w:r>
        <w:t>Explicit assumptions are those where the analyst makes a deliberate choice in setting the value of the assumption, for example an adjustment may be made to account for a specific type and amount of behavioural change</w:t>
      </w:r>
      <w:r w:rsidR="004F65DE">
        <w:t xml:space="preserve">.  </w:t>
      </w:r>
      <w:r>
        <w:t xml:space="preserve">Implicit assumptions are the (less obvious) assumptions embedded in </w:t>
      </w:r>
      <w:r>
        <w:lastRenderedPageBreak/>
        <w:t>aspects of the costing such as the structure of the model or the methodology used to produce the estimates.</w:t>
      </w:r>
    </w:p>
    <w:p w:rsidR="00C21C45" w:rsidRDefault="00C21C45" w:rsidP="00C21C45">
      <w:pPr>
        <w:pStyle w:val="BodyText"/>
      </w:pPr>
      <w:r>
        <w:t>The PBO costing minute summarises the key assumptions that are made in the costing of a policy proposal</w:t>
      </w:r>
      <w:r w:rsidR="004F65DE">
        <w:t xml:space="preserve">.  </w:t>
      </w:r>
      <w:r>
        <w:t>Not all assumptions are listed</w:t>
      </w:r>
      <w:r w:rsidR="004273B0">
        <w:t>;</w:t>
      </w:r>
      <w:r>
        <w:t xml:space="preserve"> rather</w:t>
      </w:r>
      <w:r w:rsidR="004273B0">
        <w:t>,</w:t>
      </w:r>
      <w:r>
        <w:t xml:space="preserve"> the key assumptions are those assumptions which are likely to have the greatest impact on the costing outcome and/or those which are the most uncertain</w:t>
      </w:r>
      <w:r w:rsidR="004F65DE">
        <w:t xml:space="preserve">.  </w:t>
      </w:r>
    </w:p>
    <w:p w:rsidR="00EA647B" w:rsidRDefault="00EA647B" w:rsidP="004D6356">
      <w:pPr>
        <w:pStyle w:val="Heading3"/>
      </w:pPr>
      <w:bookmarkStart w:id="22" w:name="_Toc499799350"/>
      <w:r>
        <w:t>Uncertainty</w:t>
      </w:r>
      <w:bookmarkEnd w:id="22"/>
    </w:p>
    <w:p w:rsidR="00EA647B" w:rsidRDefault="00EA647B" w:rsidP="00EA647B">
      <w:pPr>
        <w:pStyle w:val="BodyText"/>
      </w:pPr>
      <w:r>
        <w:t xml:space="preserve">The PBO includes information on the factors affecting the reliability of a costing in </w:t>
      </w:r>
      <w:r w:rsidR="00E87098">
        <w:t xml:space="preserve">our </w:t>
      </w:r>
      <w:r>
        <w:t>costing minutes</w:t>
      </w:r>
      <w:r w:rsidR="004F65DE">
        <w:t xml:space="preserve">.  </w:t>
      </w:r>
      <w:r>
        <w:t>This is designed to highlight the level of confidence that a user of the costing can have that the actual impact of the policy costed would correspond to the costing estimate</w:t>
      </w:r>
      <w:r w:rsidR="004F65DE">
        <w:t xml:space="preserve">.  </w:t>
      </w:r>
      <w:r>
        <w:t xml:space="preserve">Despite being </w:t>
      </w:r>
      <w:r w:rsidR="00496AD6">
        <w:t>our</w:t>
      </w:r>
      <w:r>
        <w:t xml:space="preserve"> best possible estimates of the financial impact of a policy, all costing estimates are subject to some degree of uncertainty about how closely they would correspond to actual outcomes, were the proposal </w:t>
      </w:r>
      <w:r w:rsidR="009355AA">
        <w:t xml:space="preserve">to be </w:t>
      </w:r>
      <w:r>
        <w:t>implemented</w:t>
      </w:r>
      <w:r w:rsidR="004F65DE">
        <w:t xml:space="preserve">.  </w:t>
      </w:r>
    </w:p>
    <w:p w:rsidR="00EA647B" w:rsidRDefault="00EA647B" w:rsidP="00EA647B">
      <w:pPr>
        <w:pStyle w:val="BodyText"/>
      </w:pPr>
      <w:r>
        <w:t>The level of uncertainty will vary from costing to costing depending upon factors such as</w:t>
      </w:r>
      <w:r w:rsidR="00CC54EC">
        <w:t xml:space="preserve"> the</w:t>
      </w:r>
      <w:r>
        <w:t>:</w:t>
      </w:r>
    </w:p>
    <w:p w:rsidR="00EA647B" w:rsidRPr="000432CD" w:rsidRDefault="00EA647B" w:rsidP="00EA647B">
      <w:pPr>
        <w:pStyle w:val="ListBullet"/>
      </w:pPr>
      <w:r w:rsidRPr="000432CD">
        <w:t>quality of the data available to undertake the costing</w:t>
      </w:r>
    </w:p>
    <w:p w:rsidR="00EA647B" w:rsidRPr="000432CD" w:rsidRDefault="00EA647B" w:rsidP="00EA647B">
      <w:pPr>
        <w:pStyle w:val="ListBullet"/>
      </w:pPr>
      <w:r w:rsidRPr="000432CD">
        <w:t>number and soundness of any assumptions made in the costing analysis</w:t>
      </w:r>
    </w:p>
    <w:p w:rsidR="00EA647B" w:rsidRPr="000432CD" w:rsidRDefault="00EA647B" w:rsidP="00EA647B">
      <w:pPr>
        <w:pStyle w:val="ListBullet"/>
      </w:pPr>
      <w:r w:rsidRPr="000432CD">
        <w:t>volatility of the costing base</w:t>
      </w:r>
    </w:p>
    <w:p w:rsidR="00EA647B" w:rsidRDefault="00EA647B" w:rsidP="00EA647B">
      <w:pPr>
        <w:pStyle w:val="ListBullet"/>
      </w:pPr>
      <w:proofErr w:type="gramStart"/>
      <w:r w:rsidRPr="000432CD">
        <w:t>magnitude</w:t>
      </w:r>
      <w:proofErr w:type="gramEnd"/>
      <w:r w:rsidRPr="000432CD">
        <w:t xml:space="preserve"> of the policy change.</w:t>
      </w:r>
    </w:p>
    <w:p w:rsidR="004D33E3" w:rsidRDefault="00FE4F80" w:rsidP="00EA647B">
      <w:pPr>
        <w:pStyle w:val="BodyText"/>
      </w:pPr>
      <w:r>
        <w:t>We</w:t>
      </w:r>
      <w:r w:rsidR="00EA647B">
        <w:t xml:space="preserve"> include information</w:t>
      </w:r>
      <w:r w:rsidR="00EA647B" w:rsidRPr="00815CE1">
        <w:t xml:space="preserve"> on factors that can </w:t>
      </w:r>
      <w:r w:rsidR="00EA647B">
        <w:t xml:space="preserve">materially </w:t>
      </w:r>
      <w:r w:rsidR="00EA647B" w:rsidRPr="00815CE1">
        <w:t xml:space="preserve">affect uncertainty in </w:t>
      </w:r>
      <w:r w:rsidR="00EA647B">
        <w:t xml:space="preserve">all </w:t>
      </w:r>
      <w:r w:rsidR="00EA647B" w:rsidRPr="006C740A">
        <w:t>costings, highlight</w:t>
      </w:r>
      <w:r w:rsidR="00EA647B" w:rsidRPr="00A530F8">
        <w:t>ing</w:t>
      </w:r>
      <w:r w:rsidR="00EA647B" w:rsidRPr="00864ED8">
        <w:t xml:space="preserve"> particularly uncertain elements and provid</w:t>
      </w:r>
      <w:r w:rsidR="00EA647B" w:rsidRPr="00895D7E">
        <w:t>ing information on the</w:t>
      </w:r>
      <w:r w:rsidR="00EA647B" w:rsidRPr="00815CE1">
        <w:t xml:space="preserve"> nature and extent of </w:t>
      </w:r>
      <w:r w:rsidR="00A029D2">
        <w:t>these elements</w:t>
      </w:r>
      <w:r w:rsidR="00EA647B" w:rsidRPr="00815CE1">
        <w:t>.</w:t>
      </w:r>
      <w:r w:rsidR="00EA647B" w:rsidRPr="001437E1">
        <w:rPr>
          <w:vertAlign w:val="superscript"/>
        </w:rPr>
        <w:footnoteReference w:id="8"/>
      </w:r>
      <w:r w:rsidR="00EA647B" w:rsidRPr="00815CE1">
        <w:t xml:space="preserve"> </w:t>
      </w:r>
      <w:r w:rsidR="00EA647B">
        <w:t xml:space="preserve"> </w:t>
      </w:r>
    </w:p>
    <w:p w:rsidR="00A10FD9" w:rsidRDefault="00C21C45" w:rsidP="00A10FD9">
      <w:pPr>
        <w:pStyle w:val="Heading2"/>
      </w:pPr>
      <w:bookmarkStart w:id="23" w:name="_Toc499799351"/>
      <w:r>
        <w:t>Modelling</w:t>
      </w:r>
      <w:bookmarkEnd w:id="23"/>
    </w:p>
    <w:p w:rsidR="007071DF" w:rsidRDefault="005C19E5" w:rsidP="00A10FD9">
      <w:pPr>
        <w:pStyle w:val="BodyText"/>
      </w:pPr>
      <w:r>
        <w:t xml:space="preserve">The </w:t>
      </w:r>
      <w:r w:rsidR="00C21C45">
        <w:t xml:space="preserve">modelling approach </w:t>
      </w:r>
      <w:r>
        <w:t xml:space="preserve">used to generate a costing estimate varies </w:t>
      </w:r>
      <w:r w:rsidR="00237E36">
        <w:t xml:space="preserve">considerably </w:t>
      </w:r>
      <w:r>
        <w:t>from one proposal to the next</w:t>
      </w:r>
      <w:r w:rsidR="004F65DE">
        <w:t xml:space="preserve">.  </w:t>
      </w:r>
      <w:r w:rsidR="007071DF">
        <w:t>It</w:t>
      </w:r>
      <w:r>
        <w:t xml:space="preserve"> depends on the policy specification</w:t>
      </w:r>
      <w:r w:rsidR="004324D8">
        <w:t xml:space="preserve">, </w:t>
      </w:r>
      <w:r>
        <w:t xml:space="preserve">the available data </w:t>
      </w:r>
      <w:r w:rsidR="004324D8">
        <w:t>and assumptions</w:t>
      </w:r>
      <w:r w:rsidR="00A029D2">
        <w:t>,</w:t>
      </w:r>
      <w:r w:rsidR="004324D8">
        <w:t xml:space="preserve"> </w:t>
      </w:r>
      <w:r>
        <w:t xml:space="preserve">and involves building a </w:t>
      </w:r>
      <w:r w:rsidR="00B806F3">
        <w:t xml:space="preserve">model </w:t>
      </w:r>
      <w:r w:rsidR="007071DF">
        <w:t xml:space="preserve">that </w:t>
      </w:r>
      <w:r w:rsidR="004324D8">
        <w:t>draws upon these elements</w:t>
      </w:r>
      <w:r w:rsidR="007071DF">
        <w:t xml:space="preserve"> to estimate both the baseline and policy simulation impacts </w:t>
      </w:r>
      <w:r w:rsidR="00B806F3">
        <w:t xml:space="preserve">on the </w:t>
      </w:r>
      <w:r w:rsidR="00C508D1">
        <w:t>B</w:t>
      </w:r>
      <w:r w:rsidR="00B806F3">
        <w:t>udget</w:t>
      </w:r>
      <w:r w:rsidR="004F65DE">
        <w:t xml:space="preserve">.  </w:t>
      </w:r>
      <w:r w:rsidR="00F26580">
        <w:t>The approaches taken to estimating the impact of interactions between policy proposals</w:t>
      </w:r>
      <w:r w:rsidR="00237E36">
        <w:t xml:space="preserve"> </w:t>
      </w:r>
      <w:r w:rsidR="00F26580">
        <w:t>and decisions around rounding are other important elements of the methodology</w:t>
      </w:r>
      <w:r w:rsidR="004F65DE">
        <w:t xml:space="preserve">.  </w:t>
      </w:r>
    </w:p>
    <w:p w:rsidR="00A10FD9" w:rsidRDefault="00F26580" w:rsidP="00A10FD9">
      <w:pPr>
        <w:pStyle w:val="BodyText"/>
      </w:pPr>
      <w:r>
        <w:t>A</w:t>
      </w:r>
      <w:r w:rsidR="00A10FD9">
        <w:t xml:space="preserve"> description of the methodology used </w:t>
      </w:r>
      <w:r>
        <w:t>to estimate the policy costing is provided in the costing minute</w:t>
      </w:r>
      <w:r w:rsidR="00B806F3">
        <w:t>, including details of the type of model used and the general processes followed in order to produce the costing estimates</w:t>
      </w:r>
      <w:r w:rsidR="004324D8">
        <w:t>.</w:t>
      </w:r>
    </w:p>
    <w:p w:rsidR="00A10FD9" w:rsidRDefault="00A10FD9" w:rsidP="004D6356">
      <w:pPr>
        <w:pStyle w:val="Heading3"/>
      </w:pPr>
      <w:bookmarkStart w:id="24" w:name="_Toc499799352"/>
      <w:r>
        <w:lastRenderedPageBreak/>
        <w:t xml:space="preserve">The modelling </w:t>
      </w:r>
      <w:r w:rsidR="00A7389D">
        <w:t>framework</w:t>
      </w:r>
      <w:bookmarkEnd w:id="24"/>
    </w:p>
    <w:p w:rsidR="004275A8" w:rsidRDefault="004275A8" w:rsidP="00760A64">
      <w:pPr>
        <w:pStyle w:val="Heading4"/>
      </w:pPr>
      <w:r>
        <w:t>Bottom</w:t>
      </w:r>
      <w:r w:rsidR="00BE6683">
        <w:t>-</w:t>
      </w:r>
      <w:r>
        <w:t>up versus top</w:t>
      </w:r>
      <w:r w:rsidR="00BE6683">
        <w:t>-</w:t>
      </w:r>
      <w:r>
        <w:t>down models</w:t>
      </w:r>
    </w:p>
    <w:p w:rsidR="00A10FD9" w:rsidRDefault="00A10FD9" w:rsidP="00A10FD9">
      <w:pPr>
        <w:pStyle w:val="BodyText"/>
      </w:pPr>
      <w:r>
        <w:t xml:space="preserve">Costing models come in a number of </w:t>
      </w:r>
      <w:r w:rsidR="004859D6">
        <w:t>forms</w:t>
      </w:r>
      <w:r w:rsidR="004F65DE">
        <w:t xml:space="preserve">.  </w:t>
      </w:r>
      <w:r w:rsidR="002A5B27">
        <w:t>Some are</w:t>
      </w:r>
      <w:r>
        <w:t xml:space="preserve"> bottom-up models </w:t>
      </w:r>
      <w:r w:rsidR="002A5B27">
        <w:t xml:space="preserve">which draw upon detailed </w:t>
      </w:r>
      <w:r>
        <w:t xml:space="preserve">individual unit record data for affected </w:t>
      </w:r>
      <w:r w:rsidR="002A5B27">
        <w:t>individuals</w:t>
      </w:r>
      <w:r w:rsidR="004F65DE">
        <w:t xml:space="preserve">.  </w:t>
      </w:r>
      <w:r w:rsidR="002A5B27">
        <w:t xml:space="preserve">Some are </w:t>
      </w:r>
      <w:r>
        <w:t xml:space="preserve">top-down models that </w:t>
      </w:r>
      <w:r w:rsidR="002A5B27">
        <w:t>take</w:t>
      </w:r>
      <w:r>
        <w:t xml:space="preserve"> aggregate data</w:t>
      </w:r>
      <w:r w:rsidR="002A5B27">
        <w:t xml:space="preserve"> and determine the proportion of payments or receipts that would be affected by the policy change</w:t>
      </w:r>
      <w:r w:rsidR="004F65DE">
        <w:t xml:space="preserve">.  </w:t>
      </w:r>
      <w:r w:rsidR="002A5B27">
        <w:t xml:space="preserve">And, of course, there is </w:t>
      </w:r>
      <w:r>
        <w:t>a spectrum of approaches in between involving a variety of levels of detail and combinations of approaches</w:t>
      </w:r>
      <w:r w:rsidR="004F65DE">
        <w:t xml:space="preserve">.  </w:t>
      </w:r>
    </w:p>
    <w:p w:rsidR="00A10FD9" w:rsidRDefault="00A10FD9" w:rsidP="00A10FD9">
      <w:pPr>
        <w:pStyle w:val="BodyText"/>
      </w:pPr>
      <w:r>
        <w:t xml:space="preserve">The modelling methodology </w:t>
      </w:r>
      <w:r w:rsidR="002A5B27">
        <w:t>that we cho</w:t>
      </w:r>
      <w:r w:rsidR="00A029D2">
        <w:t>o</w:t>
      </w:r>
      <w:r w:rsidR="002A5B27">
        <w:t xml:space="preserve">se for any particular costing </w:t>
      </w:r>
      <w:r w:rsidR="0022421E">
        <w:t xml:space="preserve">will depend on the specifics of the policy proposal, </w:t>
      </w:r>
      <w:r>
        <w:t xml:space="preserve">the data </w:t>
      </w:r>
      <w:r w:rsidR="002A5B27">
        <w:t xml:space="preserve">that is available, the models that are available </w:t>
      </w:r>
      <w:r>
        <w:t>and the time available to complete the costing</w:t>
      </w:r>
      <w:r w:rsidR="004F65DE">
        <w:t xml:space="preserve">.  </w:t>
      </w:r>
      <w:r>
        <w:t>Ultimately the choice of method will aim to produce the best estimate of the fiscal impact of the proposed policy</w:t>
      </w:r>
      <w:r w:rsidR="002A5B27">
        <w:t xml:space="preserve"> </w:t>
      </w:r>
      <w:r w:rsidR="007071DF">
        <w:t>given</w:t>
      </w:r>
      <w:r w:rsidR="002A5B27">
        <w:t xml:space="preserve"> the available time and resources</w:t>
      </w:r>
      <w:r w:rsidR="004F65DE">
        <w:t xml:space="preserve">.  </w:t>
      </w:r>
      <w:r>
        <w:t>The approach taken to building a model will have a bearing on the level of detail of the results that can be produced and on the time taken to construct the model and provide results</w:t>
      </w:r>
      <w:r w:rsidR="001F0FEC">
        <w:t>.</w:t>
      </w:r>
    </w:p>
    <w:p w:rsidR="00F935C3" w:rsidRDefault="00A10FD9" w:rsidP="00A10FD9">
      <w:pPr>
        <w:pStyle w:val="BodyText"/>
      </w:pPr>
      <w:r>
        <w:t xml:space="preserve">Bottom-up approaches use detailed information on </w:t>
      </w:r>
      <w:r w:rsidR="002A5B27">
        <w:t>large numbers of individuals</w:t>
      </w:r>
      <w:r w:rsidR="0022421E">
        <w:t xml:space="preserve"> to build a model to analyse the policy</w:t>
      </w:r>
      <w:r w:rsidR="004F65DE">
        <w:t xml:space="preserve">.  </w:t>
      </w:r>
      <w:r>
        <w:t xml:space="preserve">This approach </w:t>
      </w:r>
      <w:r w:rsidR="001D2628">
        <w:t xml:space="preserve">often </w:t>
      </w:r>
      <w:r w:rsidR="0022421E">
        <w:t>involves building a</w:t>
      </w:r>
      <w:r>
        <w:t xml:space="preserve"> microsimulation model</w:t>
      </w:r>
      <w:r w:rsidR="0022421E">
        <w:t>, which</w:t>
      </w:r>
      <w:r>
        <w:t xml:space="preserve"> uses detailed unit record (or ‘micro</w:t>
      </w:r>
      <w:r w:rsidR="00BE6683">
        <w:t>-level</w:t>
      </w:r>
      <w:r>
        <w:t xml:space="preserve">’) data to simulate the </w:t>
      </w:r>
      <w:r w:rsidR="0022421E">
        <w:t>effects of the policy</w:t>
      </w:r>
      <w:r>
        <w:t xml:space="preserve"> </w:t>
      </w:r>
      <w:r w:rsidR="0022421E">
        <w:t>proposal</w:t>
      </w:r>
      <w:r>
        <w:t xml:space="preserve">.  The </w:t>
      </w:r>
      <w:r w:rsidR="0022421E">
        <w:t>‘</w:t>
      </w:r>
      <w:r>
        <w:t>records</w:t>
      </w:r>
      <w:r w:rsidR="0022421E">
        <w:t>’</w:t>
      </w:r>
      <w:r>
        <w:t xml:space="preserve"> concerned are usually based on government administrative data which provides details of the characteristics of the individual transactors (but not their identity) and the value of the transactions concerned</w:t>
      </w:r>
      <w:r w:rsidR="004F65DE">
        <w:t xml:space="preserve">.  </w:t>
      </w:r>
      <w:r>
        <w:t>This can include records of transactions by individual taxpayers or individual recipients of government payments</w:t>
      </w:r>
      <w:r w:rsidR="004F65DE">
        <w:t xml:space="preserve">.  </w:t>
      </w:r>
      <w:r w:rsidR="001F0FEC">
        <w:t xml:space="preserve">For instance, </w:t>
      </w:r>
      <w:r w:rsidR="00634110">
        <w:t>S</w:t>
      </w:r>
      <w:r w:rsidR="001F0FEC">
        <w:t xml:space="preserve">ocial </w:t>
      </w:r>
      <w:r w:rsidR="00634110">
        <w:t>S</w:t>
      </w:r>
      <w:r w:rsidR="001F0FEC">
        <w:t xml:space="preserve">ecurity family benefits administrative data are ideal for estimating the cost of a change in </w:t>
      </w:r>
      <w:r w:rsidR="00634110">
        <w:t>F</w:t>
      </w:r>
      <w:r w:rsidR="001F0FEC">
        <w:t xml:space="preserve">amily </w:t>
      </w:r>
      <w:r w:rsidR="00634110">
        <w:t>T</w:t>
      </w:r>
      <w:r w:rsidR="001029E1">
        <w:t xml:space="preserve">ax </w:t>
      </w:r>
      <w:r w:rsidR="00645789">
        <w:t>B</w:t>
      </w:r>
      <w:r w:rsidR="001F0FEC">
        <w:t>enefit payment rates and provide detailed information on the households affected by a change</w:t>
      </w:r>
      <w:r w:rsidR="004F65DE">
        <w:t xml:space="preserve">.  </w:t>
      </w:r>
    </w:p>
    <w:p w:rsidR="00A10FD9" w:rsidRDefault="00A10FD9" w:rsidP="00A10FD9">
      <w:pPr>
        <w:pStyle w:val="BodyText"/>
      </w:pPr>
      <w:r>
        <w:t xml:space="preserve">The key advantage of </w:t>
      </w:r>
      <w:r w:rsidR="00F935C3">
        <w:t xml:space="preserve">a bottom-up </w:t>
      </w:r>
      <w:r>
        <w:t xml:space="preserve">approach </w:t>
      </w:r>
      <w:r w:rsidR="002A5B27">
        <w:t>is</w:t>
      </w:r>
      <w:r>
        <w:t xml:space="preserve"> the level of detail it provides and</w:t>
      </w:r>
      <w:r w:rsidR="002A5B27">
        <w:t xml:space="preserve"> hence</w:t>
      </w:r>
      <w:r>
        <w:t xml:space="preserve"> the ability to undertake distributional analysis of a proposal</w:t>
      </w:r>
      <w:r w:rsidR="004F65DE">
        <w:t xml:space="preserve">.  </w:t>
      </w:r>
      <w:r w:rsidR="002A5B27">
        <w:t xml:space="preserve">On the other hand, however, </w:t>
      </w:r>
      <w:r>
        <w:t xml:space="preserve">this approach </w:t>
      </w:r>
      <w:r w:rsidR="00823073">
        <w:t xml:space="preserve">is highly </w:t>
      </w:r>
      <w:r>
        <w:t>resource</w:t>
      </w:r>
      <w:r w:rsidR="00823073">
        <w:t xml:space="preserve"> intensive and </w:t>
      </w:r>
      <w:r>
        <w:t xml:space="preserve">the results are highly dependent on the </w:t>
      </w:r>
      <w:r w:rsidR="00823073">
        <w:t>quality</w:t>
      </w:r>
      <w:r>
        <w:t xml:space="preserve"> of </w:t>
      </w:r>
      <w:r w:rsidR="00823073">
        <w:t xml:space="preserve">the </w:t>
      </w:r>
      <w:r>
        <w:t>micro-level data and behavioural assumptions that underpin the analysis.</w:t>
      </w:r>
    </w:p>
    <w:p w:rsidR="00F935C3" w:rsidRDefault="00823073" w:rsidP="00A10FD9">
      <w:pPr>
        <w:pStyle w:val="BodyText"/>
      </w:pPr>
      <w:r>
        <w:t>A</w:t>
      </w:r>
      <w:r w:rsidR="00A10FD9">
        <w:t xml:space="preserve"> top-down approach is much less resource intensive as it does not require unit record level detail or rely on the use of complex microsimulation models</w:t>
      </w:r>
      <w:r w:rsidR="004F65DE">
        <w:t xml:space="preserve">.  </w:t>
      </w:r>
      <w:r w:rsidR="00A10FD9">
        <w:t xml:space="preserve">It works well in cases where </w:t>
      </w:r>
      <w:r>
        <w:t xml:space="preserve">aggregate relationships are relatively stable, where </w:t>
      </w:r>
      <w:r w:rsidR="00A10FD9">
        <w:t>detailed data is not available</w:t>
      </w:r>
      <w:r>
        <w:t xml:space="preserve"> or</w:t>
      </w:r>
      <w:r w:rsidR="00A10FD9">
        <w:t xml:space="preserve"> where the costing must be completed quickly</w:t>
      </w:r>
      <w:r w:rsidR="004F65DE">
        <w:t xml:space="preserve">.  </w:t>
      </w:r>
      <w:r w:rsidR="001029E1">
        <w:t>For instance, a proposal to pay a back</w:t>
      </w:r>
      <w:r w:rsidR="00645789">
        <w:t>-</w:t>
      </w:r>
      <w:r w:rsidR="001029E1">
        <w:t>to</w:t>
      </w:r>
      <w:r w:rsidR="00645789">
        <w:t>-</w:t>
      </w:r>
      <w:r w:rsidR="001029E1">
        <w:t xml:space="preserve">school allowance for each child </w:t>
      </w:r>
      <w:r w:rsidR="00AA513E">
        <w:t xml:space="preserve">in a family that is in receipt of Family Tax Benefit Part A </w:t>
      </w:r>
      <w:r w:rsidR="001029E1">
        <w:t xml:space="preserve">could be estimated by simply taking the aggregate number of children </w:t>
      </w:r>
      <w:r w:rsidR="00AA513E">
        <w:t>in these families multiplied by</w:t>
      </w:r>
      <w:r w:rsidR="001029E1">
        <w:t xml:space="preserve"> the proposed payment</w:t>
      </w:r>
      <w:r w:rsidR="004F65DE">
        <w:t xml:space="preserve">.  </w:t>
      </w:r>
      <w:r w:rsidR="00A10FD9">
        <w:t>Under this approach, aggregate level data</w:t>
      </w:r>
      <w:r w:rsidR="00645789">
        <w:t>,</w:t>
      </w:r>
      <w:r w:rsidR="00A10FD9">
        <w:t xml:space="preserve"> such as the total value of transactions and the average payment or tax rates</w:t>
      </w:r>
      <w:r w:rsidR="00645789">
        <w:t>,</w:t>
      </w:r>
      <w:r w:rsidR="00A10FD9">
        <w:t xml:space="preserve"> are used to derive the total value of payments or receipts</w:t>
      </w:r>
      <w:r w:rsidR="004F65DE">
        <w:t xml:space="preserve">.  </w:t>
      </w:r>
    </w:p>
    <w:p w:rsidR="00A10FD9" w:rsidRPr="00632DF0" w:rsidRDefault="00A10FD9" w:rsidP="00A10FD9">
      <w:pPr>
        <w:pStyle w:val="BodyText"/>
      </w:pPr>
      <w:r>
        <w:t xml:space="preserve">The main disadvantage </w:t>
      </w:r>
      <w:r w:rsidR="00F935C3">
        <w:t>of a top-down approach</w:t>
      </w:r>
      <w:r>
        <w:t xml:space="preserve"> is that it does not provide distributional information such as who is affected by a proposal</w:t>
      </w:r>
      <w:r w:rsidR="004F65DE">
        <w:t xml:space="preserve">.  </w:t>
      </w:r>
      <w:r w:rsidR="001029E1">
        <w:t xml:space="preserve">In </w:t>
      </w:r>
      <w:r w:rsidR="00F935C3">
        <w:t xml:space="preserve">the above </w:t>
      </w:r>
      <w:r w:rsidR="001029E1">
        <w:t>example, the top</w:t>
      </w:r>
      <w:r w:rsidR="00FC381D">
        <w:noBreakHyphen/>
      </w:r>
      <w:r w:rsidR="001029E1">
        <w:t>down costing approach to the back</w:t>
      </w:r>
      <w:r w:rsidR="00FC381D">
        <w:t>-</w:t>
      </w:r>
      <w:r w:rsidR="001029E1">
        <w:t>to</w:t>
      </w:r>
      <w:r w:rsidR="00FC381D">
        <w:t>-</w:t>
      </w:r>
      <w:r w:rsidR="001029E1">
        <w:t xml:space="preserve">school allowance would provide an accurate costing estimate, but would </w:t>
      </w:r>
      <w:r w:rsidR="00FC381D">
        <w:t xml:space="preserve">not </w:t>
      </w:r>
      <w:r w:rsidR="001029E1">
        <w:t xml:space="preserve">provide information about the characteristics of the families who </w:t>
      </w:r>
      <w:r w:rsidR="00AA513E">
        <w:t xml:space="preserve">would </w:t>
      </w:r>
      <w:r w:rsidR="001029E1">
        <w:t>benefit</w:t>
      </w:r>
      <w:r w:rsidR="00AA513E">
        <w:t xml:space="preserve"> from the proposal</w:t>
      </w:r>
      <w:r w:rsidR="004F65DE">
        <w:t xml:space="preserve">.  </w:t>
      </w:r>
      <w:r>
        <w:t xml:space="preserve"> </w:t>
      </w:r>
    </w:p>
    <w:p w:rsidR="00A10FD9" w:rsidRDefault="00A10FD9" w:rsidP="004D6356">
      <w:pPr>
        <w:pStyle w:val="Heading3"/>
      </w:pPr>
      <w:bookmarkStart w:id="25" w:name="_Toc499799353"/>
      <w:r>
        <w:lastRenderedPageBreak/>
        <w:t>Baseline and simulation estimates</w:t>
      </w:r>
      <w:bookmarkEnd w:id="25"/>
    </w:p>
    <w:p w:rsidR="00A10FD9" w:rsidRDefault="00FD0586" w:rsidP="00A10FD9">
      <w:pPr>
        <w:pStyle w:val="BodyText"/>
      </w:pPr>
      <w:r>
        <w:t xml:space="preserve">The costing model </w:t>
      </w:r>
      <w:r w:rsidR="0032426B">
        <w:t xml:space="preserve">that is developed for a particular policy proposal is </w:t>
      </w:r>
      <w:r>
        <w:t>used to</w:t>
      </w:r>
      <w:r w:rsidR="0032426B">
        <w:t xml:space="preserve"> estimate the budget outcomes under both the </w:t>
      </w:r>
      <w:r>
        <w:t>baseline and</w:t>
      </w:r>
      <w:r w:rsidR="0032426B">
        <w:t xml:space="preserve"> policy </w:t>
      </w:r>
      <w:r>
        <w:t xml:space="preserve">simulation </w:t>
      </w:r>
      <w:r w:rsidR="0032426B">
        <w:t>scenarios</w:t>
      </w:r>
      <w:r w:rsidR="004F65DE">
        <w:t xml:space="preserve">.  </w:t>
      </w:r>
      <w:r w:rsidR="0032426B">
        <w:t>The difference between these two estimates for each</w:t>
      </w:r>
      <w:r w:rsidR="004324D8">
        <w:t xml:space="preserve"> financial</w:t>
      </w:r>
      <w:r w:rsidR="0032426B">
        <w:t xml:space="preserve"> year of the costing period represents the cost </w:t>
      </w:r>
      <w:r w:rsidR="008F2801">
        <w:t xml:space="preserve">of </w:t>
      </w:r>
      <w:r w:rsidR="0032426B">
        <w:t>the policy proposal</w:t>
      </w:r>
      <w:r w:rsidR="00A10FD9">
        <w:t>:</w:t>
      </w:r>
    </w:p>
    <w:tbl>
      <w:tblPr>
        <w:tblStyle w:val="PullOutBoxTable"/>
        <w:tblW w:w="8372" w:type="dxa"/>
        <w:tblCellMar>
          <w:left w:w="28" w:type="dxa"/>
          <w:right w:w="28" w:type="dxa"/>
        </w:tblCellMar>
        <w:tblLook w:val="04A0" w:firstRow="1" w:lastRow="0" w:firstColumn="1" w:lastColumn="0" w:noHBand="0" w:noVBand="1"/>
      </w:tblPr>
      <w:tblGrid>
        <w:gridCol w:w="8372"/>
      </w:tblGrid>
      <w:tr w:rsidR="00081301" w:rsidTr="00781E7D">
        <w:trPr>
          <w:trHeight w:val="1020"/>
        </w:trPr>
        <w:tc>
          <w:tcPr>
            <w:tcW w:w="8372" w:type="dxa"/>
            <w:tcBorders>
              <w:top w:val="nil"/>
              <w:left w:val="nil"/>
              <w:bottom w:val="nil"/>
              <w:right w:val="nil"/>
            </w:tcBorders>
          </w:tcPr>
          <w:p w:rsidR="001D2628" w:rsidRDefault="00081301" w:rsidP="00081301">
            <w:pPr>
              <w:pStyle w:val="BodyText"/>
              <w:ind w:firstLine="284"/>
              <w:jc w:val="center"/>
            </w:pPr>
            <w:proofErr w:type="spellStart"/>
            <w:r>
              <w:rPr>
                <w:b/>
              </w:rPr>
              <w:t>Costing</w:t>
            </w:r>
            <w:r w:rsidRPr="00700053">
              <w:rPr>
                <w:b/>
                <w:i/>
                <w:vertAlign w:val="subscript"/>
              </w:rPr>
              <w:t>t</w:t>
            </w:r>
            <w:proofErr w:type="spellEnd"/>
            <w:r>
              <w:rPr>
                <w:b/>
              </w:rPr>
              <w:t xml:space="preserve"> = </w:t>
            </w:r>
            <w:proofErr w:type="spellStart"/>
            <w:r>
              <w:rPr>
                <w:b/>
              </w:rPr>
              <w:t>SIMULATION</w:t>
            </w:r>
            <w:r w:rsidRPr="00700053">
              <w:rPr>
                <w:b/>
                <w:i/>
                <w:vertAlign w:val="subscript"/>
              </w:rPr>
              <w:t>t</w:t>
            </w:r>
            <w:proofErr w:type="spellEnd"/>
            <w:r>
              <w:rPr>
                <w:b/>
              </w:rPr>
              <w:t xml:space="preserve"> - </w:t>
            </w:r>
            <w:proofErr w:type="spellStart"/>
            <w:r>
              <w:rPr>
                <w:b/>
              </w:rPr>
              <w:t>BASELINE</w:t>
            </w:r>
            <w:r w:rsidRPr="00700053">
              <w:rPr>
                <w:b/>
                <w:i/>
                <w:vertAlign w:val="subscript"/>
              </w:rPr>
              <w:t>t</w:t>
            </w:r>
            <w:proofErr w:type="spellEnd"/>
          </w:p>
          <w:p w:rsidR="00081301" w:rsidRPr="001D2628" w:rsidRDefault="001D2628" w:rsidP="00700053">
            <w:pPr>
              <w:spacing w:before="240"/>
              <w:ind w:left="113"/>
            </w:pPr>
            <w:r>
              <w:t xml:space="preserve">Where </w:t>
            </w:r>
            <w:proofErr w:type="spellStart"/>
            <w:r w:rsidRPr="00056FA8">
              <w:rPr>
                <w:i/>
              </w:rPr>
              <w:t>t</w:t>
            </w:r>
            <w:proofErr w:type="spellEnd"/>
            <w:r>
              <w:t xml:space="preserve"> is the relevant financial year.</w:t>
            </w:r>
          </w:p>
        </w:tc>
      </w:tr>
    </w:tbl>
    <w:p w:rsidR="0022421E" w:rsidRPr="005F2D0F" w:rsidRDefault="0022421E" w:rsidP="00A10FD9">
      <w:pPr>
        <w:pStyle w:val="BodyText"/>
      </w:pPr>
      <w:r>
        <w:t xml:space="preserve">Most costing models are ‘partial models’ of the </w:t>
      </w:r>
      <w:r w:rsidR="00C508D1">
        <w:t>B</w:t>
      </w:r>
      <w:r>
        <w:t>udget</w:t>
      </w:r>
      <w:r w:rsidR="004F65DE">
        <w:t xml:space="preserve">.  </w:t>
      </w:r>
      <w:r>
        <w:t xml:space="preserve">They focus on just those parts of the </w:t>
      </w:r>
      <w:r w:rsidR="00C508D1">
        <w:t>B</w:t>
      </w:r>
      <w:r>
        <w:t xml:space="preserve">udget that are affected by a particular policy proposal and assume that all of the other transactions in the </w:t>
      </w:r>
      <w:r w:rsidR="00C508D1">
        <w:t>B</w:t>
      </w:r>
      <w:r>
        <w:t>udget remain unchanged.</w:t>
      </w:r>
    </w:p>
    <w:p w:rsidR="00A10FD9" w:rsidRDefault="0032426B" w:rsidP="0022421E">
      <w:pPr>
        <w:pStyle w:val="Heading4"/>
      </w:pPr>
      <w:r>
        <w:t>Baseline estimates</w:t>
      </w:r>
    </w:p>
    <w:p w:rsidR="00A10FD9" w:rsidRDefault="00A10FD9" w:rsidP="00A10FD9">
      <w:pPr>
        <w:pStyle w:val="BodyText"/>
      </w:pPr>
      <w:r>
        <w:t xml:space="preserve">The </w:t>
      </w:r>
      <w:r w:rsidRPr="00223922">
        <w:t>baseline</w:t>
      </w:r>
      <w:r>
        <w:t xml:space="preserve"> estimates used in the costing process can be estimated in a number of ways:</w:t>
      </w:r>
    </w:p>
    <w:p w:rsidR="00A10FD9" w:rsidRDefault="00A10FD9" w:rsidP="00A10FD9">
      <w:pPr>
        <w:pStyle w:val="ListBullet"/>
      </w:pPr>
      <w:r>
        <w:t xml:space="preserve">for a proposal </w:t>
      </w:r>
      <w:r w:rsidR="007A416F">
        <w:t xml:space="preserve">that would introduce </w:t>
      </w:r>
      <w:r>
        <w:t>a completely new expenditure or revenue, the baseline forward estimates values would be zero</w:t>
      </w:r>
    </w:p>
    <w:p w:rsidR="00A10FD9" w:rsidRDefault="00A10FD9" w:rsidP="00A10FD9">
      <w:pPr>
        <w:pStyle w:val="ListBullet"/>
      </w:pPr>
      <w:r>
        <w:t xml:space="preserve">for a proposal that modifies an existing expenditure </w:t>
      </w:r>
      <w:r w:rsidR="004324D8">
        <w:t xml:space="preserve">program </w:t>
      </w:r>
      <w:r>
        <w:t xml:space="preserve">or revenue </w:t>
      </w:r>
      <w:r w:rsidR="004324D8">
        <w:t xml:space="preserve">stream </w:t>
      </w:r>
      <w:r>
        <w:t xml:space="preserve">for which estimates are provided in the </w:t>
      </w:r>
      <w:r w:rsidR="00C508D1">
        <w:t>B</w:t>
      </w:r>
      <w:r>
        <w:t xml:space="preserve">udget, the estimates </w:t>
      </w:r>
      <w:r w:rsidR="0022421E">
        <w:t xml:space="preserve">that are included in the most </w:t>
      </w:r>
      <w:r w:rsidR="004324D8">
        <w:t>recent</w:t>
      </w:r>
      <w:r w:rsidR="0022421E">
        <w:t xml:space="preserve"> </w:t>
      </w:r>
      <w:r w:rsidR="00C508D1">
        <w:t>B</w:t>
      </w:r>
      <w:r w:rsidR="0022421E">
        <w:t xml:space="preserve">udget </w:t>
      </w:r>
      <w:r w:rsidR="007A4E82">
        <w:t xml:space="preserve">update </w:t>
      </w:r>
      <w:r>
        <w:t>will be the baseline</w:t>
      </w:r>
    </w:p>
    <w:p w:rsidR="00A10FD9" w:rsidRDefault="00A10FD9" w:rsidP="00A10FD9">
      <w:pPr>
        <w:pStyle w:val="ListBullet"/>
      </w:pPr>
      <w:r>
        <w:t xml:space="preserve">for a proposal that modifies an existing expenditure or revenue program for which estimates are not separately identified in the </w:t>
      </w:r>
      <w:r w:rsidR="00C508D1">
        <w:t>B</w:t>
      </w:r>
      <w:r>
        <w:t xml:space="preserve">udget, for instance because the modifications occur at a level of detail not provided in the budget estimates, </w:t>
      </w:r>
      <w:r w:rsidR="00FE4F80">
        <w:t>we</w:t>
      </w:r>
      <w:r>
        <w:t xml:space="preserve"> estimate the relevant baseline values based on the current forward estimates policy parameters</w:t>
      </w:r>
    </w:p>
    <w:p w:rsidR="00A10FD9" w:rsidRDefault="00F26580" w:rsidP="00A10FD9">
      <w:pPr>
        <w:pStyle w:val="ListBullet2"/>
      </w:pPr>
      <w:r>
        <w:t xml:space="preserve">In situations where the costing request seeks a disaggregated distributional analysis of the results, </w:t>
      </w:r>
      <w:r w:rsidR="00A10FD9">
        <w:t>the PBO also need</w:t>
      </w:r>
      <w:r>
        <w:t>s</w:t>
      </w:r>
      <w:r w:rsidR="00A10FD9">
        <w:t xml:space="preserve"> to estimate a disaggregated set of baseline estimates</w:t>
      </w:r>
      <w:r w:rsidR="004F65DE">
        <w:t xml:space="preserve">.  </w:t>
      </w:r>
    </w:p>
    <w:p w:rsidR="00A10FD9" w:rsidRDefault="00A10FD9" w:rsidP="00A10FD9">
      <w:pPr>
        <w:pStyle w:val="Heading4"/>
      </w:pPr>
      <w:r>
        <w:t>Simulation estimat</w:t>
      </w:r>
      <w:r w:rsidR="0032426B">
        <w:t>es and adjusting for behavioural changes</w:t>
      </w:r>
    </w:p>
    <w:p w:rsidR="00A10FD9" w:rsidRDefault="00A10FD9" w:rsidP="00A10FD9">
      <w:pPr>
        <w:pStyle w:val="BodyText"/>
      </w:pPr>
      <w:r>
        <w:t>The policy simulation involves changing the model from its baseline settings to incorporate the new policy specification</w:t>
      </w:r>
      <w:r w:rsidR="004F65DE">
        <w:t xml:space="preserve">.  </w:t>
      </w:r>
      <w:r>
        <w:t>These changes may involve changing existing model parameters or making structural modifications to the model, for instance to add new entitlements, extend target populations or change means</w:t>
      </w:r>
      <w:r w:rsidR="00494612">
        <w:t>-</w:t>
      </w:r>
      <w:r>
        <w:t>test</w:t>
      </w:r>
      <w:r w:rsidR="0022421E">
        <w:t>ing arrangements</w:t>
      </w:r>
      <w:r>
        <w:t>.</w:t>
      </w:r>
    </w:p>
    <w:p w:rsidR="00B06C93" w:rsidRDefault="00B06C93" w:rsidP="006C29B2">
      <w:pPr>
        <w:pStyle w:val="BodyText"/>
      </w:pPr>
      <w:r>
        <w:t>An important component of any policy simulation involves an assessment of the likely direct behavioural changes that are expected to have a material impact on the costing result</w:t>
      </w:r>
      <w:r w:rsidR="004F65DE">
        <w:t xml:space="preserve">.  </w:t>
      </w:r>
      <w:r>
        <w:t>These effects are incorporated in the model, either through adjustment</w:t>
      </w:r>
      <w:r w:rsidR="0032426B">
        <w:t xml:space="preserve">s </w:t>
      </w:r>
      <w:r w:rsidR="009511BE">
        <w:t>to the built</w:t>
      </w:r>
      <w:r w:rsidR="00494612">
        <w:t>-</w:t>
      </w:r>
      <w:r w:rsidR="009511BE">
        <w:t xml:space="preserve">in model parameters or by changing the </w:t>
      </w:r>
      <w:r w:rsidR="003F360A">
        <w:t>structure of the model</w:t>
      </w:r>
      <w:r w:rsidR="004F65DE">
        <w:t xml:space="preserve">.  </w:t>
      </w:r>
    </w:p>
    <w:p w:rsidR="00B06C93" w:rsidRDefault="00B06C93" w:rsidP="00B06C93">
      <w:pPr>
        <w:pStyle w:val="BodyText"/>
      </w:pPr>
      <w:r>
        <w:t>Not all policy proposals will result in a significant behavioural response</w:t>
      </w:r>
      <w:r w:rsidR="004F65DE">
        <w:t xml:space="preserve">.  </w:t>
      </w:r>
      <w:r>
        <w:t>For costings that do not impact on market prices, where the transactions concerned are not price sensitive or where take</w:t>
      </w:r>
      <w:r w:rsidR="00494612">
        <w:t>-</w:t>
      </w:r>
      <w:r>
        <w:t>up rates are not an issue</w:t>
      </w:r>
      <w:r w:rsidR="0032426B">
        <w:t>,</w:t>
      </w:r>
      <w:r w:rsidR="00B112EA">
        <w:t xml:space="preserve"> behavioural responses would not be expected to be significant</w:t>
      </w:r>
      <w:r w:rsidR="004F65DE">
        <w:t xml:space="preserve">.  </w:t>
      </w:r>
    </w:p>
    <w:p w:rsidR="00B06C93" w:rsidRDefault="00B06C93" w:rsidP="00B06C93">
      <w:pPr>
        <w:pStyle w:val="BodyText"/>
      </w:pPr>
      <w:r>
        <w:lastRenderedPageBreak/>
        <w:t xml:space="preserve">In many cases, however, </w:t>
      </w:r>
      <w:r w:rsidRPr="00632DF0">
        <w:t>policymakers change policy settings precisely in order to induce certain behavioural and economic changes</w:t>
      </w:r>
      <w:r w:rsidR="004F65DE">
        <w:t xml:space="preserve">.  </w:t>
      </w:r>
      <w:r>
        <w:t>These effects become important where a proposal is likely to impact on price sensitive transactions or where</w:t>
      </w:r>
      <w:r w:rsidR="00F935C3">
        <w:t xml:space="preserve"> they depend significantly on</w:t>
      </w:r>
      <w:r>
        <w:t xml:space="preserve"> take</w:t>
      </w:r>
      <w:r w:rsidR="00494612">
        <w:t>-</w:t>
      </w:r>
      <w:r>
        <w:t>up rates</w:t>
      </w:r>
      <w:r w:rsidR="004F65DE">
        <w:t xml:space="preserve">.  </w:t>
      </w:r>
      <w:r>
        <w:t xml:space="preserve">A proposal may affect </w:t>
      </w:r>
      <w:r w:rsidRPr="00632DF0">
        <w:t xml:space="preserve">how much </w:t>
      </w:r>
      <w:r>
        <w:t>people</w:t>
      </w:r>
      <w:r w:rsidRPr="00632DF0">
        <w:t xml:space="preserve"> work, the quantities and types of goods and services that </w:t>
      </w:r>
      <w:r>
        <w:t>are</w:t>
      </w:r>
      <w:r w:rsidRPr="00632DF0">
        <w:t xml:space="preserve"> consume</w:t>
      </w:r>
      <w:r>
        <w:t>d</w:t>
      </w:r>
      <w:r w:rsidRPr="00632DF0">
        <w:t xml:space="preserve">, and the amount </w:t>
      </w:r>
      <w:r>
        <w:t xml:space="preserve">that people </w:t>
      </w:r>
      <w:r w:rsidRPr="00632DF0">
        <w:t>save</w:t>
      </w:r>
      <w:r w:rsidR="004F65DE">
        <w:t xml:space="preserve">.  </w:t>
      </w:r>
      <w:r>
        <w:t>For example:</w:t>
      </w:r>
    </w:p>
    <w:p w:rsidR="00B06C93" w:rsidRDefault="00CC54EC" w:rsidP="00B06C93">
      <w:pPr>
        <w:pStyle w:val="ListBullet"/>
      </w:pPr>
      <w:r>
        <w:t>a</w:t>
      </w:r>
      <w:r w:rsidR="00B06C93">
        <w:t>n increase in the excise on beer would be expected to increase the price of beer, which is likely to reduce beer consumption and increase consumption of substitute produc</w:t>
      </w:r>
      <w:r w:rsidR="004324D8">
        <w:t xml:space="preserve">ts </w:t>
      </w:r>
      <w:r w:rsidR="00B06C93">
        <w:t>like wine and spirits</w:t>
      </w:r>
      <w:r w:rsidR="004F65DE">
        <w:t xml:space="preserve"> </w:t>
      </w:r>
    </w:p>
    <w:p w:rsidR="00B06C93" w:rsidRDefault="00CC54EC" w:rsidP="00B06C93">
      <w:pPr>
        <w:pStyle w:val="ListBullet"/>
      </w:pPr>
      <w:proofErr w:type="gramStart"/>
      <w:r>
        <w:t>a</w:t>
      </w:r>
      <w:r w:rsidR="00B06C93">
        <w:t>n</w:t>
      </w:r>
      <w:proofErr w:type="gramEnd"/>
      <w:r w:rsidR="00B06C93">
        <w:t xml:space="preserve"> increase in child care payments will </w:t>
      </w:r>
      <w:r w:rsidR="000B4D49">
        <w:t xml:space="preserve">effectively </w:t>
      </w:r>
      <w:r w:rsidR="00B06C93">
        <w:t>reduce the cost of child care and increase the demand for or supply of child care places, increasing the number of places that are subsidised.</w:t>
      </w:r>
    </w:p>
    <w:tbl>
      <w:tblPr>
        <w:tblStyle w:val="PullOutBoxTable"/>
        <w:tblW w:w="5000" w:type="pct"/>
        <w:tblInd w:w="113" w:type="dxa"/>
        <w:tblCellMar>
          <w:left w:w="113" w:type="dxa"/>
          <w:right w:w="113" w:type="dxa"/>
        </w:tblCellMar>
        <w:tblLook w:val="0600" w:firstRow="0" w:lastRow="0" w:firstColumn="0" w:lastColumn="0" w:noHBand="1" w:noVBand="1"/>
      </w:tblPr>
      <w:tblGrid>
        <w:gridCol w:w="8604"/>
      </w:tblGrid>
      <w:tr w:rsidR="00E428E3" w:rsidTr="00081301">
        <w:trPr>
          <w:trHeight w:val="9263"/>
        </w:trPr>
        <w:tc>
          <w:tcPr>
            <w:tcW w:w="5000" w:type="pct"/>
          </w:tcPr>
          <w:p w:rsidR="001779C4" w:rsidRDefault="001779C4" w:rsidP="00346892">
            <w:pPr>
              <w:pStyle w:val="Caption1"/>
              <w:spacing w:before="113" w:after="113"/>
            </w:pPr>
            <w:r w:rsidRPr="00376FDB">
              <w:lastRenderedPageBreak/>
              <w:t xml:space="preserve">Box </w:t>
            </w:r>
            <w:r>
              <w:t>2</w:t>
            </w:r>
            <w:r w:rsidR="00C47AFC">
              <w:t>: Increase in tobacco excise—</w:t>
            </w:r>
            <w:r w:rsidRPr="00376FDB">
              <w:t>a straightforward policy costing</w:t>
            </w:r>
          </w:p>
          <w:p w:rsidR="00FA3A35" w:rsidRDefault="00FA3A35" w:rsidP="00FA3A35">
            <w:pPr>
              <w:pStyle w:val="BodyText"/>
            </w:pPr>
            <w:r>
              <w:t>This box provides a simple example of a policy proposal to increase the rate of excise duty applied to tobacco by 15 per cent from 1 September 2018.</w:t>
            </w:r>
          </w:p>
          <w:p w:rsidR="00FA3A35" w:rsidRDefault="00FA3A35" w:rsidP="00FA3A35">
            <w:pPr>
              <w:pStyle w:val="BodyText"/>
            </w:pPr>
            <w:r>
              <w:t>The steps in calculating the impact of this proposal are as follows:</w:t>
            </w:r>
          </w:p>
          <w:p w:rsidR="00FA3A35" w:rsidRDefault="00FA3A35" w:rsidP="00346892">
            <w:pPr>
              <w:pStyle w:val="PullOutBoxBullet"/>
            </w:pPr>
            <w:r>
              <w:t xml:space="preserve">First, we estimate the baseline as shown in the most recent </w:t>
            </w:r>
            <w:r w:rsidR="00C508D1">
              <w:t>B</w:t>
            </w:r>
            <w:r>
              <w:t>udget</w:t>
            </w:r>
            <w:r w:rsidR="004F65DE">
              <w:t xml:space="preserve">.  </w:t>
            </w:r>
            <w:r>
              <w:t>This is equal to the estimated quantity of tobacco that would be subject to excise duty multiplied by the tobacco excise duty rate in each year</w:t>
            </w:r>
            <w:r w:rsidR="004F65DE">
              <w:t xml:space="preserve">.  </w:t>
            </w:r>
          </w:p>
          <w:p w:rsidR="00FA3A35" w:rsidRDefault="00FA3A35" w:rsidP="00346892">
            <w:pPr>
              <w:pStyle w:val="PullOutBoxBullet"/>
            </w:pPr>
            <w:r>
              <w:t>Second, we estimate how much tobacco revenue would be expected to increase if the excise duty rate was increased and the amount of tobacco</w:t>
            </w:r>
            <w:r w:rsidR="00436A52">
              <w:t xml:space="preserve"> consumed</w:t>
            </w:r>
            <w:r>
              <w:t xml:space="preserve"> remained unchanged</w:t>
            </w:r>
            <w:r w:rsidR="004F65DE">
              <w:t xml:space="preserve">.  </w:t>
            </w:r>
            <w:r>
              <w:t>This is illustrated as the ‘</w:t>
            </w:r>
            <w:r w:rsidR="004A234D">
              <w:t xml:space="preserve">direct </w:t>
            </w:r>
            <w:r>
              <w:t>static impact’ of the policy change in the graph below</w:t>
            </w:r>
            <w:r w:rsidR="004F65DE">
              <w:t xml:space="preserve">.  </w:t>
            </w:r>
          </w:p>
          <w:p w:rsidR="00FA3A35" w:rsidRDefault="00FA3A35" w:rsidP="00346892">
            <w:pPr>
              <w:pStyle w:val="PullOutBoxBullet"/>
            </w:pPr>
            <w:r>
              <w:t>Third, we recognise that increasing tobacco excise duty increases the price of tobacco and would be expected to reduce the consumption of tobacco</w:t>
            </w:r>
            <w:r w:rsidR="004F65DE">
              <w:t xml:space="preserve">.  </w:t>
            </w:r>
            <w:r>
              <w:t>A behaviour adjusted estimate of the quantity of tobacco that would be subject to excise is calculated and this is multiplied by the new tax rate to estimate the new level of tobacco excise duty revenue</w:t>
            </w:r>
            <w:r w:rsidR="004F65DE">
              <w:t xml:space="preserve">.  </w:t>
            </w:r>
            <w:r>
              <w:t xml:space="preserve">The </w:t>
            </w:r>
            <w:r w:rsidR="004A234D">
              <w:t xml:space="preserve">‘direct </w:t>
            </w:r>
            <w:r>
              <w:t xml:space="preserve">behavioural </w:t>
            </w:r>
            <w:r w:rsidR="004A234D">
              <w:t xml:space="preserve">impact’ </w:t>
            </w:r>
            <w:r>
              <w:t xml:space="preserve">reduces the amount of tobacco excise revenue </w:t>
            </w:r>
            <w:r w:rsidR="00397D23">
              <w:t xml:space="preserve">that </w:t>
            </w:r>
            <w:r>
              <w:t>is expected to be raised</w:t>
            </w:r>
            <w:r w:rsidR="004F65DE">
              <w:t xml:space="preserve">.  </w:t>
            </w:r>
          </w:p>
          <w:p w:rsidR="00FA3A35" w:rsidRDefault="00FA3A35" w:rsidP="00346892">
            <w:pPr>
              <w:pStyle w:val="PullOutBoxBullet"/>
            </w:pPr>
            <w:r>
              <w:t>Finally, the baseline tobacco excise duty estimate is subtracted from the simulation estimate of excise duty under the proposal to arrive at the excise duty costing result</w:t>
            </w:r>
            <w:r w:rsidR="00605814">
              <w:t xml:space="preserve"> (the grey shaded area)</w:t>
            </w:r>
            <w:r w:rsidR="004F65DE">
              <w:t xml:space="preserve">.  </w:t>
            </w:r>
          </w:p>
          <w:p w:rsidR="00481A53" w:rsidRDefault="00481A53" w:rsidP="00FA3A35">
            <w:pPr>
              <w:pStyle w:val="BodyText"/>
            </w:pPr>
            <w:r>
              <w:t>Excise duty is applied to tobacco before GST</w:t>
            </w:r>
            <w:r w:rsidR="00397D23">
              <w:t xml:space="preserve"> is applied</w:t>
            </w:r>
            <w:r>
              <w:t>, therefore increasing the excise on tobacco would also increase the amount of GST paid on tobacco products</w:t>
            </w:r>
            <w:r w:rsidR="004F65DE">
              <w:t xml:space="preserve">.  </w:t>
            </w:r>
            <w:r>
              <w:t xml:space="preserve">As the net GST impact after forwarding additional revenue to the </w:t>
            </w:r>
            <w:r w:rsidR="00397D23">
              <w:t>s</w:t>
            </w:r>
            <w:r>
              <w:t xml:space="preserve">tates and </w:t>
            </w:r>
            <w:r w:rsidR="00397D23">
              <w:t>t</w:t>
            </w:r>
            <w:r>
              <w:t>erritories would be expected to be small, this is not reflected in the graph</w:t>
            </w:r>
            <w:r w:rsidR="004F65DE">
              <w:t xml:space="preserve">.  </w:t>
            </w:r>
          </w:p>
          <w:p w:rsidR="00E428E3" w:rsidRPr="009B1F49" w:rsidRDefault="00E428E3" w:rsidP="00FA3A35">
            <w:pPr>
              <w:pStyle w:val="Caption1"/>
              <w:spacing w:before="200"/>
            </w:pPr>
            <w:r>
              <w:t>Figure 1</w:t>
            </w:r>
            <w:r w:rsidRPr="009B1F49">
              <w:t>:</w:t>
            </w:r>
            <w:r>
              <w:t xml:space="preserve"> </w:t>
            </w:r>
            <w:r w:rsidRPr="009B1F49">
              <w:t xml:space="preserve"> </w:t>
            </w:r>
            <w:r w:rsidR="008D3961">
              <w:t xml:space="preserve">Costing </w:t>
            </w:r>
            <w:r w:rsidR="00397D23">
              <w:t>e</w:t>
            </w:r>
            <w:r w:rsidR="008D3961">
              <w:t xml:space="preserve">xample – Increase in the </w:t>
            </w:r>
            <w:r w:rsidR="00397D23">
              <w:t>t</w:t>
            </w:r>
            <w:r w:rsidR="008D3961">
              <w:t xml:space="preserve">obacco </w:t>
            </w:r>
            <w:r w:rsidR="00397D23">
              <w:t>e</w:t>
            </w:r>
            <w:r w:rsidR="008D3961">
              <w:t>xcise</w:t>
            </w:r>
            <w:r w:rsidR="00397D23">
              <w:t xml:space="preserve"> rate</w:t>
            </w:r>
          </w:p>
          <w:p w:rsidR="00E428E3" w:rsidRDefault="003C1BD9" w:rsidP="00081301">
            <w:pPr>
              <w:pStyle w:val="BodyText"/>
            </w:pPr>
            <w:r>
              <w:rPr>
                <w:noProof/>
              </w:rPr>
              <w:drawing>
                <wp:inline distT="0" distB="0" distL="0" distR="0" wp14:anchorId="6184ABA1" wp14:editId="39B92A90">
                  <wp:extent cx="5320594" cy="259564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BOHOME01\pratleyl$\SysArea\NexGen\Desktop\Current tasks\Graphi for RAB\Figure 1 The PBO costing process-03.jpg"/>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5320594" cy="2595642"/>
                          </a:xfrm>
                          <a:prstGeom prst="rect">
                            <a:avLst/>
                          </a:prstGeom>
                          <a:noFill/>
                          <a:ln>
                            <a:noFill/>
                          </a:ln>
                        </pic:spPr>
                      </pic:pic>
                    </a:graphicData>
                  </a:graphic>
                </wp:inline>
              </w:drawing>
            </w:r>
          </w:p>
          <w:p w:rsidR="00FD10F1" w:rsidRDefault="00FD10F1" w:rsidP="00081301">
            <w:pPr>
              <w:pStyle w:val="BodyText"/>
            </w:pPr>
            <w:r w:rsidRPr="00FD10F1">
              <w:rPr>
                <w:color w:val="808080" w:themeColor="background1" w:themeShade="80"/>
                <w:sz w:val="18"/>
                <w:szCs w:val="18"/>
              </w:rPr>
              <w:t>Source: Parliamentary Budget Office</w:t>
            </w:r>
            <w:r w:rsidRPr="00EE7B0A">
              <w:rPr>
                <w:color w:val="808080" w:themeColor="background1" w:themeShade="80"/>
                <w:sz w:val="18"/>
                <w:szCs w:val="18"/>
              </w:rPr>
              <w:t>.</w:t>
            </w:r>
          </w:p>
        </w:tc>
      </w:tr>
    </w:tbl>
    <w:p w:rsidR="00FD10F1" w:rsidRDefault="00FD10F1" w:rsidP="00EA647B">
      <w:pPr>
        <w:pStyle w:val="Heading4"/>
      </w:pPr>
    </w:p>
    <w:p w:rsidR="00FD10F1" w:rsidRDefault="00FD10F1">
      <w:pPr>
        <w:rPr>
          <w:rFonts w:eastAsiaTheme="majorEastAsia" w:cstheme="majorBidi"/>
          <w:b/>
          <w:bCs/>
          <w:i/>
          <w:iCs/>
          <w:color w:val="2B3B5F" w:themeColor="text2"/>
          <w:sz w:val="24"/>
        </w:rPr>
      </w:pPr>
      <w:r>
        <w:br w:type="page"/>
      </w:r>
    </w:p>
    <w:p w:rsidR="00EA647B" w:rsidRDefault="00EA647B" w:rsidP="00EA647B">
      <w:pPr>
        <w:pStyle w:val="Heading4"/>
      </w:pPr>
      <w:r>
        <w:lastRenderedPageBreak/>
        <w:t>Interactions between policy proposals</w:t>
      </w:r>
    </w:p>
    <w:p w:rsidR="00EA647B" w:rsidRDefault="00EA647B" w:rsidP="00EA647B">
      <w:pPr>
        <w:pStyle w:val="BodyText"/>
      </w:pPr>
      <w:r>
        <w:t>An interaction effect may need to be taken into account where a costing has multiple</w:t>
      </w:r>
      <w:r w:rsidRPr="00E2407C">
        <w:t xml:space="preserve"> revenue or expense </w:t>
      </w:r>
      <w:r>
        <w:t>items, has a number of components with overlapping policy implications</w:t>
      </w:r>
      <w:r w:rsidR="00A70AAC">
        <w:t>,</w:t>
      </w:r>
      <w:r>
        <w:t xml:space="preserve"> or is part of a package of policy proposals that are proposed to be implemented together.</w:t>
      </w:r>
    </w:p>
    <w:p w:rsidR="00EA647B" w:rsidRDefault="00EA647B" w:rsidP="00EA647B">
      <w:pPr>
        <w:pStyle w:val="BodyText"/>
      </w:pPr>
      <w:r>
        <w:t>For example</w:t>
      </w:r>
      <w:r w:rsidR="00A70AAC">
        <w:t>,</w:t>
      </w:r>
      <w:r>
        <w:t xml:space="preserve"> consider a package of measures that included the payment of a $1</w:t>
      </w:r>
      <w:r w:rsidR="001513EF">
        <w:t>,</w:t>
      </w:r>
      <w:r>
        <w:t>000 taxable grant to small businesses to purchase office productivity equipment and a reduction in the small business company tax rate from 30 per cent to 28 per cent</w:t>
      </w:r>
      <w:r w:rsidR="004F65DE">
        <w:t xml:space="preserve">.  </w:t>
      </w:r>
      <w:r w:rsidR="00E435EC">
        <w:t>For a</w:t>
      </w:r>
      <w:r>
        <w:t xml:space="preserve"> small business that has taxable income of $100,000, each measure in isolation would have the following impact</w:t>
      </w:r>
      <w:r w:rsidR="000B4D49">
        <w:t xml:space="preserve"> on the Budget</w:t>
      </w:r>
      <w:r>
        <w:t>:</w:t>
      </w:r>
    </w:p>
    <w:p w:rsidR="00EA647B" w:rsidRDefault="00F935C3" w:rsidP="00EA647B">
      <w:pPr>
        <w:pStyle w:val="Bullet1"/>
      </w:pPr>
      <w:r>
        <w:t xml:space="preserve">the </w:t>
      </w:r>
      <w:r w:rsidR="00EA647B">
        <w:t>taxable grant would have a cost of $1,000, offset by tax payable on the grant of $300 giving a net cost of the grant of $700</w:t>
      </w:r>
    </w:p>
    <w:p w:rsidR="00EA647B" w:rsidRDefault="00F935C3" w:rsidP="00EA647B">
      <w:pPr>
        <w:pStyle w:val="Bullet1"/>
      </w:pPr>
      <w:proofErr w:type="gramStart"/>
      <w:r>
        <w:t>the</w:t>
      </w:r>
      <w:proofErr w:type="gramEnd"/>
      <w:r>
        <w:t xml:space="preserve"> </w:t>
      </w:r>
      <w:r w:rsidR="00EA647B">
        <w:t>reduction in the company tax rate would cost $2,000</w:t>
      </w:r>
      <w:r w:rsidR="0059095E">
        <w:t xml:space="preserve"> (</w:t>
      </w:r>
      <w:r w:rsidR="00787C45">
        <w:t xml:space="preserve">this figure </w:t>
      </w:r>
      <w:r w:rsidR="00B534DD">
        <w:t xml:space="preserve">only </w:t>
      </w:r>
      <w:r w:rsidR="0059095E">
        <w:t>includ</w:t>
      </w:r>
      <w:r w:rsidR="00787C45">
        <w:t>es</w:t>
      </w:r>
      <w:r w:rsidR="0059095E">
        <w:t xml:space="preserve"> the direct static impact</w:t>
      </w:r>
      <w:r w:rsidR="00A747A6">
        <w:t xml:space="preserve"> relating to the change in the tax rate</w:t>
      </w:r>
      <w:r w:rsidR="0059095E">
        <w:t>)</w:t>
      </w:r>
      <w:r w:rsidR="004F65DE">
        <w:t>.</w:t>
      </w:r>
    </w:p>
    <w:p w:rsidR="00EA647B" w:rsidRDefault="00EA647B" w:rsidP="00EA647B">
      <w:pPr>
        <w:pStyle w:val="BodyText"/>
      </w:pPr>
      <w:r>
        <w:t xml:space="preserve">The sum of the two </w:t>
      </w:r>
      <w:r w:rsidR="00A70AAC">
        <w:t xml:space="preserve">components </w:t>
      </w:r>
      <w:r w:rsidRPr="008D3961">
        <w:rPr>
          <w:u w:val="single"/>
        </w:rPr>
        <w:t>in isolation</w:t>
      </w:r>
      <w:r>
        <w:t xml:space="preserve"> would be $2,700</w:t>
      </w:r>
      <w:r w:rsidR="004F65DE">
        <w:t xml:space="preserve">.  </w:t>
      </w:r>
      <w:r>
        <w:t>Taken together, the impact of the two measures is a cost of $2,720</w:t>
      </w:r>
      <w:r w:rsidR="004F65DE">
        <w:t xml:space="preserve">.  </w:t>
      </w:r>
      <w:r>
        <w:t>The extra $20 cost is an interaction effect that arises because the reduction in the small business company tax rate reduces the tax payable on the taxable grant, increasing the net cost of the grant</w:t>
      </w:r>
      <w:r w:rsidR="004F65DE">
        <w:t xml:space="preserve"> (</w:t>
      </w:r>
      <w:proofErr w:type="spellStart"/>
      <w:r w:rsidR="004F65DE">
        <w:t>ie</w:t>
      </w:r>
      <w:proofErr w:type="spellEnd"/>
      <w:r w:rsidR="004F65DE">
        <w:t xml:space="preserve"> the $300 becomes $280).  </w:t>
      </w:r>
    </w:p>
    <w:p w:rsidR="000F129C" w:rsidRDefault="00EA647B" w:rsidP="002B305E">
      <w:pPr>
        <w:pStyle w:val="BodyText"/>
      </w:pPr>
      <w:r>
        <w:t>Interactions may be complementary or compounding in their effects, or they may act as substitutes and lessen the overall impact of a costing</w:t>
      </w:r>
      <w:r w:rsidR="004F65DE">
        <w:t xml:space="preserve">.  </w:t>
      </w:r>
      <w:r w:rsidR="0042194C">
        <w:t>Note that t</w:t>
      </w:r>
      <w:r w:rsidR="00B100A6">
        <w:t xml:space="preserve">he order in which interacting components are costed can change </w:t>
      </w:r>
      <w:r w:rsidR="006D6B12">
        <w:t xml:space="preserve">the </w:t>
      </w:r>
      <w:r w:rsidR="00F935C3">
        <w:t xml:space="preserve">costing </w:t>
      </w:r>
      <w:r w:rsidR="00B71B7B">
        <w:t xml:space="preserve">estimates </w:t>
      </w:r>
      <w:r w:rsidR="00F935C3">
        <w:t xml:space="preserve">attributed to </w:t>
      </w:r>
      <w:r w:rsidR="006D6B12">
        <w:t>individual</w:t>
      </w:r>
      <w:r w:rsidR="00B71B7B">
        <w:t xml:space="preserve"> </w:t>
      </w:r>
      <w:r w:rsidR="00F935C3">
        <w:t xml:space="preserve">components of a package of </w:t>
      </w:r>
      <w:proofErr w:type="gramStart"/>
      <w:r w:rsidR="00F935C3">
        <w:t>measures</w:t>
      </w:r>
      <w:r w:rsidR="00B71B7B">
        <w:t>,</w:t>
      </w:r>
      <w:proofErr w:type="gramEnd"/>
      <w:r w:rsidR="00B71B7B">
        <w:t xml:space="preserve"> however the combined cost</w:t>
      </w:r>
      <w:r w:rsidR="002E1ADB">
        <w:t xml:space="preserve"> </w:t>
      </w:r>
      <w:r w:rsidR="007157FD">
        <w:t xml:space="preserve">of the interacting components </w:t>
      </w:r>
      <w:r w:rsidR="00A70014">
        <w:t>does</w:t>
      </w:r>
      <w:r w:rsidR="002E1ADB">
        <w:t xml:space="preserve"> not depend on </w:t>
      </w:r>
      <w:r w:rsidR="00FB2273">
        <w:t>their</w:t>
      </w:r>
      <w:r w:rsidR="002E1ADB">
        <w:t xml:space="preserve"> order</w:t>
      </w:r>
      <w:r w:rsidR="004F65DE">
        <w:t xml:space="preserve">.  </w:t>
      </w:r>
      <w:r>
        <w:t>The PBO considers interaction effects in all costings.</w:t>
      </w:r>
    </w:p>
    <w:p w:rsidR="00EA647B" w:rsidRDefault="00EA647B" w:rsidP="00EA647B">
      <w:pPr>
        <w:pStyle w:val="Heading4"/>
      </w:pPr>
      <w:r>
        <w:t xml:space="preserve">Projections outside modelled timeframes  </w:t>
      </w:r>
    </w:p>
    <w:p w:rsidR="00EA647B" w:rsidRDefault="00EA647B" w:rsidP="00EA647B">
      <w:pPr>
        <w:pStyle w:val="BodyText"/>
      </w:pPr>
      <w:r>
        <w:t>Costings are generally presented over a ten year period</w:t>
      </w:r>
      <w:r w:rsidR="004F65DE">
        <w:t xml:space="preserve">.  </w:t>
      </w:r>
      <w:r>
        <w:t>In some cases, longer periods may be examined, particularly for policies where it is important to take account of long</w:t>
      </w:r>
      <w:r w:rsidR="002E2DF5">
        <w:t>-</w:t>
      </w:r>
      <w:r>
        <w:t>term implications</w:t>
      </w:r>
      <w:r w:rsidR="004F65DE">
        <w:t xml:space="preserve">.  </w:t>
      </w:r>
    </w:p>
    <w:p w:rsidR="00EA647B" w:rsidRDefault="00EA647B" w:rsidP="00EA647B">
      <w:pPr>
        <w:pStyle w:val="BodyText"/>
      </w:pPr>
      <w:r>
        <w:t>Where estimates need to be generated for periods outside those captured in the costing model, they need to be projected using representative growth rates</w:t>
      </w:r>
      <w:r w:rsidR="004F65DE">
        <w:t xml:space="preserve">.  </w:t>
      </w:r>
      <w:r>
        <w:t>These growth rates will:</w:t>
      </w:r>
    </w:p>
    <w:p w:rsidR="00EA647B" w:rsidRDefault="00EA647B" w:rsidP="00EA647B">
      <w:pPr>
        <w:pStyle w:val="ListBullet"/>
      </w:pPr>
      <w:r>
        <w:t>be as representative as possible of growth rates for the data concerned</w:t>
      </w:r>
    </w:p>
    <w:p w:rsidR="00EA647B" w:rsidRDefault="00EA647B" w:rsidP="00EA647B">
      <w:pPr>
        <w:pStyle w:val="ListBullet"/>
      </w:pPr>
      <w:r>
        <w:t>be as consistent as possible with growth rates used for the forward estimates more generally</w:t>
      </w:r>
    </w:p>
    <w:p w:rsidR="00EA647B" w:rsidRDefault="00EA647B" w:rsidP="00EA647B">
      <w:pPr>
        <w:pStyle w:val="ListBullet"/>
      </w:pPr>
      <w:proofErr w:type="gramStart"/>
      <w:r>
        <w:t>represent</w:t>
      </w:r>
      <w:proofErr w:type="gramEnd"/>
      <w:r>
        <w:t xml:space="preserve"> the growth in the nominal value of the transaction base.</w:t>
      </w:r>
    </w:p>
    <w:p w:rsidR="00EA647B" w:rsidRDefault="00EA647B" w:rsidP="00EA647B">
      <w:pPr>
        <w:pStyle w:val="BodyText"/>
      </w:pPr>
      <w:r>
        <w:t xml:space="preserve">In practice, the PBO bases these growth rates on the economic parameters from the most recent </w:t>
      </w:r>
      <w:r w:rsidR="00D16BED">
        <w:t>E</w:t>
      </w:r>
      <w:r>
        <w:t xml:space="preserve">conomic and </w:t>
      </w:r>
      <w:r w:rsidR="00D16BED">
        <w:t>F</w:t>
      </w:r>
      <w:r>
        <w:t xml:space="preserve">iscal </w:t>
      </w:r>
      <w:r w:rsidR="00D16BED">
        <w:t>Outlook</w:t>
      </w:r>
      <w:r>
        <w:t xml:space="preserve"> for the forward estimates period and will use the parameters underlying </w:t>
      </w:r>
      <w:r w:rsidR="003474D9">
        <w:t>our</w:t>
      </w:r>
      <w:r>
        <w:t xml:space="preserve"> </w:t>
      </w:r>
      <w:r w:rsidR="000B4D49">
        <w:t>ten year</w:t>
      </w:r>
      <w:r>
        <w:t xml:space="preserve"> projections for longer time periods.</w:t>
      </w:r>
    </w:p>
    <w:p w:rsidR="004324D8" w:rsidRDefault="004324D8" w:rsidP="00DD26C8">
      <w:pPr>
        <w:pStyle w:val="Heading2"/>
      </w:pPr>
      <w:bookmarkStart w:id="26" w:name="_Toc499799354"/>
      <w:r>
        <w:lastRenderedPageBreak/>
        <w:t xml:space="preserve">Quality </w:t>
      </w:r>
      <w:r w:rsidR="004F65DE">
        <w:t>a</w:t>
      </w:r>
      <w:r>
        <w:t>ssurance</w:t>
      </w:r>
      <w:bookmarkEnd w:id="26"/>
    </w:p>
    <w:p w:rsidR="004324D8" w:rsidRDefault="004324D8" w:rsidP="004324D8">
      <w:pPr>
        <w:pStyle w:val="BodyText"/>
      </w:pPr>
      <w:r>
        <w:t xml:space="preserve">Quality assurance is a </w:t>
      </w:r>
      <w:r w:rsidR="007A4E82">
        <w:t>critical</w:t>
      </w:r>
      <w:r>
        <w:t xml:space="preserve"> aspect of the costing process</w:t>
      </w:r>
      <w:r w:rsidR="004F65DE">
        <w:t xml:space="preserve">.  </w:t>
      </w:r>
      <w:r>
        <w:t>The PBO’s approach to costing policy proposals includes quality assurance across the four steps of the costing process outlined above</w:t>
      </w:r>
      <w:r w:rsidR="004F65DE">
        <w:t xml:space="preserve">.  </w:t>
      </w:r>
      <w:r>
        <w:t>Elements of quality assurance include:</w:t>
      </w:r>
    </w:p>
    <w:p w:rsidR="000B138E" w:rsidRDefault="000B138E" w:rsidP="00DD26C8">
      <w:pPr>
        <w:pStyle w:val="ListBullet"/>
      </w:pPr>
      <w:r>
        <w:t xml:space="preserve">consultation with Government agencies on the development of common costing models, assumptions and approaches </w:t>
      </w:r>
    </w:p>
    <w:p w:rsidR="004324D8" w:rsidRDefault="004324D8" w:rsidP="00DD26C8">
      <w:pPr>
        <w:pStyle w:val="ListBullet"/>
      </w:pPr>
      <w:r>
        <w:t>internal peer review and senior executive clearance of each response to a costing request</w:t>
      </w:r>
    </w:p>
    <w:p w:rsidR="004324D8" w:rsidRDefault="004324D8" w:rsidP="00DD26C8">
      <w:pPr>
        <w:pStyle w:val="ListBullet"/>
      </w:pPr>
      <w:proofErr w:type="gramStart"/>
      <w:r>
        <w:t>ex-post</w:t>
      </w:r>
      <w:proofErr w:type="gramEnd"/>
      <w:r>
        <w:t xml:space="preserve"> analyses of completed costing responses</w:t>
      </w:r>
      <w:r w:rsidR="000B138E">
        <w:t>, including</w:t>
      </w:r>
      <w:r>
        <w:t xml:space="preserve"> consultation with relevant </w:t>
      </w:r>
      <w:r w:rsidR="000B138E">
        <w:t xml:space="preserve">external </w:t>
      </w:r>
      <w:r>
        <w:t>experts</w:t>
      </w:r>
      <w:r w:rsidR="004C36A5">
        <w:t xml:space="preserve"> where possible</w:t>
      </w:r>
      <w:r>
        <w:t>.</w:t>
      </w:r>
      <w:r>
        <w:rPr>
          <w:rStyle w:val="FootnoteReference"/>
        </w:rPr>
        <w:footnoteReference w:id="9"/>
      </w:r>
    </w:p>
    <w:p w:rsidR="000B138E" w:rsidRDefault="003474D9" w:rsidP="00ED0787">
      <w:pPr>
        <w:pStyle w:val="BodyText"/>
      </w:pPr>
      <w:r>
        <w:t>Our</w:t>
      </w:r>
      <w:r w:rsidR="004C36A5">
        <w:t xml:space="preserve"> ongoing work program involves continuously improving the costing models, data and approaches that are used to assess the fiscal cost of policy proposals</w:t>
      </w:r>
      <w:r w:rsidR="004F65DE">
        <w:t xml:space="preserve">.  </w:t>
      </w:r>
      <w:r w:rsidR="000B138E">
        <w:t>Consultations with agencies and experts external to Government are done in a manner that, where required, maintains the confidentiality of any related costing request</w:t>
      </w:r>
      <w:r w:rsidR="004F65DE">
        <w:t xml:space="preserve">.  </w:t>
      </w:r>
    </w:p>
    <w:p w:rsidR="00B06C93" w:rsidRDefault="00EA647B" w:rsidP="00DD26C8">
      <w:pPr>
        <w:pStyle w:val="Heading2"/>
      </w:pPr>
      <w:bookmarkStart w:id="27" w:name="_Toc499799355"/>
      <w:r>
        <w:t>Matters of presentation</w:t>
      </w:r>
      <w:bookmarkEnd w:id="27"/>
    </w:p>
    <w:p w:rsidR="00EC152B" w:rsidRDefault="00B06C93" w:rsidP="00760A64">
      <w:pPr>
        <w:pStyle w:val="BodyText"/>
      </w:pPr>
      <w:r>
        <w:t xml:space="preserve">A range of other adjustments are made to </w:t>
      </w:r>
      <w:r w:rsidR="00C82C1A">
        <w:t>model-based</w:t>
      </w:r>
      <w:r>
        <w:t xml:space="preserve"> costing estimates</w:t>
      </w:r>
      <w:r w:rsidR="004F65DE">
        <w:t xml:space="preserve">.  </w:t>
      </w:r>
      <w:r>
        <w:t>The most important of these are</w:t>
      </w:r>
      <w:r w:rsidR="00EC152B">
        <w:t>:</w:t>
      </w:r>
    </w:p>
    <w:p w:rsidR="00EC152B" w:rsidRDefault="006C29B2" w:rsidP="007F6BA6">
      <w:pPr>
        <w:pStyle w:val="ListBullet"/>
      </w:pPr>
      <w:r>
        <w:t xml:space="preserve">adjustments to reflect </w:t>
      </w:r>
      <w:r w:rsidR="00A7389D">
        <w:t>how a policy affects different budget balances</w:t>
      </w:r>
    </w:p>
    <w:p w:rsidR="00EC152B" w:rsidRDefault="00EC152B" w:rsidP="007F6BA6">
      <w:pPr>
        <w:pStyle w:val="ListBullet"/>
      </w:pPr>
      <w:r>
        <w:t xml:space="preserve">assessments of </w:t>
      </w:r>
      <w:r w:rsidR="006C29B2">
        <w:t>the impact of the proposal on the interest payments that Government makes on public debt</w:t>
      </w:r>
    </w:p>
    <w:p w:rsidR="00EC152B" w:rsidRDefault="00B112EA" w:rsidP="007F6BA6">
      <w:pPr>
        <w:pStyle w:val="ListBullet"/>
      </w:pPr>
      <w:r>
        <w:t xml:space="preserve">rounding </w:t>
      </w:r>
      <w:r w:rsidR="00B06C93">
        <w:t xml:space="preserve">adjustments </w:t>
      </w:r>
      <w:r>
        <w:t xml:space="preserve">that reflect </w:t>
      </w:r>
      <w:r w:rsidR="004275A8">
        <w:t>the precision of costing estimates</w:t>
      </w:r>
    </w:p>
    <w:p w:rsidR="00B06C93" w:rsidRDefault="00EC152B" w:rsidP="007F6BA6">
      <w:pPr>
        <w:pStyle w:val="ListBullet"/>
      </w:pPr>
      <w:proofErr w:type="gramStart"/>
      <w:r>
        <w:t>the</w:t>
      </w:r>
      <w:proofErr w:type="gramEnd"/>
      <w:r>
        <w:t xml:space="preserve"> treatment of costing estimates that are ‘unquantifiable’.</w:t>
      </w:r>
    </w:p>
    <w:p w:rsidR="00EA647B" w:rsidRDefault="00EA647B" w:rsidP="004D6356">
      <w:pPr>
        <w:pStyle w:val="Heading3"/>
      </w:pPr>
      <w:bookmarkStart w:id="28" w:name="_Toc499799356"/>
      <w:r>
        <w:t>Budget balances</w:t>
      </w:r>
      <w:bookmarkEnd w:id="28"/>
    </w:p>
    <w:p w:rsidR="00EA647B" w:rsidRDefault="00EA647B" w:rsidP="00EA647B">
      <w:pPr>
        <w:pStyle w:val="BodyText"/>
      </w:pPr>
      <w:r>
        <w:t xml:space="preserve">In the </w:t>
      </w:r>
      <w:r w:rsidR="006B6F60">
        <w:t>Australian Government</w:t>
      </w:r>
      <w:r>
        <w:t xml:space="preserve"> Budget, there are three different measures of the budget balance that are published and referred to</w:t>
      </w:r>
      <w:r w:rsidR="004F65DE">
        <w:t xml:space="preserve">.  </w:t>
      </w:r>
      <w:r>
        <w:t>These are: the fiscal balance, the underlying cash balance and the headline cash balance</w:t>
      </w:r>
      <w:r w:rsidR="004F65DE">
        <w:t>.</w:t>
      </w:r>
      <w:r>
        <w:rPr>
          <w:rStyle w:val="FootnoteReference"/>
        </w:rPr>
        <w:footnoteReference w:id="10"/>
      </w:r>
      <w:r>
        <w:t xml:space="preserve"> </w:t>
      </w:r>
      <w:r w:rsidR="004F65DE">
        <w:t xml:space="preserve"> </w:t>
      </w:r>
      <w:r>
        <w:t xml:space="preserve">The differences between the budget accounting treatments of these three measures are presented in </w:t>
      </w:r>
      <w:r w:rsidR="002E2DF5">
        <w:t>Table </w:t>
      </w:r>
      <w:r w:rsidR="00853AA8">
        <w:t>1</w:t>
      </w:r>
      <w:r w:rsidR="004F65DE">
        <w:t xml:space="preserve">.  </w:t>
      </w:r>
    </w:p>
    <w:p w:rsidR="00EA647B" w:rsidRDefault="00EA647B" w:rsidP="00EA647B">
      <w:pPr>
        <w:pStyle w:val="BodyText"/>
      </w:pPr>
      <w:r>
        <w:lastRenderedPageBreak/>
        <w:t xml:space="preserve">In the </w:t>
      </w:r>
      <w:r w:rsidR="00C508D1">
        <w:t>B</w:t>
      </w:r>
      <w:r>
        <w:t xml:space="preserve">udget, </w:t>
      </w:r>
      <w:r w:rsidR="000057B1">
        <w:t xml:space="preserve">the financial impact </w:t>
      </w:r>
      <w:r>
        <w:t>of all new policy proposals are generally only provided as ‘accrual’ estimates which show the impact on the fiscal balance</w:t>
      </w:r>
      <w:r w:rsidR="004F65DE">
        <w:t xml:space="preserve">.  </w:t>
      </w:r>
      <w:r>
        <w:t>In PBO costings, we present the impact on the fiscal balance in the first instance, and report the financial implications on an underlying cash balance basis where these differ</w:t>
      </w:r>
      <w:r w:rsidR="004F65DE">
        <w:t>.</w:t>
      </w:r>
      <w:r w:rsidR="00E27736">
        <w:t xml:space="preserve">  </w:t>
      </w:r>
    </w:p>
    <w:p w:rsidR="00EA647B" w:rsidRDefault="00EA647B" w:rsidP="00EA647B">
      <w:pPr>
        <w:pStyle w:val="BodyText"/>
      </w:pPr>
      <w:r>
        <w:t xml:space="preserve">Differences between the fiscal and underlying cash </w:t>
      </w:r>
      <w:r w:rsidR="003614C9">
        <w:t xml:space="preserve">balance </w:t>
      </w:r>
      <w:r>
        <w:t>impacts most commonly arise due to there being a timing gap between when the events that give rise to a payment occur and when cash payments are actually made</w:t>
      </w:r>
      <w:r w:rsidR="004F65DE">
        <w:t xml:space="preserve">.  </w:t>
      </w:r>
      <w:r>
        <w:t>For instance, the obligation for the Government to make some payments to individuals may accrue over the course of a year, but the cash payment may not be made until a claim is lodged for payment by the payee in the next year.</w:t>
      </w:r>
    </w:p>
    <w:p w:rsidR="00EA647B" w:rsidRDefault="00EA647B" w:rsidP="00EA647B">
      <w:pPr>
        <w:pStyle w:val="BodyText"/>
      </w:pPr>
      <w:r>
        <w:t>The PBO also reports the financial implications of proposals on a headline cash balance in the case of proposals that involve transactions in financial assets which would otherwise not be reflected in a fiscal balance or underlying cash balance measure</w:t>
      </w:r>
      <w:r w:rsidR="004F65DE">
        <w:t xml:space="preserve">.  </w:t>
      </w:r>
      <w:r>
        <w:t>Similarly</w:t>
      </w:r>
      <w:r w:rsidR="003614C9">
        <w:t>,</w:t>
      </w:r>
      <w:r>
        <w:t xml:space="preserve"> where </w:t>
      </w:r>
      <w:r w:rsidR="003474D9">
        <w:t>we</w:t>
      </w:r>
      <w:r w:rsidR="00A7389D">
        <w:t xml:space="preserve"> de</w:t>
      </w:r>
      <w:r w:rsidR="00ED0787">
        <w:t>termine it to be warranted</w:t>
      </w:r>
      <w:r w:rsidR="003614C9">
        <w:t>,</w:t>
      </w:r>
      <w:r w:rsidR="00ED0787">
        <w:t xml:space="preserve"> the impact on other aspects of the </w:t>
      </w:r>
      <w:r w:rsidR="00C508D1">
        <w:t>B</w:t>
      </w:r>
      <w:r w:rsidR="00ED0787">
        <w:t xml:space="preserve">udget, </w:t>
      </w:r>
      <w:r w:rsidR="00EC152B">
        <w:t xml:space="preserve">such as </w:t>
      </w:r>
      <w:r w:rsidR="00ED0787">
        <w:t>net worth, will be reported</w:t>
      </w:r>
      <w:r w:rsidR="004F65DE">
        <w:t xml:space="preserve">.  </w:t>
      </w:r>
    </w:p>
    <w:p w:rsidR="00081301" w:rsidRDefault="00081301" w:rsidP="00081301">
      <w:pPr>
        <w:pStyle w:val="Caption1"/>
      </w:pPr>
      <w:r>
        <w:t xml:space="preserve">Table </w:t>
      </w:r>
      <w:r w:rsidR="00B56ACA">
        <w:t>1</w:t>
      </w:r>
      <w:r>
        <w:t>: Different measures of the budget balance</w:t>
      </w:r>
    </w:p>
    <w:tbl>
      <w:tblPr>
        <w:tblStyle w:val="TableGrid"/>
        <w:tblW w:w="8312" w:type="dxa"/>
        <w:tblLook w:val="04A0" w:firstRow="1" w:lastRow="0" w:firstColumn="1" w:lastColumn="0" w:noHBand="0" w:noVBand="1"/>
      </w:tblPr>
      <w:tblGrid>
        <w:gridCol w:w="2694"/>
        <w:gridCol w:w="5618"/>
      </w:tblGrid>
      <w:tr w:rsidR="00081301" w:rsidRPr="00D1075C" w:rsidTr="00AD56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94" w:type="dxa"/>
          </w:tcPr>
          <w:p w:rsidR="00081301" w:rsidRDefault="00081301" w:rsidP="008B002F">
            <w:pPr>
              <w:pStyle w:val="TableHeading"/>
            </w:pPr>
            <w:r>
              <w:t>Reporting benchmark</w:t>
            </w:r>
          </w:p>
        </w:tc>
        <w:tc>
          <w:tcPr>
            <w:tcW w:w="5618" w:type="dxa"/>
          </w:tcPr>
          <w:p w:rsidR="00081301" w:rsidRDefault="00081301" w:rsidP="008B002F">
            <w:pPr>
              <w:pStyle w:val="TableHeading"/>
              <w:jc w:val="left"/>
              <w:cnfStyle w:val="100000000000" w:firstRow="1" w:lastRow="0" w:firstColumn="0" w:lastColumn="0" w:oddVBand="0" w:evenVBand="0" w:oddHBand="0" w:evenHBand="0" w:firstRowFirstColumn="0" w:firstRowLastColumn="0" w:lastRowFirstColumn="0" w:lastRowLastColumn="0"/>
            </w:pPr>
            <w:r>
              <w:t>Definition</w:t>
            </w:r>
          </w:p>
        </w:tc>
      </w:tr>
      <w:tr w:rsidR="00081301" w:rsidRPr="00D1075C" w:rsidTr="008B0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bottom w:val="none" w:sz="0" w:space="0" w:color="auto"/>
            </w:tcBorders>
          </w:tcPr>
          <w:p w:rsidR="00081301" w:rsidRPr="008B002F" w:rsidRDefault="00081301" w:rsidP="00AD56DF">
            <w:pPr>
              <w:rPr>
                <w:b/>
              </w:rPr>
            </w:pPr>
            <w:r w:rsidRPr="008B002F">
              <w:rPr>
                <w:b/>
              </w:rPr>
              <w:t>Fiscal balance</w:t>
            </w:r>
          </w:p>
        </w:tc>
        <w:tc>
          <w:tcPr>
            <w:tcW w:w="5618" w:type="dxa"/>
            <w:tcBorders>
              <w:bottom w:val="none" w:sz="0" w:space="0" w:color="auto"/>
            </w:tcBorders>
          </w:tcPr>
          <w:p w:rsidR="00081301" w:rsidRPr="00F54A26" w:rsidRDefault="00081301" w:rsidP="00AD56DF">
            <w:pPr>
              <w:cnfStyle w:val="000000100000" w:firstRow="0" w:lastRow="0" w:firstColumn="0" w:lastColumn="0" w:oddVBand="0" w:evenVBand="0" w:oddHBand="1" w:evenHBand="0" w:firstRowFirstColumn="0" w:firstRowLastColumn="0" w:lastRowFirstColumn="0" w:lastRowLastColumn="0"/>
            </w:pPr>
            <w:r>
              <w:t xml:space="preserve">This measures the </w:t>
            </w:r>
            <w:r w:rsidRPr="008D3961">
              <w:rPr>
                <w:u w:val="single"/>
              </w:rPr>
              <w:t>change in the net worth</w:t>
            </w:r>
            <w:r w:rsidRPr="002472CD">
              <w:t xml:space="preserve"> of the </w:t>
            </w:r>
            <w:r w:rsidR="006B6F60">
              <w:t>Australian Government</w:t>
            </w:r>
            <w:r>
              <w:t xml:space="preserve"> and is based on accrual accounting standards</w:t>
            </w:r>
            <w:r w:rsidR="004F65DE">
              <w:t xml:space="preserve">.  </w:t>
            </w:r>
            <w:r>
              <w:t>This approach</w:t>
            </w:r>
            <w:r w:rsidRPr="002472CD">
              <w:t xml:space="preserve"> measures the value of transactions </w:t>
            </w:r>
            <w:r>
              <w:t xml:space="preserve">that give rise to </w:t>
            </w:r>
            <w:r w:rsidRPr="002472CD">
              <w:t>an</w:t>
            </w:r>
            <w:r>
              <w:t xml:space="preserve"> account being receivable by </w:t>
            </w:r>
            <w:r w:rsidR="006B6F60">
              <w:t>the Australian Government</w:t>
            </w:r>
            <w:r>
              <w:t xml:space="preserve"> or a liability being </w:t>
            </w:r>
            <w:r w:rsidRPr="002472CD">
              <w:t xml:space="preserve">payable </w:t>
            </w:r>
            <w:r>
              <w:t>by</w:t>
            </w:r>
            <w:r w:rsidRPr="002472CD">
              <w:t xml:space="preserve"> the </w:t>
            </w:r>
            <w:r w:rsidR="006B6F60">
              <w:t>Australian Government</w:t>
            </w:r>
            <w:r>
              <w:t xml:space="preserve"> as arising </w:t>
            </w:r>
            <w:r w:rsidRPr="004F6DA8">
              <w:rPr>
                <w:u w:val="single"/>
              </w:rPr>
              <w:t>when those transactions</w:t>
            </w:r>
            <w:r>
              <w:t xml:space="preserve"> occur rather than when cash payment is made</w:t>
            </w:r>
            <w:r w:rsidR="004F65DE">
              <w:t xml:space="preserve">.  </w:t>
            </w:r>
            <w:r w:rsidRPr="002472CD">
              <w:t>The calculation of the fiscal balance is based on international standards</w:t>
            </w:r>
            <w:r>
              <w:t>.</w:t>
            </w:r>
          </w:p>
        </w:tc>
      </w:tr>
      <w:tr w:rsidR="00081301" w:rsidTr="008B002F">
        <w:tc>
          <w:tcPr>
            <w:cnfStyle w:val="001000000000" w:firstRow="0" w:lastRow="0" w:firstColumn="1" w:lastColumn="0" w:oddVBand="0" w:evenVBand="0" w:oddHBand="0" w:evenHBand="0" w:firstRowFirstColumn="0" w:firstRowLastColumn="0" w:lastRowFirstColumn="0" w:lastRowLastColumn="0"/>
            <w:tcW w:w="2694" w:type="dxa"/>
            <w:shd w:val="clear" w:color="auto" w:fill="FFFFFF" w:themeFill="background1"/>
          </w:tcPr>
          <w:p w:rsidR="00081301" w:rsidRPr="008B002F" w:rsidRDefault="00081301" w:rsidP="00AD56DF">
            <w:pPr>
              <w:rPr>
                <w:b/>
              </w:rPr>
            </w:pPr>
            <w:r w:rsidRPr="008B002F">
              <w:rPr>
                <w:b/>
              </w:rPr>
              <w:t>Underlying cash balance</w:t>
            </w:r>
          </w:p>
        </w:tc>
        <w:tc>
          <w:tcPr>
            <w:tcW w:w="5618" w:type="dxa"/>
            <w:shd w:val="clear" w:color="auto" w:fill="FFFFFF" w:themeFill="background1"/>
          </w:tcPr>
          <w:p w:rsidR="00081301" w:rsidRDefault="00081301" w:rsidP="00AD56DF">
            <w:pPr>
              <w:cnfStyle w:val="000000000000" w:firstRow="0" w:lastRow="0" w:firstColumn="0" w:lastColumn="0" w:oddVBand="0" w:evenVBand="0" w:oddHBand="0" w:evenHBand="0" w:firstRowFirstColumn="0" w:firstRowLastColumn="0" w:lastRowFirstColumn="0" w:lastRowLastColumn="0"/>
            </w:pPr>
            <w:r>
              <w:t xml:space="preserve">This measures the budget outcome in terms of the </w:t>
            </w:r>
            <w:r w:rsidR="006B6F60">
              <w:t>Australian Government</w:t>
            </w:r>
            <w:r>
              <w:t xml:space="preserve">’s </w:t>
            </w:r>
            <w:r w:rsidRPr="004F6DA8">
              <w:rPr>
                <w:u w:val="single"/>
              </w:rPr>
              <w:t>cash flow position</w:t>
            </w:r>
            <w:r>
              <w:t>, excluding transactions in financial assets and future fund cash earnings</w:t>
            </w:r>
            <w:r w:rsidR="004F65DE">
              <w:t xml:space="preserve">.  </w:t>
            </w:r>
            <w:r>
              <w:t>Transactions are measured at the time cash revenues are received or when cash payments are made.</w:t>
            </w:r>
          </w:p>
        </w:tc>
      </w:tr>
      <w:tr w:rsidR="00081301" w:rsidTr="008B0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none" w:sz="0" w:space="0" w:color="auto"/>
              <w:bottom w:val="single" w:sz="4" w:space="0" w:color="auto"/>
            </w:tcBorders>
          </w:tcPr>
          <w:p w:rsidR="00081301" w:rsidRPr="008B002F" w:rsidRDefault="00081301" w:rsidP="00AD56DF">
            <w:pPr>
              <w:rPr>
                <w:b/>
              </w:rPr>
            </w:pPr>
            <w:r w:rsidRPr="008B002F">
              <w:rPr>
                <w:b/>
              </w:rPr>
              <w:t>Headline cash balance</w:t>
            </w:r>
          </w:p>
        </w:tc>
        <w:tc>
          <w:tcPr>
            <w:tcW w:w="5618" w:type="dxa"/>
            <w:tcBorders>
              <w:top w:val="none" w:sz="0" w:space="0" w:color="auto"/>
              <w:bottom w:val="single" w:sz="4" w:space="0" w:color="auto"/>
            </w:tcBorders>
          </w:tcPr>
          <w:p w:rsidR="00081301" w:rsidRDefault="00081301" w:rsidP="00AD56DF">
            <w:pPr>
              <w:cnfStyle w:val="000000100000" w:firstRow="0" w:lastRow="0" w:firstColumn="0" w:lastColumn="0" w:oddVBand="0" w:evenVBand="0" w:oddHBand="1" w:evenHBand="0" w:firstRowFirstColumn="0" w:firstRowLastColumn="0" w:lastRowFirstColumn="0" w:lastRowLastColumn="0"/>
            </w:pPr>
            <w:proofErr w:type="gramStart"/>
            <w:r>
              <w:t>This measures</w:t>
            </w:r>
            <w:proofErr w:type="gramEnd"/>
            <w:r>
              <w:t xml:space="preserve"> the budget outcome in terms of the change in the </w:t>
            </w:r>
            <w:r w:rsidR="006B6F60">
              <w:t>Australian Government</w:t>
            </w:r>
            <w:r>
              <w:t xml:space="preserve">’s </w:t>
            </w:r>
            <w:r w:rsidRPr="004F6DA8">
              <w:rPr>
                <w:u w:val="single"/>
              </w:rPr>
              <w:t>holding of cash assets</w:t>
            </w:r>
            <w:r w:rsidR="004F65DE">
              <w:t xml:space="preserve">.  </w:t>
            </w:r>
            <w:r>
              <w:t>It includes transactions in financial assets and future fund cash earnings</w:t>
            </w:r>
            <w:r w:rsidR="004F65DE">
              <w:t xml:space="preserve">.  </w:t>
            </w:r>
            <w:r>
              <w:t>Transactions are measured at the time cash revenues are received or when cash payments are made</w:t>
            </w:r>
            <w:r w:rsidR="004F65DE">
              <w:t xml:space="preserve">.  </w:t>
            </w:r>
          </w:p>
        </w:tc>
      </w:tr>
    </w:tbl>
    <w:p w:rsidR="006C29B2" w:rsidRDefault="005F71AA" w:rsidP="004D6356">
      <w:pPr>
        <w:pStyle w:val="Heading3"/>
      </w:pPr>
      <w:bookmarkStart w:id="29" w:name="_Toc499799357"/>
      <w:r>
        <w:t>Treatment of public debt interest payments</w:t>
      </w:r>
      <w:bookmarkEnd w:id="29"/>
      <w:r w:rsidR="006C29B2">
        <w:t xml:space="preserve">  </w:t>
      </w:r>
    </w:p>
    <w:p w:rsidR="00953F01" w:rsidRDefault="002F5474" w:rsidP="00AE082F">
      <w:pPr>
        <w:pStyle w:val="BodyText"/>
      </w:pPr>
      <w:r>
        <w:t xml:space="preserve">All </w:t>
      </w:r>
      <w:r w:rsidR="00C508D1">
        <w:t>B</w:t>
      </w:r>
      <w:r>
        <w:t xml:space="preserve">udgets contain estimates of the interest payments expected to be made by the </w:t>
      </w:r>
      <w:r w:rsidR="006B6F60">
        <w:t>Australian Government</w:t>
      </w:r>
      <w:r>
        <w:t xml:space="preserve"> on the outstanding stock of public debt</w:t>
      </w:r>
      <w:r w:rsidR="00C4571D">
        <w:t>―</w:t>
      </w:r>
      <w:r>
        <w:t>th</w:t>
      </w:r>
      <w:r w:rsidR="00641F45">
        <w:t>ese</w:t>
      </w:r>
      <w:r>
        <w:t xml:space="preserve"> </w:t>
      </w:r>
      <w:r w:rsidR="00641F45">
        <w:t>are</w:t>
      </w:r>
      <w:r>
        <w:t xml:space="preserve"> called the ‘public debt interest</w:t>
      </w:r>
      <w:r w:rsidR="004324D8">
        <w:t>’</w:t>
      </w:r>
      <w:r>
        <w:t xml:space="preserve"> (PDI) expenses</w:t>
      </w:r>
      <w:r w:rsidR="004F65DE">
        <w:t xml:space="preserve">.  </w:t>
      </w:r>
    </w:p>
    <w:p w:rsidR="00AE082F" w:rsidRDefault="00AE082F" w:rsidP="00AE082F">
      <w:pPr>
        <w:pStyle w:val="BodyText"/>
      </w:pPr>
      <w:r>
        <w:t xml:space="preserve">All </w:t>
      </w:r>
      <w:r w:rsidR="00953F01">
        <w:t xml:space="preserve">policy proposals that </w:t>
      </w:r>
      <w:r w:rsidR="00ED0787">
        <w:t xml:space="preserve">alter the </w:t>
      </w:r>
      <w:r w:rsidR="00C508D1">
        <w:t>B</w:t>
      </w:r>
      <w:r w:rsidR="00ED0787">
        <w:t>udget</w:t>
      </w:r>
      <w:r w:rsidR="00953F01">
        <w:t xml:space="preserve"> </w:t>
      </w:r>
      <w:r>
        <w:t xml:space="preserve">will have a PDI </w:t>
      </w:r>
      <w:proofErr w:type="gramStart"/>
      <w:r>
        <w:t>impact,</w:t>
      </w:r>
      <w:proofErr w:type="gramEnd"/>
      <w:r>
        <w:t xml:space="preserve"> however </w:t>
      </w:r>
      <w:r w:rsidR="00953F01">
        <w:t xml:space="preserve">in most cases the PDI impact is sufficiently small that </w:t>
      </w:r>
      <w:r w:rsidR="00D77BE8">
        <w:t>we</w:t>
      </w:r>
      <w:r w:rsidR="00953F01">
        <w:t xml:space="preserve"> do not include this in the individual costing </w:t>
      </w:r>
      <w:r w:rsidR="00953F01">
        <w:lastRenderedPageBreak/>
        <w:t>estimates</w:t>
      </w:r>
      <w:r w:rsidR="00641F45">
        <w:t>.</w:t>
      </w:r>
      <w:r>
        <w:rPr>
          <w:rStyle w:val="FootnoteReference"/>
        </w:rPr>
        <w:footnoteReference w:id="11"/>
      </w:r>
      <w:r>
        <w:t xml:space="preserve">  </w:t>
      </w:r>
      <w:r w:rsidR="00641F45">
        <w:t>T</w:t>
      </w:r>
      <w:r>
        <w:t xml:space="preserve">he aggregate PDI impact of </w:t>
      </w:r>
      <w:r w:rsidR="00641F45">
        <w:t xml:space="preserve">all </w:t>
      </w:r>
      <w:r>
        <w:t>new policy measures</w:t>
      </w:r>
      <w:r w:rsidR="00641F45">
        <w:t xml:space="preserve"> </w:t>
      </w:r>
      <w:r>
        <w:t xml:space="preserve">is included in </w:t>
      </w:r>
      <w:r w:rsidR="00D77BE8">
        <w:t>our</w:t>
      </w:r>
      <w:r w:rsidR="00641F45">
        <w:t xml:space="preserve"> </w:t>
      </w:r>
      <w:r w:rsidR="003614C9">
        <w:t>P</w:t>
      </w:r>
      <w:r w:rsidR="00641F45">
        <w:t>ost</w:t>
      </w:r>
      <w:r w:rsidR="00ED0787">
        <w:noBreakHyphen/>
      </w:r>
      <w:r w:rsidR="003614C9">
        <w:t>E</w:t>
      </w:r>
      <w:r w:rsidR="00641F45">
        <w:t xml:space="preserve">lection </w:t>
      </w:r>
      <w:r w:rsidR="003614C9">
        <w:t>R</w:t>
      </w:r>
      <w:r w:rsidR="00641F45">
        <w:t xml:space="preserve">eport which captures the </w:t>
      </w:r>
      <w:r w:rsidR="00ED0787">
        <w:t>full policy platform for each designated parliamentary party.</w:t>
      </w:r>
    </w:p>
    <w:p w:rsidR="002F5474" w:rsidRDefault="002F5474" w:rsidP="00AE082F">
      <w:pPr>
        <w:pStyle w:val="BodyText"/>
      </w:pPr>
      <w:r>
        <w:t xml:space="preserve">An </w:t>
      </w:r>
      <w:r w:rsidR="00AE082F">
        <w:t xml:space="preserve">exception </w:t>
      </w:r>
      <w:r>
        <w:t xml:space="preserve">is made, however, where policy proposals </w:t>
      </w:r>
      <w:r w:rsidR="00AE082F">
        <w:t>involve the transactions in financial assets</w:t>
      </w:r>
      <w:r w:rsidR="004F65DE">
        <w:t xml:space="preserve">.  </w:t>
      </w:r>
      <w:r>
        <w:t xml:space="preserve">In these cases, </w:t>
      </w:r>
      <w:r w:rsidR="00AE082F">
        <w:t xml:space="preserve">the PDI </w:t>
      </w:r>
      <w:r w:rsidR="00641F45">
        <w:t xml:space="preserve">impact </w:t>
      </w:r>
      <w:r w:rsidR="00AE082F">
        <w:t xml:space="preserve">is included in the </w:t>
      </w:r>
      <w:r w:rsidR="00641F45">
        <w:t xml:space="preserve">individual </w:t>
      </w:r>
      <w:r w:rsidR="00AE082F">
        <w:t>costing</w:t>
      </w:r>
      <w:r w:rsidR="004F65DE">
        <w:t xml:space="preserve">.  </w:t>
      </w:r>
    </w:p>
    <w:p w:rsidR="00AE082F" w:rsidRDefault="00AE082F" w:rsidP="00AE082F">
      <w:pPr>
        <w:pStyle w:val="BodyText"/>
      </w:pPr>
      <w:r>
        <w:t xml:space="preserve">Factors taken into consideration when deciding to </w:t>
      </w:r>
      <w:r w:rsidR="00641F45">
        <w:t xml:space="preserve">explicitly </w:t>
      </w:r>
      <w:r>
        <w:t>take account of PDI impacts in costing</w:t>
      </w:r>
      <w:r w:rsidR="00C2482E">
        <w:t>s</w:t>
      </w:r>
      <w:r>
        <w:t xml:space="preserve"> include:</w:t>
      </w:r>
    </w:p>
    <w:p w:rsidR="00AE082F" w:rsidRDefault="00AE082F" w:rsidP="00AE082F">
      <w:pPr>
        <w:pStyle w:val="ListBullet"/>
      </w:pPr>
      <w:r>
        <w:t xml:space="preserve">Does the proposal have a clear policy </w:t>
      </w:r>
      <w:r w:rsidR="00641F45">
        <w:t>link to</w:t>
      </w:r>
      <w:r>
        <w:t xml:space="preserve"> the level of interest payments</w:t>
      </w:r>
      <w:r w:rsidR="00641F45">
        <w:t xml:space="preserve"> that beneficiaries of the policy will pay</w:t>
      </w:r>
      <w:r>
        <w:t>?</w:t>
      </w:r>
    </w:p>
    <w:p w:rsidR="00AE082F" w:rsidRDefault="00AE082F" w:rsidP="00AE082F">
      <w:pPr>
        <w:pStyle w:val="ListBullet2"/>
      </w:pPr>
      <w:r>
        <w:t>In particular, does the policy/analysis relate to the transaction of financial assets (for example loan schemes, equity injections)?</w:t>
      </w:r>
    </w:p>
    <w:p w:rsidR="00641F45" w:rsidRDefault="00641F45" w:rsidP="00760A64">
      <w:pPr>
        <w:pStyle w:val="ListBullet"/>
      </w:pPr>
      <w:r>
        <w:t>Is the PDI impact significant?</w:t>
      </w:r>
    </w:p>
    <w:p w:rsidR="006C29B2" w:rsidRDefault="00641F45" w:rsidP="00ED0787">
      <w:pPr>
        <w:pStyle w:val="ListBullet2"/>
      </w:pPr>
      <w:r>
        <w:t>In particular, i</w:t>
      </w:r>
      <w:r w:rsidR="00AE082F">
        <w:t>f the impact on PDI payments was not included, would the aggregate impact of the proposal (</w:t>
      </w:r>
      <w:r w:rsidR="00D35473">
        <w:t>fiscal balance, underlying cash balance or headline cash balance</w:t>
      </w:r>
      <w:r w:rsidR="00AE082F">
        <w:t xml:space="preserve">) </w:t>
      </w:r>
      <w:r w:rsidR="009912BE">
        <w:t xml:space="preserve">present a misleading indication of the impact of the proposal on the </w:t>
      </w:r>
      <w:r w:rsidR="00C2482E">
        <w:t>Budget</w:t>
      </w:r>
      <w:r w:rsidR="00A13AC6">
        <w:t>?</w:t>
      </w:r>
    </w:p>
    <w:p w:rsidR="00A10FD9" w:rsidRDefault="00A10FD9" w:rsidP="004D6356">
      <w:pPr>
        <w:pStyle w:val="Heading3"/>
      </w:pPr>
      <w:bookmarkStart w:id="30" w:name="_Toc499799358"/>
      <w:r>
        <w:t>Rounding</w:t>
      </w:r>
      <w:bookmarkEnd w:id="30"/>
    </w:p>
    <w:p w:rsidR="00A10FD9" w:rsidRDefault="00A10FD9" w:rsidP="00A10FD9">
      <w:pPr>
        <w:pStyle w:val="BodyText"/>
      </w:pPr>
      <w:r>
        <w:t>In presenting costing estimates</w:t>
      </w:r>
      <w:r w:rsidR="002F5474">
        <w:t>,</w:t>
      </w:r>
      <w:r>
        <w:t xml:space="preserve"> the PBO is aware that there are errors in estimation, which will generally increase in proportion with the size of an estimate and the uncertainty of the source data and assumptions used to produce an estimate</w:t>
      </w:r>
      <w:r w:rsidR="004F65DE">
        <w:t xml:space="preserve">.  </w:t>
      </w:r>
      <w:r>
        <w:t>The purpose of rounding estimates is to retain the meaningful information within an estimate while discarding spurious information.</w:t>
      </w:r>
    </w:p>
    <w:p w:rsidR="00A10FD9" w:rsidRDefault="00A10FD9" w:rsidP="00760A64">
      <w:pPr>
        <w:pStyle w:val="BodyText"/>
      </w:pPr>
      <w:r>
        <w:t>The more uncertain an estimate is, the larger the rounding factor applied will be re</w:t>
      </w:r>
      <w:r w:rsidR="002F5474">
        <w:t>lative to the costing estimate</w:t>
      </w:r>
      <w:r w:rsidR="004F65DE">
        <w:t xml:space="preserve">.  </w:t>
      </w:r>
      <w:r w:rsidR="00F42914">
        <w:t xml:space="preserve">The methodology section of </w:t>
      </w:r>
      <w:r w:rsidR="00D77BE8">
        <w:t xml:space="preserve">our </w:t>
      </w:r>
      <w:r w:rsidR="00F42914">
        <w:t>costing minutes includes information on the rounding that has been applied when reporting the costing estimates</w:t>
      </w:r>
      <w:r w:rsidR="004F65DE">
        <w:t xml:space="preserve">.  </w:t>
      </w:r>
    </w:p>
    <w:p w:rsidR="004F6DA8" w:rsidRDefault="004F6DA8" w:rsidP="004D6356">
      <w:pPr>
        <w:pStyle w:val="Heading3"/>
      </w:pPr>
      <w:bookmarkStart w:id="31" w:name="_Toc499799359"/>
      <w:r>
        <w:t>Unquantifiable estimates</w:t>
      </w:r>
      <w:bookmarkEnd w:id="31"/>
    </w:p>
    <w:p w:rsidR="004F6DA8" w:rsidRDefault="004F6DA8" w:rsidP="004F6DA8">
      <w:pPr>
        <w:pStyle w:val="BodyText"/>
      </w:pPr>
      <w:r>
        <w:t>Where a proposal cannot be reliably costed, the financial implications will be reported as unquantifiable</w:t>
      </w:r>
      <w:r w:rsidR="004F65DE">
        <w:t xml:space="preserve">.  </w:t>
      </w:r>
      <w:r>
        <w:t>The financial impact of a proposal that is reported as unquantifiable is not zero, and may be very substantial</w:t>
      </w:r>
      <w:r w:rsidR="004F65DE">
        <w:t xml:space="preserve">.  </w:t>
      </w:r>
      <w:r>
        <w:t>Accordingly, unquantifiable costings are avoided wherever possible because they do not provide useful information for input into decision making and may provide a misleading picture of the financial impact of a proposal.</w:t>
      </w:r>
    </w:p>
    <w:p w:rsidR="004F6DA8" w:rsidRDefault="004F6DA8" w:rsidP="004F6DA8">
      <w:pPr>
        <w:pStyle w:val="BodyText"/>
      </w:pPr>
      <w:r>
        <w:t>The main reason why a costing is unquantifiable will be a lack of reliable data or a very high level of volatility in the data used to cost the proposal</w:t>
      </w:r>
      <w:r w:rsidR="004F65DE">
        <w:t xml:space="preserve">.  </w:t>
      </w:r>
      <w:r>
        <w:t xml:space="preserve">Lack of data may be overcome to some degree by making assumptions about the values of missing variables to derive the order </w:t>
      </w:r>
      <w:r>
        <w:lastRenderedPageBreak/>
        <w:t>of magnitude of the cost of a particular proposal, although this will increase the uncertainty of the estimates</w:t>
      </w:r>
      <w:r w:rsidR="004F65DE">
        <w:t xml:space="preserve">.  </w:t>
      </w:r>
      <w:r>
        <w:t>Volatile data is more difficult as volatility is an indication that it may not be possible to reliably cost a proposal.</w:t>
      </w:r>
    </w:p>
    <w:p w:rsidR="004F6DA8" w:rsidRDefault="004F6DA8" w:rsidP="004F6DA8">
      <w:pPr>
        <w:pStyle w:val="BodyText"/>
      </w:pPr>
      <w:r>
        <w:t xml:space="preserve">Wherever possible </w:t>
      </w:r>
      <w:r w:rsidR="00D77BE8">
        <w:t>we</w:t>
      </w:r>
      <w:r>
        <w:t xml:space="preserve"> avoid unquantifiable estimates, and provide at least an indication of the expected order of magnitude of a costing.</w:t>
      </w:r>
    </w:p>
    <w:p w:rsidR="000631D3" w:rsidRDefault="000631D3" w:rsidP="00DD26C8">
      <w:pPr>
        <w:pStyle w:val="Heading1"/>
      </w:pPr>
      <w:bookmarkStart w:id="32" w:name="_Toc499799360"/>
      <w:r>
        <w:t xml:space="preserve">The costing </w:t>
      </w:r>
      <w:r w:rsidR="00A10FD9">
        <w:t>minute</w:t>
      </w:r>
      <w:bookmarkEnd w:id="32"/>
    </w:p>
    <w:p w:rsidR="00DA60F7" w:rsidRDefault="00FE5052" w:rsidP="0089389A">
      <w:pPr>
        <w:pStyle w:val="BodyText"/>
      </w:pPr>
      <w:r>
        <w:t xml:space="preserve">The costing minute </w:t>
      </w:r>
      <w:r w:rsidR="00CF5DCF">
        <w:t xml:space="preserve">is the document provided </w:t>
      </w:r>
      <w:r w:rsidR="008309D1">
        <w:t xml:space="preserve">in response to </w:t>
      </w:r>
      <w:r w:rsidR="00CF5DCF">
        <w:t xml:space="preserve">the request </w:t>
      </w:r>
      <w:r w:rsidR="008309D1">
        <w:t>of a p</w:t>
      </w:r>
      <w:r w:rsidR="00CF5DCF">
        <w:t xml:space="preserve">arliamentarian or appearing in </w:t>
      </w:r>
      <w:r w:rsidR="00C8488D">
        <w:t>our</w:t>
      </w:r>
      <w:r w:rsidR="00CF5DCF">
        <w:t xml:space="preserve"> Post-Election Report</w:t>
      </w:r>
      <w:r w:rsidR="004F65DE">
        <w:t xml:space="preserve">.  </w:t>
      </w:r>
      <w:r w:rsidR="00CF5DCF">
        <w:t xml:space="preserve">It generally includes </w:t>
      </w:r>
      <w:r w:rsidR="00DA60F7">
        <w:t>all of the</w:t>
      </w:r>
      <w:r w:rsidR="00F42914">
        <w:t xml:space="preserve"> key outputs from the costing process</w:t>
      </w:r>
      <w:r w:rsidR="004F65DE">
        <w:t xml:space="preserve">.  </w:t>
      </w:r>
    </w:p>
    <w:p w:rsidR="00FE5052" w:rsidRDefault="00F42914" w:rsidP="0089389A">
      <w:pPr>
        <w:pStyle w:val="BodyText"/>
      </w:pPr>
      <w:r>
        <w:t>This includes:</w:t>
      </w:r>
    </w:p>
    <w:p w:rsidR="00344549" w:rsidRDefault="007D6E8C" w:rsidP="00760A64">
      <w:pPr>
        <w:pStyle w:val="ListBullet"/>
      </w:pPr>
      <w:r>
        <w:t>A</w:t>
      </w:r>
      <w:r w:rsidR="00EC152B">
        <w:t xml:space="preserve"> </w:t>
      </w:r>
      <w:r w:rsidR="00344549">
        <w:t>summary of the policy proposal</w:t>
      </w:r>
      <w:r>
        <w:t>.</w:t>
      </w:r>
    </w:p>
    <w:p w:rsidR="00F42914" w:rsidRDefault="007D6E8C" w:rsidP="00760A64">
      <w:pPr>
        <w:pStyle w:val="ListBullet"/>
      </w:pPr>
      <w:r>
        <w:t>E</w:t>
      </w:r>
      <w:r w:rsidR="00DA60F7">
        <w:t>stimates of the impact of the implementation of the policy proposal on each of the different budget aggregates (fiscal</w:t>
      </w:r>
      <w:r w:rsidR="00D35473">
        <w:t xml:space="preserve"> balance</w:t>
      </w:r>
      <w:r w:rsidR="00DA60F7">
        <w:t xml:space="preserve">, underlying cash </w:t>
      </w:r>
      <w:r w:rsidR="00D35473">
        <w:t xml:space="preserve">balance </w:t>
      </w:r>
      <w:r w:rsidR="00DA60F7">
        <w:t>and headline cash</w:t>
      </w:r>
      <w:r w:rsidR="00D35473">
        <w:t xml:space="preserve"> balance</w:t>
      </w:r>
      <w:r w:rsidR="00DA60F7">
        <w:t xml:space="preserve">) over the forward estimates (the current budget year plus </w:t>
      </w:r>
      <w:r w:rsidR="004F6DA8">
        <w:t xml:space="preserve">the </w:t>
      </w:r>
      <w:r w:rsidR="00DA60F7">
        <w:t xml:space="preserve">three </w:t>
      </w:r>
      <w:r w:rsidR="004F6DA8">
        <w:t>following</w:t>
      </w:r>
      <w:r w:rsidR="00DA60F7">
        <w:t xml:space="preserve"> years)</w:t>
      </w:r>
      <w:r>
        <w:t>.</w:t>
      </w:r>
    </w:p>
    <w:p w:rsidR="00F42914" w:rsidRDefault="007D6E8C" w:rsidP="00760A64">
      <w:pPr>
        <w:pStyle w:val="ListBullet"/>
      </w:pPr>
      <w:r>
        <w:t>D</w:t>
      </w:r>
      <w:r w:rsidR="00DA60F7">
        <w:t xml:space="preserve">etailed estimates of the budget impact over the medium term (generally ten years, although longer if </w:t>
      </w:r>
      <w:r w:rsidR="00C8488D">
        <w:t>we</w:t>
      </w:r>
      <w:r w:rsidR="00DA60F7">
        <w:t xml:space="preserve"> deem this is warranted) including:</w:t>
      </w:r>
    </w:p>
    <w:p w:rsidR="00DA60F7" w:rsidRDefault="007D6E8C" w:rsidP="00DA60F7">
      <w:pPr>
        <w:pStyle w:val="ListBullet2"/>
      </w:pPr>
      <w:r>
        <w:t>D</w:t>
      </w:r>
      <w:r w:rsidR="00DA60F7">
        <w:t>isaggregated estimates, where possible, by individual expenditure</w:t>
      </w:r>
      <w:r w:rsidR="004F6DA8">
        <w:t>,</w:t>
      </w:r>
      <w:r w:rsidR="00DA60F7">
        <w:t xml:space="preserve"> revenue </w:t>
      </w:r>
      <w:r w:rsidR="004F6DA8">
        <w:t xml:space="preserve">and net capital investment </w:t>
      </w:r>
      <w:r w:rsidR="00DA60F7">
        <w:t>line items</w:t>
      </w:r>
      <w:r>
        <w:t>.</w:t>
      </w:r>
    </w:p>
    <w:p w:rsidR="005A28CA" w:rsidRDefault="007D6E8C" w:rsidP="00DA60F7">
      <w:pPr>
        <w:pStyle w:val="ListBullet2"/>
      </w:pPr>
      <w:r>
        <w:t>D</w:t>
      </w:r>
      <w:r w:rsidR="005A28CA">
        <w:t xml:space="preserve">isaggregated estimates </w:t>
      </w:r>
      <w:r w:rsidR="00344549">
        <w:t>across the discrete elements of a policy proposal, where relevant</w:t>
      </w:r>
      <w:r>
        <w:t>.</w:t>
      </w:r>
    </w:p>
    <w:p w:rsidR="00DA60F7" w:rsidRDefault="007D6E8C" w:rsidP="00DA60F7">
      <w:pPr>
        <w:pStyle w:val="ListBullet2"/>
      </w:pPr>
      <w:r>
        <w:t>E</w:t>
      </w:r>
      <w:r w:rsidR="00DA60F7">
        <w:t>stimates of the change in departmental resources required to implement the policy proposal</w:t>
      </w:r>
      <w:r w:rsidR="004F6DA8">
        <w:t xml:space="preserve"> (the minute provides a rationale where departmental costs of administering the policy are not included)</w:t>
      </w:r>
      <w:r>
        <w:t>.</w:t>
      </w:r>
    </w:p>
    <w:p w:rsidR="004F6DA8" w:rsidRDefault="007D6E8C" w:rsidP="004F6DA8">
      <w:pPr>
        <w:pStyle w:val="ListBullet"/>
      </w:pPr>
      <w:r>
        <w:t>A</w:t>
      </w:r>
      <w:r w:rsidR="004F6DA8">
        <w:t xml:space="preserve"> summary of the methodology and assumptions used to generate the costing</w:t>
      </w:r>
      <w:r>
        <w:t>.</w:t>
      </w:r>
    </w:p>
    <w:p w:rsidR="004F6DA8" w:rsidRDefault="007D6E8C" w:rsidP="00344549">
      <w:pPr>
        <w:pStyle w:val="ListBullet"/>
      </w:pPr>
      <w:r>
        <w:t>I</w:t>
      </w:r>
      <w:r w:rsidR="004F6DA8">
        <w:t>dentification of the data sources that underpin the costing</w:t>
      </w:r>
      <w:r>
        <w:t>.</w:t>
      </w:r>
    </w:p>
    <w:p w:rsidR="001B2A6F" w:rsidRDefault="007D6E8C" w:rsidP="00AD01B2">
      <w:pPr>
        <w:pStyle w:val="ListBullet"/>
      </w:pPr>
      <w:r>
        <w:t>A</w:t>
      </w:r>
      <w:r w:rsidR="004F6DA8">
        <w:t xml:space="preserve"> statement about the </w:t>
      </w:r>
      <w:r w:rsidR="001B2A6F">
        <w:t xml:space="preserve">factors affecting the </w:t>
      </w:r>
      <w:r w:rsidR="004F6DA8">
        <w:t>reliability of the costing estimates</w:t>
      </w:r>
      <w:r>
        <w:t>.</w:t>
      </w:r>
    </w:p>
    <w:p w:rsidR="00CF5DCF" w:rsidRDefault="007D6E8C" w:rsidP="00AD01B2">
      <w:pPr>
        <w:pStyle w:val="ListBullet"/>
      </w:pPr>
      <w:r>
        <w:t>A</w:t>
      </w:r>
      <w:r w:rsidR="00CF5DCF">
        <w:t>dditional analysis</w:t>
      </w:r>
      <w:r w:rsidR="007A4E82">
        <w:t>, if</w:t>
      </w:r>
      <w:r w:rsidR="004D6356">
        <w:t xml:space="preserve"> </w:t>
      </w:r>
      <w:r w:rsidR="00CF5DCF">
        <w:t>requested.</w:t>
      </w:r>
    </w:p>
    <w:p w:rsidR="00CB6301" w:rsidRDefault="006952A9" w:rsidP="00CB6301">
      <w:pPr>
        <w:pStyle w:val="BodyText"/>
      </w:pPr>
      <w:r>
        <w:t>E</w:t>
      </w:r>
      <w:r w:rsidR="00CB6301">
        <w:t xml:space="preserve">xamples of two costing minutes are provided at </w:t>
      </w:r>
      <w:r w:rsidR="00CB6301" w:rsidRPr="00DA44F2">
        <w:rPr>
          <w:u w:val="single"/>
        </w:rPr>
        <w:t xml:space="preserve">Appendix </w:t>
      </w:r>
      <w:r w:rsidR="00344549" w:rsidRPr="00DA44F2">
        <w:rPr>
          <w:u w:val="single"/>
        </w:rPr>
        <w:t>A</w:t>
      </w:r>
      <w:r w:rsidR="004F65DE" w:rsidRPr="00DA44F2">
        <w:rPr>
          <w:u w:val="single"/>
        </w:rPr>
        <w:t>.</w:t>
      </w:r>
      <w:r w:rsidR="004F65DE">
        <w:t xml:space="preserve">  </w:t>
      </w:r>
    </w:p>
    <w:p w:rsidR="00125669" w:rsidRDefault="00125669" w:rsidP="00125669">
      <w:pPr>
        <w:pStyle w:val="Heading1NoNumbering"/>
        <w:sectPr w:rsidR="00125669" w:rsidSect="0000428C">
          <w:footerReference w:type="even" r:id="rId26"/>
          <w:footerReference w:type="default" r:id="rId27"/>
          <w:type w:val="evenPage"/>
          <w:pgSz w:w="11906" w:h="16838" w:code="9"/>
          <w:pgMar w:top="1361" w:right="1797" w:bottom="1474" w:left="1797" w:header="283" w:footer="454" w:gutter="0"/>
          <w:pgNumType w:start="1"/>
          <w:cols w:space="708"/>
          <w:docGrid w:linePitch="360"/>
        </w:sectPr>
      </w:pPr>
      <w:bookmarkStart w:id="33" w:name="_:__Behavioural"/>
      <w:bookmarkStart w:id="34" w:name="_:__Accounting"/>
      <w:bookmarkStart w:id="35" w:name="_:__Public"/>
      <w:bookmarkEnd w:id="33"/>
      <w:bookmarkEnd w:id="34"/>
      <w:bookmarkEnd w:id="35"/>
    </w:p>
    <w:p w:rsidR="00C62DA3" w:rsidRDefault="00125669" w:rsidP="00125669">
      <w:pPr>
        <w:pStyle w:val="Heading1NoNumbering"/>
      </w:pPr>
      <w:bookmarkStart w:id="36" w:name="_Toc499799361"/>
      <w:r>
        <w:lastRenderedPageBreak/>
        <w:t>Appendix A</w:t>
      </w:r>
      <w:r w:rsidR="00C62DA3">
        <w:t>: Examples of costing minutes</w:t>
      </w:r>
      <w:bookmarkEnd w:id="36"/>
    </w:p>
    <w:p w:rsidR="0012244B" w:rsidRPr="0012244B" w:rsidRDefault="0012244B" w:rsidP="0012244B">
      <w:pPr>
        <w:pStyle w:val="BodyText"/>
      </w:pPr>
      <w:r>
        <w:t xml:space="preserve">Examples of costing minutes that are available in the PBO </w:t>
      </w:r>
      <w:r w:rsidR="00055764">
        <w:t>P</w:t>
      </w:r>
      <w:r>
        <w:t>ost-</w:t>
      </w:r>
      <w:r w:rsidR="00055764">
        <w:t>E</w:t>
      </w:r>
      <w:r>
        <w:t xml:space="preserve">lection </w:t>
      </w:r>
      <w:r w:rsidR="00055764">
        <w:t>R</w:t>
      </w:r>
      <w:r>
        <w:t xml:space="preserve">eports on </w:t>
      </w:r>
      <w:r w:rsidR="00A053F3">
        <w:t>our</w:t>
      </w:r>
      <w:r>
        <w:t xml:space="preserve"> website are included below</w:t>
      </w:r>
      <w:r w:rsidR="004F65DE">
        <w:t xml:space="preserve">.  </w:t>
      </w:r>
      <w:r>
        <w:t>These are included because they show the layout of some typical PBO costings and how various elements of the costing are set out.</w:t>
      </w:r>
    </w:p>
    <w:p w:rsidR="0012244B" w:rsidRDefault="00F218B5" w:rsidP="0012244B">
      <w:pPr>
        <w:pStyle w:val="Heading4"/>
        <w:rPr>
          <w:rStyle w:val="BodyTextChar"/>
        </w:rPr>
      </w:pPr>
      <w:proofErr w:type="gramStart"/>
      <w:r>
        <w:t>A</w:t>
      </w:r>
      <w:r w:rsidR="0012244B">
        <w:t>.1  2016</w:t>
      </w:r>
      <w:proofErr w:type="gramEnd"/>
      <w:r w:rsidR="0012244B">
        <w:t xml:space="preserve"> </w:t>
      </w:r>
      <w:r w:rsidR="0012244B" w:rsidRPr="00DF447F">
        <w:rPr>
          <w:rStyle w:val="BodyTextChar"/>
        </w:rPr>
        <w:t>PER ALP026</w:t>
      </w:r>
      <w:r w:rsidR="00AA1CAF">
        <w:rPr>
          <w:rStyle w:val="BodyTextChar"/>
        </w:rPr>
        <w:t>—</w:t>
      </w:r>
      <w:r w:rsidR="0012244B" w:rsidRPr="00DF447F">
        <w:rPr>
          <w:rStyle w:val="BodyTextChar"/>
        </w:rPr>
        <w:t xml:space="preserve">Not proceeding with </w:t>
      </w:r>
      <w:r w:rsidR="007D6E8C">
        <w:rPr>
          <w:rStyle w:val="BodyTextChar"/>
        </w:rPr>
        <w:t xml:space="preserve">income </w:t>
      </w:r>
      <w:r w:rsidR="0012244B" w:rsidRPr="00DF447F">
        <w:rPr>
          <w:rStyle w:val="BodyTextChar"/>
        </w:rPr>
        <w:t>tax cuts for high-income Australians</w:t>
      </w:r>
    </w:p>
    <w:p w:rsidR="0012244B" w:rsidRDefault="0012244B" w:rsidP="0012244B">
      <w:pPr>
        <w:pStyle w:val="BodyText"/>
      </w:pPr>
      <w:r w:rsidRPr="0012244B">
        <w:rPr>
          <w:rStyle w:val="BodyTextChar"/>
        </w:rPr>
        <w:t>This costing</w:t>
      </w:r>
      <w:r>
        <w:rPr>
          <w:rStyle w:val="BodyTextChar"/>
        </w:rPr>
        <w:t xml:space="preserve"> provides a good example of a </w:t>
      </w:r>
      <w:r w:rsidR="002D6DE0">
        <w:rPr>
          <w:rStyle w:val="BodyTextChar"/>
        </w:rPr>
        <w:t xml:space="preserve">policy proposal </w:t>
      </w:r>
      <w:r>
        <w:rPr>
          <w:rStyle w:val="BodyTextChar"/>
        </w:rPr>
        <w:t xml:space="preserve">that has financial implications </w:t>
      </w:r>
      <w:r w:rsidR="002D6DE0">
        <w:rPr>
          <w:rStyle w:val="BodyTextChar"/>
        </w:rPr>
        <w:t>where there is a significant difference between the financial implications within and beyond the forward estimates period</w:t>
      </w:r>
      <w:r w:rsidR="004F65DE">
        <w:rPr>
          <w:rStyle w:val="BodyTextChar"/>
        </w:rPr>
        <w:t xml:space="preserve">.  </w:t>
      </w:r>
      <w:r>
        <w:rPr>
          <w:rStyle w:val="BodyTextChar"/>
        </w:rPr>
        <w:t>It includes behavioural response assumptions</w:t>
      </w:r>
      <w:r w:rsidR="00014211">
        <w:rPr>
          <w:rStyle w:val="BodyTextChar"/>
        </w:rPr>
        <w:t xml:space="preserve"> and the methodology section sets out the separate calculations required for the costing.</w:t>
      </w:r>
    </w:p>
    <w:p w:rsidR="00C62DA3" w:rsidRDefault="00F218B5" w:rsidP="0012244B">
      <w:pPr>
        <w:pStyle w:val="Heading4"/>
        <w:rPr>
          <w:rStyle w:val="BodyTextChar"/>
        </w:rPr>
      </w:pPr>
      <w:proofErr w:type="gramStart"/>
      <w:r>
        <w:t>A</w:t>
      </w:r>
      <w:r w:rsidR="0012244B">
        <w:t>.2</w:t>
      </w:r>
      <w:r w:rsidR="00C62DA3">
        <w:t xml:space="preserve"> </w:t>
      </w:r>
      <w:r w:rsidR="0012244B">
        <w:t xml:space="preserve"> 2016</w:t>
      </w:r>
      <w:proofErr w:type="gramEnd"/>
      <w:r w:rsidR="00764326">
        <w:t xml:space="preserve"> </w:t>
      </w:r>
      <w:r w:rsidR="00C62DA3" w:rsidRPr="00DF447F">
        <w:rPr>
          <w:rStyle w:val="BodyTextChar"/>
        </w:rPr>
        <w:t xml:space="preserve">PER </w:t>
      </w:r>
      <w:r w:rsidR="00C62DA3">
        <w:rPr>
          <w:rStyle w:val="BodyTextChar"/>
        </w:rPr>
        <w:t>GRN033</w:t>
      </w:r>
      <w:r w:rsidR="00AA1CAF">
        <w:rPr>
          <w:rStyle w:val="BodyTextChar"/>
        </w:rPr>
        <w:t>—</w:t>
      </w:r>
      <w:r w:rsidR="00723252" w:rsidRPr="00723252">
        <w:rPr>
          <w:rStyle w:val="BodyTextChar"/>
        </w:rPr>
        <w:t>Universities:</w:t>
      </w:r>
      <w:r w:rsidR="00C62DA3" w:rsidRPr="00E91BCD">
        <w:rPr>
          <w:rStyle w:val="BodyTextChar"/>
        </w:rPr>
        <w:t xml:space="preserve"> Base Funding Lift</w:t>
      </w:r>
    </w:p>
    <w:p w:rsidR="00723252" w:rsidRDefault="00014211" w:rsidP="00344549">
      <w:pPr>
        <w:pStyle w:val="BodyText"/>
        <w:rPr>
          <w:rStyle w:val="BodyTextChar"/>
        </w:rPr>
      </w:pPr>
      <w:r>
        <w:rPr>
          <w:rStyle w:val="BodyTextChar"/>
        </w:rPr>
        <w:t>This costing is a good example of a costing that reports impacts on each of the fiscal balance, underlying cash balance and the headline cash balance and, because it involves student loans, includes an estimate of the impact of the p</w:t>
      </w:r>
      <w:r w:rsidR="00344549">
        <w:rPr>
          <w:rStyle w:val="BodyTextChar"/>
        </w:rPr>
        <w:t>roposal on public debt interest.</w:t>
      </w:r>
    </w:p>
    <w:p w:rsidR="00723252" w:rsidRDefault="00723252">
      <w:pPr>
        <w:rPr>
          <w:rStyle w:val="BodyTextChar"/>
        </w:rPr>
      </w:pPr>
      <w:r>
        <w:rPr>
          <w:rStyle w:val="BodyTextChar"/>
        </w:rPr>
        <w:br w:type="page"/>
      </w:r>
    </w:p>
    <w:p w:rsidR="00AA1CAF" w:rsidRDefault="00AA1CAF" w:rsidP="00346892">
      <w:pPr>
        <w:pStyle w:val="Heading2"/>
        <w:numPr>
          <w:ilvl w:val="0"/>
          <w:numId w:val="0"/>
        </w:numPr>
        <w:spacing w:after="320"/>
      </w:pPr>
      <w:bookmarkStart w:id="37" w:name="_Toc499799362"/>
      <w:proofErr w:type="gramStart"/>
      <w:r w:rsidRPr="00AA1CAF">
        <w:lastRenderedPageBreak/>
        <w:t>A.1  2016</w:t>
      </w:r>
      <w:proofErr w:type="gramEnd"/>
      <w:r w:rsidRPr="00AA1CAF">
        <w:t xml:space="preserve"> PER ALP026</w:t>
      </w:r>
      <w:r>
        <w:t>—</w:t>
      </w:r>
      <w:r w:rsidRPr="00AA1CAF">
        <w:t>Not proceeding with income tax cuts for high-income Australians</w:t>
      </w:r>
      <w:bookmarkEnd w:id="37"/>
    </w:p>
    <w:p w:rsidR="00723252" w:rsidRDefault="00723252" w:rsidP="00346892">
      <w:pPr>
        <w:spacing w:after="300"/>
        <w:rPr>
          <w:rFonts w:asciiTheme="majorHAnsi" w:hAnsiTheme="majorHAnsi"/>
          <w:color w:val="2B3B5F" w:themeColor="accent1"/>
          <w:sz w:val="32"/>
          <w:szCs w:val="32"/>
        </w:rPr>
      </w:pPr>
      <w:r>
        <w:rPr>
          <w:noProof/>
          <w:lang w:eastAsia="en-AU"/>
        </w:rPr>
        <w:drawing>
          <wp:inline distT="0" distB="0" distL="0" distR="0" wp14:anchorId="70AAB1C7" wp14:editId="5F731707">
            <wp:extent cx="2696845" cy="572135"/>
            <wp:effectExtent l="0" t="0" r="8255" b="0"/>
            <wp:docPr id="12" name="Picture 12" title="Parliamentary Budge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p w:rsidR="00723252" w:rsidRPr="00346892" w:rsidRDefault="00723252" w:rsidP="00346892">
      <w:pPr>
        <w:spacing w:after="300"/>
        <w:rPr>
          <w:rFonts w:asciiTheme="majorHAnsi" w:hAnsiTheme="majorHAnsi"/>
          <w:color w:val="2B3B5F" w:themeColor="accent1"/>
          <w:sz w:val="32"/>
          <w:szCs w:val="32"/>
        </w:rPr>
      </w:pPr>
      <w:r w:rsidRPr="00346892">
        <w:rPr>
          <w:rFonts w:asciiTheme="majorHAnsi" w:hAnsiTheme="majorHAnsi"/>
          <w:color w:val="2B3B5F" w:themeColor="accent1"/>
          <w:sz w:val="32"/>
          <w:szCs w:val="32"/>
        </w:rPr>
        <w:t>Policy costing—2016 post-election report</w:t>
      </w:r>
    </w:p>
    <w:tbl>
      <w:tblPr>
        <w:tblStyle w:val="Style1"/>
        <w:tblW w:w="5000" w:type="pct"/>
        <w:tblInd w:w="108" w:type="dxa"/>
        <w:tblLook w:val="06A0" w:firstRow="1" w:lastRow="0" w:firstColumn="1" w:lastColumn="0" w:noHBand="1" w:noVBand="1"/>
      </w:tblPr>
      <w:tblGrid>
        <w:gridCol w:w="3085"/>
        <w:gridCol w:w="5443"/>
      </w:tblGrid>
      <w:tr w:rsidR="00723252" w:rsidRPr="00723252" w:rsidTr="00346892">
        <w:trPr>
          <w:cnfStyle w:val="100000000000" w:firstRow="1" w:lastRow="0" w:firstColumn="0" w:lastColumn="0" w:oddVBand="0" w:evenVBand="0" w:oddHBand="0" w:evenHBand="0" w:firstRowFirstColumn="0" w:firstRowLastColumn="0" w:lastRowFirstColumn="0" w:lastRowLastColumn="0"/>
        </w:trPr>
        <w:tc>
          <w:tcPr>
            <w:tcW w:w="1809" w:type="pct"/>
          </w:tcPr>
          <w:p w:rsidR="00723252" w:rsidRPr="00723252" w:rsidRDefault="00723252" w:rsidP="00723252">
            <w:pPr>
              <w:keepNext/>
              <w:keepLines/>
              <w:spacing w:before="114" w:after="114" w:line="260" w:lineRule="atLeast"/>
              <w:rPr>
                <w:spacing w:val="-1"/>
              </w:rPr>
            </w:pPr>
            <w:r w:rsidRPr="00723252">
              <w:rPr>
                <w:spacing w:val="-1"/>
              </w:rPr>
              <w:t>Name of proposal:</w:t>
            </w:r>
          </w:p>
        </w:tc>
        <w:tc>
          <w:tcPr>
            <w:tcW w:w="3191" w:type="pct"/>
          </w:tcPr>
          <w:p w:rsidR="00723252" w:rsidRPr="00723252" w:rsidRDefault="00723252" w:rsidP="00723252">
            <w:pPr>
              <w:keepNext/>
              <w:keepLines/>
              <w:spacing w:before="114" w:after="114" w:line="260" w:lineRule="atLeast"/>
              <w:rPr>
                <w:spacing w:val="-1"/>
              </w:rPr>
            </w:pPr>
            <w:r w:rsidRPr="00723252">
              <w:rPr>
                <w:spacing w:val="-1"/>
              </w:rPr>
              <w:t>Not proceeding with income tax cuts for high-income Australians</w:t>
            </w:r>
          </w:p>
        </w:tc>
      </w:tr>
      <w:tr w:rsidR="00723252" w:rsidRPr="00723252" w:rsidTr="00346892">
        <w:tc>
          <w:tcPr>
            <w:tcW w:w="1809" w:type="pct"/>
          </w:tcPr>
          <w:p w:rsidR="00723252" w:rsidRPr="00723252" w:rsidRDefault="00723252" w:rsidP="00723252">
            <w:pPr>
              <w:spacing w:before="113" w:after="113" w:line="260" w:lineRule="atLeast"/>
              <w:rPr>
                <w:spacing w:val="-1"/>
              </w:rPr>
            </w:pPr>
            <w:r w:rsidRPr="00723252">
              <w:rPr>
                <w:spacing w:val="-1"/>
              </w:rPr>
              <w:t>Summary of proposal:</w:t>
            </w:r>
          </w:p>
        </w:tc>
        <w:tc>
          <w:tcPr>
            <w:tcW w:w="3191" w:type="pct"/>
          </w:tcPr>
          <w:p w:rsidR="00723252" w:rsidRPr="00723252" w:rsidRDefault="00723252" w:rsidP="00723252">
            <w:pPr>
              <w:spacing w:before="113" w:after="113" w:line="260" w:lineRule="atLeast"/>
              <w:rPr>
                <w:spacing w:val="-1"/>
              </w:rPr>
            </w:pPr>
            <w:r w:rsidRPr="00723252">
              <w:rPr>
                <w:spacing w:val="-1"/>
              </w:rPr>
              <w:t>The Temporary Budget Repair Levy (TBRL) is a 2 per cent levy on taxable incomes in excess of $180,000 applying in 2014-15, 2015-16 and 2016-17.</w:t>
            </w:r>
          </w:p>
          <w:p w:rsidR="00723252" w:rsidRPr="00723252" w:rsidRDefault="00723252" w:rsidP="00723252">
            <w:pPr>
              <w:spacing w:before="113" w:after="113" w:line="260" w:lineRule="atLeast"/>
              <w:rPr>
                <w:spacing w:val="-1"/>
              </w:rPr>
            </w:pPr>
            <w:r w:rsidRPr="00723252">
              <w:rPr>
                <w:spacing w:val="-1"/>
              </w:rPr>
              <w:t>The proposal would extend the TBRL indefinitely.</w:t>
            </w:r>
          </w:p>
          <w:p w:rsidR="00723252" w:rsidRPr="00723252" w:rsidRDefault="00723252" w:rsidP="00723252">
            <w:pPr>
              <w:spacing w:before="113" w:after="113" w:line="260" w:lineRule="atLeast"/>
              <w:rPr>
                <w:spacing w:val="-1"/>
              </w:rPr>
            </w:pPr>
            <w:r w:rsidRPr="00723252">
              <w:rPr>
                <w:spacing w:val="-1"/>
              </w:rPr>
              <w:t>The proposal would also increase the Fringe Benefits Tax (FBT) by 2 per cent.</w:t>
            </w:r>
          </w:p>
          <w:p w:rsidR="00723252" w:rsidRPr="00723252" w:rsidRDefault="00723252" w:rsidP="00723252">
            <w:pPr>
              <w:spacing w:before="113" w:after="113" w:line="260" w:lineRule="atLeast"/>
              <w:rPr>
                <w:spacing w:val="-1"/>
              </w:rPr>
            </w:pPr>
            <w:r w:rsidRPr="00723252">
              <w:rPr>
                <w:spacing w:val="-1"/>
              </w:rPr>
              <w:t>The proposal would have effect from 1 July 2017.</w:t>
            </w:r>
          </w:p>
        </w:tc>
      </w:tr>
      <w:tr w:rsidR="00723252" w:rsidRPr="00723252" w:rsidTr="00346892">
        <w:tc>
          <w:tcPr>
            <w:tcW w:w="1809" w:type="pct"/>
          </w:tcPr>
          <w:p w:rsidR="00723252" w:rsidRPr="00723252" w:rsidRDefault="00723252" w:rsidP="00723252">
            <w:pPr>
              <w:spacing w:before="113" w:after="113" w:line="260" w:lineRule="atLeast"/>
              <w:rPr>
                <w:spacing w:val="-1"/>
              </w:rPr>
            </w:pPr>
            <w:r w:rsidRPr="00723252">
              <w:rPr>
                <w:spacing w:val="-1"/>
              </w:rPr>
              <w:t>Party:</w:t>
            </w:r>
          </w:p>
        </w:tc>
        <w:tc>
          <w:tcPr>
            <w:tcW w:w="3191" w:type="pct"/>
          </w:tcPr>
          <w:p w:rsidR="00723252" w:rsidRPr="00723252" w:rsidRDefault="00723252" w:rsidP="00723252">
            <w:pPr>
              <w:spacing w:before="113" w:after="113" w:line="260" w:lineRule="atLeast"/>
              <w:rPr>
                <w:spacing w:val="-1"/>
              </w:rPr>
            </w:pPr>
            <w:r w:rsidRPr="00723252">
              <w:rPr>
                <w:spacing w:val="-1"/>
              </w:rPr>
              <w:t xml:space="preserve">Australian </w:t>
            </w:r>
            <w:proofErr w:type="spellStart"/>
            <w:r w:rsidRPr="00723252">
              <w:rPr>
                <w:spacing w:val="-1"/>
              </w:rPr>
              <w:t>Labor</w:t>
            </w:r>
            <w:proofErr w:type="spellEnd"/>
            <w:r w:rsidRPr="00723252">
              <w:rPr>
                <w:spacing w:val="-1"/>
              </w:rPr>
              <w:t xml:space="preserve"> Party</w:t>
            </w:r>
          </w:p>
        </w:tc>
      </w:tr>
      <w:tr w:rsidR="00723252" w:rsidRPr="00723252" w:rsidTr="00346892">
        <w:tc>
          <w:tcPr>
            <w:tcW w:w="1809" w:type="pct"/>
          </w:tcPr>
          <w:p w:rsidR="00723252" w:rsidRPr="00723252" w:rsidRDefault="00723252" w:rsidP="00723252">
            <w:pPr>
              <w:spacing w:before="113" w:after="113" w:line="260" w:lineRule="atLeast"/>
              <w:rPr>
                <w:spacing w:val="-1"/>
              </w:rPr>
            </w:pPr>
            <w:r w:rsidRPr="00723252">
              <w:rPr>
                <w:spacing w:val="-1"/>
              </w:rPr>
              <w:t>Expiry date for the costing:</w:t>
            </w:r>
          </w:p>
        </w:tc>
        <w:tc>
          <w:tcPr>
            <w:tcW w:w="3191" w:type="pct"/>
          </w:tcPr>
          <w:p w:rsidR="00723252" w:rsidRPr="00723252" w:rsidRDefault="00723252" w:rsidP="00723252">
            <w:pPr>
              <w:spacing w:before="113" w:after="113" w:line="260" w:lineRule="atLeast"/>
              <w:rPr>
                <w:spacing w:val="-1"/>
              </w:rPr>
            </w:pPr>
            <w:r w:rsidRPr="00723252">
              <w:rPr>
                <w:spacing w:val="-1"/>
              </w:rPr>
              <w:t>Release of the next economic and fiscal update</w:t>
            </w:r>
          </w:p>
        </w:tc>
      </w:tr>
    </w:tbl>
    <w:p w:rsidR="00723252" w:rsidRPr="00723252" w:rsidRDefault="00723252" w:rsidP="00723252">
      <w:pPr>
        <w:keepNext/>
        <w:keepLines/>
        <w:spacing w:before="470" w:after="228"/>
        <w:outlineLvl w:val="6"/>
        <w:rPr>
          <w:rFonts w:asciiTheme="majorHAnsi" w:eastAsiaTheme="majorEastAsia" w:hAnsiTheme="majorHAnsi" w:cstheme="majorBidi"/>
          <w:iCs/>
          <w:color w:val="2B3B5F" w:themeColor="text2"/>
          <w:sz w:val="28"/>
        </w:rPr>
      </w:pPr>
      <w:r w:rsidRPr="00723252">
        <w:rPr>
          <w:rFonts w:asciiTheme="majorHAnsi" w:eastAsiaTheme="majorEastAsia" w:hAnsiTheme="majorHAnsi" w:cstheme="majorBidi"/>
          <w:iCs/>
          <w:color w:val="2B3B5F" w:themeColor="text2"/>
          <w:sz w:val="28"/>
        </w:rPr>
        <w:t>Costing overview</w:t>
      </w:r>
    </w:p>
    <w:p w:rsidR="00723252" w:rsidRPr="00723252" w:rsidRDefault="00723252" w:rsidP="00723252">
      <w:pPr>
        <w:spacing w:before="113" w:after="113"/>
        <w:rPr>
          <w:rFonts w:cs="Times New Roman"/>
          <w:spacing w:val="-1"/>
        </w:rPr>
      </w:pPr>
      <w:r w:rsidRPr="00723252">
        <w:rPr>
          <w:rFonts w:cs="Times New Roman"/>
          <w:spacing w:val="-1"/>
        </w:rPr>
        <w:t>This proposal would be expected to increase both the fiscal and underlying cash balances by $4,150 million over the 2016-17 Budget forward estimates period.  This impact is entirely due to an increase in revenue.</w:t>
      </w:r>
    </w:p>
    <w:p w:rsidR="00723252" w:rsidRPr="00723252" w:rsidRDefault="00723252" w:rsidP="00723252">
      <w:pPr>
        <w:spacing w:before="113" w:after="113"/>
        <w:rPr>
          <w:rFonts w:cs="Times New Roman"/>
          <w:spacing w:val="-1"/>
        </w:rPr>
      </w:pPr>
      <w:r w:rsidRPr="00723252">
        <w:rPr>
          <w:rFonts w:cs="Times New Roman"/>
          <w:spacing w:val="-1"/>
        </w:rPr>
        <w:t>This proposal would have ongoing financial implications beyond the 2016</w:t>
      </w:r>
      <w:r w:rsidRPr="00723252">
        <w:rPr>
          <w:rFonts w:cs="Times New Roman"/>
          <w:spacing w:val="-1"/>
        </w:rPr>
        <w:noBreakHyphen/>
        <w:t xml:space="preserve">17 Budget forward estimates period.  The financial implications of the proposal over the 2016-17 Budget forward estimates period are not necessarily reflective of its ongoing implications due to the operation of bracket creep, where nominal income growth leads to higher marginal and average tax rates.  The estimated financial implications to 2026-27 are provided at </w:t>
      </w:r>
      <w:r w:rsidRPr="00723252">
        <w:rPr>
          <w:rFonts w:cs="Times New Roman"/>
          <w:spacing w:val="-1"/>
          <w:u w:val="single"/>
        </w:rPr>
        <w:t>Attachment A</w:t>
      </w:r>
      <w:r w:rsidRPr="00723252">
        <w:rPr>
          <w:rFonts w:cs="Times New Roman"/>
          <w:spacing w:val="-1"/>
        </w:rPr>
        <w:t>.</w:t>
      </w:r>
    </w:p>
    <w:p w:rsidR="00723252" w:rsidRPr="00723252" w:rsidRDefault="00723252" w:rsidP="00723252">
      <w:pPr>
        <w:spacing w:before="113" w:after="113"/>
        <w:rPr>
          <w:rFonts w:cs="Times New Roman"/>
          <w:spacing w:val="-1"/>
        </w:rPr>
      </w:pPr>
      <w:r w:rsidRPr="00723252">
        <w:rPr>
          <w:rFonts w:cs="Times New Roman"/>
          <w:spacing w:val="-1"/>
        </w:rPr>
        <w:t>The Parliamentary Budget Office (PBO) does not expect that departmental expenses would be significant for this proposal based on our analysis of previous proposals with similar administrative complexity.</w:t>
      </w:r>
    </w:p>
    <w:p w:rsidR="00723252" w:rsidRDefault="00723252" w:rsidP="00346892">
      <w:pPr>
        <w:spacing w:before="113" w:after="113"/>
        <w:rPr>
          <w:rFonts w:cs="Times New Roman"/>
          <w:spacing w:val="-1"/>
        </w:rPr>
      </w:pPr>
      <w:r w:rsidRPr="00723252">
        <w:rPr>
          <w:rFonts w:cs="Times New Roman"/>
          <w:spacing w:val="-1"/>
        </w:rPr>
        <w:t>The costing is considered to be of medium reliability.  The estimates are based on a large representative sample of administrative tax data.  However, the estimates would be sensitive to behavioural responses by individuals affected by this proposal and to variations in population and income growth.  The reliability of the costing decreases the further into the future the estimates are projected.</w:t>
      </w:r>
      <w:r>
        <w:rPr>
          <w:rFonts w:cs="Times New Roman"/>
          <w:spacing w:val="-1"/>
        </w:rPr>
        <w:br w:type="page"/>
      </w:r>
    </w:p>
    <w:p w:rsidR="00723252" w:rsidRDefault="00723252" w:rsidP="00CD13A1">
      <w:pPr>
        <w:spacing w:before="113" w:after="113"/>
        <w:rPr>
          <w:b/>
          <w:bCs/>
          <w:color w:val="2B3B5F" w:themeColor="text2"/>
          <w:spacing w:val="-4"/>
          <w:vertAlign w:val="superscript"/>
        </w:rPr>
      </w:pPr>
      <w:r w:rsidRPr="00723252">
        <w:rPr>
          <w:b/>
          <w:bCs/>
          <w:color w:val="2B3B5F" w:themeColor="text2"/>
          <w:spacing w:val="-4"/>
        </w:rPr>
        <w:lastRenderedPageBreak/>
        <w:t>Table 1: Financial implications (outturn prices</w:t>
      </w:r>
      <w:proofErr w:type="gramStart"/>
      <w:r w:rsidRPr="00723252">
        <w:rPr>
          <w:b/>
          <w:bCs/>
          <w:color w:val="2B3B5F" w:themeColor="text2"/>
          <w:spacing w:val="-4"/>
        </w:rPr>
        <w:t>)</w:t>
      </w:r>
      <w:r w:rsidRPr="00723252">
        <w:rPr>
          <w:b/>
          <w:bCs/>
          <w:color w:val="2B3B5F" w:themeColor="text2"/>
          <w:spacing w:val="-4"/>
          <w:vertAlign w:val="superscript"/>
        </w:rPr>
        <w:t>(</w:t>
      </w:r>
      <w:proofErr w:type="gramEnd"/>
      <w:r w:rsidRPr="00723252">
        <w:rPr>
          <w:b/>
          <w:bCs/>
          <w:color w:val="2B3B5F" w:themeColor="text2"/>
          <w:spacing w:val="-4"/>
          <w:vertAlign w:val="superscript"/>
        </w:rPr>
        <w:t>a)(b)</w:t>
      </w:r>
    </w:p>
    <w:tbl>
      <w:tblPr>
        <w:tblStyle w:val="Style1"/>
        <w:tblW w:w="5000" w:type="pct"/>
        <w:tblLook w:val="06A0" w:firstRow="1" w:lastRow="0" w:firstColumn="1" w:lastColumn="0" w:noHBand="1" w:noVBand="1"/>
      </w:tblPr>
      <w:tblGrid>
        <w:gridCol w:w="2376"/>
        <w:gridCol w:w="1230"/>
        <w:gridCol w:w="1230"/>
        <w:gridCol w:w="1231"/>
        <w:gridCol w:w="1230"/>
        <w:gridCol w:w="1231"/>
      </w:tblGrid>
      <w:tr w:rsidR="00CD13A1" w:rsidRPr="00723252" w:rsidTr="00723252">
        <w:trPr>
          <w:cnfStyle w:val="100000000000" w:firstRow="1" w:lastRow="0" w:firstColumn="0" w:lastColumn="0" w:oddVBand="0" w:evenVBand="0" w:oddHBand="0" w:evenHBand="0" w:firstRowFirstColumn="0" w:firstRowLastColumn="0" w:lastRowFirstColumn="0" w:lastRowLastColumn="0"/>
          <w:trHeight w:val="471"/>
        </w:trPr>
        <w:tc>
          <w:tcPr>
            <w:tcW w:w="1393" w:type="pct"/>
            <w:vAlign w:val="center"/>
          </w:tcPr>
          <w:p w:rsidR="00723252" w:rsidRPr="00CD13A1" w:rsidRDefault="00723252" w:rsidP="00CD13A1">
            <w:pPr>
              <w:keepNext/>
              <w:keepLines/>
              <w:spacing w:line="260" w:lineRule="atLeast"/>
              <w:rPr>
                <w:rFonts w:cs="Times New Roman"/>
                <w:b w:val="0"/>
                <w:sz w:val="20"/>
                <w:szCs w:val="20"/>
              </w:rPr>
            </w:pPr>
            <w:r w:rsidRPr="00CD13A1">
              <w:rPr>
                <w:rFonts w:cs="Times New Roman"/>
                <w:b w:val="0"/>
                <w:sz w:val="20"/>
                <w:szCs w:val="20"/>
              </w:rPr>
              <w:t>Impact on ($m)</w:t>
            </w:r>
          </w:p>
        </w:tc>
        <w:tc>
          <w:tcPr>
            <w:tcW w:w="721" w:type="pct"/>
            <w:vAlign w:val="center"/>
          </w:tcPr>
          <w:p w:rsidR="00723252" w:rsidRPr="00CD13A1" w:rsidRDefault="00723252" w:rsidP="00CD13A1">
            <w:pPr>
              <w:keepNext/>
              <w:keepLines/>
              <w:spacing w:line="260" w:lineRule="atLeast"/>
              <w:jc w:val="right"/>
              <w:rPr>
                <w:rFonts w:cs="Times New Roman"/>
                <w:b w:val="0"/>
                <w:sz w:val="20"/>
                <w:szCs w:val="20"/>
              </w:rPr>
            </w:pPr>
            <w:r w:rsidRPr="00CD13A1">
              <w:rPr>
                <w:rFonts w:cs="Times New Roman"/>
                <w:b w:val="0"/>
                <w:sz w:val="20"/>
                <w:szCs w:val="20"/>
              </w:rPr>
              <w:t>2016–17</w:t>
            </w:r>
          </w:p>
        </w:tc>
        <w:tc>
          <w:tcPr>
            <w:tcW w:w="721" w:type="pct"/>
            <w:vAlign w:val="center"/>
          </w:tcPr>
          <w:p w:rsidR="00723252" w:rsidRPr="00CD13A1" w:rsidRDefault="00723252" w:rsidP="00CD13A1">
            <w:pPr>
              <w:keepNext/>
              <w:keepLines/>
              <w:spacing w:line="260" w:lineRule="atLeast"/>
              <w:jc w:val="right"/>
              <w:rPr>
                <w:rFonts w:cs="Times New Roman"/>
                <w:b w:val="0"/>
                <w:sz w:val="20"/>
                <w:szCs w:val="20"/>
              </w:rPr>
            </w:pPr>
            <w:r w:rsidRPr="00CD13A1">
              <w:rPr>
                <w:rFonts w:cs="Times New Roman"/>
                <w:b w:val="0"/>
                <w:sz w:val="20"/>
                <w:szCs w:val="20"/>
              </w:rPr>
              <w:t>2017–18</w:t>
            </w:r>
          </w:p>
        </w:tc>
        <w:tc>
          <w:tcPr>
            <w:tcW w:w="722" w:type="pct"/>
            <w:vAlign w:val="center"/>
          </w:tcPr>
          <w:p w:rsidR="00723252" w:rsidRPr="00CD13A1" w:rsidRDefault="00723252" w:rsidP="00CD13A1">
            <w:pPr>
              <w:keepNext/>
              <w:keepLines/>
              <w:spacing w:line="260" w:lineRule="atLeast"/>
              <w:jc w:val="right"/>
              <w:rPr>
                <w:rFonts w:cs="Times New Roman"/>
                <w:b w:val="0"/>
                <w:sz w:val="20"/>
                <w:szCs w:val="20"/>
              </w:rPr>
            </w:pPr>
            <w:r w:rsidRPr="00CD13A1">
              <w:rPr>
                <w:rFonts w:cs="Times New Roman"/>
                <w:b w:val="0"/>
                <w:sz w:val="20"/>
                <w:szCs w:val="20"/>
              </w:rPr>
              <w:t>2018–19</w:t>
            </w:r>
          </w:p>
        </w:tc>
        <w:tc>
          <w:tcPr>
            <w:tcW w:w="721" w:type="pct"/>
            <w:vAlign w:val="center"/>
          </w:tcPr>
          <w:p w:rsidR="00723252" w:rsidRPr="00CD13A1" w:rsidRDefault="00723252" w:rsidP="00CD13A1">
            <w:pPr>
              <w:keepNext/>
              <w:keepLines/>
              <w:spacing w:line="260" w:lineRule="atLeast"/>
              <w:jc w:val="right"/>
              <w:rPr>
                <w:rFonts w:cs="Times New Roman"/>
                <w:b w:val="0"/>
                <w:sz w:val="20"/>
                <w:szCs w:val="20"/>
              </w:rPr>
            </w:pPr>
            <w:r w:rsidRPr="00CD13A1">
              <w:rPr>
                <w:rFonts w:cs="Times New Roman"/>
                <w:b w:val="0"/>
                <w:sz w:val="20"/>
                <w:szCs w:val="20"/>
              </w:rPr>
              <w:t>2019–20</w:t>
            </w:r>
          </w:p>
        </w:tc>
        <w:tc>
          <w:tcPr>
            <w:tcW w:w="722" w:type="pct"/>
            <w:vAlign w:val="center"/>
          </w:tcPr>
          <w:p w:rsidR="00723252" w:rsidRPr="00723252" w:rsidRDefault="00723252" w:rsidP="00CD13A1">
            <w:pPr>
              <w:spacing w:line="260" w:lineRule="atLeast"/>
              <w:jc w:val="right"/>
              <w:rPr>
                <w:rFonts w:cs="Times New Roman"/>
                <w:sz w:val="20"/>
                <w:szCs w:val="20"/>
              </w:rPr>
            </w:pPr>
            <w:r w:rsidRPr="00723252">
              <w:rPr>
                <w:rFonts w:cs="Times New Roman"/>
                <w:sz w:val="20"/>
                <w:szCs w:val="20"/>
              </w:rPr>
              <w:t>Total</w:t>
            </w:r>
          </w:p>
        </w:tc>
      </w:tr>
      <w:tr w:rsidR="00723252" w:rsidRPr="00723252" w:rsidTr="005625C1">
        <w:tc>
          <w:tcPr>
            <w:tcW w:w="1393" w:type="pct"/>
          </w:tcPr>
          <w:p w:rsidR="00723252" w:rsidRPr="00723252" w:rsidRDefault="00723252" w:rsidP="00723252">
            <w:pPr>
              <w:keepNext/>
              <w:keepLines/>
              <w:spacing w:before="70" w:after="70" w:line="260" w:lineRule="atLeast"/>
              <w:rPr>
                <w:rFonts w:cs="Times New Roman"/>
                <w:sz w:val="20"/>
                <w:szCs w:val="20"/>
              </w:rPr>
            </w:pPr>
            <w:r w:rsidRPr="00723252">
              <w:rPr>
                <w:rFonts w:cs="Times New Roman"/>
                <w:sz w:val="20"/>
                <w:szCs w:val="20"/>
              </w:rPr>
              <w:t>Fiscal balance</w:t>
            </w:r>
          </w:p>
        </w:tc>
        <w:tc>
          <w:tcPr>
            <w:tcW w:w="721" w:type="pct"/>
          </w:tcPr>
          <w:p w:rsidR="00723252" w:rsidRPr="00723252" w:rsidRDefault="00723252" w:rsidP="00723252">
            <w:pPr>
              <w:keepNext/>
              <w:keepLines/>
              <w:spacing w:before="70" w:after="70"/>
              <w:jc w:val="right"/>
              <w:rPr>
                <w:sz w:val="20"/>
                <w:szCs w:val="20"/>
              </w:rPr>
            </w:pPr>
            <w:r w:rsidRPr="00723252">
              <w:rPr>
                <w:sz w:val="20"/>
                <w:szCs w:val="20"/>
              </w:rPr>
              <w:t>-</w:t>
            </w:r>
          </w:p>
        </w:tc>
        <w:tc>
          <w:tcPr>
            <w:tcW w:w="721" w:type="pct"/>
          </w:tcPr>
          <w:p w:rsidR="00723252" w:rsidRPr="00723252" w:rsidRDefault="00723252" w:rsidP="00723252">
            <w:pPr>
              <w:keepNext/>
              <w:keepLines/>
              <w:spacing w:before="70" w:after="70"/>
              <w:jc w:val="right"/>
              <w:rPr>
                <w:sz w:val="20"/>
                <w:szCs w:val="20"/>
              </w:rPr>
            </w:pPr>
            <w:r w:rsidRPr="00723252">
              <w:rPr>
                <w:sz w:val="20"/>
                <w:szCs w:val="20"/>
              </w:rPr>
              <w:t>1,150</w:t>
            </w:r>
          </w:p>
        </w:tc>
        <w:tc>
          <w:tcPr>
            <w:tcW w:w="722" w:type="pct"/>
          </w:tcPr>
          <w:p w:rsidR="00723252" w:rsidRPr="00723252" w:rsidRDefault="00723252" w:rsidP="00723252">
            <w:pPr>
              <w:keepNext/>
              <w:keepLines/>
              <w:spacing w:before="70" w:after="70"/>
              <w:jc w:val="right"/>
              <w:rPr>
                <w:sz w:val="20"/>
                <w:szCs w:val="20"/>
              </w:rPr>
            </w:pPr>
            <w:r w:rsidRPr="00723252">
              <w:rPr>
                <w:sz w:val="20"/>
                <w:szCs w:val="20"/>
              </w:rPr>
              <w:t>1,450</w:t>
            </w:r>
          </w:p>
        </w:tc>
        <w:tc>
          <w:tcPr>
            <w:tcW w:w="721" w:type="pct"/>
          </w:tcPr>
          <w:p w:rsidR="00723252" w:rsidRPr="00723252" w:rsidRDefault="00723252" w:rsidP="00723252">
            <w:pPr>
              <w:keepNext/>
              <w:keepLines/>
              <w:spacing w:before="70" w:after="70"/>
              <w:jc w:val="right"/>
              <w:rPr>
                <w:sz w:val="20"/>
                <w:szCs w:val="20"/>
              </w:rPr>
            </w:pPr>
            <w:r w:rsidRPr="00723252">
              <w:rPr>
                <w:sz w:val="20"/>
                <w:szCs w:val="20"/>
              </w:rPr>
              <w:t>1,550</w:t>
            </w:r>
          </w:p>
        </w:tc>
        <w:tc>
          <w:tcPr>
            <w:tcW w:w="722" w:type="pct"/>
          </w:tcPr>
          <w:p w:rsidR="00723252" w:rsidRPr="00723252" w:rsidRDefault="00723252" w:rsidP="00723252">
            <w:pPr>
              <w:keepNext/>
              <w:keepLines/>
              <w:spacing w:before="70" w:after="70"/>
              <w:jc w:val="right"/>
              <w:rPr>
                <w:b/>
                <w:sz w:val="20"/>
                <w:szCs w:val="20"/>
              </w:rPr>
            </w:pPr>
            <w:r w:rsidRPr="00723252">
              <w:rPr>
                <w:b/>
                <w:sz w:val="20"/>
                <w:szCs w:val="20"/>
              </w:rPr>
              <w:t>4,150</w:t>
            </w:r>
          </w:p>
        </w:tc>
      </w:tr>
      <w:tr w:rsidR="00723252" w:rsidRPr="00723252" w:rsidTr="005625C1">
        <w:tc>
          <w:tcPr>
            <w:tcW w:w="1393" w:type="pct"/>
          </w:tcPr>
          <w:p w:rsidR="00723252" w:rsidRPr="00723252" w:rsidRDefault="00723252" w:rsidP="00723252">
            <w:pPr>
              <w:keepNext/>
              <w:keepLines/>
              <w:spacing w:before="70" w:after="70" w:line="260" w:lineRule="atLeast"/>
              <w:rPr>
                <w:rFonts w:cs="Times New Roman"/>
                <w:sz w:val="20"/>
                <w:szCs w:val="20"/>
              </w:rPr>
            </w:pPr>
            <w:r w:rsidRPr="00723252">
              <w:rPr>
                <w:rFonts w:cs="Times New Roman"/>
                <w:sz w:val="20"/>
                <w:szCs w:val="20"/>
              </w:rPr>
              <w:t>Underlying cash balance</w:t>
            </w:r>
          </w:p>
        </w:tc>
        <w:tc>
          <w:tcPr>
            <w:tcW w:w="721" w:type="pct"/>
          </w:tcPr>
          <w:p w:rsidR="00723252" w:rsidRPr="00723252" w:rsidRDefault="00723252" w:rsidP="00723252">
            <w:pPr>
              <w:keepNext/>
              <w:keepLines/>
              <w:spacing w:before="70" w:after="70"/>
              <w:jc w:val="right"/>
              <w:rPr>
                <w:sz w:val="20"/>
                <w:szCs w:val="20"/>
              </w:rPr>
            </w:pPr>
            <w:r w:rsidRPr="00723252">
              <w:rPr>
                <w:sz w:val="20"/>
                <w:szCs w:val="20"/>
              </w:rPr>
              <w:t>-</w:t>
            </w:r>
          </w:p>
        </w:tc>
        <w:tc>
          <w:tcPr>
            <w:tcW w:w="721" w:type="pct"/>
          </w:tcPr>
          <w:p w:rsidR="00723252" w:rsidRPr="00723252" w:rsidRDefault="00723252" w:rsidP="00723252">
            <w:pPr>
              <w:keepNext/>
              <w:keepLines/>
              <w:spacing w:before="70" w:after="70"/>
              <w:jc w:val="right"/>
              <w:rPr>
                <w:sz w:val="20"/>
                <w:szCs w:val="20"/>
              </w:rPr>
            </w:pPr>
            <w:r w:rsidRPr="00723252">
              <w:rPr>
                <w:sz w:val="20"/>
                <w:szCs w:val="20"/>
              </w:rPr>
              <w:t>1,150</w:t>
            </w:r>
          </w:p>
        </w:tc>
        <w:tc>
          <w:tcPr>
            <w:tcW w:w="722" w:type="pct"/>
          </w:tcPr>
          <w:p w:rsidR="00723252" w:rsidRPr="00723252" w:rsidRDefault="00723252" w:rsidP="00723252">
            <w:pPr>
              <w:keepNext/>
              <w:keepLines/>
              <w:spacing w:before="70" w:after="70"/>
              <w:jc w:val="right"/>
              <w:rPr>
                <w:sz w:val="20"/>
                <w:szCs w:val="20"/>
              </w:rPr>
            </w:pPr>
            <w:r w:rsidRPr="00723252">
              <w:rPr>
                <w:sz w:val="20"/>
                <w:szCs w:val="20"/>
              </w:rPr>
              <w:t>1,450</w:t>
            </w:r>
          </w:p>
        </w:tc>
        <w:tc>
          <w:tcPr>
            <w:tcW w:w="721" w:type="pct"/>
          </w:tcPr>
          <w:p w:rsidR="00723252" w:rsidRPr="00723252" w:rsidRDefault="00723252" w:rsidP="00723252">
            <w:pPr>
              <w:keepNext/>
              <w:keepLines/>
              <w:spacing w:before="70" w:after="70"/>
              <w:jc w:val="right"/>
              <w:rPr>
                <w:sz w:val="20"/>
                <w:szCs w:val="20"/>
              </w:rPr>
            </w:pPr>
            <w:r w:rsidRPr="00723252">
              <w:rPr>
                <w:sz w:val="20"/>
                <w:szCs w:val="20"/>
              </w:rPr>
              <w:t>1,550</w:t>
            </w:r>
          </w:p>
        </w:tc>
        <w:tc>
          <w:tcPr>
            <w:tcW w:w="722" w:type="pct"/>
          </w:tcPr>
          <w:p w:rsidR="00723252" w:rsidRPr="00723252" w:rsidRDefault="00723252" w:rsidP="00723252">
            <w:pPr>
              <w:keepNext/>
              <w:keepLines/>
              <w:spacing w:before="70" w:after="70"/>
              <w:jc w:val="right"/>
              <w:rPr>
                <w:b/>
                <w:sz w:val="20"/>
                <w:szCs w:val="20"/>
              </w:rPr>
            </w:pPr>
            <w:r w:rsidRPr="00723252">
              <w:rPr>
                <w:b/>
                <w:sz w:val="20"/>
                <w:szCs w:val="20"/>
              </w:rPr>
              <w:t>4,150</w:t>
            </w:r>
          </w:p>
        </w:tc>
      </w:tr>
    </w:tbl>
    <w:p w:rsidR="00CD13A1" w:rsidRPr="00CD13A1" w:rsidRDefault="00CD13A1" w:rsidP="00CD13A1">
      <w:pPr>
        <w:spacing w:line="240" w:lineRule="auto"/>
        <w:ind w:left="284"/>
        <w:contextualSpacing/>
        <w:rPr>
          <w:sz w:val="12"/>
          <w:szCs w:val="12"/>
        </w:rPr>
      </w:pPr>
    </w:p>
    <w:p w:rsidR="00CD13A1" w:rsidRDefault="00CD13A1" w:rsidP="00CD13A1">
      <w:pPr>
        <w:numPr>
          <w:ilvl w:val="0"/>
          <w:numId w:val="22"/>
        </w:numPr>
        <w:spacing w:before="240" w:line="260" w:lineRule="atLeast"/>
        <w:ind w:left="284" w:hanging="284"/>
        <w:contextualSpacing/>
        <w:rPr>
          <w:sz w:val="20"/>
          <w:szCs w:val="20"/>
        </w:rPr>
      </w:pPr>
      <w:r w:rsidRPr="00723252">
        <w:rPr>
          <w:sz w:val="20"/>
          <w:szCs w:val="20"/>
        </w:rPr>
        <w:t>A positive number indicates an increase in the relevant budget balance.</w:t>
      </w:r>
    </w:p>
    <w:p w:rsidR="00CD13A1" w:rsidRPr="00370E38" w:rsidRDefault="00CD13A1" w:rsidP="00CD13A1">
      <w:pPr>
        <w:numPr>
          <w:ilvl w:val="0"/>
          <w:numId w:val="22"/>
        </w:numPr>
        <w:spacing w:before="114" w:line="260" w:lineRule="atLeast"/>
        <w:ind w:left="284" w:hanging="284"/>
        <w:contextualSpacing/>
        <w:rPr>
          <w:sz w:val="20"/>
          <w:szCs w:val="20"/>
        </w:rPr>
      </w:pPr>
      <w:r w:rsidRPr="00370E38">
        <w:rPr>
          <w:sz w:val="20"/>
          <w:szCs w:val="20"/>
        </w:rPr>
        <w:t>Figures may not sum to totals due to rounding. - Indicates nil.</w:t>
      </w:r>
    </w:p>
    <w:p w:rsidR="00723252" w:rsidRPr="00723252" w:rsidRDefault="00723252" w:rsidP="00723252">
      <w:pPr>
        <w:keepNext/>
        <w:keepLines/>
        <w:spacing w:before="240" w:after="228"/>
        <w:outlineLvl w:val="6"/>
        <w:rPr>
          <w:rFonts w:asciiTheme="majorHAnsi" w:eastAsiaTheme="majorEastAsia" w:hAnsiTheme="majorHAnsi" w:cstheme="majorBidi"/>
          <w:iCs/>
          <w:color w:val="2B3B5F" w:themeColor="text2"/>
          <w:sz w:val="28"/>
        </w:rPr>
      </w:pPr>
      <w:r w:rsidRPr="00723252">
        <w:rPr>
          <w:rFonts w:asciiTheme="majorHAnsi" w:eastAsiaTheme="majorEastAsia" w:hAnsiTheme="majorHAnsi" w:cstheme="majorBidi"/>
          <w:iCs/>
          <w:color w:val="2B3B5F" w:themeColor="text2"/>
          <w:sz w:val="28"/>
        </w:rPr>
        <w:t>Key assumptions</w:t>
      </w:r>
    </w:p>
    <w:p w:rsidR="00723252" w:rsidRPr="00723252" w:rsidRDefault="00723252" w:rsidP="00723252">
      <w:pPr>
        <w:keepLines/>
        <w:numPr>
          <w:ilvl w:val="0"/>
          <w:numId w:val="2"/>
        </w:numPr>
        <w:spacing w:after="113"/>
        <w:rPr>
          <w:spacing w:val="-1"/>
        </w:rPr>
      </w:pPr>
      <w:r w:rsidRPr="00723252">
        <w:rPr>
          <w:spacing w:val="-1"/>
        </w:rPr>
        <w:t>There are a number of potential behavioural responses associated with changes to personal income tax rates, including changes to labour supply and investment decisions.</w:t>
      </w:r>
    </w:p>
    <w:p w:rsidR="00723252" w:rsidRPr="00723252" w:rsidRDefault="00723252" w:rsidP="00723252">
      <w:pPr>
        <w:keepLines/>
        <w:numPr>
          <w:ilvl w:val="1"/>
          <w:numId w:val="2"/>
        </w:numPr>
        <w:spacing w:after="113"/>
        <w:rPr>
          <w:spacing w:val="-1"/>
        </w:rPr>
      </w:pPr>
      <w:r w:rsidRPr="00723252">
        <w:rPr>
          <w:spacing w:val="-1"/>
        </w:rPr>
        <w:t>The PBO has included a behavioural response to account for changes in investment decisions and tax planning arrangements by affected individuals, which results in decreased taxable income for these individuals.</w:t>
      </w:r>
    </w:p>
    <w:p w:rsidR="00723252" w:rsidRPr="00723252" w:rsidRDefault="00723252" w:rsidP="00723252">
      <w:pPr>
        <w:keepLines/>
        <w:numPr>
          <w:ilvl w:val="2"/>
          <w:numId w:val="2"/>
        </w:numPr>
        <w:spacing w:after="113"/>
        <w:rPr>
          <w:spacing w:val="-1"/>
        </w:rPr>
      </w:pPr>
      <w:r w:rsidRPr="00723252">
        <w:rPr>
          <w:spacing w:val="-1"/>
        </w:rPr>
        <w:t>The PBO has assumed that individuals with incomes in excess of $180,000 have a taxable income elasticity of 0.2.</w:t>
      </w:r>
      <w:r w:rsidR="00AA6CAC" w:rsidRPr="00AA6CAC">
        <w:rPr>
          <w:spacing w:val="-1"/>
          <w:vertAlign w:val="superscript"/>
        </w:rPr>
        <w:t>1</w:t>
      </w:r>
      <w:r w:rsidRPr="00AA6CAC">
        <w:rPr>
          <w:color w:val="FFFFFF" w:themeColor="background1"/>
          <w:spacing w:val="-1"/>
          <w:vertAlign w:val="superscript"/>
        </w:rPr>
        <w:footnoteReference w:id="12"/>
      </w:r>
    </w:p>
    <w:p w:rsidR="00723252" w:rsidRPr="00723252" w:rsidRDefault="00723252" w:rsidP="00723252">
      <w:pPr>
        <w:keepLines/>
        <w:numPr>
          <w:ilvl w:val="1"/>
          <w:numId w:val="2"/>
        </w:numPr>
        <w:spacing w:after="113"/>
        <w:rPr>
          <w:spacing w:val="-1"/>
        </w:rPr>
      </w:pPr>
      <w:r w:rsidRPr="00723252">
        <w:rPr>
          <w:spacing w:val="-1"/>
        </w:rPr>
        <w:t>The costing does not account for changes in labour supply as a result of this proposal.  While studies indicate that labour supply, particularly by secondary earners, decreases in response to increases in tax rates, there is considerable uncertainty surrounding the magnitude and timing of the effect on employment.</w:t>
      </w:r>
    </w:p>
    <w:p w:rsidR="00723252" w:rsidRPr="00723252" w:rsidRDefault="00723252" w:rsidP="00723252">
      <w:pPr>
        <w:keepNext/>
        <w:keepLines/>
        <w:spacing w:before="240" w:after="228"/>
        <w:outlineLvl w:val="6"/>
        <w:rPr>
          <w:rFonts w:asciiTheme="majorHAnsi" w:eastAsiaTheme="majorEastAsia" w:hAnsiTheme="majorHAnsi" w:cstheme="majorBidi"/>
          <w:iCs/>
          <w:color w:val="2B3B5F" w:themeColor="text2"/>
          <w:sz w:val="28"/>
        </w:rPr>
      </w:pPr>
      <w:r w:rsidRPr="00723252">
        <w:rPr>
          <w:rFonts w:asciiTheme="majorHAnsi" w:eastAsiaTheme="majorEastAsia" w:hAnsiTheme="majorHAnsi" w:cstheme="majorBidi"/>
          <w:iCs/>
          <w:color w:val="2B3B5F" w:themeColor="text2"/>
          <w:sz w:val="28"/>
        </w:rPr>
        <w:t>Methodology</w:t>
      </w:r>
    </w:p>
    <w:p w:rsidR="00723252" w:rsidRPr="00723252" w:rsidRDefault="00723252" w:rsidP="00723252">
      <w:pPr>
        <w:keepLines/>
        <w:numPr>
          <w:ilvl w:val="0"/>
          <w:numId w:val="2"/>
        </w:numPr>
        <w:spacing w:after="113"/>
        <w:rPr>
          <w:spacing w:val="-1"/>
        </w:rPr>
      </w:pPr>
      <w:r w:rsidRPr="00723252">
        <w:rPr>
          <w:spacing w:val="-1"/>
        </w:rPr>
        <w:t>The costing was estimated using a 16 per cent sample of de-identified personal income tax and superannuation returns for 2012-13 provided by the Australian Taxation Office (ATO).  The data was used to estimate the increase in tax associated with the higher tax rates, accounting for the changes in taxable incomes as a result of the behavioural responses outlined above.</w:t>
      </w:r>
    </w:p>
    <w:p w:rsidR="00723252" w:rsidRPr="00723252" w:rsidRDefault="00723252" w:rsidP="00723252">
      <w:pPr>
        <w:keepLines/>
        <w:numPr>
          <w:ilvl w:val="0"/>
          <w:numId w:val="2"/>
        </w:numPr>
        <w:spacing w:after="113"/>
        <w:rPr>
          <w:spacing w:val="-1"/>
        </w:rPr>
      </w:pPr>
      <w:r w:rsidRPr="00723252">
        <w:rPr>
          <w:spacing w:val="-1"/>
        </w:rPr>
        <w:t>A separate model was used to estimate the financial implications of increases in the FBT rate.  This model separately estimated the flow-on effects of a change in the FBT rate to personal income tax, FBT and company tax collections.</w:t>
      </w:r>
    </w:p>
    <w:p w:rsidR="00723252" w:rsidRPr="00723252" w:rsidRDefault="00723252" w:rsidP="00723252">
      <w:pPr>
        <w:keepLines/>
        <w:numPr>
          <w:ilvl w:val="0"/>
          <w:numId w:val="2"/>
        </w:numPr>
        <w:spacing w:after="113"/>
        <w:rPr>
          <w:spacing w:val="-1"/>
        </w:rPr>
      </w:pPr>
      <w:r w:rsidRPr="00723252">
        <w:rPr>
          <w:spacing w:val="-1"/>
        </w:rPr>
        <w:t>The modelling takes account of the timing of tax collections.</w:t>
      </w:r>
    </w:p>
    <w:p w:rsidR="00723252" w:rsidRPr="00723252" w:rsidRDefault="00723252" w:rsidP="00723252">
      <w:pPr>
        <w:keepLines/>
        <w:numPr>
          <w:ilvl w:val="0"/>
          <w:numId w:val="2"/>
        </w:numPr>
        <w:spacing w:after="113"/>
        <w:rPr>
          <w:spacing w:val="-1"/>
        </w:rPr>
      </w:pPr>
      <w:r w:rsidRPr="00723252">
        <w:rPr>
          <w:spacing w:val="-1"/>
        </w:rPr>
        <w:t>Estimates of revenue have been rounded to the nearest $50 million.</w:t>
      </w:r>
    </w:p>
    <w:p w:rsidR="00723252" w:rsidRPr="00723252" w:rsidRDefault="00723252" w:rsidP="00723252">
      <w:pPr>
        <w:keepNext/>
        <w:keepLines/>
        <w:spacing w:before="470" w:after="228"/>
        <w:outlineLvl w:val="6"/>
        <w:rPr>
          <w:rFonts w:asciiTheme="majorHAnsi" w:eastAsiaTheme="majorEastAsia" w:hAnsiTheme="majorHAnsi" w:cstheme="majorBidi"/>
          <w:iCs/>
          <w:color w:val="2B3B5F" w:themeColor="text2"/>
          <w:sz w:val="28"/>
        </w:rPr>
      </w:pPr>
      <w:r w:rsidRPr="00723252">
        <w:rPr>
          <w:rFonts w:asciiTheme="majorHAnsi" w:eastAsiaTheme="majorEastAsia" w:hAnsiTheme="majorHAnsi" w:cstheme="majorBidi"/>
          <w:iCs/>
          <w:color w:val="2B3B5F" w:themeColor="text2"/>
          <w:sz w:val="28"/>
        </w:rPr>
        <w:t>Data sources</w:t>
      </w:r>
    </w:p>
    <w:p w:rsidR="00723252" w:rsidRPr="00723252" w:rsidRDefault="00723252" w:rsidP="00723252">
      <w:pPr>
        <w:keepLines/>
        <w:numPr>
          <w:ilvl w:val="0"/>
          <w:numId w:val="2"/>
        </w:numPr>
        <w:spacing w:after="113"/>
        <w:rPr>
          <w:spacing w:val="-1"/>
        </w:rPr>
      </w:pPr>
      <w:r w:rsidRPr="00723252">
        <w:rPr>
          <w:spacing w:val="-1"/>
        </w:rPr>
        <w:t xml:space="preserve">The Australian Taxation Office provided 16 per cent samples of de-identified personal income tax and superannuation records for the 2012-13 financial </w:t>
      </w:r>
      <w:proofErr w:type="gramStart"/>
      <w:r w:rsidRPr="00723252">
        <w:rPr>
          <w:spacing w:val="-1"/>
        </w:rPr>
        <w:t>year</w:t>
      </w:r>
      <w:proofErr w:type="gramEnd"/>
      <w:r w:rsidRPr="00723252">
        <w:rPr>
          <w:spacing w:val="-1"/>
        </w:rPr>
        <w:t>.</w:t>
      </w:r>
    </w:p>
    <w:p w:rsidR="00723252" w:rsidRPr="00723252" w:rsidRDefault="00723252" w:rsidP="00723252">
      <w:pPr>
        <w:spacing w:before="113" w:after="113"/>
        <w:rPr>
          <w:rFonts w:cs="Times New Roman"/>
          <w:spacing w:val="-1"/>
        </w:rPr>
        <w:sectPr w:rsidR="00723252" w:rsidRPr="00723252" w:rsidSect="00367A8E">
          <w:footerReference w:type="default" r:id="rId29"/>
          <w:pgSz w:w="11906" w:h="16838" w:code="9"/>
          <w:pgMar w:top="1361" w:right="1797" w:bottom="1474" w:left="1797" w:header="283" w:footer="454" w:gutter="0"/>
          <w:cols w:space="708"/>
          <w:docGrid w:linePitch="360"/>
        </w:sectPr>
      </w:pPr>
    </w:p>
    <w:p w:rsidR="00723252" w:rsidRPr="00723252" w:rsidRDefault="00723252" w:rsidP="00346892">
      <w:pPr>
        <w:keepNext/>
        <w:keepLines/>
        <w:spacing w:before="360" w:after="340"/>
        <w:outlineLvl w:val="5"/>
        <w:rPr>
          <w:rFonts w:asciiTheme="majorHAnsi" w:eastAsiaTheme="majorEastAsia" w:hAnsiTheme="majorHAnsi" w:cstheme="majorBidi"/>
          <w:iCs/>
          <w:color w:val="2B3B5F" w:themeColor="text2"/>
          <w:sz w:val="32"/>
        </w:rPr>
      </w:pPr>
      <w:r w:rsidRPr="00723252">
        <w:rPr>
          <w:rFonts w:asciiTheme="majorHAnsi" w:eastAsiaTheme="majorEastAsia" w:hAnsiTheme="majorHAnsi" w:cstheme="majorBidi"/>
          <w:iCs/>
          <w:color w:val="2B3B5F" w:themeColor="text2"/>
          <w:sz w:val="32"/>
        </w:rPr>
        <w:lastRenderedPageBreak/>
        <w:t>Attachment A: Not proceeding with income tax cuts for high-income Australians—financial implications</w:t>
      </w:r>
    </w:p>
    <w:p w:rsidR="00723252" w:rsidRPr="00723252" w:rsidRDefault="00723252" w:rsidP="00723252">
      <w:pPr>
        <w:keepNext/>
        <w:spacing w:before="340" w:after="114"/>
        <w:rPr>
          <w:b/>
          <w:bCs/>
          <w:color w:val="2B3B5F" w:themeColor="text2"/>
          <w:spacing w:val="-4"/>
          <w:vertAlign w:val="superscript"/>
        </w:rPr>
      </w:pPr>
      <w:r w:rsidRPr="00723252">
        <w:rPr>
          <w:b/>
          <w:bCs/>
          <w:color w:val="2B3B5F" w:themeColor="text2"/>
          <w:spacing w:val="-4"/>
        </w:rPr>
        <w:t>Table A1: Not proceeding with income tax cuts for high-income Australians—Financial implications (outturn prices</w:t>
      </w:r>
      <w:proofErr w:type="gramStart"/>
      <w:r w:rsidRPr="00723252">
        <w:rPr>
          <w:b/>
          <w:bCs/>
          <w:color w:val="2B3B5F" w:themeColor="text2"/>
          <w:spacing w:val="-4"/>
        </w:rPr>
        <w:t>)</w:t>
      </w:r>
      <w:r w:rsidRPr="00723252">
        <w:rPr>
          <w:b/>
          <w:bCs/>
          <w:color w:val="2B3B5F" w:themeColor="text2"/>
          <w:spacing w:val="-4"/>
          <w:vertAlign w:val="superscript"/>
        </w:rPr>
        <w:t>(</w:t>
      </w:r>
      <w:proofErr w:type="gramEnd"/>
      <w:r w:rsidRPr="00723252">
        <w:rPr>
          <w:b/>
          <w:bCs/>
          <w:color w:val="2B3B5F" w:themeColor="text2"/>
          <w:spacing w:val="-4"/>
          <w:vertAlign w:val="superscript"/>
        </w:rPr>
        <w:t>a)(b)</w:t>
      </w:r>
    </w:p>
    <w:tbl>
      <w:tblPr>
        <w:tblStyle w:val="TableGrid"/>
        <w:tblW w:w="0" w:type="auto"/>
        <w:tblBorders>
          <w:top w:val="single" w:sz="4" w:space="0" w:color="788184"/>
          <w:left w:val="single" w:sz="4" w:space="0" w:color="788184"/>
          <w:bottom w:val="single" w:sz="4" w:space="0" w:color="788184"/>
          <w:right w:val="single" w:sz="4" w:space="0" w:color="788184"/>
          <w:insideH w:val="single" w:sz="4" w:space="0" w:color="788184"/>
          <w:insideV w:val="single" w:sz="4" w:space="0" w:color="788184"/>
        </w:tblBorders>
        <w:tblLayout w:type="fixed"/>
        <w:tblLook w:val="0680" w:firstRow="0" w:lastRow="0" w:firstColumn="1" w:lastColumn="0" w:noHBand="1" w:noVBand="1"/>
      </w:tblPr>
      <w:tblGrid>
        <w:gridCol w:w="883"/>
        <w:gridCol w:w="709"/>
        <w:gridCol w:w="709"/>
        <w:gridCol w:w="709"/>
        <w:gridCol w:w="709"/>
        <w:gridCol w:w="709"/>
        <w:gridCol w:w="709"/>
        <w:gridCol w:w="709"/>
        <w:gridCol w:w="709"/>
        <w:gridCol w:w="709"/>
        <w:gridCol w:w="709"/>
        <w:gridCol w:w="709"/>
        <w:gridCol w:w="709"/>
        <w:gridCol w:w="709"/>
      </w:tblGrid>
      <w:tr w:rsidR="00700053" w:rsidRPr="005625C1" w:rsidTr="000045F4">
        <w:trPr>
          <w:cantSplit/>
        </w:trPr>
        <w:tc>
          <w:tcPr>
            <w:cnfStyle w:val="001000000000" w:firstRow="0" w:lastRow="0" w:firstColumn="1" w:lastColumn="0" w:oddVBand="0" w:evenVBand="0" w:oddHBand="0" w:evenHBand="0" w:firstRowFirstColumn="0" w:firstRowLastColumn="0" w:lastRowFirstColumn="0" w:lastRowLastColumn="0"/>
            <w:tcW w:w="883" w:type="dxa"/>
            <w:shd w:val="clear" w:color="auto" w:fill="D7DDE9"/>
          </w:tcPr>
          <w:p w:rsidR="00723252" w:rsidRPr="005625C1" w:rsidRDefault="00723252" w:rsidP="00723252">
            <w:pPr>
              <w:keepNext/>
              <w:keepLines/>
              <w:spacing w:line="240" w:lineRule="auto"/>
              <w:ind w:left="57" w:right="57"/>
              <w:rPr>
                <w:sz w:val="18"/>
                <w:szCs w:val="18"/>
              </w:rPr>
            </w:pPr>
            <w:r w:rsidRPr="005625C1">
              <w:rPr>
                <w:sz w:val="18"/>
                <w:szCs w:val="18"/>
              </w:rPr>
              <w:t>($m)</w:t>
            </w:r>
          </w:p>
        </w:tc>
        <w:tc>
          <w:tcPr>
            <w:tcW w:w="709" w:type="dxa"/>
            <w:shd w:val="clear" w:color="auto" w:fill="D7DDE9"/>
          </w:tcPr>
          <w:p w:rsidR="00723252" w:rsidRPr="005625C1" w:rsidRDefault="00723252" w:rsidP="005625C1">
            <w:pPr>
              <w:keepNext/>
              <w:keepLines/>
              <w:spacing w:line="240" w:lineRule="auto"/>
              <w:ind w:left="0" w:right="0"/>
              <w:jc w:val="center"/>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2016–17</w:t>
            </w:r>
          </w:p>
        </w:tc>
        <w:tc>
          <w:tcPr>
            <w:tcW w:w="709" w:type="dxa"/>
            <w:shd w:val="clear" w:color="auto" w:fill="D7DDE9"/>
          </w:tcPr>
          <w:p w:rsidR="00723252" w:rsidRPr="005625C1" w:rsidRDefault="00723252" w:rsidP="005625C1">
            <w:pPr>
              <w:keepNext/>
              <w:keepLines/>
              <w:spacing w:line="240" w:lineRule="auto"/>
              <w:ind w:left="0" w:right="0"/>
              <w:jc w:val="center"/>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2017–18</w:t>
            </w:r>
          </w:p>
        </w:tc>
        <w:tc>
          <w:tcPr>
            <w:tcW w:w="709" w:type="dxa"/>
            <w:shd w:val="clear" w:color="auto" w:fill="D7DDE9"/>
          </w:tcPr>
          <w:p w:rsidR="00723252" w:rsidRPr="005625C1" w:rsidRDefault="00723252" w:rsidP="005625C1">
            <w:pPr>
              <w:keepNext/>
              <w:keepLines/>
              <w:spacing w:line="240" w:lineRule="auto"/>
              <w:ind w:left="0" w:right="0"/>
              <w:jc w:val="center"/>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2018–19</w:t>
            </w:r>
          </w:p>
        </w:tc>
        <w:tc>
          <w:tcPr>
            <w:tcW w:w="709" w:type="dxa"/>
            <w:shd w:val="clear" w:color="auto" w:fill="D7DDE9"/>
          </w:tcPr>
          <w:p w:rsidR="00723252" w:rsidRPr="005625C1" w:rsidRDefault="00723252" w:rsidP="005625C1">
            <w:pPr>
              <w:keepNext/>
              <w:keepLines/>
              <w:spacing w:line="240" w:lineRule="auto"/>
              <w:ind w:left="0" w:right="0"/>
              <w:jc w:val="center"/>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2019–20</w:t>
            </w:r>
          </w:p>
        </w:tc>
        <w:tc>
          <w:tcPr>
            <w:tcW w:w="709" w:type="dxa"/>
            <w:shd w:val="clear" w:color="auto" w:fill="D7DDE9"/>
          </w:tcPr>
          <w:p w:rsidR="00723252" w:rsidRPr="005625C1" w:rsidRDefault="00723252" w:rsidP="005625C1">
            <w:pPr>
              <w:keepNext/>
              <w:keepLines/>
              <w:spacing w:line="240" w:lineRule="auto"/>
              <w:ind w:left="0" w:right="0"/>
              <w:jc w:val="center"/>
              <w:cnfStyle w:val="000000000000" w:firstRow="0" w:lastRow="0" w:firstColumn="0" w:lastColumn="0" w:oddVBand="0" w:evenVBand="0" w:oddHBand="0" w:evenHBand="0" w:firstRowFirstColumn="0" w:firstRowLastColumn="0" w:lastRowFirstColumn="0" w:lastRowLastColumn="0"/>
              <w:rPr>
                <w:sz w:val="18"/>
                <w:szCs w:val="18"/>
              </w:rPr>
            </w:pPr>
            <w:r w:rsidRPr="005625C1">
              <w:rPr>
                <w:b/>
                <w:sz w:val="18"/>
                <w:szCs w:val="18"/>
              </w:rPr>
              <w:t>Total to 2019–20</w:t>
            </w:r>
          </w:p>
        </w:tc>
        <w:tc>
          <w:tcPr>
            <w:tcW w:w="709" w:type="dxa"/>
            <w:shd w:val="clear" w:color="auto" w:fill="D7DDE9"/>
          </w:tcPr>
          <w:p w:rsidR="00723252" w:rsidRPr="005625C1" w:rsidRDefault="00723252" w:rsidP="005625C1">
            <w:pPr>
              <w:keepNext/>
              <w:keepLines/>
              <w:spacing w:line="240" w:lineRule="auto"/>
              <w:ind w:left="0" w:right="0"/>
              <w:jc w:val="center"/>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2020–21</w:t>
            </w:r>
          </w:p>
        </w:tc>
        <w:tc>
          <w:tcPr>
            <w:tcW w:w="709" w:type="dxa"/>
            <w:shd w:val="clear" w:color="auto" w:fill="D7DDE9"/>
          </w:tcPr>
          <w:p w:rsidR="00723252" w:rsidRPr="005625C1" w:rsidRDefault="00723252" w:rsidP="005625C1">
            <w:pPr>
              <w:keepNext/>
              <w:keepLines/>
              <w:spacing w:line="240" w:lineRule="auto"/>
              <w:ind w:left="0" w:right="0"/>
              <w:jc w:val="center"/>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2021–22</w:t>
            </w:r>
          </w:p>
        </w:tc>
        <w:tc>
          <w:tcPr>
            <w:tcW w:w="709" w:type="dxa"/>
            <w:shd w:val="clear" w:color="auto" w:fill="D7DDE9"/>
          </w:tcPr>
          <w:p w:rsidR="00723252" w:rsidRPr="005625C1" w:rsidRDefault="00723252" w:rsidP="005625C1">
            <w:pPr>
              <w:keepNext/>
              <w:keepLines/>
              <w:spacing w:line="240" w:lineRule="auto"/>
              <w:ind w:left="0" w:right="0"/>
              <w:jc w:val="center"/>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2022–23</w:t>
            </w:r>
          </w:p>
        </w:tc>
        <w:tc>
          <w:tcPr>
            <w:tcW w:w="709" w:type="dxa"/>
            <w:shd w:val="clear" w:color="auto" w:fill="D7DDE9"/>
          </w:tcPr>
          <w:p w:rsidR="00723252" w:rsidRPr="005625C1" w:rsidRDefault="00723252" w:rsidP="005625C1">
            <w:pPr>
              <w:keepNext/>
              <w:keepLines/>
              <w:spacing w:line="240" w:lineRule="auto"/>
              <w:ind w:left="0" w:right="0"/>
              <w:jc w:val="center"/>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2023–24</w:t>
            </w:r>
          </w:p>
        </w:tc>
        <w:tc>
          <w:tcPr>
            <w:tcW w:w="709" w:type="dxa"/>
            <w:shd w:val="clear" w:color="auto" w:fill="D7DDE9"/>
          </w:tcPr>
          <w:p w:rsidR="00723252" w:rsidRPr="005625C1" w:rsidRDefault="00723252" w:rsidP="005625C1">
            <w:pPr>
              <w:keepNext/>
              <w:keepLines/>
              <w:spacing w:line="240" w:lineRule="auto"/>
              <w:ind w:left="0" w:right="0"/>
              <w:jc w:val="center"/>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2024–25</w:t>
            </w:r>
          </w:p>
        </w:tc>
        <w:tc>
          <w:tcPr>
            <w:tcW w:w="709" w:type="dxa"/>
            <w:shd w:val="clear" w:color="auto" w:fill="D7DDE9"/>
          </w:tcPr>
          <w:p w:rsidR="00723252" w:rsidRPr="005625C1" w:rsidRDefault="00723252" w:rsidP="005625C1">
            <w:pPr>
              <w:keepNext/>
              <w:keepLines/>
              <w:spacing w:line="240" w:lineRule="auto"/>
              <w:ind w:left="0" w:right="0"/>
              <w:jc w:val="center"/>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2025–26</w:t>
            </w:r>
          </w:p>
        </w:tc>
        <w:tc>
          <w:tcPr>
            <w:tcW w:w="709" w:type="dxa"/>
            <w:shd w:val="clear" w:color="auto" w:fill="D7DDE9"/>
          </w:tcPr>
          <w:p w:rsidR="00723252" w:rsidRPr="005625C1" w:rsidRDefault="00723252" w:rsidP="005625C1">
            <w:pPr>
              <w:keepNext/>
              <w:keepLines/>
              <w:spacing w:line="240" w:lineRule="auto"/>
              <w:ind w:left="0" w:right="0"/>
              <w:jc w:val="center"/>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2026–27</w:t>
            </w:r>
          </w:p>
        </w:tc>
        <w:tc>
          <w:tcPr>
            <w:tcW w:w="709" w:type="dxa"/>
            <w:shd w:val="clear" w:color="auto" w:fill="D7DDE9"/>
          </w:tcPr>
          <w:p w:rsidR="00723252" w:rsidRPr="005625C1" w:rsidRDefault="00723252" w:rsidP="005625C1">
            <w:pPr>
              <w:keepNext/>
              <w:keepLines/>
              <w:spacing w:line="240" w:lineRule="auto"/>
              <w:ind w:left="0" w:right="0"/>
              <w:jc w:val="center"/>
              <w:cnfStyle w:val="000000000000" w:firstRow="0" w:lastRow="0" w:firstColumn="0" w:lastColumn="0" w:oddVBand="0" w:evenVBand="0" w:oddHBand="0" w:evenHBand="0" w:firstRowFirstColumn="0" w:firstRowLastColumn="0" w:lastRowFirstColumn="0" w:lastRowLastColumn="0"/>
              <w:rPr>
                <w:sz w:val="18"/>
                <w:szCs w:val="18"/>
              </w:rPr>
            </w:pPr>
            <w:r w:rsidRPr="005625C1">
              <w:rPr>
                <w:b/>
                <w:sz w:val="18"/>
                <w:szCs w:val="18"/>
              </w:rPr>
              <w:t>Total to 2026–27</w:t>
            </w:r>
          </w:p>
        </w:tc>
      </w:tr>
      <w:tr w:rsidR="00723252" w:rsidRPr="005625C1" w:rsidTr="000045F4">
        <w:trPr>
          <w:cantSplit/>
        </w:trPr>
        <w:tc>
          <w:tcPr>
            <w:cnfStyle w:val="001000000000" w:firstRow="0" w:lastRow="0" w:firstColumn="1" w:lastColumn="0" w:oddVBand="0" w:evenVBand="0" w:oddHBand="0" w:evenHBand="0" w:firstRowFirstColumn="0" w:firstRowLastColumn="0" w:lastRowFirstColumn="0" w:lastRowLastColumn="0"/>
            <w:tcW w:w="709" w:type="dxa"/>
            <w:gridSpan w:val="14"/>
            <w:shd w:val="clear" w:color="auto" w:fill="E9ECF3"/>
          </w:tcPr>
          <w:p w:rsidR="00723252" w:rsidRPr="005625C1" w:rsidRDefault="00723252" w:rsidP="00723252">
            <w:pPr>
              <w:keepNext/>
              <w:keepLines/>
              <w:spacing w:line="240" w:lineRule="auto"/>
              <w:ind w:left="57" w:right="57"/>
              <w:rPr>
                <w:sz w:val="18"/>
                <w:szCs w:val="18"/>
              </w:rPr>
            </w:pPr>
            <w:r w:rsidRPr="005625C1">
              <w:rPr>
                <w:b/>
                <w:sz w:val="18"/>
                <w:szCs w:val="18"/>
              </w:rPr>
              <w:t>Impact on fiscal and underlying cash balances</w:t>
            </w:r>
          </w:p>
        </w:tc>
      </w:tr>
      <w:tr w:rsidR="005625C1" w:rsidRPr="005625C1" w:rsidTr="000045F4">
        <w:trPr>
          <w:cantSplit/>
        </w:trPr>
        <w:tc>
          <w:tcPr>
            <w:cnfStyle w:val="001000000000" w:firstRow="0" w:lastRow="0" w:firstColumn="1" w:lastColumn="0" w:oddVBand="0" w:evenVBand="0" w:oddHBand="0" w:evenHBand="0" w:firstRowFirstColumn="0" w:firstRowLastColumn="0" w:lastRowFirstColumn="0" w:lastRowLastColumn="0"/>
            <w:tcW w:w="883" w:type="dxa"/>
          </w:tcPr>
          <w:p w:rsidR="00723252" w:rsidRPr="005625C1" w:rsidRDefault="00723252" w:rsidP="00723252">
            <w:pPr>
              <w:keepNext/>
              <w:keepLines/>
              <w:spacing w:line="240" w:lineRule="auto"/>
              <w:ind w:left="57" w:right="57"/>
              <w:rPr>
                <w:sz w:val="18"/>
                <w:szCs w:val="18"/>
              </w:rPr>
            </w:pPr>
            <w:r w:rsidRPr="005625C1">
              <w:rPr>
                <w:sz w:val="18"/>
                <w:szCs w:val="18"/>
              </w:rPr>
              <w:t>Revenue</w:t>
            </w:r>
          </w:p>
        </w:tc>
        <w:tc>
          <w:tcPr>
            <w:tcW w:w="709" w:type="dxa"/>
          </w:tcPr>
          <w:p w:rsidR="00723252" w:rsidRPr="005625C1" w:rsidRDefault="00723252" w:rsidP="00723252">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18"/>
                <w:szCs w:val="18"/>
              </w:rPr>
            </w:pPr>
            <w:r w:rsidRPr="005625C1">
              <w:rPr>
                <w:i/>
                <w:sz w:val="18"/>
                <w:szCs w:val="18"/>
              </w:rPr>
              <w:t>-</w:t>
            </w:r>
          </w:p>
        </w:tc>
        <w:tc>
          <w:tcPr>
            <w:tcW w:w="709" w:type="dxa"/>
          </w:tcPr>
          <w:p w:rsidR="00723252" w:rsidRPr="005625C1" w:rsidRDefault="00723252" w:rsidP="00723252">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18"/>
                <w:szCs w:val="18"/>
              </w:rPr>
            </w:pPr>
            <w:r w:rsidRPr="005625C1">
              <w:rPr>
                <w:i/>
                <w:sz w:val="18"/>
                <w:szCs w:val="18"/>
              </w:rPr>
              <w:t>1,150</w:t>
            </w:r>
          </w:p>
        </w:tc>
        <w:tc>
          <w:tcPr>
            <w:tcW w:w="709" w:type="dxa"/>
          </w:tcPr>
          <w:p w:rsidR="00723252" w:rsidRPr="005625C1" w:rsidRDefault="00723252" w:rsidP="00723252">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18"/>
                <w:szCs w:val="18"/>
              </w:rPr>
            </w:pPr>
            <w:r w:rsidRPr="005625C1">
              <w:rPr>
                <w:i/>
                <w:sz w:val="18"/>
                <w:szCs w:val="18"/>
              </w:rPr>
              <w:t>1,450</w:t>
            </w:r>
          </w:p>
        </w:tc>
        <w:tc>
          <w:tcPr>
            <w:tcW w:w="709" w:type="dxa"/>
          </w:tcPr>
          <w:p w:rsidR="00723252" w:rsidRPr="005625C1" w:rsidRDefault="00723252" w:rsidP="00723252">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18"/>
                <w:szCs w:val="18"/>
              </w:rPr>
            </w:pPr>
            <w:r w:rsidRPr="005625C1">
              <w:rPr>
                <w:i/>
                <w:sz w:val="18"/>
                <w:szCs w:val="18"/>
              </w:rPr>
              <w:t>1,550</w:t>
            </w:r>
          </w:p>
        </w:tc>
        <w:tc>
          <w:tcPr>
            <w:tcW w:w="709" w:type="dxa"/>
          </w:tcPr>
          <w:p w:rsidR="00723252" w:rsidRPr="005625C1" w:rsidRDefault="00723252" w:rsidP="00723252">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18"/>
                <w:szCs w:val="18"/>
              </w:rPr>
            </w:pPr>
            <w:r w:rsidRPr="005625C1">
              <w:rPr>
                <w:b/>
                <w:i/>
                <w:sz w:val="18"/>
                <w:szCs w:val="18"/>
              </w:rPr>
              <w:t>4,150</w:t>
            </w:r>
          </w:p>
        </w:tc>
        <w:tc>
          <w:tcPr>
            <w:tcW w:w="709" w:type="dxa"/>
          </w:tcPr>
          <w:p w:rsidR="00723252" w:rsidRPr="005625C1" w:rsidRDefault="00723252" w:rsidP="00723252">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18"/>
                <w:szCs w:val="18"/>
              </w:rPr>
            </w:pPr>
            <w:r w:rsidRPr="005625C1">
              <w:rPr>
                <w:i/>
                <w:sz w:val="18"/>
                <w:szCs w:val="18"/>
              </w:rPr>
              <w:t>1,700</w:t>
            </w:r>
          </w:p>
        </w:tc>
        <w:tc>
          <w:tcPr>
            <w:tcW w:w="709" w:type="dxa"/>
          </w:tcPr>
          <w:p w:rsidR="00723252" w:rsidRPr="005625C1" w:rsidRDefault="00723252" w:rsidP="00723252">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18"/>
                <w:szCs w:val="18"/>
              </w:rPr>
            </w:pPr>
            <w:r w:rsidRPr="005625C1">
              <w:rPr>
                <w:i/>
                <w:sz w:val="18"/>
                <w:szCs w:val="18"/>
              </w:rPr>
              <w:t>1,800</w:t>
            </w:r>
          </w:p>
        </w:tc>
        <w:tc>
          <w:tcPr>
            <w:tcW w:w="709" w:type="dxa"/>
          </w:tcPr>
          <w:p w:rsidR="00723252" w:rsidRPr="005625C1" w:rsidRDefault="00723252" w:rsidP="00723252">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18"/>
                <w:szCs w:val="18"/>
              </w:rPr>
            </w:pPr>
            <w:r w:rsidRPr="005625C1">
              <w:rPr>
                <w:i/>
                <w:sz w:val="18"/>
                <w:szCs w:val="18"/>
              </w:rPr>
              <w:t>1,950</w:t>
            </w:r>
          </w:p>
        </w:tc>
        <w:tc>
          <w:tcPr>
            <w:tcW w:w="709" w:type="dxa"/>
          </w:tcPr>
          <w:p w:rsidR="00723252" w:rsidRPr="005625C1" w:rsidRDefault="00723252" w:rsidP="00723252">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18"/>
                <w:szCs w:val="18"/>
              </w:rPr>
            </w:pPr>
            <w:r w:rsidRPr="005625C1">
              <w:rPr>
                <w:i/>
                <w:sz w:val="18"/>
                <w:szCs w:val="18"/>
              </w:rPr>
              <w:t>2,100</w:t>
            </w:r>
          </w:p>
        </w:tc>
        <w:tc>
          <w:tcPr>
            <w:tcW w:w="709" w:type="dxa"/>
          </w:tcPr>
          <w:p w:rsidR="00723252" w:rsidRPr="005625C1" w:rsidRDefault="00723252" w:rsidP="00723252">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18"/>
                <w:szCs w:val="18"/>
              </w:rPr>
            </w:pPr>
            <w:r w:rsidRPr="005625C1">
              <w:rPr>
                <w:i/>
                <w:sz w:val="18"/>
                <w:szCs w:val="18"/>
              </w:rPr>
              <w:t>2,300</w:t>
            </w:r>
          </w:p>
        </w:tc>
        <w:tc>
          <w:tcPr>
            <w:tcW w:w="709" w:type="dxa"/>
          </w:tcPr>
          <w:p w:rsidR="00723252" w:rsidRPr="005625C1" w:rsidRDefault="00723252" w:rsidP="00723252">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18"/>
                <w:szCs w:val="18"/>
              </w:rPr>
            </w:pPr>
            <w:r w:rsidRPr="005625C1">
              <w:rPr>
                <w:i/>
                <w:sz w:val="18"/>
                <w:szCs w:val="18"/>
              </w:rPr>
              <w:t>2,500</w:t>
            </w:r>
          </w:p>
        </w:tc>
        <w:tc>
          <w:tcPr>
            <w:tcW w:w="709" w:type="dxa"/>
          </w:tcPr>
          <w:p w:rsidR="00723252" w:rsidRPr="005625C1" w:rsidRDefault="00723252" w:rsidP="00723252">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i/>
                <w:sz w:val="18"/>
                <w:szCs w:val="18"/>
              </w:rPr>
            </w:pPr>
            <w:r w:rsidRPr="005625C1">
              <w:rPr>
                <w:i/>
                <w:sz w:val="18"/>
                <w:szCs w:val="18"/>
              </w:rPr>
              <w:t>2,700</w:t>
            </w:r>
          </w:p>
        </w:tc>
        <w:tc>
          <w:tcPr>
            <w:tcW w:w="709" w:type="dxa"/>
          </w:tcPr>
          <w:p w:rsidR="00723252" w:rsidRPr="005625C1" w:rsidRDefault="00723252" w:rsidP="00723252">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i/>
                <w:sz w:val="18"/>
                <w:szCs w:val="18"/>
              </w:rPr>
            </w:pPr>
            <w:r w:rsidRPr="005625C1">
              <w:rPr>
                <w:b/>
                <w:i/>
                <w:sz w:val="18"/>
                <w:szCs w:val="18"/>
              </w:rPr>
              <w:t>19,200</w:t>
            </w:r>
          </w:p>
        </w:tc>
      </w:tr>
      <w:tr w:rsidR="00700053" w:rsidRPr="005625C1" w:rsidTr="000045F4">
        <w:trPr>
          <w:cantSplit/>
        </w:trPr>
        <w:tc>
          <w:tcPr>
            <w:cnfStyle w:val="001000000000" w:firstRow="0" w:lastRow="0" w:firstColumn="1" w:lastColumn="0" w:oddVBand="0" w:evenVBand="0" w:oddHBand="0" w:evenHBand="0" w:firstRowFirstColumn="0" w:firstRowLastColumn="0" w:lastRowFirstColumn="0" w:lastRowLastColumn="0"/>
            <w:tcW w:w="883" w:type="dxa"/>
            <w:shd w:val="clear" w:color="auto" w:fill="D7DDE9"/>
          </w:tcPr>
          <w:p w:rsidR="00723252" w:rsidRPr="005625C1" w:rsidRDefault="00723252" w:rsidP="00723252">
            <w:pPr>
              <w:keepNext/>
              <w:keepLines/>
              <w:spacing w:line="240" w:lineRule="auto"/>
              <w:ind w:left="57" w:right="57"/>
              <w:rPr>
                <w:b/>
                <w:sz w:val="18"/>
                <w:szCs w:val="18"/>
              </w:rPr>
            </w:pPr>
            <w:r w:rsidRPr="005625C1">
              <w:rPr>
                <w:b/>
                <w:sz w:val="18"/>
                <w:szCs w:val="18"/>
              </w:rPr>
              <w:t>Total</w:t>
            </w:r>
          </w:p>
        </w:tc>
        <w:tc>
          <w:tcPr>
            <w:tcW w:w="709" w:type="dxa"/>
            <w:shd w:val="clear" w:color="auto" w:fill="D7DDE9"/>
          </w:tcPr>
          <w:p w:rsidR="00723252" w:rsidRPr="005625C1" w:rsidRDefault="00723252" w:rsidP="00723252">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w:t>
            </w:r>
          </w:p>
        </w:tc>
        <w:tc>
          <w:tcPr>
            <w:tcW w:w="709" w:type="dxa"/>
            <w:shd w:val="clear" w:color="auto" w:fill="D7DDE9"/>
          </w:tcPr>
          <w:p w:rsidR="00723252" w:rsidRPr="005625C1" w:rsidRDefault="00723252" w:rsidP="00723252">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1,150</w:t>
            </w:r>
          </w:p>
        </w:tc>
        <w:tc>
          <w:tcPr>
            <w:tcW w:w="709" w:type="dxa"/>
            <w:shd w:val="clear" w:color="auto" w:fill="D7DDE9"/>
          </w:tcPr>
          <w:p w:rsidR="00723252" w:rsidRPr="005625C1" w:rsidRDefault="00723252" w:rsidP="00723252">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1,450</w:t>
            </w:r>
          </w:p>
        </w:tc>
        <w:tc>
          <w:tcPr>
            <w:tcW w:w="709" w:type="dxa"/>
            <w:shd w:val="clear" w:color="auto" w:fill="D7DDE9"/>
          </w:tcPr>
          <w:p w:rsidR="00723252" w:rsidRPr="005625C1" w:rsidRDefault="00723252" w:rsidP="00723252">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1,550</w:t>
            </w:r>
          </w:p>
        </w:tc>
        <w:tc>
          <w:tcPr>
            <w:tcW w:w="709" w:type="dxa"/>
            <w:shd w:val="clear" w:color="auto" w:fill="D7DDE9"/>
          </w:tcPr>
          <w:p w:rsidR="00723252" w:rsidRPr="005625C1" w:rsidRDefault="00723252" w:rsidP="00723252">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4,150</w:t>
            </w:r>
          </w:p>
        </w:tc>
        <w:tc>
          <w:tcPr>
            <w:tcW w:w="709" w:type="dxa"/>
            <w:shd w:val="clear" w:color="auto" w:fill="D7DDE9"/>
          </w:tcPr>
          <w:p w:rsidR="00723252" w:rsidRPr="005625C1" w:rsidRDefault="00723252" w:rsidP="00723252">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1,700</w:t>
            </w:r>
          </w:p>
        </w:tc>
        <w:tc>
          <w:tcPr>
            <w:tcW w:w="709" w:type="dxa"/>
            <w:shd w:val="clear" w:color="auto" w:fill="D7DDE9"/>
          </w:tcPr>
          <w:p w:rsidR="00723252" w:rsidRPr="005625C1" w:rsidRDefault="00723252" w:rsidP="00723252">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1,800</w:t>
            </w:r>
          </w:p>
        </w:tc>
        <w:tc>
          <w:tcPr>
            <w:tcW w:w="709" w:type="dxa"/>
            <w:shd w:val="clear" w:color="auto" w:fill="D7DDE9"/>
          </w:tcPr>
          <w:p w:rsidR="00723252" w:rsidRPr="005625C1" w:rsidRDefault="00723252" w:rsidP="00723252">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1,950</w:t>
            </w:r>
          </w:p>
        </w:tc>
        <w:tc>
          <w:tcPr>
            <w:tcW w:w="709" w:type="dxa"/>
            <w:shd w:val="clear" w:color="auto" w:fill="D7DDE9"/>
          </w:tcPr>
          <w:p w:rsidR="00723252" w:rsidRPr="005625C1" w:rsidRDefault="00723252" w:rsidP="00723252">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2,100</w:t>
            </w:r>
          </w:p>
        </w:tc>
        <w:tc>
          <w:tcPr>
            <w:tcW w:w="709" w:type="dxa"/>
            <w:shd w:val="clear" w:color="auto" w:fill="D7DDE9"/>
          </w:tcPr>
          <w:p w:rsidR="00723252" w:rsidRPr="005625C1" w:rsidRDefault="00723252" w:rsidP="00723252">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2,300</w:t>
            </w:r>
          </w:p>
        </w:tc>
        <w:tc>
          <w:tcPr>
            <w:tcW w:w="709" w:type="dxa"/>
            <w:shd w:val="clear" w:color="auto" w:fill="D7DDE9"/>
          </w:tcPr>
          <w:p w:rsidR="00723252" w:rsidRPr="005625C1" w:rsidRDefault="00723252" w:rsidP="00723252">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2,500</w:t>
            </w:r>
          </w:p>
        </w:tc>
        <w:tc>
          <w:tcPr>
            <w:tcW w:w="709" w:type="dxa"/>
            <w:shd w:val="clear" w:color="auto" w:fill="D7DDE9"/>
          </w:tcPr>
          <w:p w:rsidR="00723252" w:rsidRPr="005625C1" w:rsidRDefault="00723252" w:rsidP="00723252">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2,700</w:t>
            </w:r>
          </w:p>
        </w:tc>
        <w:tc>
          <w:tcPr>
            <w:tcW w:w="709" w:type="dxa"/>
            <w:shd w:val="clear" w:color="auto" w:fill="D7DDE9"/>
          </w:tcPr>
          <w:p w:rsidR="00723252" w:rsidRPr="005625C1" w:rsidRDefault="00723252" w:rsidP="00723252">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19,200</w:t>
            </w:r>
          </w:p>
        </w:tc>
      </w:tr>
    </w:tbl>
    <w:p w:rsidR="00CD13A1" w:rsidRPr="00346892" w:rsidRDefault="00723252" w:rsidP="00346892">
      <w:pPr>
        <w:numPr>
          <w:ilvl w:val="0"/>
          <w:numId w:val="21"/>
        </w:numPr>
        <w:spacing w:before="40" w:after="40" w:line="260" w:lineRule="atLeast"/>
        <w:ind w:left="284" w:hanging="284"/>
        <w:rPr>
          <w:sz w:val="18"/>
          <w:szCs w:val="18"/>
        </w:rPr>
      </w:pPr>
      <w:r w:rsidRPr="00346892">
        <w:rPr>
          <w:sz w:val="18"/>
          <w:szCs w:val="18"/>
        </w:rPr>
        <w:t>A positive number indicates an increase in revenue in accrual and cash terms.</w:t>
      </w:r>
    </w:p>
    <w:p w:rsidR="00723252" w:rsidRPr="00346892" w:rsidRDefault="00723252" w:rsidP="00346892">
      <w:pPr>
        <w:numPr>
          <w:ilvl w:val="0"/>
          <w:numId w:val="21"/>
        </w:numPr>
        <w:spacing w:before="40" w:after="40" w:line="260" w:lineRule="atLeast"/>
        <w:ind w:left="284" w:hanging="284"/>
        <w:rPr>
          <w:sz w:val="18"/>
          <w:szCs w:val="18"/>
        </w:rPr>
      </w:pPr>
      <w:r w:rsidRPr="00346892">
        <w:rPr>
          <w:sz w:val="18"/>
          <w:szCs w:val="18"/>
        </w:rPr>
        <w:t>Figures may not sum to totals due to rounding.</w:t>
      </w:r>
    </w:p>
    <w:p w:rsidR="00F11350" w:rsidRPr="00346892" w:rsidRDefault="00723252" w:rsidP="00346892">
      <w:pPr>
        <w:spacing w:before="40" w:after="40" w:line="260" w:lineRule="atLeast"/>
        <w:ind w:left="284" w:hanging="284"/>
        <w:rPr>
          <w:sz w:val="18"/>
          <w:szCs w:val="18"/>
        </w:rPr>
      </w:pPr>
      <w:r w:rsidRPr="00346892">
        <w:rPr>
          <w:sz w:val="18"/>
          <w:szCs w:val="18"/>
        </w:rPr>
        <w:t>-</w:t>
      </w:r>
      <w:r w:rsidRPr="00346892">
        <w:rPr>
          <w:sz w:val="18"/>
          <w:szCs w:val="18"/>
        </w:rPr>
        <w:tab/>
        <w:t>Indicates nil.</w:t>
      </w:r>
    </w:p>
    <w:p w:rsidR="005625C1" w:rsidRPr="00346892" w:rsidRDefault="005625C1">
      <w:pPr>
        <w:rPr>
          <w:sz w:val="18"/>
          <w:szCs w:val="18"/>
        </w:rPr>
        <w:sectPr w:rsidR="005625C1" w:rsidRPr="00346892" w:rsidSect="00987C79">
          <w:headerReference w:type="first" r:id="rId30"/>
          <w:footerReference w:type="first" r:id="rId31"/>
          <w:pgSz w:w="11906" w:h="16838"/>
          <w:pgMar w:top="1361" w:right="851" w:bottom="1134" w:left="851" w:header="709" w:footer="709" w:gutter="0"/>
          <w:cols w:space="708"/>
          <w:docGrid w:linePitch="360"/>
        </w:sectPr>
      </w:pPr>
    </w:p>
    <w:p w:rsidR="00AA1CAF" w:rsidRDefault="00AA1CAF" w:rsidP="001779C4">
      <w:pPr>
        <w:pStyle w:val="Heading2"/>
        <w:numPr>
          <w:ilvl w:val="0"/>
          <w:numId w:val="0"/>
        </w:numPr>
        <w:spacing w:after="320"/>
      </w:pPr>
      <w:bookmarkStart w:id="38" w:name="_Toc499799363"/>
      <w:proofErr w:type="gramStart"/>
      <w:r w:rsidRPr="00AA1CAF">
        <w:lastRenderedPageBreak/>
        <w:t>A.2  2016</w:t>
      </w:r>
      <w:proofErr w:type="gramEnd"/>
      <w:r w:rsidRPr="00AA1CAF">
        <w:t xml:space="preserve"> PER GRN033—Universities: Base Funding Lift</w:t>
      </w:r>
      <w:bookmarkEnd w:id="38"/>
    </w:p>
    <w:p w:rsidR="00F11350" w:rsidRDefault="00F11350" w:rsidP="00346892">
      <w:pPr>
        <w:spacing w:after="300"/>
        <w:rPr>
          <w:rFonts w:asciiTheme="majorHAnsi" w:hAnsiTheme="majorHAnsi"/>
          <w:color w:val="2B3B5F" w:themeColor="accent1"/>
          <w:sz w:val="32"/>
          <w:szCs w:val="32"/>
        </w:rPr>
      </w:pPr>
      <w:r>
        <w:rPr>
          <w:noProof/>
          <w:lang w:eastAsia="en-AU"/>
        </w:rPr>
        <w:drawing>
          <wp:inline distT="0" distB="0" distL="0" distR="0" wp14:anchorId="5D474B6C" wp14:editId="13254CF2">
            <wp:extent cx="2696845" cy="572135"/>
            <wp:effectExtent l="0" t="0" r="8255" b="0"/>
            <wp:docPr id="14" name="Picture 14" title="Parliamentary Budge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p w:rsidR="00C62DA3" w:rsidRDefault="00F11350" w:rsidP="00F11350">
      <w:pPr>
        <w:pStyle w:val="BodyText"/>
        <w:spacing w:after="340"/>
        <w:rPr>
          <w:rFonts w:asciiTheme="majorHAnsi" w:hAnsiTheme="majorHAnsi"/>
          <w:color w:val="2B3B5F" w:themeColor="accent1"/>
          <w:sz w:val="32"/>
          <w:szCs w:val="32"/>
        </w:rPr>
      </w:pPr>
      <w:r w:rsidRPr="00F11350">
        <w:rPr>
          <w:rFonts w:asciiTheme="majorHAnsi" w:hAnsiTheme="majorHAnsi"/>
          <w:color w:val="2B3B5F" w:themeColor="accent1"/>
          <w:sz w:val="32"/>
          <w:szCs w:val="32"/>
        </w:rPr>
        <w:t>Policy costing—during the caretaker period for the 2016 general election</w:t>
      </w:r>
    </w:p>
    <w:tbl>
      <w:tblPr>
        <w:tblStyle w:val="TableGrid1"/>
        <w:tblW w:w="8340" w:type="dxa"/>
        <w:tblLook w:val="04A0" w:firstRow="1" w:lastRow="0" w:firstColumn="1" w:lastColumn="0" w:noHBand="0" w:noVBand="1"/>
      </w:tblPr>
      <w:tblGrid>
        <w:gridCol w:w="3005"/>
        <w:gridCol w:w="5335"/>
      </w:tblGrid>
      <w:tr w:rsidR="00F11350" w:rsidRPr="00F11350" w:rsidTr="005625C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05" w:type="dxa"/>
          </w:tcPr>
          <w:p w:rsidR="00F11350" w:rsidRPr="00F11350" w:rsidRDefault="00F11350" w:rsidP="00F11350">
            <w:pPr>
              <w:spacing w:before="114" w:after="120"/>
            </w:pPr>
            <w:r w:rsidRPr="00F11350">
              <w:t>Name of proposal:</w:t>
            </w:r>
          </w:p>
        </w:tc>
        <w:tc>
          <w:tcPr>
            <w:tcW w:w="5335" w:type="dxa"/>
          </w:tcPr>
          <w:p w:rsidR="00F11350" w:rsidRPr="00F11350" w:rsidRDefault="00F11350" w:rsidP="00F11350">
            <w:pPr>
              <w:spacing w:before="114" w:after="120"/>
              <w:cnfStyle w:val="100000000000" w:firstRow="1" w:lastRow="0" w:firstColumn="0" w:lastColumn="0" w:oddVBand="0" w:evenVBand="0" w:oddHBand="0" w:evenHBand="0" w:firstRowFirstColumn="0" w:firstRowLastColumn="0" w:lastRowFirstColumn="0" w:lastRowLastColumn="0"/>
            </w:pPr>
            <w:r w:rsidRPr="00F11350">
              <w:t>Universities: Base Funding Lift</w:t>
            </w:r>
          </w:p>
        </w:tc>
      </w:tr>
      <w:tr w:rsidR="00F11350" w:rsidRPr="00F11350" w:rsidTr="005625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F11350" w:rsidRPr="00F11350" w:rsidRDefault="00F11350" w:rsidP="00F11350">
            <w:pPr>
              <w:spacing w:before="114" w:after="120"/>
              <w:rPr>
                <w:rFonts w:ascii="Calibri" w:hAnsi="Calibri"/>
              </w:rPr>
            </w:pPr>
            <w:r w:rsidRPr="00F11350">
              <w:rPr>
                <w:rFonts w:ascii="Calibri" w:hAnsi="Calibri"/>
              </w:rPr>
              <w:t>Summary of proposal:</w:t>
            </w:r>
          </w:p>
        </w:tc>
        <w:tc>
          <w:tcPr>
            <w:tcW w:w="5335" w:type="dxa"/>
          </w:tcPr>
          <w:p w:rsidR="00F11350" w:rsidRPr="00F11350" w:rsidRDefault="00F11350" w:rsidP="00F11350">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rPr>
            </w:pPr>
            <w:r w:rsidRPr="00F11350">
              <w:rPr>
                <w:rFonts w:ascii="Calibri" w:hAnsi="Calibri"/>
              </w:rPr>
              <w:t>The proposal would increase base funding for teaching and learning in tertiary education by 10 per cent.</w:t>
            </w:r>
          </w:p>
          <w:p w:rsidR="00F11350" w:rsidRPr="00F11350" w:rsidRDefault="00F11350" w:rsidP="00F11350">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rPr>
            </w:pPr>
            <w:r w:rsidRPr="00F11350">
              <w:rPr>
                <w:rFonts w:ascii="Calibri" w:hAnsi="Calibri"/>
              </w:rPr>
              <w:t>The increase in funding would be phased in from 1 January 2017 to 2020 so that from 1 January 2020 universities have a 10 per cent increase in their base funding from current levels (appropriately indexed).</w:t>
            </w:r>
          </w:p>
          <w:p w:rsidR="00F11350" w:rsidRPr="00F11350" w:rsidRDefault="00F11350" w:rsidP="00F11350">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rPr>
            </w:pPr>
            <w:r w:rsidRPr="00F11350">
              <w:rPr>
                <w:rFonts w:ascii="Calibri" w:hAnsi="Calibri"/>
              </w:rPr>
              <w:t>The proposal would also reverse cuts to higher education funding in the 2013</w:t>
            </w:r>
            <w:r w:rsidRPr="00F11350">
              <w:rPr>
                <w:rFonts w:ascii="Calibri" w:hAnsi="Calibri"/>
              </w:rPr>
              <w:noBreakHyphen/>
              <w:t>14 and 2014</w:t>
            </w:r>
            <w:r w:rsidRPr="00F11350">
              <w:rPr>
                <w:rFonts w:ascii="Calibri" w:hAnsi="Calibri"/>
              </w:rPr>
              <w:noBreakHyphen/>
              <w:t>15 Budgets.</w:t>
            </w:r>
          </w:p>
          <w:p w:rsidR="00F11350" w:rsidRPr="00F11350" w:rsidRDefault="00F11350" w:rsidP="00F11350">
            <w:pPr>
              <w:spacing w:before="114" w:after="120"/>
              <w:cnfStyle w:val="000000100000" w:firstRow="0" w:lastRow="0" w:firstColumn="0" w:lastColumn="0" w:oddVBand="0" w:evenVBand="0" w:oddHBand="1" w:evenHBand="0" w:firstRowFirstColumn="0" w:firstRowLastColumn="0" w:lastRowFirstColumn="0" w:lastRowLastColumn="0"/>
              <w:rPr>
                <w:rFonts w:ascii="Calibri" w:hAnsi="Calibri"/>
              </w:rPr>
            </w:pPr>
            <w:r w:rsidRPr="00F11350">
              <w:rPr>
                <w:rFonts w:ascii="Calibri" w:hAnsi="Calibri"/>
              </w:rPr>
              <w:t>The proposal would have effect from 1 January 2017.</w:t>
            </w:r>
          </w:p>
        </w:tc>
      </w:tr>
      <w:tr w:rsidR="00F11350" w:rsidRPr="00F11350" w:rsidTr="005625C1">
        <w:tc>
          <w:tcPr>
            <w:cnfStyle w:val="001000000000" w:firstRow="0" w:lastRow="0" w:firstColumn="1" w:lastColumn="0" w:oddVBand="0" w:evenVBand="0" w:oddHBand="0" w:evenHBand="0" w:firstRowFirstColumn="0" w:firstRowLastColumn="0" w:lastRowFirstColumn="0" w:lastRowLastColumn="0"/>
            <w:tcW w:w="3005" w:type="dxa"/>
          </w:tcPr>
          <w:p w:rsidR="00F11350" w:rsidRPr="00F11350" w:rsidRDefault="00F11350" w:rsidP="00F11350">
            <w:pPr>
              <w:spacing w:before="114" w:after="120"/>
              <w:rPr>
                <w:rFonts w:ascii="Calibri" w:hAnsi="Calibri"/>
              </w:rPr>
            </w:pPr>
            <w:r w:rsidRPr="00F11350">
              <w:rPr>
                <w:rFonts w:ascii="Calibri" w:hAnsi="Calibri"/>
              </w:rPr>
              <w:t>Person/party requesting costing:</w:t>
            </w:r>
          </w:p>
        </w:tc>
        <w:tc>
          <w:tcPr>
            <w:tcW w:w="5335" w:type="dxa"/>
          </w:tcPr>
          <w:p w:rsidR="00F11350" w:rsidRPr="00F11350" w:rsidRDefault="00F11350" w:rsidP="00F11350">
            <w:pPr>
              <w:spacing w:before="114" w:after="120"/>
              <w:cnfStyle w:val="000000000000" w:firstRow="0" w:lastRow="0" w:firstColumn="0" w:lastColumn="0" w:oddVBand="0" w:evenVBand="0" w:oddHBand="0" w:evenHBand="0" w:firstRowFirstColumn="0" w:firstRowLastColumn="0" w:lastRowFirstColumn="0" w:lastRowLastColumn="0"/>
              <w:rPr>
                <w:rFonts w:ascii="Calibri" w:hAnsi="Calibri"/>
              </w:rPr>
            </w:pPr>
            <w:r w:rsidRPr="00F11350">
              <w:rPr>
                <w:rFonts w:ascii="Calibri" w:hAnsi="Calibri"/>
              </w:rPr>
              <w:t>Senator Richard Di Natale, Australian Greens</w:t>
            </w:r>
          </w:p>
        </w:tc>
      </w:tr>
      <w:tr w:rsidR="00F11350" w:rsidRPr="00F11350" w:rsidTr="005625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F11350" w:rsidRPr="00F11350" w:rsidRDefault="00F11350" w:rsidP="00F11350">
            <w:pPr>
              <w:spacing w:before="114" w:after="120"/>
              <w:rPr>
                <w:rFonts w:ascii="Calibri" w:hAnsi="Calibri"/>
              </w:rPr>
            </w:pPr>
            <w:r w:rsidRPr="00F11350">
              <w:rPr>
                <w:rFonts w:ascii="Calibri" w:hAnsi="Calibri"/>
              </w:rPr>
              <w:t>Date of public release of policy:</w:t>
            </w:r>
          </w:p>
        </w:tc>
        <w:tc>
          <w:tcPr>
            <w:tcW w:w="5335" w:type="dxa"/>
          </w:tcPr>
          <w:p w:rsidR="00F11350" w:rsidRPr="00F11350" w:rsidRDefault="00F11350" w:rsidP="00F11350">
            <w:pPr>
              <w:spacing w:before="114" w:after="120"/>
              <w:cnfStyle w:val="000000100000" w:firstRow="0" w:lastRow="0" w:firstColumn="0" w:lastColumn="0" w:oddVBand="0" w:evenVBand="0" w:oddHBand="1" w:evenHBand="0" w:firstRowFirstColumn="0" w:firstRowLastColumn="0" w:lastRowFirstColumn="0" w:lastRowLastColumn="0"/>
              <w:rPr>
                <w:rFonts w:ascii="Calibri" w:hAnsi="Calibri"/>
              </w:rPr>
            </w:pPr>
            <w:r w:rsidRPr="00F11350">
              <w:rPr>
                <w:rFonts w:ascii="Calibri" w:hAnsi="Calibri"/>
              </w:rPr>
              <w:t>4 February 2016</w:t>
            </w:r>
          </w:p>
        </w:tc>
      </w:tr>
      <w:tr w:rsidR="00F11350" w:rsidRPr="00F11350" w:rsidTr="005625C1">
        <w:tc>
          <w:tcPr>
            <w:cnfStyle w:val="001000000000" w:firstRow="0" w:lastRow="0" w:firstColumn="1" w:lastColumn="0" w:oddVBand="0" w:evenVBand="0" w:oddHBand="0" w:evenHBand="0" w:firstRowFirstColumn="0" w:firstRowLastColumn="0" w:lastRowFirstColumn="0" w:lastRowLastColumn="0"/>
            <w:tcW w:w="3005" w:type="dxa"/>
          </w:tcPr>
          <w:p w:rsidR="00F11350" w:rsidRPr="00F11350" w:rsidRDefault="00F11350" w:rsidP="00F11350">
            <w:pPr>
              <w:spacing w:before="114" w:after="120"/>
              <w:rPr>
                <w:rFonts w:ascii="Calibri" w:hAnsi="Calibri"/>
              </w:rPr>
            </w:pPr>
            <w:r w:rsidRPr="00F11350">
              <w:rPr>
                <w:rFonts w:ascii="Calibri" w:hAnsi="Calibri"/>
              </w:rPr>
              <w:t>Date costing request received:</w:t>
            </w:r>
          </w:p>
        </w:tc>
        <w:tc>
          <w:tcPr>
            <w:tcW w:w="5335" w:type="dxa"/>
          </w:tcPr>
          <w:p w:rsidR="00F11350" w:rsidRPr="00F11350" w:rsidRDefault="00F11350" w:rsidP="00F11350">
            <w:pPr>
              <w:spacing w:before="114" w:after="120"/>
              <w:cnfStyle w:val="000000000000" w:firstRow="0" w:lastRow="0" w:firstColumn="0" w:lastColumn="0" w:oddVBand="0" w:evenVBand="0" w:oddHBand="0" w:evenHBand="0" w:firstRowFirstColumn="0" w:firstRowLastColumn="0" w:lastRowFirstColumn="0" w:lastRowLastColumn="0"/>
              <w:rPr>
                <w:rFonts w:ascii="Calibri" w:hAnsi="Calibri"/>
              </w:rPr>
            </w:pPr>
            <w:r w:rsidRPr="00F11350">
              <w:rPr>
                <w:rFonts w:ascii="Calibri" w:hAnsi="Calibri"/>
              </w:rPr>
              <w:t>28 June 2016</w:t>
            </w:r>
          </w:p>
        </w:tc>
      </w:tr>
      <w:tr w:rsidR="00F11350" w:rsidRPr="00F11350" w:rsidTr="005625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F11350" w:rsidRPr="00F11350" w:rsidRDefault="00F11350" w:rsidP="00F11350">
            <w:pPr>
              <w:spacing w:before="114" w:after="120"/>
              <w:rPr>
                <w:rFonts w:ascii="Calibri" w:hAnsi="Calibri"/>
              </w:rPr>
            </w:pPr>
            <w:r w:rsidRPr="00F11350">
              <w:rPr>
                <w:rFonts w:ascii="Calibri" w:hAnsi="Calibri"/>
              </w:rPr>
              <w:t>Date costing completed</w:t>
            </w:r>
          </w:p>
        </w:tc>
        <w:tc>
          <w:tcPr>
            <w:tcW w:w="5335" w:type="dxa"/>
          </w:tcPr>
          <w:p w:rsidR="00F11350" w:rsidRPr="00F11350" w:rsidRDefault="00F11350" w:rsidP="00F11350">
            <w:pPr>
              <w:spacing w:before="114" w:after="120"/>
              <w:cnfStyle w:val="000000100000" w:firstRow="0" w:lastRow="0" w:firstColumn="0" w:lastColumn="0" w:oddVBand="0" w:evenVBand="0" w:oddHBand="1" w:evenHBand="0" w:firstRowFirstColumn="0" w:firstRowLastColumn="0" w:lastRowFirstColumn="0" w:lastRowLastColumn="0"/>
              <w:rPr>
                <w:rFonts w:ascii="Calibri" w:hAnsi="Calibri"/>
              </w:rPr>
            </w:pPr>
            <w:r w:rsidRPr="00F11350">
              <w:rPr>
                <w:rFonts w:ascii="Calibri" w:hAnsi="Calibri"/>
              </w:rPr>
              <w:t>28 June 2016</w:t>
            </w:r>
          </w:p>
        </w:tc>
      </w:tr>
      <w:tr w:rsidR="00F11350" w:rsidRPr="00F11350" w:rsidTr="005625C1">
        <w:tc>
          <w:tcPr>
            <w:cnfStyle w:val="001000000000" w:firstRow="0" w:lastRow="0" w:firstColumn="1" w:lastColumn="0" w:oddVBand="0" w:evenVBand="0" w:oddHBand="0" w:evenHBand="0" w:firstRowFirstColumn="0" w:firstRowLastColumn="0" w:lastRowFirstColumn="0" w:lastRowLastColumn="0"/>
            <w:tcW w:w="3005" w:type="dxa"/>
          </w:tcPr>
          <w:p w:rsidR="00F11350" w:rsidRPr="00F11350" w:rsidRDefault="00F11350" w:rsidP="00F11350">
            <w:pPr>
              <w:spacing w:before="114" w:after="120"/>
              <w:rPr>
                <w:rFonts w:ascii="Calibri" w:hAnsi="Calibri"/>
              </w:rPr>
            </w:pPr>
            <w:r w:rsidRPr="00F11350">
              <w:rPr>
                <w:rFonts w:ascii="Calibri" w:hAnsi="Calibri"/>
              </w:rPr>
              <w:t>Expiry date for the costing:</w:t>
            </w:r>
          </w:p>
        </w:tc>
        <w:tc>
          <w:tcPr>
            <w:tcW w:w="5335" w:type="dxa"/>
          </w:tcPr>
          <w:p w:rsidR="00F11350" w:rsidRPr="00F11350" w:rsidRDefault="00F11350" w:rsidP="00F11350">
            <w:pPr>
              <w:spacing w:before="114" w:after="120"/>
              <w:cnfStyle w:val="000000000000" w:firstRow="0" w:lastRow="0" w:firstColumn="0" w:lastColumn="0" w:oddVBand="0" w:evenVBand="0" w:oddHBand="0" w:evenHBand="0" w:firstRowFirstColumn="0" w:firstRowLastColumn="0" w:lastRowFirstColumn="0" w:lastRowLastColumn="0"/>
              <w:rPr>
                <w:rFonts w:ascii="Calibri" w:hAnsi="Calibri"/>
              </w:rPr>
            </w:pPr>
            <w:r w:rsidRPr="00F11350">
              <w:rPr>
                <w:rFonts w:ascii="Calibri" w:hAnsi="Calibri"/>
              </w:rPr>
              <w:t>Release of the next economic and fiscal outlook report</w:t>
            </w:r>
          </w:p>
        </w:tc>
      </w:tr>
    </w:tbl>
    <w:p w:rsidR="00F11350" w:rsidRPr="00F11350" w:rsidRDefault="00F11350" w:rsidP="00F11350">
      <w:pPr>
        <w:keepNext/>
        <w:keepLines/>
        <w:tabs>
          <w:tab w:val="left" w:pos="1418"/>
          <w:tab w:val="left" w:pos="1701"/>
          <w:tab w:val="left" w:pos="1985"/>
        </w:tabs>
        <w:spacing w:before="470" w:after="227"/>
        <w:outlineLvl w:val="1"/>
        <w:rPr>
          <w:rFonts w:ascii="Cambria" w:eastAsia="Calibri" w:hAnsi="Cambria" w:cs="Times New Roman"/>
          <w:bCs/>
          <w:iCs/>
          <w:color w:val="2B3B5F"/>
          <w:kern w:val="20"/>
          <w:sz w:val="28"/>
          <w:szCs w:val="28"/>
        </w:rPr>
      </w:pPr>
      <w:r w:rsidRPr="00F11350">
        <w:rPr>
          <w:rFonts w:ascii="Cambria" w:eastAsia="Calibri" w:hAnsi="Cambria" w:cs="Times New Roman"/>
          <w:bCs/>
          <w:iCs/>
          <w:color w:val="2B3B5F"/>
          <w:kern w:val="20"/>
          <w:sz w:val="28"/>
          <w:szCs w:val="28"/>
        </w:rPr>
        <w:t>Costing overview</w:t>
      </w:r>
    </w:p>
    <w:p w:rsidR="00F11350" w:rsidRPr="00F11350" w:rsidRDefault="00F11350" w:rsidP="00F11350">
      <w:pPr>
        <w:spacing w:before="114" w:after="114"/>
        <w:rPr>
          <w:rFonts w:ascii="Calibri" w:eastAsia="Calibri" w:hAnsi="Calibri" w:cs="Times New Roman"/>
          <w:u w:val="single"/>
        </w:rPr>
      </w:pPr>
      <w:r w:rsidRPr="00F11350">
        <w:rPr>
          <w:rFonts w:ascii="Calibri" w:eastAsia="Calibri" w:hAnsi="Calibri" w:cs="Times New Roman"/>
        </w:rPr>
        <w:t xml:space="preserve">This proposal would reverse measures announced in the 2013-14 and 2014-15 Budgets that affected base university funding and, after allowing for the effect of the reversal of these measures, increase base university funding by an additional 2.5 per cent per year for four years such that after four years there would be an ongoing increase in base funding of 10 per cent.  Details of the budget measures that would be reversed under this proposal are provided at </w:t>
      </w:r>
      <w:r w:rsidRPr="00F11350">
        <w:rPr>
          <w:rFonts w:ascii="Calibri" w:eastAsia="Calibri" w:hAnsi="Calibri" w:cs="Times New Roman"/>
          <w:u w:val="single"/>
        </w:rPr>
        <w:t>Attachment A</w:t>
      </w:r>
      <w:r w:rsidRPr="00F11350">
        <w:rPr>
          <w:rFonts w:ascii="Calibri" w:eastAsia="Calibri" w:hAnsi="Calibri" w:cs="Times New Roman"/>
        </w:rPr>
        <w:t>.</w:t>
      </w:r>
    </w:p>
    <w:p w:rsidR="00F11350" w:rsidRPr="00F11350" w:rsidRDefault="00F11350" w:rsidP="00F11350">
      <w:pPr>
        <w:spacing w:before="114" w:after="114"/>
        <w:rPr>
          <w:rFonts w:ascii="Calibri" w:eastAsia="Calibri" w:hAnsi="Calibri" w:cs="Times New Roman"/>
        </w:rPr>
      </w:pPr>
      <w:r w:rsidRPr="00F11350">
        <w:rPr>
          <w:rFonts w:ascii="Calibri" w:eastAsia="Calibri" w:hAnsi="Calibri" w:cs="Times New Roman"/>
        </w:rPr>
        <w:t>This proposal is expected to decrease the fiscal balance by $6,995 million, the underlying cash balance by $6,943 million and the headline cash balance by $7,051 million over the 2016</w:t>
      </w:r>
      <w:r w:rsidRPr="00F11350">
        <w:rPr>
          <w:rFonts w:ascii="Calibri" w:eastAsia="Calibri" w:hAnsi="Calibri" w:cs="Times New Roman"/>
        </w:rPr>
        <w:noBreakHyphen/>
        <w:t>17 Budget forward estimates period.</w:t>
      </w:r>
    </w:p>
    <w:p w:rsidR="00F11350" w:rsidRPr="00F11350" w:rsidRDefault="00F11350" w:rsidP="00F11350">
      <w:pPr>
        <w:spacing w:before="114" w:after="114"/>
        <w:rPr>
          <w:rFonts w:ascii="Calibri" w:eastAsia="Calibri" w:hAnsi="Calibri" w:cs="Times New Roman"/>
        </w:rPr>
      </w:pPr>
      <w:r w:rsidRPr="00F11350">
        <w:rPr>
          <w:rFonts w:ascii="Calibri" w:eastAsia="Calibri" w:hAnsi="Calibri" w:cs="Times New Roman"/>
        </w:rPr>
        <w:lastRenderedPageBreak/>
        <w:t>This proposal is not expected to require significant additional departmental expenses, as the proposal relates to an existing core function of the Department of Education and Training.</w:t>
      </w:r>
    </w:p>
    <w:p w:rsidR="00F11350" w:rsidRPr="00F11350" w:rsidRDefault="00F11350" w:rsidP="00F11350">
      <w:pPr>
        <w:keepNext/>
        <w:keepLines/>
        <w:tabs>
          <w:tab w:val="left" w:pos="1418"/>
          <w:tab w:val="left" w:pos="1701"/>
          <w:tab w:val="left" w:pos="1985"/>
        </w:tabs>
        <w:spacing w:before="114" w:after="114"/>
        <w:outlineLvl w:val="1"/>
        <w:rPr>
          <w:rFonts w:ascii="Calibri" w:eastAsia="Calibri" w:hAnsi="Calibri" w:cs="Times New Roman"/>
        </w:rPr>
      </w:pPr>
      <w:r w:rsidRPr="00F11350">
        <w:rPr>
          <w:rFonts w:ascii="Calibri" w:eastAsia="Calibri" w:hAnsi="Calibri" w:cs="Times New Roman"/>
          <w:iCs/>
          <w:kern w:val="20"/>
        </w:rPr>
        <w:t xml:space="preserve">This proposal would have an ongoing impact that extends beyond the forward estimates period.  </w:t>
      </w:r>
      <w:r w:rsidRPr="00F11350">
        <w:rPr>
          <w:rFonts w:ascii="Calibri" w:eastAsia="Calibri" w:hAnsi="Calibri" w:cs="Times New Roman"/>
        </w:rPr>
        <w:t xml:space="preserve">A breakdown of the cost of the proposal over the period 2016-17 to 2026-27 is provided at </w:t>
      </w:r>
      <w:r w:rsidRPr="00F11350">
        <w:rPr>
          <w:rFonts w:ascii="Calibri" w:eastAsia="Calibri" w:hAnsi="Calibri" w:cs="Times New Roman"/>
          <w:u w:val="single"/>
        </w:rPr>
        <w:t>Attachment B</w:t>
      </w:r>
      <w:r w:rsidRPr="00F11350">
        <w:rPr>
          <w:rFonts w:ascii="Calibri" w:eastAsia="Calibri" w:hAnsi="Calibri" w:cs="Times New Roman"/>
        </w:rPr>
        <w:t>.</w:t>
      </w:r>
    </w:p>
    <w:p w:rsidR="00F11350" w:rsidRPr="00F11350" w:rsidRDefault="00F11350" w:rsidP="00F11350">
      <w:pPr>
        <w:keepLines/>
        <w:tabs>
          <w:tab w:val="left" w:pos="1418"/>
          <w:tab w:val="left" w:pos="1701"/>
          <w:tab w:val="left" w:pos="1985"/>
        </w:tabs>
        <w:spacing w:before="114" w:after="114"/>
        <w:outlineLvl w:val="1"/>
        <w:rPr>
          <w:rFonts w:ascii="Calibri" w:eastAsia="Calibri" w:hAnsi="Calibri" w:cs="Times New Roman"/>
        </w:rPr>
      </w:pPr>
      <w:r w:rsidRPr="00F11350">
        <w:rPr>
          <w:rFonts w:ascii="Calibri" w:eastAsia="Calibri" w:hAnsi="Calibri" w:cs="Times New Roman"/>
        </w:rPr>
        <w:t>The proposal has a different impact on the fiscal and underlying cash balances primarily due to the effect of the reversal of budget measures on the Higher Education Loan Program.</w:t>
      </w:r>
    </w:p>
    <w:p w:rsidR="00F11350" w:rsidRPr="00F11350" w:rsidRDefault="00F11350" w:rsidP="00F11350">
      <w:pPr>
        <w:spacing w:before="114" w:after="114"/>
        <w:rPr>
          <w:rFonts w:ascii="Calibri" w:eastAsia="Calibri" w:hAnsi="Calibri" w:cs="Times New Roman"/>
        </w:rPr>
      </w:pPr>
      <w:r w:rsidRPr="00F11350">
        <w:rPr>
          <w:rFonts w:ascii="Calibri" w:eastAsia="Calibri" w:hAnsi="Calibri" w:cs="Times New Roman"/>
        </w:rPr>
        <w:t>This costing is considered to be of medium reliability.  The base university funding figures and the impact of reversing budget measures are reliant on projections of student numbers and future indexation parameters which may, in fact, differ from current projections.</w:t>
      </w:r>
    </w:p>
    <w:p w:rsidR="00F11350" w:rsidRPr="00F11350" w:rsidRDefault="00F11350" w:rsidP="00F11350">
      <w:pPr>
        <w:keepNext/>
        <w:spacing w:before="340" w:after="114"/>
        <w:rPr>
          <w:rFonts w:ascii="Calibri" w:eastAsia="Calibri" w:hAnsi="Calibri" w:cs="Times New Roman"/>
          <w:b/>
          <w:bCs/>
          <w:color w:val="1F497D"/>
          <w:spacing w:val="-4"/>
        </w:rPr>
      </w:pPr>
      <w:r w:rsidRPr="00F11350">
        <w:rPr>
          <w:rFonts w:ascii="Calibri" w:eastAsia="Calibri" w:hAnsi="Calibri" w:cs="Times New Roman"/>
          <w:b/>
          <w:bCs/>
          <w:color w:val="1F497D"/>
          <w:spacing w:val="-4"/>
        </w:rPr>
        <w:t>Table 1: Financial implications (outturn prices</w:t>
      </w:r>
      <w:proofErr w:type="gramStart"/>
      <w:r w:rsidRPr="00F11350">
        <w:rPr>
          <w:rFonts w:ascii="Calibri" w:eastAsia="Calibri" w:hAnsi="Calibri" w:cs="Times New Roman"/>
          <w:b/>
          <w:bCs/>
          <w:color w:val="1F497D"/>
          <w:spacing w:val="-4"/>
        </w:rPr>
        <w:t>)</w:t>
      </w:r>
      <w:r w:rsidRPr="00F11350">
        <w:rPr>
          <w:rFonts w:ascii="Calibri" w:eastAsia="Calibri" w:hAnsi="Calibri" w:cs="Times New Roman"/>
          <w:b/>
          <w:bCs/>
          <w:color w:val="1F497D"/>
          <w:spacing w:val="-4"/>
          <w:vertAlign w:val="superscript"/>
        </w:rPr>
        <w:t>(</w:t>
      </w:r>
      <w:proofErr w:type="gramEnd"/>
      <w:r w:rsidRPr="00F11350">
        <w:rPr>
          <w:rFonts w:ascii="Calibri" w:eastAsia="Calibri" w:hAnsi="Calibri" w:cs="Times New Roman"/>
          <w:b/>
          <w:bCs/>
          <w:color w:val="1F497D"/>
          <w:spacing w:val="-4"/>
          <w:vertAlign w:val="superscript"/>
        </w:rPr>
        <w:t>a)(b)</w:t>
      </w:r>
    </w:p>
    <w:tbl>
      <w:tblPr>
        <w:tblStyle w:val="TableGrid1"/>
        <w:tblW w:w="4993" w:type="pct"/>
        <w:tblLook w:val="04A0" w:firstRow="1" w:lastRow="0" w:firstColumn="1" w:lastColumn="0" w:noHBand="0" w:noVBand="1"/>
      </w:tblPr>
      <w:tblGrid>
        <w:gridCol w:w="2645"/>
        <w:gridCol w:w="1134"/>
        <w:gridCol w:w="1133"/>
        <w:gridCol w:w="1133"/>
        <w:gridCol w:w="1133"/>
        <w:gridCol w:w="1132"/>
      </w:tblGrid>
      <w:tr w:rsidR="00F11350" w:rsidRPr="00F11350" w:rsidTr="005625C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91" w:type="pct"/>
            <w:vAlign w:val="center"/>
          </w:tcPr>
          <w:p w:rsidR="00F11350" w:rsidRPr="00F11350" w:rsidRDefault="00F11350" w:rsidP="00F11350">
            <w:pPr>
              <w:keepNext/>
              <w:keepLines/>
              <w:spacing w:before="0" w:after="0" w:line="240" w:lineRule="auto"/>
              <w:ind w:left="57" w:right="57"/>
              <w:rPr>
                <w:sz w:val="20"/>
                <w:szCs w:val="20"/>
              </w:rPr>
            </w:pPr>
            <w:r w:rsidRPr="00F11350">
              <w:rPr>
                <w:sz w:val="20"/>
                <w:szCs w:val="20"/>
              </w:rPr>
              <w:t>Impact on ($m)</w:t>
            </w:r>
          </w:p>
        </w:tc>
        <w:tc>
          <w:tcPr>
            <w:tcW w:w="682" w:type="pct"/>
            <w:vAlign w:val="center"/>
          </w:tcPr>
          <w:p w:rsidR="00F11350" w:rsidRPr="00F11350" w:rsidRDefault="00F11350" w:rsidP="00F11350">
            <w:pPr>
              <w:keepNext/>
              <w:keepLines/>
              <w:spacing w:line="240" w:lineRule="auto"/>
              <w:ind w:left="57" w:right="57"/>
              <w:jc w:val="right"/>
              <w:cnfStyle w:val="100000000000" w:firstRow="1" w:lastRow="0" w:firstColumn="0" w:lastColumn="0" w:oddVBand="0" w:evenVBand="0" w:oddHBand="0" w:evenHBand="0" w:firstRowFirstColumn="0" w:firstRowLastColumn="0" w:lastRowFirstColumn="0" w:lastRowLastColumn="0"/>
              <w:rPr>
                <w:sz w:val="20"/>
                <w:szCs w:val="20"/>
              </w:rPr>
            </w:pPr>
            <w:r w:rsidRPr="00F11350">
              <w:rPr>
                <w:sz w:val="20"/>
                <w:szCs w:val="20"/>
              </w:rPr>
              <w:t>2016–17</w:t>
            </w:r>
          </w:p>
        </w:tc>
        <w:tc>
          <w:tcPr>
            <w:tcW w:w="682" w:type="pct"/>
            <w:vAlign w:val="center"/>
          </w:tcPr>
          <w:p w:rsidR="00F11350" w:rsidRPr="00F11350" w:rsidRDefault="00F11350" w:rsidP="00F11350">
            <w:pPr>
              <w:keepNext/>
              <w:keepLines/>
              <w:spacing w:line="240" w:lineRule="auto"/>
              <w:ind w:left="57" w:right="57"/>
              <w:jc w:val="right"/>
              <w:cnfStyle w:val="100000000000" w:firstRow="1" w:lastRow="0" w:firstColumn="0" w:lastColumn="0" w:oddVBand="0" w:evenVBand="0" w:oddHBand="0" w:evenHBand="0" w:firstRowFirstColumn="0" w:firstRowLastColumn="0" w:lastRowFirstColumn="0" w:lastRowLastColumn="0"/>
              <w:rPr>
                <w:sz w:val="20"/>
                <w:szCs w:val="20"/>
              </w:rPr>
            </w:pPr>
            <w:r w:rsidRPr="00F11350">
              <w:rPr>
                <w:sz w:val="20"/>
                <w:szCs w:val="20"/>
              </w:rPr>
              <w:t>2017–18</w:t>
            </w:r>
          </w:p>
        </w:tc>
        <w:tc>
          <w:tcPr>
            <w:tcW w:w="682" w:type="pct"/>
            <w:vAlign w:val="center"/>
          </w:tcPr>
          <w:p w:rsidR="00F11350" w:rsidRPr="00F11350" w:rsidRDefault="00F11350" w:rsidP="00F11350">
            <w:pPr>
              <w:keepNext/>
              <w:keepLines/>
              <w:spacing w:line="240" w:lineRule="auto"/>
              <w:ind w:left="57" w:right="57"/>
              <w:jc w:val="right"/>
              <w:cnfStyle w:val="100000000000" w:firstRow="1" w:lastRow="0" w:firstColumn="0" w:lastColumn="0" w:oddVBand="0" w:evenVBand="0" w:oddHBand="0" w:evenHBand="0" w:firstRowFirstColumn="0" w:firstRowLastColumn="0" w:lastRowFirstColumn="0" w:lastRowLastColumn="0"/>
              <w:rPr>
                <w:sz w:val="20"/>
                <w:szCs w:val="20"/>
              </w:rPr>
            </w:pPr>
            <w:r w:rsidRPr="00F11350">
              <w:rPr>
                <w:sz w:val="20"/>
                <w:szCs w:val="20"/>
              </w:rPr>
              <w:t>2018–19</w:t>
            </w:r>
          </w:p>
        </w:tc>
        <w:tc>
          <w:tcPr>
            <w:tcW w:w="682" w:type="pct"/>
            <w:vAlign w:val="center"/>
          </w:tcPr>
          <w:p w:rsidR="00F11350" w:rsidRPr="00F11350" w:rsidRDefault="00F11350" w:rsidP="00F11350">
            <w:pPr>
              <w:keepNext/>
              <w:keepLines/>
              <w:spacing w:line="240" w:lineRule="auto"/>
              <w:ind w:left="57" w:right="57"/>
              <w:jc w:val="right"/>
              <w:cnfStyle w:val="100000000000" w:firstRow="1" w:lastRow="0" w:firstColumn="0" w:lastColumn="0" w:oddVBand="0" w:evenVBand="0" w:oddHBand="0" w:evenHBand="0" w:firstRowFirstColumn="0" w:firstRowLastColumn="0" w:lastRowFirstColumn="0" w:lastRowLastColumn="0"/>
              <w:rPr>
                <w:sz w:val="20"/>
                <w:szCs w:val="20"/>
              </w:rPr>
            </w:pPr>
            <w:r w:rsidRPr="00F11350">
              <w:rPr>
                <w:sz w:val="20"/>
                <w:szCs w:val="20"/>
              </w:rPr>
              <w:t>2019–20</w:t>
            </w:r>
          </w:p>
        </w:tc>
        <w:tc>
          <w:tcPr>
            <w:tcW w:w="681" w:type="pct"/>
            <w:vAlign w:val="center"/>
          </w:tcPr>
          <w:p w:rsidR="00F11350" w:rsidRPr="00F11350" w:rsidRDefault="00F11350" w:rsidP="00F11350">
            <w:pPr>
              <w:keepNext/>
              <w:keepLines/>
              <w:spacing w:line="240" w:lineRule="auto"/>
              <w:ind w:left="57" w:right="57"/>
              <w:jc w:val="right"/>
              <w:cnfStyle w:val="100000000000" w:firstRow="1" w:lastRow="0" w:firstColumn="0" w:lastColumn="0" w:oddVBand="0" w:evenVBand="0" w:oddHBand="0" w:evenHBand="0" w:firstRowFirstColumn="0" w:firstRowLastColumn="0" w:lastRowFirstColumn="0" w:lastRowLastColumn="0"/>
              <w:rPr>
                <w:sz w:val="20"/>
                <w:szCs w:val="20"/>
              </w:rPr>
            </w:pPr>
            <w:r w:rsidRPr="00F11350">
              <w:rPr>
                <w:sz w:val="20"/>
                <w:szCs w:val="20"/>
              </w:rPr>
              <w:t>Total</w:t>
            </w:r>
          </w:p>
        </w:tc>
      </w:tr>
      <w:tr w:rsidR="00F11350" w:rsidRPr="00F11350" w:rsidTr="005625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pct"/>
            <w:vAlign w:val="center"/>
          </w:tcPr>
          <w:p w:rsidR="00F11350" w:rsidRPr="00F11350" w:rsidRDefault="00F11350" w:rsidP="00F11350">
            <w:pPr>
              <w:keepNext/>
              <w:keepLines/>
              <w:spacing w:before="0" w:after="0" w:line="240" w:lineRule="auto"/>
              <w:ind w:left="57" w:right="57"/>
              <w:rPr>
                <w:rFonts w:ascii="Calibri" w:hAnsi="Calibri"/>
                <w:sz w:val="20"/>
                <w:szCs w:val="20"/>
              </w:rPr>
            </w:pPr>
            <w:r w:rsidRPr="00F11350">
              <w:rPr>
                <w:rFonts w:ascii="Calibri" w:hAnsi="Calibri"/>
                <w:sz w:val="20"/>
                <w:szCs w:val="20"/>
              </w:rPr>
              <w:t>Fiscal balance</w:t>
            </w:r>
          </w:p>
        </w:tc>
        <w:tc>
          <w:tcPr>
            <w:tcW w:w="682" w:type="pct"/>
            <w:vAlign w:val="center"/>
          </w:tcPr>
          <w:p w:rsidR="00F11350" w:rsidRPr="00F11350" w:rsidRDefault="00F11350" w:rsidP="00F11350">
            <w:pPr>
              <w:spacing w:line="240" w:lineRule="auto"/>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rPr>
            </w:pPr>
            <w:r w:rsidRPr="00F11350">
              <w:rPr>
                <w:rFonts w:ascii="Calibri" w:hAnsi="Calibri"/>
              </w:rPr>
              <w:t>-419</w:t>
            </w:r>
          </w:p>
        </w:tc>
        <w:tc>
          <w:tcPr>
            <w:tcW w:w="682" w:type="pct"/>
            <w:vAlign w:val="center"/>
          </w:tcPr>
          <w:p w:rsidR="00F11350" w:rsidRPr="00F11350" w:rsidRDefault="00F11350" w:rsidP="00F11350">
            <w:pPr>
              <w:spacing w:line="240" w:lineRule="auto"/>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rPr>
            </w:pPr>
            <w:r w:rsidRPr="00F11350">
              <w:rPr>
                <w:rFonts w:ascii="Calibri" w:hAnsi="Calibri"/>
              </w:rPr>
              <w:t>-1,482</w:t>
            </w:r>
          </w:p>
        </w:tc>
        <w:tc>
          <w:tcPr>
            <w:tcW w:w="682" w:type="pct"/>
            <w:vAlign w:val="center"/>
          </w:tcPr>
          <w:p w:rsidR="00F11350" w:rsidRPr="00F11350" w:rsidRDefault="00F11350" w:rsidP="00F11350">
            <w:pPr>
              <w:spacing w:line="240" w:lineRule="auto"/>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rPr>
            </w:pPr>
            <w:r w:rsidRPr="00F11350">
              <w:rPr>
                <w:rFonts w:ascii="Calibri" w:hAnsi="Calibri"/>
              </w:rPr>
              <w:t>-2,318</w:t>
            </w:r>
          </w:p>
        </w:tc>
        <w:tc>
          <w:tcPr>
            <w:tcW w:w="682" w:type="pct"/>
            <w:vAlign w:val="center"/>
          </w:tcPr>
          <w:p w:rsidR="00F11350" w:rsidRPr="00F11350" w:rsidRDefault="00F11350" w:rsidP="00F11350">
            <w:pPr>
              <w:spacing w:line="240" w:lineRule="auto"/>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rPr>
            </w:pPr>
            <w:r w:rsidRPr="00F11350">
              <w:rPr>
                <w:rFonts w:ascii="Calibri" w:hAnsi="Calibri"/>
              </w:rPr>
              <w:t>-2,776</w:t>
            </w:r>
          </w:p>
        </w:tc>
        <w:tc>
          <w:tcPr>
            <w:tcW w:w="681" w:type="pct"/>
            <w:vAlign w:val="center"/>
          </w:tcPr>
          <w:p w:rsidR="00F11350" w:rsidRPr="00F11350" w:rsidRDefault="00F11350" w:rsidP="00F11350">
            <w:pPr>
              <w:spacing w:line="240" w:lineRule="auto"/>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b/>
              </w:rPr>
            </w:pPr>
            <w:r w:rsidRPr="00F11350">
              <w:rPr>
                <w:rFonts w:ascii="Calibri" w:hAnsi="Calibri"/>
                <w:b/>
              </w:rPr>
              <w:t>-6,995</w:t>
            </w:r>
          </w:p>
        </w:tc>
      </w:tr>
      <w:tr w:rsidR="00F11350" w:rsidRPr="00F11350" w:rsidTr="005625C1">
        <w:tc>
          <w:tcPr>
            <w:cnfStyle w:val="001000000000" w:firstRow="0" w:lastRow="0" w:firstColumn="1" w:lastColumn="0" w:oddVBand="0" w:evenVBand="0" w:oddHBand="0" w:evenHBand="0" w:firstRowFirstColumn="0" w:firstRowLastColumn="0" w:lastRowFirstColumn="0" w:lastRowLastColumn="0"/>
            <w:tcW w:w="1591" w:type="pct"/>
            <w:vAlign w:val="center"/>
          </w:tcPr>
          <w:p w:rsidR="00F11350" w:rsidRPr="00F11350" w:rsidRDefault="00F11350" w:rsidP="00F11350">
            <w:pPr>
              <w:keepNext/>
              <w:keepLines/>
              <w:spacing w:before="0" w:after="0" w:line="240" w:lineRule="auto"/>
              <w:ind w:left="57" w:right="57"/>
              <w:rPr>
                <w:rFonts w:ascii="Calibri" w:hAnsi="Calibri"/>
                <w:sz w:val="20"/>
                <w:szCs w:val="20"/>
              </w:rPr>
            </w:pPr>
            <w:r w:rsidRPr="00F11350">
              <w:rPr>
                <w:rFonts w:ascii="Calibri" w:hAnsi="Calibri"/>
                <w:sz w:val="20"/>
                <w:szCs w:val="20"/>
              </w:rPr>
              <w:t>Underlying cash balance</w:t>
            </w:r>
          </w:p>
        </w:tc>
        <w:tc>
          <w:tcPr>
            <w:tcW w:w="682" w:type="pct"/>
            <w:vAlign w:val="center"/>
          </w:tcPr>
          <w:p w:rsidR="00F11350" w:rsidRPr="00F11350"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F11350">
              <w:rPr>
                <w:rFonts w:ascii="Calibri" w:hAnsi="Calibri"/>
              </w:rPr>
              <w:t>-408</w:t>
            </w:r>
          </w:p>
        </w:tc>
        <w:tc>
          <w:tcPr>
            <w:tcW w:w="682" w:type="pct"/>
            <w:vAlign w:val="center"/>
          </w:tcPr>
          <w:p w:rsidR="00F11350" w:rsidRPr="00F11350"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F11350">
              <w:rPr>
                <w:rFonts w:ascii="Calibri" w:hAnsi="Calibri"/>
              </w:rPr>
              <w:t>-1,459</w:t>
            </w:r>
          </w:p>
        </w:tc>
        <w:tc>
          <w:tcPr>
            <w:tcW w:w="682" w:type="pct"/>
            <w:vAlign w:val="center"/>
          </w:tcPr>
          <w:p w:rsidR="00F11350" w:rsidRPr="00F11350"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F11350">
              <w:rPr>
                <w:rFonts w:ascii="Calibri" w:hAnsi="Calibri"/>
              </w:rPr>
              <w:t>-2,303</w:t>
            </w:r>
          </w:p>
        </w:tc>
        <w:tc>
          <w:tcPr>
            <w:tcW w:w="682" w:type="pct"/>
            <w:vAlign w:val="center"/>
          </w:tcPr>
          <w:p w:rsidR="00F11350" w:rsidRPr="00F11350"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F11350">
              <w:rPr>
                <w:rFonts w:ascii="Calibri" w:hAnsi="Calibri"/>
              </w:rPr>
              <w:t>-2,773</w:t>
            </w:r>
          </w:p>
        </w:tc>
        <w:tc>
          <w:tcPr>
            <w:tcW w:w="681" w:type="pct"/>
            <w:vAlign w:val="center"/>
          </w:tcPr>
          <w:p w:rsidR="00F11350" w:rsidRPr="00F11350"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rPr>
            </w:pPr>
            <w:r w:rsidRPr="00F11350">
              <w:rPr>
                <w:rFonts w:ascii="Calibri" w:hAnsi="Calibri"/>
                <w:b/>
              </w:rPr>
              <w:t>-6,943</w:t>
            </w:r>
          </w:p>
        </w:tc>
      </w:tr>
      <w:tr w:rsidR="00F11350" w:rsidRPr="00F11350" w:rsidTr="005625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pct"/>
            <w:vAlign w:val="center"/>
          </w:tcPr>
          <w:p w:rsidR="00F11350" w:rsidRPr="00F11350" w:rsidRDefault="00F11350" w:rsidP="00F11350">
            <w:pPr>
              <w:keepNext/>
              <w:keepLines/>
              <w:spacing w:before="0" w:after="0" w:line="240" w:lineRule="auto"/>
              <w:ind w:left="57" w:right="57"/>
              <w:rPr>
                <w:rFonts w:ascii="Calibri" w:hAnsi="Calibri"/>
                <w:sz w:val="20"/>
                <w:szCs w:val="20"/>
              </w:rPr>
            </w:pPr>
            <w:r w:rsidRPr="00F11350">
              <w:rPr>
                <w:rFonts w:ascii="Calibri" w:hAnsi="Calibri"/>
                <w:sz w:val="20"/>
                <w:szCs w:val="20"/>
              </w:rPr>
              <w:t>Headline cash balance</w:t>
            </w:r>
          </w:p>
        </w:tc>
        <w:tc>
          <w:tcPr>
            <w:tcW w:w="682" w:type="pct"/>
            <w:vAlign w:val="center"/>
          </w:tcPr>
          <w:p w:rsidR="00F11350" w:rsidRPr="00F11350" w:rsidRDefault="00F11350" w:rsidP="00F11350">
            <w:pPr>
              <w:spacing w:line="240" w:lineRule="auto"/>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rPr>
            </w:pPr>
            <w:r w:rsidRPr="00F11350">
              <w:rPr>
                <w:rFonts w:ascii="Calibri" w:hAnsi="Calibri"/>
              </w:rPr>
              <w:t>-408</w:t>
            </w:r>
          </w:p>
        </w:tc>
        <w:tc>
          <w:tcPr>
            <w:tcW w:w="682" w:type="pct"/>
            <w:vAlign w:val="center"/>
          </w:tcPr>
          <w:p w:rsidR="00F11350" w:rsidRPr="00F11350" w:rsidRDefault="00F11350" w:rsidP="00F11350">
            <w:pPr>
              <w:spacing w:line="240" w:lineRule="auto"/>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rPr>
            </w:pPr>
            <w:r w:rsidRPr="00F11350">
              <w:rPr>
                <w:rFonts w:ascii="Calibri" w:hAnsi="Calibri"/>
              </w:rPr>
              <w:t>-1,504</w:t>
            </w:r>
          </w:p>
        </w:tc>
        <w:tc>
          <w:tcPr>
            <w:tcW w:w="682" w:type="pct"/>
            <w:vAlign w:val="center"/>
          </w:tcPr>
          <w:p w:rsidR="00F11350" w:rsidRPr="00F11350" w:rsidRDefault="00F11350" w:rsidP="00F11350">
            <w:pPr>
              <w:spacing w:line="240" w:lineRule="auto"/>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rPr>
            </w:pPr>
            <w:r w:rsidRPr="00F11350">
              <w:rPr>
                <w:rFonts w:ascii="Calibri" w:hAnsi="Calibri"/>
              </w:rPr>
              <w:t>-2,364</w:t>
            </w:r>
          </w:p>
        </w:tc>
        <w:tc>
          <w:tcPr>
            <w:tcW w:w="682" w:type="pct"/>
            <w:vAlign w:val="center"/>
          </w:tcPr>
          <w:p w:rsidR="00F11350" w:rsidRPr="00F11350" w:rsidRDefault="00F11350" w:rsidP="00F11350">
            <w:pPr>
              <w:spacing w:line="240" w:lineRule="auto"/>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rPr>
            </w:pPr>
            <w:r w:rsidRPr="00F11350">
              <w:rPr>
                <w:rFonts w:ascii="Calibri" w:hAnsi="Calibri"/>
              </w:rPr>
              <w:t>-2,776</w:t>
            </w:r>
          </w:p>
        </w:tc>
        <w:tc>
          <w:tcPr>
            <w:tcW w:w="681" w:type="pct"/>
            <w:vAlign w:val="center"/>
          </w:tcPr>
          <w:p w:rsidR="00F11350" w:rsidRPr="00F11350" w:rsidRDefault="00F11350" w:rsidP="00F11350">
            <w:pPr>
              <w:spacing w:line="240" w:lineRule="auto"/>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b/>
              </w:rPr>
            </w:pPr>
            <w:r w:rsidRPr="00F11350">
              <w:rPr>
                <w:rFonts w:ascii="Calibri" w:hAnsi="Calibri"/>
                <w:b/>
              </w:rPr>
              <w:t>-7,051</w:t>
            </w:r>
          </w:p>
        </w:tc>
      </w:tr>
    </w:tbl>
    <w:p w:rsidR="00F11350" w:rsidRPr="00346892" w:rsidRDefault="00F11350" w:rsidP="00346892">
      <w:pPr>
        <w:pStyle w:val="Footnotes"/>
        <w:keepNext/>
        <w:keepLines/>
        <w:numPr>
          <w:ilvl w:val="0"/>
          <w:numId w:val="29"/>
        </w:numPr>
        <w:spacing w:before="113" w:after="114"/>
        <w:ind w:left="284" w:hanging="284"/>
        <w:rPr>
          <w:rFonts w:ascii="Calibri" w:eastAsia="Calibri" w:hAnsi="Calibri" w:cs="Times New Roman"/>
        </w:rPr>
      </w:pPr>
      <w:r w:rsidRPr="00346892">
        <w:rPr>
          <w:rFonts w:ascii="Calibri" w:eastAsia="Calibri" w:hAnsi="Calibri" w:cs="Times New Roman"/>
        </w:rPr>
        <w:t>A positive number indicates an increase in the relevant budget balance, a negative a decrease.</w:t>
      </w:r>
    </w:p>
    <w:p w:rsidR="00F11350" w:rsidRPr="00F11350" w:rsidRDefault="00F11350" w:rsidP="000045F4">
      <w:pPr>
        <w:keepNext/>
        <w:keepLines/>
        <w:numPr>
          <w:ilvl w:val="0"/>
          <w:numId w:val="21"/>
        </w:numPr>
        <w:spacing w:before="113" w:after="114" w:line="260" w:lineRule="atLeast"/>
        <w:ind w:left="284" w:hanging="284"/>
        <w:rPr>
          <w:rFonts w:ascii="Calibri" w:eastAsia="Calibri" w:hAnsi="Calibri" w:cs="Times New Roman"/>
          <w:sz w:val="20"/>
          <w:szCs w:val="20"/>
        </w:rPr>
      </w:pPr>
      <w:r w:rsidRPr="00F11350">
        <w:rPr>
          <w:rFonts w:ascii="Calibri" w:eastAsia="Calibri" w:hAnsi="Calibri" w:cs="Times New Roman"/>
          <w:sz w:val="20"/>
          <w:szCs w:val="20"/>
        </w:rPr>
        <w:t>Figures may not sum to totals due to rounding.</w:t>
      </w:r>
    </w:p>
    <w:p w:rsidR="00F11350" w:rsidRPr="00F11350" w:rsidRDefault="00F11350" w:rsidP="00F11350">
      <w:pPr>
        <w:keepNext/>
        <w:keepLines/>
        <w:tabs>
          <w:tab w:val="left" w:pos="1418"/>
          <w:tab w:val="left" w:pos="1701"/>
          <w:tab w:val="left" w:pos="1985"/>
        </w:tabs>
        <w:spacing w:before="470" w:after="227"/>
        <w:outlineLvl w:val="1"/>
        <w:rPr>
          <w:rFonts w:ascii="Cambria" w:eastAsia="Calibri" w:hAnsi="Cambria" w:cs="Times New Roman"/>
          <w:bCs/>
          <w:iCs/>
          <w:color w:val="2B3B5F"/>
          <w:kern w:val="20"/>
          <w:sz w:val="28"/>
          <w:szCs w:val="28"/>
        </w:rPr>
      </w:pPr>
      <w:r w:rsidRPr="00F11350">
        <w:rPr>
          <w:rFonts w:ascii="Cambria" w:eastAsia="Calibri" w:hAnsi="Cambria" w:cs="Times New Roman"/>
          <w:bCs/>
          <w:iCs/>
          <w:color w:val="2B3B5F"/>
          <w:kern w:val="20"/>
          <w:sz w:val="28"/>
          <w:szCs w:val="28"/>
        </w:rPr>
        <w:t>Key assumptions</w:t>
      </w:r>
    </w:p>
    <w:p w:rsidR="00F11350" w:rsidRPr="00F11350" w:rsidRDefault="00F11350" w:rsidP="00F11350">
      <w:pPr>
        <w:spacing w:before="114" w:after="114"/>
        <w:rPr>
          <w:rFonts w:ascii="Calibri" w:eastAsia="Calibri" w:hAnsi="Calibri" w:cs="Times New Roman"/>
        </w:rPr>
      </w:pPr>
      <w:r w:rsidRPr="00F11350">
        <w:rPr>
          <w:rFonts w:ascii="Calibri" w:eastAsia="Calibri" w:hAnsi="Calibri" w:cs="Times New Roman"/>
        </w:rPr>
        <w:t>In costing this proposal it has been assumed that university funding is grown by labour productivity and the consumer price index beyond the forward estimates period.</w:t>
      </w:r>
    </w:p>
    <w:p w:rsidR="00F11350" w:rsidRPr="00F11350" w:rsidRDefault="00F11350" w:rsidP="00F11350">
      <w:pPr>
        <w:keepNext/>
        <w:keepLines/>
        <w:tabs>
          <w:tab w:val="left" w:pos="1418"/>
          <w:tab w:val="left" w:pos="1701"/>
          <w:tab w:val="left" w:pos="1985"/>
        </w:tabs>
        <w:spacing w:before="470" w:after="227"/>
        <w:outlineLvl w:val="1"/>
        <w:rPr>
          <w:rFonts w:ascii="Cambria" w:eastAsia="Calibri" w:hAnsi="Cambria" w:cs="Times New Roman"/>
          <w:bCs/>
          <w:iCs/>
          <w:color w:val="2B3B5F"/>
          <w:kern w:val="20"/>
          <w:sz w:val="28"/>
          <w:szCs w:val="28"/>
        </w:rPr>
      </w:pPr>
      <w:r w:rsidRPr="00F11350">
        <w:rPr>
          <w:rFonts w:ascii="Cambria" w:eastAsia="Calibri" w:hAnsi="Cambria" w:cs="Times New Roman"/>
          <w:bCs/>
          <w:iCs/>
          <w:color w:val="2B3B5F"/>
          <w:kern w:val="20"/>
          <w:sz w:val="28"/>
          <w:szCs w:val="28"/>
        </w:rPr>
        <w:t>Methodology</w:t>
      </w:r>
    </w:p>
    <w:p w:rsidR="00F11350" w:rsidRPr="00F11350" w:rsidRDefault="00F11350" w:rsidP="00F11350">
      <w:pPr>
        <w:spacing w:before="114" w:after="114"/>
        <w:rPr>
          <w:rFonts w:ascii="Calibri" w:eastAsia="Calibri" w:hAnsi="Calibri" w:cs="Times New Roman"/>
          <w:bCs/>
        </w:rPr>
      </w:pPr>
      <w:r w:rsidRPr="00F11350">
        <w:rPr>
          <w:rFonts w:ascii="Calibri" w:eastAsia="Calibri" w:hAnsi="Calibri" w:cs="Times New Roman"/>
        </w:rPr>
        <w:t>As per the proposal, the costing applies the 10 per cent increase to the base funding estimates profile after reversing the effect of relevant measures in the 2013</w:t>
      </w:r>
      <w:r w:rsidRPr="00F11350">
        <w:rPr>
          <w:rFonts w:ascii="Calibri" w:eastAsia="Calibri" w:hAnsi="Calibri" w:cs="Times New Roman"/>
        </w:rPr>
        <w:noBreakHyphen/>
        <w:t>14 and 2014</w:t>
      </w:r>
      <w:r w:rsidRPr="00F11350">
        <w:rPr>
          <w:rFonts w:ascii="Calibri" w:eastAsia="Calibri" w:hAnsi="Calibri" w:cs="Times New Roman"/>
        </w:rPr>
        <w:noBreakHyphen/>
        <w:t xml:space="preserve">15 Budgets.  Consistent with the costing request </w:t>
      </w:r>
      <w:r w:rsidRPr="00F11350">
        <w:rPr>
          <w:rFonts w:ascii="Calibri" w:eastAsia="Calibri" w:hAnsi="Calibri" w:cs="Times New Roman"/>
          <w:bCs/>
        </w:rPr>
        <w:t>the 10 per cent increase was applied to the estimates</w:t>
      </w:r>
      <w:r w:rsidRPr="00F11350">
        <w:rPr>
          <w:rFonts w:ascii="Calibri" w:eastAsia="Calibri" w:hAnsi="Calibri" w:cs="Times New Roman"/>
        </w:rPr>
        <w:t xml:space="preserve"> in a phased approach at a rate of 2.5 per cent per calendar year from 1 January 2017 accumulatively up t</w:t>
      </w:r>
      <w:r w:rsidRPr="00F11350">
        <w:rPr>
          <w:rFonts w:ascii="Calibri" w:eastAsia="Calibri" w:hAnsi="Calibri" w:cs="Times New Roman"/>
          <w:bCs/>
        </w:rPr>
        <w:t>o 10 per cent by 1 January 2020.</w:t>
      </w:r>
    </w:p>
    <w:p w:rsidR="00F11350" w:rsidRPr="00F11350" w:rsidRDefault="00F11350" w:rsidP="00F11350">
      <w:pPr>
        <w:spacing w:before="114" w:after="114"/>
        <w:rPr>
          <w:rFonts w:ascii="Calibri" w:eastAsia="Calibri" w:hAnsi="Calibri" w:cs="Times New Roman"/>
          <w:bCs/>
        </w:rPr>
      </w:pPr>
      <w:r w:rsidRPr="00F11350">
        <w:rPr>
          <w:rFonts w:ascii="Calibri" w:eastAsia="Calibri" w:hAnsi="Calibri" w:cs="Times New Roman"/>
          <w:bCs/>
        </w:rPr>
        <w:t>Amounts have been rounded to the nearest $1 million.</w:t>
      </w:r>
    </w:p>
    <w:p w:rsidR="00F11350" w:rsidRPr="00F11350" w:rsidRDefault="00F11350" w:rsidP="00F11350">
      <w:pPr>
        <w:keepNext/>
        <w:keepLines/>
        <w:tabs>
          <w:tab w:val="left" w:pos="1418"/>
          <w:tab w:val="left" w:pos="1701"/>
          <w:tab w:val="left" w:pos="1985"/>
        </w:tabs>
        <w:spacing w:before="470" w:after="227"/>
        <w:outlineLvl w:val="1"/>
        <w:rPr>
          <w:rFonts w:ascii="Cambria" w:eastAsia="Calibri" w:hAnsi="Cambria" w:cs="Times New Roman"/>
          <w:bCs/>
          <w:iCs/>
          <w:color w:val="2B3B5F"/>
          <w:kern w:val="20"/>
          <w:sz w:val="28"/>
          <w:szCs w:val="28"/>
        </w:rPr>
      </w:pPr>
      <w:r w:rsidRPr="00F11350">
        <w:rPr>
          <w:rFonts w:ascii="Cambria" w:eastAsia="Calibri" w:hAnsi="Cambria" w:cs="Times New Roman"/>
          <w:bCs/>
          <w:iCs/>
          <w:color w:val="2B3B5F"/>
          <w:kern w:val="20"/>
          <w:sz w:val="28"/>
          <w:szCs w:val="28"/>
        </w:rPr>
        <w:t>Data sources</w:t>
      </w:r>
    </w:p>
    <w:p w:rsidR="00F11350" w:rsidRPr="00F11350" w:rsidRDefault="00F11350" w:rsidP="00F11350">
      <w:pPr>
        <w:numPr>
          <w:ilvl w:val="0"/>
          <w:numId w:val="23"/>
        </w:numPr>
        <w:spacing w:before="240" w:after="114" w:line="240" w:lineRule="auto"/>
        <w:ind w:left="284" w:hanging="284"/>
        <w:rPr>
          <w:rFonts w:ascii="Calibri" w:eastAsia="Calibri" w:hAnsi="Calibri" w:cs="Times New Roman"/>
        </w:rPr>
      </w:pPr>
      <w:r w:rsidRPr="00F11350">
        <w:rPr>
          <w:rFonts w:ascii="Calibri" w:eastAsia="Calibri" w:hAnsi="Calibri" w:cs="Times New Roman"/>
        </w:rPr>
        <w:t>The 2013-14, 2014-15 and 2015-16 Budget papers and the 2015-16 Mid-Year Economic and Fiscal Outlook (MYEFO).</w:t>
      </w:r>
    </w:p>
    <w:p w:rsidR="00F11350" w:rsidRPr="00F11350" w:rsidRDefault="00F11350" w:rsidP="00F11350">
      <w:pPr>
        <w:numPr>
          <w:ilvl w:val="0"/>
          <w:numId w:val="23"/>
        </w:numPr>
        <w:spacing w:before="240" w:after="114" w:line="240" w:lineRule="auto"/>
        <w:ind w:left="284" w:hanging="284"/>
        <w:rPr>
          <w:rFonts w:ascii="Calibri" w:eastAsia="Calibri" w:hAnsi="Calibri" w:cs="Times New Roman"/>
        </w:rPr>
      </w:pPr>
      <w:r w:rsidRPr="00F11350">
        <w:rPr>
          <w:rFonts w:ascii="Calibri" w:eastAsia="Calibri" w:hAnsi="Calibri" w:cs="Times New Roman"/>
        </w:rPr>
        <w:t>The Treasury provided economic parameters as at the 2016-17 Budget.</w:t>
      </w:r>
    </w:p>
    <w:p w:rsidR="00F11350" w:rsidRPr="00F11350" w:rsidRDefault="00F11350" w:rsidP="00F11350">
      <w:pPr>
        <w:keepNext/>
        <w:keepLines/>
        <w:tabs>
          <w:tab w:val="right" w:pos="1418"/>
          <w:tab w:val="right" w:pos="1701"/>
          <w:tab w:val="right" w:pos="1985"/>
        </w:tabs>
        <w:spacing w:before="480" w:after="340" w:line="240" w:lineRule="auto"/>
        <w:outlineLvl w:val="0"/>
        <w:rPr>
          <w:rFonts w:ascii="Georgia" w:eastAsia="Calibri" w:hAnsi="Georgia" w:cs="Times New Roman"/>
          <w:bCs/>
          <w:color w:val="2B3B5F"/>
          <w:spacing w:val="-6"/>
          <w:kern w:val="32"/>
          <w:sz w:val="32"/>
          <w:szCs w:val="32"/>
        </w:rPr>
      </w:pPr>
      <w:r w:rsidRPr="00F11350">
        <w:rPr>
          <w:rFonts w:ascii="Georgia" w:eastAsia="Calibri" w:hAnsi="Georgia" w:cs="Times New Roman"/>
          <w:bCs/>
          <w:color w:val="2B3B5F"/>
          <w:spacing w:val="-6"/>
          <w:kern w:val="32"/>
          <w:sz w:val="32"/>
          <w:szCs w:val="32"/>
        </w:rPr>
        <w:lastRenderedPageBreak/>
        <w:t>Attachment A: Higher Education measures from the 2013</w:t>
      </w:r>
      <w:r w:rsidRPr="00F11350">
        <w:rPr>
          <w:rFonts w:ascii="Georgia" w:eastAsia="Calibri" w:hAnsi="Georgia" w:cs="Times New Roman"/>
          <w:bCs/>
          <w:color w:val="2B3B5F"/>
          <w:spacing w:val="-6"/>
          <w:kern w:val="32"/>
          <w:sz w:val="32"/>
          <w:szCs w:val="32"/>
        </w:rPr>
        <w:noBreakHyphen/>
        <w:t xml:space="preserve">14 Budget and 2014-15 </w:t>
      </w:r>
      <w:proofErr w:type="gramStart"/>
      <w:r w:rsidRPr="00F11350">
        <w:rPr>
          <w:rFonts w:ascii="Georgia" w:eastAsia="Calibri" w:hAnsi="Georgia" w:cs="Times New Roman"/>
          <w:bCs/>
          <w:color w:val="2B3B5F"/>
          <w:spacing w:val="-6"/>
          <w:kern w:val="32"/>
          <w:sz w:val="32"/>
          <w:szCs w:val="32"/>
        </w:rPr>
        <w:t>Budget</w:t>
      </w:r>
      <w:proofErr w:type="gramEnd"/>
      <w:r w:rsidRPr="00F11350">
        <w:rPr>
          <w:rFonts w:ascii="Georgia" w:eastAsia="Calibri" w:hAnsi="Georgia" w:cs="Times New Roman"/>
          <w:bCs/>
          <w:color w:val="2B3B5F"/>
          <w:spacing w:val="-6"/>
          <w:kern w:val="32"/>
          <w:sz w:val="32"/>
          <w:szCs w:val="32"/>
        </w:rPr>
        <w:t xml:space="preserve"> that would be reversed under this proposal</w:t>
      </w:r>
    </w:p>
    <w:p w:rsidR="00F11350" w:rsidRPr="00F11350" w:rsidRDefault="00F11350" w:rsidP="00F11350">
      <w:pPr>
        <w:keepNext/>
        <w:keepLines/>
        <w:tabs>
          <w:tab w:val="left" w:pos="1418"/>
          <w:tab w:val="left" w:pos="1701"/>
          <w:tab w:val="left" w:pos="1985"/>
        </w:tabs>
        <w:spacing w:before="470" w:after="227"/>
        <w:outlineLvl w:val="1"/>
        <w:rPr>
          <w:rFonts w:ascii="Cambria" w:eastAsia="Calibri" w:hAnsi="Cambria" w:cs="Times New Roman"/>
          <w:bCs/>
          <w:iCs/>
          <w:color w:val="2B3B5F"/>
          <w:kern w:val="20"/>
          <w:sz w:val="28"/>
          <w:szCs w:val="28"/>
        </w:rPr>
      </w:pPr>
      <w:r w:rsidRPr="00F11350">
        <w:rPr>
          <w:rFonts w:ascii="Cambria" w:eastAsia="Calibri" w:hAnsi="Cambria" w:cs="Times New Roman"/>
          <w:bCs/>
          <w:iCs/>
          <w:color w:val="2B3B5F"/>
          <w:kern w:val="20"/>
          <w:sz w:val="28"/>
          <w:szCs w:val="28"/>
        </w:rPr>
        <w:t xml:space="preserve">2013-14 </w:t>
      </w:r>
      <w:proofErr w:type="gramStart"/>
      <w:r w:rsidRPr="00F11350">
        <w:rPr>
          <w:rFonts w:ascii="Cambria" w:eastAsia="Calibri" w:hAnsi="Cambria" w:cs="Times New Roman"/>
          <w:bCs/>
          <w:iCs/>
          <w:color w:val="2B3B5F"/>
          <w:kern w:val="20"/>
          <w:sz w:val="28"/>
          <w:szCs w:val="28"/>
        </w:rPr>
        <w:t>Budget</w:t>
      </w:r>
      <w:proofErr w:type="gramEnd"/>
      <w:r w:rsidRPr="00F11350">
        <w:rPr>
          <w:rFonts w:ascii="Cambria" w:eastAsia="Calibri" w:hAnsi="Cambria" w:cs="Times New Roman"/>
          <w:bCs/>
          <w:iCs/>
          <w:color w:val="2B3B5F"/>
          <w:kern w:val="20"/>
          <w:sz w:val="28"/>
          <w:szCs w:val="28"/>
        </w:rPr>
        <w:t xml:space="preserve"> </w:t>
      </w:r>
    </w:p>
    <w:p w:rsidR="00F11350" w:rsidRPr="00F11350" w:rsidRDefault="00F11350" w:rsidP="00F11350">
      <w:pPr>
        <w:keepNext/>
        <w:numPr>
          <w:ilvl w:val="0"/>
          <w:numId w:val="24"/>
        </w:numPr>
        <w:spacing w:before="240" w:after="114" w:line="240" w:lineRule="auto"/>
        <w:ind w:left="284" w:hanging="284"/>
        <w:rPr>
          <w:rFonts w:ascii="Calibri" w:eastAsia="Calibri" w:hAnsi="Calibri" w:cs="Times New Roman"/>
        </w:rPr>
      </w:pPr>
      <w:r w:rsidRPr="00F11350">
        <w:rPr>
          <w:rFonts w:ascii="Calibri" w:eastAsia="Calibri" w:hAnsi="Calibri" w:cs="Times New Roman"/>
        </w:rPr>
        <w:t>Student Start-up Scholarships - conversion to Income Contingent Loans</w:t>
      </w:r>
    </w:p>
    <w:p w:rsidR="00F11350" w:rsidRPr="00F11350" w:rsidRDefault="00F11350" w:rsidP="00F11350">
      <w:pPr>
        <w:keepNext/>
        <w:keepLines/>
        <w:tabs>
          <w:tab w:val="left" w:pos="1418"/>
          <w:tab w:val="left" w:pos="1701"/>
          <w:tab w:val="left" w:pos="1985"/>
        </w:tabs>
        <w:spacing w:before="470" w:after="227"/>
        <w:outlineLvl w:val="1"/>
        <w:rPr>
          <w:rFonts w:ascii="Cambria" w:eastAsia="Calibri" w:hAnsi="Cambria" w:cs="Times New Roman"/>
          <w:bCs/>
          <w:iCs/>
          <w:color w:val="2B3B5F"/>
          <w:kern w:val="20"/>
          <w:sz w:val="28"/>
          <w:szCs w:val="28"/>
        </w:rPr>
      </w:pPr>
      <w:r w:rsidRPr="00F11350">
        <w:rPr>
          <w:rFonts w:ascii="Cambria" w:eastAsia="Calibri" w:hAnsi="Cambria" w:cs="Times New Roman"/>
          <w:bCs/>
          <w:iCs/>
          <w:color w:val="2B3B5F"/>
          <w:kern w:val="20"/>
          <w:sz w:val="28"/>
          <w:szCs w:val="28"/>
        </w:rPr>
        <w:t xml:space="preserve">2014-15 </w:t>
      </w:r>
      <w:proofErr w:type="gramStart"/>
      <w:r w:rsidRPr="00F11350">
        <w:rPr>
          <w:rFonts w:ascii="Cambria" w:eastAsia="Calibri" w:hAnsi="Cambria" w:cs="Times New Roman"/>
          <w:bCs/>
          <w:iCs/>
          <w:color w:val="2B3B5F"/>
          <w:kern w:val="20"/>
          <w:sz w:val="28"/>
          <w:szCs w:val="28"/>
        </w:rPr>
        <w:t>Budget</w:t>
      </w:r>
      <w:proofErr w:type="gramEnd"/>
    </w:p>
    <w:p w:rsidR="00F11350" w:rsidRPr="00F11350" w:rsidRDefault="00F11350" w:rsidP="00F11350">
      <w:pPr>
        <w:keepNext/>
        <w:numPr>
          <w:ilvl w:val="0"/>
          <w:numId w:val="24"/>
        </w:numPr>
        <w:spacing w:before="240" w:after="114" w:line="240" w:lineRule="auto"/>
        <w:ind w:left="284" w:hanging="284"/>
        <w:rPr>
          <w:rFonts w:ascii="Calibri" w:eastAsia="Calibri" w:hAnsi="Calibri" w:cs="Times New Roman"/>
        </w:rPr>
      </w:pPr>
      <w:r w:rsidRPr="00F11350">
        <w:rPr>
          <w:rFonts w:ascii="Calibri" w:eastAsia="Calibri" w:hAnsi="Calibri" w:cs="Times New Roman"/>
        </w:rPr>
        <w:t>Expanding Opportunity - Higher Education Indexation - revised arrangements</w:t>
      </w:r>
    </w:p>
    <w:p w:rsidR="00F11350" w:rsidRPr="00F11350" w:rsidRDefault="00F11350" w:rsidP="00F11350">
      <w:pPr>
        <w:keepNext/>
        <w:numPr>
          <w:ilvl w:val="0"/>
          <w:numId w:val="24"/>
        </w:numPr>
        <w:spacing w:before="240" w:after="114" w:line="240" w:lineRule="auto"/>
        <w:ind w:left="284" w:hanging="284"/>
        <w:rPr>
          <w:rFonts w:ascii="Calibri" w:eastAsia="Calibri" w:hAnsi="Calibri" w:cs="Times New Roman"/>
        </w:rPr>
      </w:pPr>
      <w:r w:rsidRPr="00F11350">
        <w:rPr>
          <w:rFonts w:ascii="Calibri" w:eastAsia="Calibri" w:hAnsi="Calibri" w:cs="Times New Roman"/>
        </w:rPr>
        <w:t>Expanding Opportunity - a more effective Higher Education Participation Programme</w:t>
      </w:r>
    </w:p>
    <w:p w:rsidR="00F11350" w:rsidRPr="00F11350" w:rsidRDefault="00F11350" w:rsidP="00F11350">
      <w:pPr>
        <w:keepNext/>
        <w:numPr>
          <w:ilvl w:val="0"/>
          <w:numId w:val="24"/>
        </w:numPr>
        <w:spacing w:before="240" w:after="114" w:line="240" w:lineRule="auto"/>
        <w:ind w:left="284" w:hanging="284"/>
        <w:rPr>
          <w:rFonts w:ascii="Calibri" w:eastAsia="Calibri" w:hAnsi="Calibri" w:cs="Times New Roman"/>
        </w:rPr>
      </w:pPr>
      <w:r w:rsidRPr="00F11350">
        <w:rPr>
          <w:rFonts w:ascii="Calibri" w:eastAsia="Calibri" w:hAnsi="Calibri" w:cs="Times New Roman"/>
        </w:rPr>
        <w:t>Expanding Opportunity - expansion of the demand driven system and sharing the cost fairly</w:t>
      </w:r>
    </w:p>
    <w:p w:rsidR="00F11350" w:rsidRPr="00F11350" w:rsidRDefault="00F11350" w:rsidP="00F11350">
      <w:pPr>
        <w:keepNext/>
        <w:numPr>
          <w:ilvl w:val="0"/>
          <w:numId w:val="24"/>
        </w:numPr>
        <w:spacing w:before="240" w:after="114" w:line="240" w:lineRule="auto"/>
        <w:ind w:left="284" w:hanging="284"/>
        <w:rPr>
          <w:rFonts w:ascii="Calibri" w:eastAsia="Calibri" w:hAnsi="Calibri" w:cs="Times New Roman"/>
        </w:rPr>
      </w:pPr>
      <w:r w:rsidRPr="00F11350">
        <w:rPr>
          <w:rFonts w:ascii="Calibri" w:eastAsia="Calibri" w:hAnsi="Calibri" w:cs="Times New Roman"/>
        </w:rPr>
        <w:t>A Sustainable Higher Education System - Higher Education Reward Funding – cessation</w:t>
      </w:r>
    </w:p>
    <w:p w:rsidR="00F11350" w:rsidRPr="00F11350" w:rsidRDefault="00F11350" w:rsidP="00F11350">
      <w:pPr>
        <w:keepNext/>
        <w:numPr>
          <w:ilvl w:val="0"/>
          <w:numId w:val="24"/>
        </w:numPr>
        <w:spacing w:before="240" w:after="114" w:line="240" w:lineRule="auto"/>
        <w:ind w:left="284" w:hanging="284"/>
        <w:rPr>
          <w:rFonts w:ascii="Calibri" w:eastAsia="Calibri" w:hAnsi="Calibri" w:cs="Times New Roman"/>
        </w:rPr>
      </w:pPr>
      <w:r w:rsidRPr="00F11350">
        <w:rPr>
          <w:rFonts w:ascii="Calibri" w:eastAsia="Calibri" w:hAnsi="Calibri" w:cs="Times New Roman"/>
        </w:rPr>
        <w:t>A Sustainable Higher Education System - Research Training Scheme - student contributions</w:t>
      </w:r>
    </w:p>
    <w:p w:rsidR="00F11350" w:rsidRPr="00F11350" w:rsidRDefault="00F11350" w:rsidP="00F11350">
      <w:pPr>
        <w:keepNext/>
        <w:keepLines/>
        <w:numPr>
          <w:ilvl w:val="1"/>
          <w:numId w:val="2"/>
        </w:numPr>
        <w:tabs>
          <w:tab w:val="num" w:pos="0"/>
          <w:tab w:val="left" w:pos="1418"/>
          <w:tab w:val="left" w:pos="1701"/>
          <w:tab w:val="left" w:pos="1985"/>
        </w:tabs>
        <w:spacing w:before="470" w:after="227"/>
        <w:ind w:left="0" w:firstLine="0"/>
        <w:outlineLvl w:val="1"/>
        <w:rPr>
          <w:rFonts w:ascii="Cambria" w:eastAsia="Calibri" w:hAnsi="Cambria" w:cs="Times New Roman"/>
          <w:bCs/>
          <w:iCs/>
          <w:color w:val="2B3B5F"/>
          <w:kern w:val="20"/>
          <w:sz w:val="28"/>
          <w:szCs w:val="28"/>
        </w:rPr>
        <w:sectPr w:rsidR="00F11350" w:rsidRPr="00F11350" w:rsidSect="00CA5873">
          <w:headerReference w:type="first" r:id="rId32"/>
          <w:footerReference w:type="first" r:id="rId33"/>
          <w:pgSz w:w="11906" w:h="16838"/>
          <w:pgMar w:top="1361" w:right="1797" w:bottom="1134" w:left="1797" w:header="709" w:footer="709" w:gutter="0"/>
          <w:cols w:space="708"/>
          <w:docGrid w:linePitch="360"/>
        </w:sectPr>
      </w:pPr>
    </w:p>
    <w:p w:rsidR="00F11350" w:rsidRPr="00F11350" w:rsidRDefault="00F11350" w:rsidP="00346892">
      <w:pPr>
        <w:keepNext/>
        <w:keepLines/>
        <w:tabs>
          <w:tab w:val="right" w:pos="1418"/>
          <w:tab w:val="right" w:pos="1701"/>
          <w:tab w:val="right" w:pos="1985"/>
        </w:tabs>
        <w:spacing w:after="114" w:line="240" w:lineRule="auto"/>
        <w:outlineLvl w:val="0"/>
        <w:rPr>
          <w:rFonts w:ascii="Georgia" w:eastAsia="Calibri" w:hAnsi="Georgia" w:cs="Times New Roman"/>
          <w:bCs/>
          <w:color w:val="2B3B5F"/>
          <w:spacing w:val="-6"/>
          <w:kern w:val="32"/>
          <w:sz w:val="32"/>
          <w:szCs w:val="32"/>
        </w:rPr>
      </w:pPr>
      <w:r w:rsidRPr="00F11350">
        <w:rPr>
          <w:rFonts w:ascii="Georgia" w:eastAsia="Calibri" w:hAnsi="Georgia" w:cs="Times New Roman"/>
          <w:bCs/>
          <w:color w:val="2B3B5F"/>
          <w:spacing w:val="-6"/>
          <w:kern w:val="32"/>
          <w:sz w:val="32"/>
          <w:szCs w:val="32"/>
        </w:rPr>
        <w:lastRenderedPageBreak/>
        <w:t>Attachment B: Universities: Base Funding Lift — financial implications</w:t>
      </w:r>
    </w:p>
    <w:p w:rsidR="00F11350" w:rsidRPr="00F11350" w:rsidRDefault="00F11350" w:rsidP="00346892">
      <w:pPr>
        <w:keepNext/>
        <w:spacing w:before="300" w:after="114"/>
        <w:rPr>
          <w:rFonts w:ascii="Calibri" w:eastAsia="Calibri" w:hAnsi="Calibri" w:cs="Times New Roman"/>
          <w:b/>
          <w:bCs/>
          <w:color w:val="1F497D"/>
          <w:spacing w:val="-4"/>
          <w:vertAlign w:val="superscript"/>
        </w:rPr>
      </w:pPr>
      <w:r w:rsidRPr="00F11350">
        <w:rPr>
          <w:rFonts w:ascii="Calibri" w:eastAsia="Calibri" w:hAnsi="Calibri" w:cs="Times New Roman"/>
          <w:b/>
          <w:bCs/>
          <w:color w:val="1F497D"/>
          <w:spacing w:val="-4"/>
        </w:rPr>
        <w:t xml:space="preserve">Table B1: Fiscal </w:t>
      </w:r>
      <w:proofErr w:type="gramStart"/>
      <w:r w:rsidRPr="00F11350">
        <w:rPr>
          <w:rFonts w:ascii="Calibri" w:eastAsia="Calibri" w:hAnsi="Calibri" w:cs="Times New Roman"/>
          <w:b/>
          <w:bCs/>
          <w:color w:val="1F497D"/>
          <w:spacing w:val="-4"/>
        </w:rPr>
        <w:t>balance</w:t>
      </w:r>
      <w:r w:rsidRPr="00F11350">
        <w:rPr>
          <w:rFonts w:ascii="Calibri" w:eastAsia="Calibri" w:hAnsi="Calibri" w:cs="Times New Roman"/>
          <w:b/>
          <w:bCs/>
          <w:color w:val="1F497D"/>
          <w:spacing w:val="-4"/>
          <w:vertAlign w:val="superscript"/>
        </w:rPr>
        <w:t>(</w:t>
      </w:r>
      <w:proofErr w:type="gramEnd"/>
      <w:r w:rsidRPr="00F11350">
        <w:rPr>
          <w:rFonts w:ascii="Calibri" w:eastAsia="Calibri" w:hAnsi="Calibri" w:cs="Times New Roman"/>
          <w:b/>
          <w:bCs/>
          <w:color w:val="1F497D"/>
          <w:spacing w:val="-4"/>
          <w:vertAlign w:val="superscript"/>
        </w:rPr>
        <w:t>a)(b)</w:t>
      </w:r>
    </w:p>
    <w:tbl>
      <w:tblPr>
        <w:tblStyle w:val="TableGrid1"/>
        <w:tblW w:w="10201" w:type="dxa"/>
        <w:tblLayout w:type="fixed"/>
        <w:tblLook w:val="0680" w:firstRow="0" w:lastRow="0" w:firstColumn="1" w:lastColumn="0" w:noHBand="1" w:noVBand="1"/>
      </w:tblPr>
      <w:tblGrid>
        <w:gridCol w:w="1304"/>
        <w:gridCol w:w="680"/>
        <w:gridCol w:w="680"/>
        <w:gridCol w:w="680"/>
        <w:gridCol w:w="680"/>
        <w:gridCol w:w="680"/>
        <w:gridCol w:w="680"/>
        <w:gridCol w:w="680"/>
        <w:gridCol w:w="680"/>
        <w:gridCol w:w="680"/>
        <w:gridCol w:w="680"/>
        <w:gridCol w:w="680"/>
        <w:gridCol w:w="680"/>
        <w:gridCol w:w="737"/>
      </w:tblGrid>
      <w:tr w:rsidR="00700053" w:rsidRPr="005625C1" w:rsidTr="000045F4">
        <w:trPr>
          <w:cantSplit/>
        </w:trPr>
        <w:tc>
          <w:tcPr>
            <w:cnfStyle w:val="001000000000" w:firstRow="0" w:lastRow="0" w:firstColumn="1" w:lastColumn="0" w:oddVBand="0" w:evenVBand="0" w:oddHBand="0" w:evenHBand="0" w:firstRowFirstColumn="0" w:firstRowLastColumn="0" w:lastRowFirstColumn="0" w:lastRowLastColumn="0"/>
            <w:tcW w:w="1304" w:type="dxa"/>
            <w:shd w:val="clear" w:color="auto" w:fill="D7DDE9"/>
            <w:vAlign w:val="center"/>
          </w:tcPr>
          <w:p w:rsidR="00F11350" w:rsidRPr="005625C1" w:rsidRDefault="00F11350" w:rsidP="00F11350">
            <w:pPr>
              <w:keepNext/>
              <w:keepLines/>
              <w:spacing w:line="240" w:lineRule="auto"/>
              <w:ind w:left="57" w:right="57"/>
              <w:rPr>
                <w:sz w:val="18"/>
                <w:szCs w:val="18"/>
              </w:rPr>
            </w:pPr>
            <w:r w:rsidRPr="005625C1">
              <w:rPr>
                <w:sz w:val="18"/>
                <w:szCs w:val="18"/>
              </w:rPr>
              <w:t>($m)</w:t>
            </w:r>
          </w:p>
        </w:tc>
        <w:tc>
          <w:tcPr>
            <w:tcW w:w="680" w:type="dxa"/>
            <w:shd w:val="clear" w:color="auto" w:fill="D7DDE9"/>
            <w:vAlign w:val="center"/>
          </w:tcPr>
          <w:p w:rsidR="00F11350" w:rsidRPr="005625C1" w:rsidRDefault="00F11350" w:rsidP="005625C1">
            <w:pPr>
              <w:keepNext/>
              <w:keepLines/>
              <w:spacing w:line="240" w:lineRule="auto"/>
              <w:ind w:left="0" w:right="0"/>
              <w:jc w:val="center"/>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2016–17</w:t>
            </w:r>
          </w:p>
        </w:tc>
        <w:tc>
          <w:tcPr>
            <w:tcW w:w="680" w:type="dxa"/>
            <w:shd w:val="clear" w:color="auto" w:fill="D7DDE9"/>
            <w:vAlign w:val="center"/>
          </w:tcPr>
          <w:p w:rsidR="00F11350" w:rsidRPr="005625C1" w:rsidRDefault="00F11350" w:rsidP="005625C1">
            <w:pPr>
              <w:keepNext/>
              <w:keepLines/>
              <w:spacing w:line="240" w:lineRule="auto"/>
              <w:ind w:left="0" w:right="0"/>
              <w:jc w:val="center"/>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2017–18</w:t>
            </w:r>
          </w:p>
        </w:tc>
        <w:tc>
          <w:tcPr>
            <w:tcW w:w="680" w:type="dxa"/>
            <w:shd w:val="clear" w:color="auto" w:fill="D7DDE9"/>
            <w:vAlign w:val="center"/>
          </w:tcPr>
          <w:p w:rsidR="00F11350" w:rsidRPr="005625C1" w:rsidRDefault="00F11350" w:rsidP="005625C1">
            <w:pPr>
              <w:keepNext/>
              <w:keepLines/>
              <w:spacing w:line="240" w:lineRule="auto"/>
              <w:ind w:left="0" w:right="0"/>
              <w:jc w:val="center"/>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2018–19</w:t>
            </w:r>
          </w:p>
        </w:tc>
        <w:tc>
          <w:tcPr>
            <w:tcW w:w="680" w:type="dxa"/>
            <w:shd w:val="clear" w:color="auto" w:fill="D7DDE9"/>
            <w:vAlign w:val="center"/>
          </w:tcPr>
          <w:p w:rsidR="00F11350" w:rsidRPr="005625C1" w:rsidRDefault="00F11350" w:rsidP="005625C1">
            <w:pPr>
              <w:keepNext/>
              <w:keepLines/>
              <w:spacing w:line="240" w:lineRule="auto"/>
              <w:ind w:left="0" w:right="0"/>
              <w:jc w:val="center"/>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2019–20</w:t>
            </w:r>
          </w:p>
        </w:tc>
        <w:tc>
          <w:tcPr>
            <w:tcW w:w="680" w:type="dxa"/>
            <w:shd w:val="clear" w:color="auto" w:fill="D7DDE9"/>
            <w:vAlign w:val="center"/>
          </w:tcPr>
          <w:p w:rsidR="00F11350" w:rsidRPr="005625C1" w:rsidRDefault="00F11350" w:rsidP="005625C1">
            <w:pPr>
              <w:keepNext/>
              <w:keepLines/>
              <w:spacing w:line="240" w:lineRule="auto"/>
              <w:ind w:left="0" w:right="0"/>
              <w:jc w:val="center"/>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Total to 2019–20</w:t>
            </w:r>
          </w:p>
        </w:tc>
        <w:tc>
          <w:tcPr>
            <w:tcW w:w="680" w:type="dxa"/>
            <w:shd w:val="clear" w:color="auto" w:fill="D7DDE9"/>
            <w:vAlign w:val="center"/>
          </w:tcPr>
          <w:p w:rsidR="00F11350" w:rsidRPr="005625C1" w:rsidRDefault="00F11350" w:rsidP="005625C1">
            <w:pPr>
              <w:keepNext/>
              <w:keepLines/>
              <w:spacing w:line="240" w:lineRule="auto"/>
              <w:ind w:left="0" w:right="0"/>
              <w:jc w:val="center"/>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2020–21</w:t>
            </w:r>
          </w:p>
        </w:tc>
        <w:tc>
          <w:tcPr>
            <w:tcW w:w="680" w:type="dxa"/>
            <w:shd w:val="clear" w:color="auto" w:fill="D7DDE9"/>
            <w:vAlign w:val="center"/>
          </w:tcPr>
          <w:p w:rsidR="00F11350" w:rsidRPr="005625C1" w:rsidRDefault="00F11350" w:rsidP="005625C1">
            <w:pPr>
              <w:keepNext/>
              <w:keepLines/>
              <w:spacing w:line="240" w:lineRule="auto"/>
              <w:ind w:left="0" w:right="0"/>
              <w:jc w:val="center"/>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2021–22</w:t>
            </w:r>
          </w:p>
        </w:tc>
        <w:tc>
          <w:tcPr>
            <w:tcW w:w="680" w:type="dxa"/>
            <w:shd w:val="clear" w:color="auto" w:fill="D7DDE9"/>
            <w:vAlign w:val="center"/>
          </w:tcPr>
          <w:p w:rsidR="00F11350" w:rsidRPr="005625C1" w:rsidRDefault="00F11350" w:rsidP="005625C1">
            <w:pPr>
              <w:keepNext/>
              <w:keepLines/>
              <w:spacing w:line="240" w:lineRule="auto"/>
              <w:ind w:left="0" w:right="0"/>
              <w:jc w:val="center"/>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2022–23</w:t>
            </w:r>
          </w:p>
        </w:tc>
        <w:tc>
          <w:tcPr>
            <w:tcW w:w="680" w:type="dxa"/>
            <w:shd w:val="clear" w:color="auto" w:fill="D7DDE9"/>
            <w:vAlign w:val="center"/>
          </w:tcPr>
          <w:p w:rsidR="00F11350" w:rsidRPr="005625C1" w:rsidRDefault="00F11350" w:rsidP="005625C1">
            <w:pPr>
              <w:keepNext/>
              <w:keepLines/>
              <w:spacing w:line="240" w:lineRule="auto"/>
              <w:ind w:left="0" w:right="0"/>
              <w:jc w:val="center"/>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2023–24</w:t>
            </w:r>
          </w:p>
        </w:tc>
        <w:tc>
          <w:tcPr>
            <w:tcW w:w="680" w:type="dxa"/>
            <w:shd w:val="clear" w:color="auto" w:fill="D7DDE9"/>
            <w:vAlign w:val="center"/>
          </w:tcPr>
          <w:p w:rsidR="00F11350" w:rsidRPr="005625C1" w:rsidRDefault="00F11350" w:rsidP="005625C1">
            <w:pPr>
              <w:keepNext/>
              <w:keepLines/>
              <w:spacing w:line="240" w:lineRule="auto"/>
              <w:ind w:left="0" w:right="0"/>
              <w:jc w:val="center"/>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2024–25</w:t>
            </w:r>
          </w:p>
        </w:tc>
        <w:tc>
          <w:tcPr>
            <w:tcW w:w="680" w:type="dxa"/>
            <w:shd w:val="clear" w:color="auto" w:fill="D7DDE9"/>
            <w:vAlign w:val="center"/>
          </w:tcPr>
          <w:p w:rsidR="00F11350" w:rsidRPr="005625C1" w:rsidRDefault="00F11350" w:rsidP="005625C1">
            <w:pPr>
              <w:keepNext/>
              <w:keepLines/>
              <w:spacing w:line="240" w:lineRule="auto"/>
              <w:ind w:left="0" w:right="0"/>
              <w:jc w:val="center"/>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2025–26</w:t>
            </w:r>
          </w:p>
        </w:tc>
        <w:tc>
          <w:tcPr>
            <w:tcW w:w="680" w:type="dxa"/>
            <w:shd w:val="clear" w:color="auto" w:fill="D7DDE9"/>
            <w:vAlign w:val="center"/>
          </w:tcPr>
          <w:p w:rsidR="00F11350" w:rsidRPr="005625C1" w:rsidRDefault="00F11350" w:rsidP="005625C1">
            <w:pPr>
              <w:keepNext/>
              <w:keepLines/>
              <w:spacing w:line="240" w:lineRule="auto"/>
              <w:ind w:left="0" w:right="0"/>
              <w:jc w:val="center"/>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2026–27</w:t>
            </w:r>
          </w:p>
        </w:tc>
        <w:tc>
          <w:tcPr>
            <w:tcW w:w="737" w:type="dxa"/>
            <w:shd w:val="clear" w:color="auto" w:fill="D7DDE9"/>
            <w:vAlign w:val="center"/>
          </w:tcPr>
          <w:p w:rsidR="00F11350" w:rsidRPr="005625C1" w:rsidRDefault="00F11350" w:rsidP="005625C1">
            <w:pPr>
              <w:keepNext/>
              <w:keepLines/>
              <w:spacing w:line="240" w:lineRule="auto"/>
              <w:ind w:left="0" w:right="0"/>
              <w:jc w:val="center"/>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Total to 2026–27</w:t>
            </w:r>
          </w:p>
        </w:tc>
      </w:tr>
      <w:tr w:rsidR="00F11350" w:rsidRPr="005625C1" w:rsidTr="00346892">
        <w:trPr>
          <w:cantSplit/>
        </w:trPr>
        <w:tc>
          <w:tcPr>
            <w:cnfStyle w:val="001000000000" w:firstRow="0" w:lastRow="0" w:firstColumn="1" w:lastColumn="0" w:oddVBand="0" w:evenVBand="0" w:oddHBand="0" w:evenHBand="0" w:firstRowFirstColumn="0" w:firstRowLastColumn="0" w:lastRowFirstColumn="0" w:lastRowLastColumn="0"/>
            <w:tcW w:w="1304" w:type="dxa"/>
            <w:vAlign w:val="center"/>
          </w:tcPr>
          <w:p w:rsidR="00F11350" w:rsidRPr="005625C1" w:rsidRDefault="00F11350" w:rsidP="00F11350">
            <w:pPr>
              <w:keepNext/>
              <w:keepLines/>
              <w:spacing w:line="240" w:lineRule="auto"/>
              <w:ind w:left="57" w:right="57"/>
              <w:rPr>
                <w:sz w:val="18"/>
                <w:szCs w:val="18"/>
              </w:rPr>
            </w:pPr>
            <w:r w:rsidRPr="005625C1">
              <w:rPr>
                <w:sz w:val="18"/>
                <w:szCs w:val="18"/>
              </w:rPr>
              <w:t>Additional cost from proposed increase in university funding</w:t>
            </w:r>
            <w:r w:rsidRPr="005625C1">
              <w:rPr>
                <w:sz w:val="18"/>
                <w:szCs w:val="18"/>
                <w:vertAlign w:val="superscript"/>
              </w:rPr>
              <w:t>(c)</w:t>
            </w:r>
          </w:p>
        </w:tc>
        <w:tc>
          <w:tcPr>
            <w:tcW w:w="680" w:type="dxa"/>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-128</w:t>
            </w:r>
          </w:p>
        </w:tc>
        <w:tc>
          <w:tcPr>
            <w:tcW w:w="680" w:type="dxa"/>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-397</w:t>
            </w:r>
          </w:p>
        </w:tc>
        <w:tc>
          <w:tcPr>
            <w:tcW w:w="680" w:type="dxa"/>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-685</w:t>
            </w:r>
          </w:p>
        </w:tc>
        <w:tc>
          <w:tcPr>
            <w:tcW w:w="680" w:type="dxa"/>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-989</w:t>
            </w:r>
          </w:p>
        </w:tc>
        <w:tc>
          <w:tcPr>
            <w:tcW w:w="680" w:type="dxa"/>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-2,198</w:t>
            </w:r>
          </w:p>
        </w:tc>
        <w:tc>
          <w:tcPr>
            <w:tcW w:w="680" w:type="dxa"/>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-1,161</w:t>
            </w:r>
          </w:p>
        </w:tc>
        <w:tc>
          <w:tcPr>
            <w:tcW w:w="680" w:type="dxa"/>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-1,193</w:t>
            </w:r>
          </w:p>
        </w:tc>
        <w:tc>
          <w:tcPr>
            <w:tcW w:w="680" w:type="dxa"/>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-1,227</w:t>
            </w:r>
          </w:p>
        </w:tc>
        <w:tc>
          <w:tcPr>
            <w:tcW w:w="680" w:type="dxa"/>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-1,263</w:t>
            </w:r>
          </w:p>
        </w:tc>
        <w:tc>
          <w:tcPr>
            <w:tcW w:w="680" w:type="dxa"/>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-1,300</w:t>
            </w:r>
          </w:p>
        </w:tc>
        <w:tc>
          <w:tcPr>
            <w:tcW w:w="680" w:type="dxa"/>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-1,338</w:t>
            </w:r>
          </w:p>
        </w:tc>
        <w:tc>
          <w:tcPr>
            <w:tcW w:w="680" w:type="dxa"/>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-1,377</w:t>
            </w:r>
          </w:p>
        </w:tc>
        <w:tc>
          <w:tcPr>
            <w:tcW w:w="737" w:type="dxa"/>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-11,056</w:t>
            </w:r>
          </w:p>
        </w:tc>
      </w:tr>
      <w:tr w:rsidR="00F11350" w:rsidRPr="005625C1" w:rsidTr="00346892">
        <w:trPr>
          <w:cantSplit/>
        </w:trPr>
        <w:tc>
          <w:tcPr>
            <w:cnfStyle w:val="001000000000" w:firstRow="0" w:lastRow="0" w:firstColumn="1" w:lastColumn="0" w:oddVBand="0" w:evenVBand="0" w:oddHBand="0" w:evenHBand="0" w:firstRowFirstColumn="0" w:firstRowLastColumn="0" w:lastRowFirstColumn="0" w:lastRowLastColumn="0"/>
            <w:tcW w:w="1304" w:type="dxa"/>
            <w:vAlign w:val="center"/>
          </w:tcPr>
          <w:p w:rsidR="00F11350" w:rsidRPr="005625C1" w:rsidRDefault="00F11350" w:rsidP="00F11350">
            <w:pPr>
              <w:keepNext/>
              <w:keepLines/>
              <w:spacing w:line="240" w:lineRule="auto"/>
              <w:ind w:left="57" w:right="57"/>
              <w:rPr>
                <w:sz w:val="18"/>
                <w:szCs w:val="18"/>
              </w:rPr>
            </w:pPr>
            <w:r w:rsidRPr="005625C1">
              <w:rPr>
                <w:sz w:val="18"/>
                <w:szCs w:val="18"/>
              </w:rPr>
              <w:t>Impact of reversing budget measures</w:t>
            </w:r>
          </w:p>
        </w:tc>
        <w:tc>
          <w:tcPr>
            <w:tcW w:w="680" w:type="dxa"/>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-291</w:t>
            </w:r>
          </w:p>
        </w:tc>
        <w:tc>
          <w:tcPr>
            <w:tcW w:w="680" w:type="dxa"/>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-1,091</w:t>
            </w:r>
          </w:p>
        </w:tc>
        <w:tc>
          <w:tcPr>
            <w:tcW w:w="680" w:type="dxa"/>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-1,657</w:t>
            </w:r>
          </w:p>
        </w:tc>
        <w:tc>
          <w:tcPr>
            <w:tcW w:w="680" w:type="dxa"/>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-1,838</w:t>
            </w:r>
          </w:p>
        </w:tc>
        <w:tc>
          <w:tcPr>
            <w:tcW w:w="680" w:type="dxa"/>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-4,877</w:t>
            </w:r>
          </w:p>
        </w:tc>
        <w:tc>
          <w:tcPr>
            <w:tcW w:w="680" w:type="dxa"/>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-2,047</w:t>
            </w:r>
          </w:p>
        </w:tc>
        <w:tc>
          <w:tcPr>
            <w:tcW w:w="680" w:type="dxa"/>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-2,273</w:t>
            </w:r>
          </w:p>
        </w:tc>
        <w:tc>
          <w:tcPr>
            <w:tcW w:w="680" w:type="dxa"/>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-2,512</w:t>
            </w:r>
          </w:p>
        </w:tc>
        <w:tc>
          <w:tcPr>
            <w:tcW w:w="680" w:type="dxa"/>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-2,767</w:t>
            </w:r>
          </w:p>
        </w:tc>
        <w:tc>
          <w:tcPr>
            <w:tcW w:w="680" w:type="dxa"/>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-3,035</w:t>
            </w:r>
          </w:p>
        </w:tc>
        <w:tc>
          <w:tcPr>
            <w:tcW w:w="680" w:type="dxa"/>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-3,305</w:t>
            </w:r>
          </w:p>
        </w:tc>
        <w:tc>
          <w:tcPr>
            <w:tcW w:w="680" w:type="dxa"/>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-3,591</w:t>
            </w:r>
          </w:p>
        </w:tc>
        <w:tc>
          <w:tcPr>
            <w:tcW w:w="737" w:type="dxa"/>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-24,407</w:t>
            </w:r>
          </w:p>
        </w:tc>
      </w:tr>
      <w:tr w:rsidR="00F11350" w:rsidRPr="005625C1" w:rsidTr="00346892">
        <w:trPr>
          <w:cantSplit/>
        </w:trPr>
        <w:tc>
          <w:tcPr>
            <w:cnfStyle w:val="001000000000" w:firstRow="0" w:lastRow="0" w:firstColumn="1" w:lastColumn="0" w:oddVBand="0" w:evenVBand="0" w:oddHBand="0" w:evenHBand="0" w:firstRowFirstColumn="0" w:firstRowLastColumn="0" w:lastRowFirstColumn="0" w:lastRowLastColumn="0"/>
            <w:tcW w:w="1304" w:type="dxa"/>
            <w:vAlign w:val="center"/>
          </w:tcPr>
          <w:p w:rsidR="00F11350" w:rsidRPr="005625C1" w:rsidRDefault="00F11350" w:rsidP="00F11350">
            <w:pPr>
              <w:keepNext/>
              <w:keepLines/>
              <w:spacing w:line="240" w:lineRule="auto"/>
              <w:ind w:left="57" w:right="57"/>
              <w:rPr>
                <w:sz w:val="18"/>
                <w:szCs w:val="18"/>
              </w:rPr>
            </w:pPr>
            <w:r w:rsidRPr="005625C1">
              <w:rPr>
                <w:sz w:val="18"/>
                <w:szCs w:val="18"/>
              </w:rPr>
              <w:t>PDI</w:t>
            </w:r>
            <w:r w:rsidRPr="005625C1">
              <w:rPr>
                <w:sz w:val="18"/>
                <w:szCs w:val="18"/>
                <w:vertAlign w:val="superscript"/>
              </w:rPr>
              <w:t>(d)</w:t>
            </w:r>
          </w:p>
        </w:tc>
        <w:tc>
          <w:tcPr>
            <w:tcW w:w="680" w:type="dxa"/>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w:t>
            </w:r>
          </w:p>
        </w:tc>
        <w:tc>
          <w:tcPr>
            <w:tcW w:w="680" w:type="dxa"/>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6</w:t>
            </w:r>
          </w:p>
        </w:tc>
        <w:tc>
          <w:tcPr>
            <w:tcW w:w="680" w:type="dxa"/>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24</w:t>
            </w:r>
          </w:p>
        </w:tc>
        <w:tc>
          <w:tcPr>
            <w:tcW w:w="680" w:type="dxa"/>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50</w:t>
            </w:r>
          </w:p>
        </w:tc>
        <w:tc>
          <w:tcPr>
            <w:tcW w:w="680" w:type="dxa"/>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80</w:t>
            </w:r>
          </w:p>
        </w:tc>
        <w:tc>
          <w:tcPr>
            <w:tcW w:w="680" w:type="dxa"/>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104</w:t>
            </w:r>
          </w:p>
        </w:tc>
        <w:tc>
          <w:tcPr>
            <w:tcW w:w="680" w:type="dxa"/>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170</w:t>
            </w:r>
          </w:p>
        </w:tc>
        <w:tc>
          <w:tcPr>
            <w:tcW w:w="680" w:type="dxa"/>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247</w:t>
            </w:r>
          </w:p>
        </w:tc>
        <w:tc>
          <w:tcPr>
            <w:tcW w:w="680" w:type="dxa"/>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333</w:t>
            </w:r>
          </w:p>
        </w:tc>
        <w:tc>
          <w:tcPr>
            <w:tcW w:w="680" w:type="dxa"/>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430</w:t>
            </w:r>
          </w:p>
        </w:tc>
        <w:tc>
          <w:tcPr>
            <w:tcW w:w="680" w:type="dxa"/>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535</w:t>
            </w:r>
          </w:p>
        </w:tc>
        <w:tc>
          <w:tcPr>
            <w:tcW w:w="680" w:type="dxa"/>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652</w:t>
            </w:r>
          </w:p>
        </w:tc>
        <w:tc>
          <w:tcPr>
            <w:tcW w:w="737" w:type="dxa"/>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2,552</w:t>
            </w:r>
          </w:p>
        </w:tc>
      </w:tr>
      <w:tr w:rsidR="00700053" w:rsidRPr="005625C1" w:rsidTr="000045F4">
        <w:trPr>
          <w:cantSplit/>
        </w:trPr>
        <w:tc>
          <w:tcPr>
            <w:cnfStyle w:val="001000000000" w:firstRow="0" w:lastRow="0" w:firstColumn="1" w:lastColumn="0" w:oddVBand="0" w:evenVBand="0" w:oddHBand="0" w:evenHBand="0" w:firstRowFirstColumn="0" w:firstRowLastColumn="0" w:lastRowFirstColumn="0" w:lastRowLastColumn="0"/>
            <w:tcW w:w="1304" w:type="dxa"/>
            <w:shd w:val="clear" w:color="auto" w:fill="E9ECF3"/>
            <w:vAlign w:val="center"/>
          </w:tcPr>
          <w:p w:rsidR="00F11350" w:rsidRPr="005625C1" w:rsidRDefault="00F11350" w:rsidP="00F11350">
            <w:pPr>
              <w:keepNext/>
              <w:keepLines/>
              <w:spacing w:line="240" w:lineRule="auto"/>
              <w:ind w:left="57" w:right="57"/>
              <w:rPr>
                <w:b/>
                <w:sz w:val="18"/>
                <w:szCs w:val="18"/>
              </w:rPr>
            </w:pPr>
            <w:r w:rsidRPr="005625C1">
              <w:rPr>
                <w:b/>
                <w:sz w:val="18"/>
                <w:szCs w:val="18"/>
              </w:rPr>
              <w:t>Total</w:t>
            </w:r>
          </w:p>
        </w:tc>
        <w:tc>
          <w:tcPr>
            <w:tcW w:w="680" w:type="dxa"/>
            <w:shd w:val="clear" w:color="auto" w:fill="E9ECF3"/>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-419</w:t>
            </w:r>
          </w:p>
        </w:tc>
        <w:tc>
          <w:tcPr>
            <w:tcW w:w="680" w:type="dxa"/>
            <w:shd w:val="clear" w:color="auto" w:fill="E9ECF3"/>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-1,482</w:t>
            </w:r>
          </w:p>
        </w:tc>
        <w:tc>
          <w:tcPr>
            <w:tcW w:w="680" w:type="dxa"/>
            <w:shd w:val="clear" w:color="auto" w:fill="E9ECF3"/>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-2,318</w:t>
            </w:r>
          </w:p>
        </w:tc>
        <w:tc>
          <w:tcPr>
            <w:tcW w:w="680" w:type="dxa"/>
            <w:shd w:val="clear" w:color="auto" w:fill="E9ECF3"/>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-2,776</w:t>
            </w:r>
          </w:p>
        </w:tc>
        <w:tc>
          <w:tcPr>
            <w:tcW w:w="680" w:type="dxa"/>
            <w:shd w:val="clear" w:color="auto" w:fill="E9ECF3"/>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-6,995</w:t>
            </w:r>
          </w:p>
        </w:tc>
        <w:tc>
          <w:tcPr>
            <w:tcW w:w="680" w:type="dxa"/>
            <w:shd w:val="clear" w:color="auto" w:fill="E9ECF3"/>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-3,104</w:t>
            </w:r>
          </w:p>
        </w:tc>
        <w:tc>
          <w:tcPr>
            <w:tcW w:w="680" w:type="dxa"/>
            <w:shd w:val="clear" w:color="auto" w:fill="E9ECF3"/>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-3,296</w:t>
            </w:r>
          </w:p>
        </w:tc>
        <w:tc>
          <w:tcPr>
            <w:tcW w:w="680" w:type="dxa"/>
            <w:shd w:val="clear" w:color="auto" w:fill="E9ECF3"/>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-3,493</w:t>
            </w:r>
          </w:p>
        </w:tc>
        <w:tc>
          <w:tcPr>
            <w:tcW w:w="680" w:type="dxa"/>
            <w:shd w:val="clear" w:color="auto" w:fill="E9ECF3"/>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-3,696</w:t>
            </w:r>
          </w:p>
        </w:tc>
        <w:tc>
          <w:tcPr>
            <w:tcW w:w="680" w:type="dxa"/>
            <w:shd w:val="clear" w:color="auto" w:fill="E9ECF3"/>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-3,904</w:t>
            </w:r>
          </w:p>
        </w:tc>
        <w:tc>
          <w:tcPr>
            <w:tcW w:w="680" w:type="dxa"/>
            <w:shd w:val="clear" w:color="auto" w:fill="E9ECF3"/>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-4,107</w:t>
            </w:r>
          </w:p>
        </w:tc>
        <w:tc>
          <w:tcPr>
            <w:tcW w:w="680" w:type="dxa"/>
            <w:shd w:val="clear" w:color="auto" w:fill="E9ECF3"/>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-4,316</w:t>
            </w:r>
          </w:p>
        </w:tc>
        <w:tc>
          <w:tcPr>
            <w:tcW w:w="737" w:type="dxa"/>
            <w:shd w:val="clear" w:color="auto" w:fill="E9ECF3"/>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-32,911</w:t>
            </w:r>
          </w:p>
        </w:tc>
      </w:tr>
    </w:tbl>
    <w:p w:rsidR="00F11350" w:rsidRPr="00346892" w:rsidRDefault="00F11350" w:rsidP="00346892">
      <w:pPr>
        <w:pStyle w:val="Footnotes"/>
        <w:numPr>
          <w:ilvl w:val="0"/>
          <w:numId w:val="28"/>
        </w:numPr>
        <w:spacing w:before="40" w:after="40" w:line="240" w:lineRule="atLeast"/>
        <w:ind w:left="284" w:hanging="284"/>
        <w:contextualSpacing w:val="0"/>
        <w:rPr>
          <w:rFonts w:ascii="Calibri" w:eastAsia="Calibri" w:hAnsi="Calibri" w:cs="Times New Roman"/>
          <w:sz w:val="18"/>
          <w:szCs w:val="18"/>
        </w:rPr>
      </w:pPr>
      <w:r w:rsidRPr="00346892">
        <w:rPr>
          <w:rFonts w:ascii="Calibri" w:eastAsia="Calibri" w:hAnsi="Calibri" w:cs="Times New Roman"/>
          <w:sz w:val="18"/>
          <w:szCs w:val="18"/>
        </w:rPr>
        <w:t>A 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w:t>
      </w:r>
    </w:p>
    <w:p w:rsidR="00F11350" w:rsidRPr="00346892" w:rsidRDefault="00F11350" w:rsidP="00346892">
      <w:pPr>
        <w:numPr>
          <w:ilvl w:val="0"/>
          <w:numId w:val="21"/>
        </w:numPr>
        <w:spacing w:before="40" w:after="40" w:line="240" w:lineRule="atLeast"/>
        <w:ind w:left="284" w:hanging="284"/>
        <w:rPr>
          <w:rFonts w:ascii="Calibri" w:eastAsia="Calibri" w:hAnsi="Calibri" w:cs="Times New Roman"/>
          <w:sz w:val="18"/>
          <w:szCs w:val="18"/>
        </w:rPr>
      </w:pPr>
      <w:r w:rsidRPr="00346892">
        <w:rPr>
          <w:rFonts w:ascii="Calibri" w:eastAsia="Calibri" w:hAnsi="Calibri" w:cs="Times New Roman"/>
          <w:sz w:val="18"/>
          <w:szCs w:val="18"/>
        </w:rPr>
        <w:t>Figures may not sum to totals due to rounding.</w:t>
      </w:r>
    </w:p>
    <w:p w:rsidR="00F11350" w:rsidRPr="00346892" w:rsidRDefault="00F11350" w:rsidP="00346892">
      <w:pPr>
        <w:numPr>
          <w:ilvl w:val="0"/>
          <w:numId w:val="21"/>
        </w:numPr>
        <w:spacing w:before="40" w:after="40" w:line="240" w:lineRule="atLeast"/>
        <w:ind w:left="284" w:hanging="284"/>
        <w:rPr>
          <w:rFonts w:ascii="Calibri" w:eastAsia="Calibri" w:hAnsi="Calibri" w:cs="Times New Roman"/>
          <w:sz w:val="18"/>
          <w:szCs w:val="18"/>
        </w:rPr>
      </w:pPr>
      <w:r w:rsidRPr="00346892">
        <w:rPr>
          <w:rFonts w:ascii="Calibri" w:eastAsia="Calibri" w:hAnsi="Calibri" w:cs="Times New Roman"/>
          <w:sz w:val="18"/>
          <w:szCs w:val="18"/>
        </w:rPr>
        <w:t>The increase in university spending has been phased at a rate of 2.5 per cent per calendar year from 1 January 2017 accumulatively up to 10 per cent by 1 January 2020.</w:t>
      </w:r>
    </w:p>
    <w:p w:rsidR="00F11350" w:rsidRPr="00346892" w:rsidRDefault="00F11350" w:rsidP="00346892">
      <w:pPr>
        <w:numPr>
          <w:ilvl w:val="0"/>
          <w:numId w:val="21"/>
        </w:numPr>
        <w:spacing w:before="40" w:after="40" w:line="240" w:lineRule="atLeast"/>
        <w:ind w:left="284" w:hanging="284"/>
        <w:rPr>
          <w:rFonts w:ascii="Calibri" w:eastAsia="Calibri" w:hAnsi="Calibri" w:cs="Times New Roman"/>
          <w:sz w:val="18"/>
          <w:szCs w:val="18"/>
        </w:rPr>
      </w:pPr>
      <w:r w:rsidRPr="00346892">
        <w:rPr>
          <w:rFonts w:ascii="Calibri" w:eastAsia="Calibri" w:hAnsi="Calibri" w:cs="Times New Roman"/>
          <w:sz w:val="18"/>
          <w:szCs w:val="18"/>
        </w:rPr>
        <w:t xml:space="preserve">PDI is calculated only on the reversal of the measure: </w:t>
      </w:r>
      <w:r w:rsidRPr="00346892">
        <w:rPr>
          <w:rFonts w:ascii="Calibri" w:eastAsia="Calibri" w:hAnsi="Calibri" w:cs="Times New Roman"/>
          <w:i/>
          <w:sz w:val="18"/>
          <w:szCs w:val="18"/>
        </w:rPr>
        <w:t>Expanding Opportunity – expansion of the demand driven system and sharing the cost fairly</w:t>
      </w:r>
      <w:r w:rsidRPr="00346892">
        <w:rPr>
          <w:rFonts w:ascii="Calibri" w:eastAsia="Calibri" w:hAnsi="Calibri" w:cs="Times New Roman"/>
          <w:sz w:val="18"/>
          <w:szCs w:val="18"/>
        </w:rPr>
        <w:t>.</w:t>
      </w:r>
    </w:p>
    <w:p w:rsidR="00F11350" w:rsidRPr="00346892" w:rsidRDefault="00F11350" w:rsidP="00346892">
      <w:pPr>
        <w:numPr>
          <w:ilvl w:val="0"/>
          <w:numId w:val="25"/>
        </w:numPr>
        <w:spacing w:before="40" w:after="40" w:line="240" w:lineRule="atLeast"/>
        <w:ind w:left="284" w:hanging="284"/>
        <w:rPr>
          <w:rFonts w:ascii="Calibri" w:eastAsia="Calibri" w:hAnsi="Calibri" w:cs="Times New Roman"/>
          <w:sz w:val="18"/>
          <w:szCs w:val="18"/>
        </w:rPr>
      </w:pPr>
      <w:r w:rsidRPr="00346892">
        <w:rPr>
          <w:rFonts w:ascii="Calibri" w:eastAsia="Calibri" w:hAnsi="Calibri" w:cs="Times New Roman"/>
          <w:sz w:val="18"/>
          <w:szCs w:val="18"/>
        </w:rPr>
        <w:t>Indicates nil.</w:t>
      </w:r>
    </w:p>
    <w:p w:rsidR="00F11350" w:rsidRPr="00F11350" w:rsidRDefault="00F11350" w:rsidP="00346892">
      <w:pPr>
        <w:keepNext/>
        <w:spacing w:before="300" w:after="114"/>
        <w:rPr>
          <w:rFonts w:ascii="Calibri" w:eastAsia="Calibri" w:hAnsi="Calibri" w:cs="Times New Roman"/>
          <w:b/>
          <w:bCs/>
          <w:color w:val="1F497D"/>
          <w:spacing w:val="-4"/>
          <w:vertAlign w:val="superscript"/>
        </w:rPr>
      </w:pPr>
      <w:r w:rsidRPr="00F11350">
        <w:rPr>
          <w:rFonts w:ascii="Calibri" w:eastAsia="Calibri" w:hAnsi="Calibri" w:cs="Times New Roman"/>
          <w:b/>
          <w:bCs/>
          <w:color w:val="1F497D"/>
          <w:spacing w:val="-4"/>
        </w:rPr>
        <w:t xml:space="preserve">Table B2: Underlying cash </w:t>
      </w:r>
      <w:proofErr w:type="gramStart"/>
      <w:r w:rsidRPr="00F11350">
        <w:rPr>
          <w:rFonts w:ascii="Calibri" w:eastAsia="Calibri" w:hAnsi="Calibri" w:cs="Times New Roman"/>
          <w:b/>
          <w:bCs/>
          <w:color w:val="1F497D"/>
          <w:spacing w:val="-4"/>
        </w:rPr>
        <w:t>balance</w:t>
      </w:r>
      <w:r w:rsidRPr="00F11350">
        <w:rPr>
          <w:rFonts w:ascii="Calibri" w:eastAsia="Calibri" w:hAnsi="Calibri" w:cs="Times New Roman"/>
          <w:b/>
          <w:bCs/>
          <w:color w:val="1F497D"/>
          <w:spacing w:val="-4"/>
          <w:vertAlign w:val="superscript"/>
        </w:rPr>
        <w:t>(</w:t>
      </w:r>
      <w:proofErr w:type="gramEnd"/>
      <w:r w:rsidRPr="00F11350">
        <w:rPr>
          <w:rFonts w:ascii="Calibri" w:eastAsia="Calibri" w:hAnsi="Calibri" w:cs="Times New Roman"/>
          <w:b/>
          <w:bCs/>
          <w:color w:val="1F497D"/>
          <w:spacing w:val="-4"/>
          <w:vertAlign w:val="superscript"/>
        </w:rPr>
        <w:t>a)(b)</w:t>
      </w:r>
    </w:p>
    <w:tbl>
      <w:tblPr>
        <w:tblStyle w:val="TableGrid1"/>
        <w:tblW w:w="4996" w:type="pct"/>
        <w:tblLook w:val="0680" w:firstRow="0" w:lastRow="0" w:firstColumn="1" w:lastColumn="0" w:noHBand="1" w:noVBand="1"/>
      </w:tblPr>
      <w:tblGrid>
        <w:gridCol w:w="1303"/>
        <w:gridCol w:w="683"/>
        <w:gridCol w:w="681"/>
        <w:gridCol w:w="682"/>
        <w:gridCol w:w="682"/>
        <w:gridCol w:w="682"/>
        <w:gridCol w:w="684"/>
        <w:gridCol w:w="684"/>
        <w:gridCol w:w="684"/>
        <w:gridCol w:w="680"/>
        <w:gridCol w:w="678"/>
        <w:gridCol w:w="678"/>
        <w:gridCol w:w="678"/>
        <w:gridCol w:w="727"/>
      </w:tblGrid>
      <w:tr w:rsidR="00700053" w:rsidRPr="000045F4" w:rsidTr="000045F4">
        <w:trPr>
          <w:cantSplit/>
        </w:trPr>
        <w:tc>
          <w:tcPr>
            <w:cnfStyle w:val="001000000000" w:firstRow="0" w:lastRow="0" w:firstColumn="1" w:lastColumn="0" w:oddVBand="0" w:evenVBand="0" w:oddHBand="0" w:evenHBand="0" w:firstRowFirstColumn="0" w:firstRowLastColumn="0" w:lastRowFirstColumn="0" w:lastRowLastColumn="0"/>
            <w:tcW w:w="639" w:type="pct"/>
            <w:shd w:val="clear" w:color="auto" w:fill="D7DDE9"/>
            <w:vAlign w:val="center"/>
          </w:tcPr>
          <w:p w:rsidR="00F11350" w:rsidRPr="000045F4" w:rsidRDefault="00F11350" w:rsidP="00F11350">
            <w:pPr>
              <w:keepNext/>
              <w:keepLines/>
              <w:spacing w:line="240" w:lineRule="auto"/>
              <w:ind w:left="57" w:right="57"/>
              <w:rPr>
                <w:sz w:val="18"/>
                <w:szCs w:val="18"/>
              </w:rPr>
            </w:pPr>
            <w:r w:rsidRPr="000045F4">
              <w:rPr>
                <w:sz w:val="18"/>
                <w:szCs w:val="18"/>
              </w:rPr>
              <w:t>($m)</w:t>
            </w:r>
          </w:p>
        </w:tc>
        <w:tc>
          <w:tcPr>
            <w:tcW w:w="335" w:type="pct"/>
            <w:shd w:val="clear" w:color="auto" w:fill="D7DDE9"/>
            <w:vAlign w:val="center"/>
          </w:tcPr>
          <w:p w:rsidR="00F11350" w:rsidRPr="000045F4" w:rsidRDefault="00F11350" w:rsidP="00346892">
            <w:pPr>
              <w:keepNext/>
              <w:keepLines/>
              <w:spacing w:line="240" w:lineRule="auto"/>
              <w:ind w:left="0" w:right="0"/>
              <w:jc w:val="center"/>
              <w:cnfStyle w:val="000000000000" w:firstRow="0" w:lastRow="0" w:firstColumn="0" w:lastColumn="0" w:oddVBand="0" w:evenVBand="0" w:oddHBand="0" w:evenHBand="0" w:firstRowFirstColumn="0" w:firstRowLastColumn="0" w:lastRowFirstColumn="0" w:lastRowLastColumn="0"/>
              <w:rPr>
                <w:sz w:val="18"/>
                <w:szCs w:val="18"/>
              </w:rPr>
            </w:pPr>
            <w:r w:rsidRPr="000045F4">
              <w:rPr>
                <w:sz w:val="18"/>
                <w:szCs w:val="18"/>
              </w:rPr>
              <w:t>2016–17</w:t>
            </w:r>
          </w:p>
        </w:tc>
        <w:tc>
          <w:tcPr>
            <w:tcW w:w="334" w:type="pct"/>
            <w:shd w:val="clear" w:color="auto" w:fill="D7DDE9"/>
            <w:vAlign w:val="center"/>
          </w:tcPr>
          <w:p w:rsidR="00F11350" w:rsidRPr="000045F4" w:rsidRDefault="00F11350" w:rsidP="00346892">
            <w:pPr>
              <w:keepNext/>
              <w:keepLines/>
              <w:spacing w:line="240" w:lineRule="auto"/>
              <w:ind w:left="0" w:right="0"/>
              <w:jc w:val="center"/>
              <w:cnfStyle w:val="000000000000" w:firstRow="0" w:lastRow="0" w:firstColumn="0" w:lastColumn="0" w:oddVBand="0" w:evenVBand="0" w:oddHBand="0" w:evenHBand="0" w:firstRowFirstColumn="0" w:firstRowLastColumn="0" w:lastRowFirstColumn="0" w:lastRowLastColumn="0"/>
              <w:rPr>
                <w:sz w:val="18"/>
                <w:szCs w:val="18"/>
              </w:rPr>
            </w:pPr>
            <w:r w:rsidRPr="000045F4">
              <w:rPr>
                <w:sz w:val="18"/>
                <w:szCs w:val="18"/>
              </w:rPr>
              <w:t>2017–18</w:t>
            </w:r>
          </w:p>
        </w:tc>
        <w:tc>
          <w:tcPr>
            <w:tcW w:w="334" w:type="pct"/>
            <w:shd w:val="clear" w:color="auto" w:fill="D7DDE9"/>
            <w:vAlign w:val="center"/>
          </w:tcPr>
          <w:p w:rsidR="00F11350" w:rsidRPr="000045F4" w:rsidRDefault="00F11350" w:rsidP="00346892">
            <w:pPr>
              <w:keepNext/>
              <w:keepLines/>
              <w:spacing w:line="240" w:lineRule="auto"/>
              <w:ind w:left="0" w:right="0"/>
              <w:jc w:val="center"/>
              <w:cnfStyle w:val="000000000000" w:firstRow="0" w:lastRow="0" w:firstColumn="0" w:lastColumn="0" w:oddVBand="0" w:evenVBand="0" w:oddHBand="0" w:evenHBand="0" w:firstRowFirstColumn="0" w:firstRowLastColumn="0" w:lastRowFirstColumn="0" w:lastRowLastColumn="0"/>
              <w:rPr>
                <w:sz w:val="18"/>
                <w:szCs w:val="18"/>
              </w:rPr>
            </w:pPr>
            <w:r w:rsidRPr="000045F4">
              <w:rPr>
                <w:sz w:val="18"/>
                <w:szCs w:val="18"/>
              </w:rPr>
              <w:t>2018–19</w:t>
            </w:r>
          </w:p>
        </w:tc>
        <w:tc>
          <w:tcPr>
            <w:tcW w:w="334" w:type="pct"/>
            <w:shd w:val="clear" w:color="auto" w:fill="D7DDE9"/>
            <w:vAlign w:val="center"/>
          </w:tcPr>
          <w:p w:rsidR="00F11350" w:rsidRPr="000045F4" w:rsidRDefault="00F11350" w:rsidP="00346892">
            <w:pPr>
              <w:keepNext/>
              <w:keepLines/>
              <w:spacing w:line="240" w:lineRule="auto"/>
              <w:ind w:left="0" w:right="0"/>
              <w:jc w:val="center"/>
              <w:cnfStyle w:val="000000000000" w:firstRow="0" w:lastRow="0" w:firstColumn="0" w:lastColumn="0" w:oddVBand="0" w:evenVBand="0" w:oddHBand="0" w:evenHBand="0" w:firstRowFirstColumn="0" w:firstRowLastColumn="0" w:lastRowFirstColumn="0" w:lastRowLastColumn="0"/>
              <w:rPr>
                <w:sz w:val="18"/>
                <w:szCs w:val="18"/>
              </w:rPr>
            </w:pPr>
            <w:r w:rsidRPr="000045F4">
              <w:rPr>
                <w:sz w:val="18"/>
                <w:szCs w:val="18"/>
              </w:rPr>
              <w:t>2019–20</w:t>
            </w:r>
          </w:p>
        </w:tc>
        <w:tc>
          <w:tcPr>
            <w:tcW w:w="334" w:type="pct"/>
            <w:shd w:val="clear" w:color="auto" w:fill="D7DDE9"/>
            <w:vAlign w:val="center"/>
          </w:tcPr>
          <w:p w:rsidR="00F11350" w:rsidRPr="000045F4" w:rsidRDefault="00F11350" w:rsidP="00346892">
            <w:pPr>
              <w:keepNext/>
              <w:keepLines/>
              <w:spacing w:line="240" w:lineRule="auto"/>
              <w:ind w:left="0" w:right="0"/>
              <w:jc w:val="center"/>
              <w:cnfStyle w:val="000000000000" w:firstRow="0" w:lastRow="0" w:firstColumn="0" w:lastColumn="0" w:oddVBand="0" w:evenVBand="0" w:oddHBand="0" w:evenHBand="0" w:firstRowFirstColumn="0" w:firstRowLastColumn="0" w:lastRowFirstColumn="0" w:lastRowLastColumn="0"/>
              <w:rPr>
                <w:b/>
                <w:sz w:val="18"/>
                <w:szCs w:val="18"/>
              </w:rPr>
            </w:pPr>
            <w:r w:rsidRPr="000045F4">
              <w:rPr>
                <w:b/>
                <w:sz w:val="18"/>
                <w:szCs w:val="18"/>
              </w:rPr>
              <w:t>Total to 2019–20</w:t>
            </w:r>
          </w:p>
        </w:tc>
        <w:tc>
          <w:tcPr>
            <w:tcW w:w="335" w:type="pct"/>
            <w:shd w:val="clear" w:color="auto" w:fill="D7DDE9"/>
            <w:vAlign w:val="center"/>
          </w:tcPr>
          <w:p w:rsidR="00F11350" w:rsidRPr="000045F4" w:rsidRDefault="00F11350" w:rsidP="00346892">
            <w:pPr>
              <w:keepNext/>
              <w:keepLines/>
              <w:spacing w:line="240" w:lineRule="auto"/>
              <w:ind w:left="0" w:right="0"/>
              <w:jc w:val="center"/>
              <w:cnfStyle w:val="000000000000" w:firstRow="0" w:lastRow="0" w:firstColumn="0" w:lastColumn="0" w:oddVBand="0" w:evenVBand="0" w:oddHBand="0" w:evenHBand="0" w:firstRowFirstColumn="0" w:firstRowLastColumn="0" w:lastRowFirstColumn="0" w:lastRowLastColumn="0"/>
              <w:rPr>
                <w:sz w:val="18"/>
                <w:szCs w:val="18"/>
              </w:rPr>
            </w:pPr>
            <w:r w:rsidRPr="000045F4">
              <w:rPr>
                <w:sz w:val="18"/>
                <w:szCs w:val="18"/>
              </w:rPr>
              <w:t>2020–21</w:t>
            </w:r>
          </w:p>
        </w:tc>
        <w:tc>
          <w:tcPr>
            <w:tcW w:w="335" w:type="pct"/>
            <w:shd w:val="clear" w:color="auto" w:fill="D7DDE9"/>
            <w:vAlign w:val="center"/>
          </w:tcPr>
          <w:p w:rsidR="00F11350" w:rsidRPr="000045F4" w:rsidRDefault="00F11350" w:rsidP="00346892">
            <w:pPr>
              <w:keepNext/>
              <w:keepLines/>
              <w:spacing w:line="240" w:lineRule="auto"/>
              <w:ind w:left="0" w:right="0"/>
              <w:jc w:val="center"/>
              <w:cnfStyle w:val="000000000000" w:firstRow="0" w:lastRow="0" w:firstColumn="0" w:lastColumn="0" w:oddVBand="0" w:evenVBand="0" w:oddHBand="0" w:evenHBand="0" w:firstRowFirstColumn="0" w:firstRowLastColumn="0" w:lastRowFirstColumn="0" w:lastRowLastColumn="0"/>
              <w:rPr>
                <w:sz w:val="18"/>
                <w:szCs w:val="18"/>
              </w:rPr>
            </w:pPr>
            <w:r w:rsidRPr="000045F4">
              <w:rPr>
                <w:sz w:val="18"/>
                <w:szCs w:val="18"/>
              </w:rPr>
              <w:t>2021–22</w:t>
            </w:r>
          </w:p>
        </w:tc>
        <w:tc>
          <w:tcPr>
            <w:tcW w:w="335" w:type="pct"/>
            <w:shd w:val="clear" w:color="auto" w:fill="D7DDE9"/>
            <w:vAlign w:val="center"/>
          </w:tcPr>
          <w:p w:rsidR="00F11350" w:rsidRPr="000045F4" w:rsidRDefault="00F11350" w:rsidP="00346892">
            <w:pPr>
              <w:keepNext/>
              <w:keepLines/>
              <w:spacing w:line="240" w:lineRule="auto"/>
              <w:ind w:left="0" w:right="0"/>
              <w:jc w:val="center"/>
              <w:cnfStyle w:val="000000000000" w:firstRow="0" w:lastRow="0" w:firstColumn="0" w:lastColumn="0" w:oddVBand="0" w:evenVBand="0" w:oddHBand="0" w:evenHBand="0" w:firstRowFirstColumn="0" w:firstRowLastColumn="0" w:lastRowFirstColumn="0" w:lastRowLastColumn="0"/>
              <w:rPr>
                <w:sz w:val="18"/>
                <w:szCs w:val="18"/>
              </w:rPr>
            </w:pPr>
            <w:r w:rsidRPr="000045F4">
              <w:rPr>
                <w:sz w:val="18"/>
                <w:szCs w:val="18"/>
              </w:rPr>
              <w:t>2022–23</w:t>
            </w:r>
          </w:p>
        </w:tc>
        <w:tc>
          <w:tcPr>
            <w:tcW w:w="333" w:type="pct"/>
            <w:shd w:val="clear" w:color="auto" w:fill="D7DDE9"/>
            <w:vAlign w:val="center"/>
          </w:tcPr>
          <w:p w:rsidR="00F11350" w:rsidRPr="000045F4" w:rsidRDefault="00F11350" w:rsidP="00346892">
            <w:pPr>
              <w:keepNext/>
              <w:keepLines/>
              <w:spacing w:line="240" w:lineRule="auto"/>
              <w:ind w:left="0" w:right="0"/>
              <w:jc w:val="center"/>
              <w:cnfStyle w:val="000000000000" w:firstRow="0" w:lastRow="0" w:firstColumn="0" w:lastColumn="0" w:oddVBand="0" w:evenVBand="0" w:oddHBand="0" w:evenHBand="0" w:firstRowFirstColumn="0" w:firstRowLastColumn="0" w:lastRowFirstColumn="0" w:lastRowLastColumn="0"/>
              <w:rPr>
                <w:sz w:val="18"/>
                <w:szCs w:val="18"/>
              </w:rPr>
            </w:pPr>
            <w:r w:rsidRPr="000045F4">
              <w:rPr>
                <w:sz w:val="18"/>
                <w:szCs w:val="18"/>
              </w:rPr>
              <w:t>2023–24</w:t>
            </w:r>
          </w:p>
        </w:tc>
        <w:tc>
          <w:tcPr>
            <w:tcW w:w="332" w:type="pct"/>
            <w:shd w:val="clear" w:color="auto" w:fill="D7DDE9"/>
            <w:vAlign w:val="center"/>
          </w:tcPr>
          <w:p w:rsidR="00F11350" w:rsidRPr="000045F4" w:rsidRDefault="00F11350" w:rsidP="00346892">
            <w:pPr>
              <w:keepNext/>
              <w:keepLines/>
              <w:spacing w:line="240" w:lineRule="auto"/>
              <w:ind w:left="0" w:right="0"/>
              <w:jc w:val="center"/>
              <w:cnfStyle w:val="000000000000" w:firstRow="0" w:lastRow="0" w:firstColumn="0" w:lastColumn="0" w:oddVBand="0" w:evenVBand="0" w:oddHBand="0" w:evenHBand="0" w:firstRowFirstColumn="0" w:firstRowLastColumn="0" w:lastRowFirstColumn="0" w:lastRowLastColumn="0"/>
              <w:rPr>
                <w:sz w:val="18"/>
                <w:szCs w:val="18"/>
              </w:rPr>
            </w:pPr>
            <w:r w:rsidRPr="000045F4">
              <w:rPr>
                <w:sz w:val="18"/>
                <w:szCs w:val="18"/>
              </w:rPr>
              <w:t>2024–25</w:t>
            </w:r>
          </w:p>
        </w:tc>
        <w:tc>
          <w:tcPr>
            <w:tcW w:w="332" w:type="pct"/>
            <w:shd w:val="clear" w:color="auto" w:fill="D7DDE9"/>
            <w:vAlign w:val="center"/>
          </w:tcPr>
          <w:p w:rsidR="00F11350" w:rsidRPr="000045F4" w:rsidRDefault="00F11350" w:rsidP="00346892">
            <w:pPr>
              <w:keepNext/>
              <w:keepLines/>
              <w:spacing w:line="240" w:lineRule="auto"/>
              <w:ind w:left="0" w:right="0"/>
              <w:jc w:val="center"/>
              <w:cnfStyle w:val="000000000000" w:firstRow="0" w:lastRow="0" w:firstColumn="0" w:lastColumn="0" w:oddVBand="0" w:evenVBand="0" w:oddHBand="0" w:evenHBand="0" w:firstRowFirstColumn="0" w:firstRowLastColumn="0" w:lastRowFirstColumn="0" w:lastRowLastColumn="0"/>
              <w:rPr>
                <w:sz w:val="18"/>
                <w:szCs w:val="18"/>
              </w:rPr>
            </w:pPr>
            <w:r w:rsidRPr="000045F4">
              <w:rPr>
                <w:sz w:val="18"/>
                <w:szCs w:val="18"/>
              </w:rPr>
              <w:t>2025–26</w:t>
            </w:r>
          </w:p>
        </w:tc>
        <w:tc>
          <w:tcPr>
            <w:tcW w:w="332" w:type="pct"/>
            <w:shd w:val="clear" w:color="auto" w:fill="D7DDE9"/>
            <w:vAlign w:val="center"/>
          </w:tcPr>
          <w:p w:rsidR="00F11350" w:rsidRPr="000045F4" w:rsidRDefault="00F11350" w:rsidP="00346892">
            <w:pPr>
              <w:keepNext/>
              <w:keepLines/>
              <w:spacing w:line="240" w:lineRule="auto"/>
              <w:ind w:left="0" w:right="0"/>
              <w:jc w:val="center"/>
              <w:cnfStyle w:val="000000000000" w:firstRow="0" w:lastRow="0" w:firstColumn="0" w:lastColumn="0" w:oddVBand="0" w:evenVBand="0" w:oddHBand="0" w:evenHBand="0" w:firstRowFirstColumn="0" w:firstRowLastColumn="0" w:lastRowFirstColumn="0" w:lastRowLastColumn="0"/>
              <w:rPr>
                <w:sz w:val="18"/>
                <w:szCs w:val="18"/>
              </w:rPr>
            </w:pPr>
            <w:r w:rsidRPr="000045F4">
              <w:rPr>
                <w:sz w:val="18"/>
                <w:szCs w:val="18"/>
              </w:rPr>
              <w:t>2026–27</w:t>
            </w:r>
          </w:p>
        </w:tc>
        <w:tc>
          <w:tcPr>
            <w:tcW w:w="358" w:type="pct"/>
            <w:shd w:val="clear" w:color="auto" w:fill="D7DDE9"/>
            <w:vAlign w:val="center"/>
          </w:tcPr>
          <w:p w:rsidR="00F11350" w:rsidRPr="000045F4" w:rsidRDefault="00F11350" w:rsidP="00346892">
            <w:pPr>
              <w:keepNext/>
              <w:keepLines/>
              <w:spacing w:line="240" w:lineRule="auto"/>
              <w:ind w:left="0" w:right="0"/>
              <w:jc w:val="center"/>
              <w:cnfStyle w:val="000000000000" w:firstRow="0" w:lastRow="0" w:firstColumn="0" w:lastColumn="0" w:oddVBand="0" w:evenVBand="0" w:oddHBand="0" w:evenHBand="0" w:firstRowFirstColumn="0" w:firstRowLastColumn="0" w:lastRowFirstColumn="0" w:lastRowLastColumn="0"/>
              <w:rPr>
                <w:b/>
                <w:sz w:val="18"/>
                <w:szCs w:val="18"/>
              </w:rPr>
            </w:pPr>
            <w:r w:rsidRPr="000045F4">
              <w:rPr>
                <w:b/>
                <w:sz w:val="18"/>
                <w:szCs w:val="18"/>
              </w:rPr>
              <w:t>Total to 2026–27</w:t>
            </w:r>
          </w:p>
        </w:tc>
      </w:tr>
      <w:tr w:rsidR="000045F4" w:rsidRPr="000045F4" w:rsidTr="00346892">
        <w:trPr>
          <w:cantSplit/>
        </w:trPr>
        <w:tc>
          <w:tcPr>
            <w:cnfStyle w:val="001000000000" w:firstRow="0" w:lastRow="0" w:firstColumn="1" w:lastColumn="0" w:oddVBand="0" w:evenVBand="0" w:oddHBand="0" w:evenHBand="0" w:firstRowFirstColumn="0" w:firstRowLastColumn="0" w:lastRowFirstColumn="0" w:lastRowLastColumn="0"/>
            <w:tcW w:w="639" w:type="pct"/>
            <w:vAlign w:val="center"/>
          </w:tcPr>
          <w:p w:rsidR="00F11350" w:rsidRPr="000045F4" w:rsidRDefault="00F11350" w:rsidP="00F11350">
            <w:pPr>
              <w:keepNext/>
              <w:keepLines/>
              <w:spacing w:line="240" w:lineRule="auto"/>
              <w:ind w:left="57" w:right="57"/>
              <w:rPr>
                <w:sz w:val="18"/>
                <w:szCs w:val="18"/>
              </w:rPr>
            </w:pPr>
            <w:r w:rsidRPr="000045F4">
              <w:rPr>
                <w:sz w:val="18"/>
                <w:szCs w:val="18"/>
              </w:rPr>
              <w:t>Additional cost from proposed increase in university funding</w:t>
            </w:r>
            <w:r w:rsidRPr="000045F4">
              <w:rPr>
                <w:sz w:val="18"/>
                <w:szCs w:val="18"/>
                <w:vertAlign w:val="superscript"/>
              </w:rPr>
              <w:t>(c)</w:t>
            </w:r>
          </w:p>
        </w:tc>
        <w:tc>
          <w:tcPr>
            <w:tcW w:w="335" w:type="pct"/>
            <w:vAlign w:val="center"/>
          </w:tcPr>
          <w:p w:rsidR="00F11350" w:rsidRPr="000045F4"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0045F4">
              <w:rPr>
                <w:sz w:val="18"/>
                <w:szCs w:val="18"/>
              </w:rPr>
              <w:t>-129</w:t>
            </w:r>
          </w:p>
        </w:tc>
        <w:tc>
          <w:tcPr>
            <w:tcW w:w="334" w:type="pct"/>
            <w:vAlign w:val="center"/>
          </w:tcPr>
          <w:p w:rsidR="00F11350" w:rsidRPr="000045F4"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0045F4">
              <w:rPr>
                <w:sz w:val="18"/>
                <w:szCs w:val="18"/>
              </w:rPr>
              <w:t>-402</w:t>
            </w:r>
          </w:p>
        </w:tc>
        <w:tc>
          <w:tcPr>
            <w:tcW w:w="334" w:type="pct"/>
            <w:vAlign w:val="center"/>
          </w:tcPr>
          <w:p w:rsidR="00F11350" w:rsidRPr="000045F4"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0045F4">
              <w:rPr>
                <w:sz w:val="18"/>
                <w:szCs w:val="18"/>
              </w:rPr>
              <w:t>-697</w:t>
            </w:r>
          </w:p>
        </w:tc>
        <w:tc>
          <w:tcPr>
            <w:tcW w:w="334" w:type="pct"/>
            <w:vAlign w:val="center"/>
          </w:tcPr>
          <w:p w:rsidR="00F11350" w:rsidRPr="000045F4"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0045F4">
              <w:rPr>
                <w:sz w:val="18"/>
                <w:szCs w:val="18"/>
              </w:rPr>
              <w:t>-1,008</w:t>
            </w:r>
          </w:p>
        </w:tc>
        <w:tc>
          <w:tcPr>
            <w:tcW w:w="334" w:type="pct"/>
            <w:vAlign w:val="center"/>
          </w:tcPr>
          <w:p w:rsidR="00F11350" w:rsidRPr="000045F4"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0045F4">
              <w:rPr>
                <w:b/>
                <w:sz w:val="18"/>
                <w:szCs w:val="18"/>
              </w:rPr>
              <w:t>-2,237</w:t>
            </w:r>
          </w:p>
        </w:tc>
        <w:tc>
          <w:tcPr>
            <w:tcW w:w="335" w:type="pct"/>
            <w:vAlign w:val="center"/>
          </w:tcPr>
          <w:p w:rsidR="00F11350" w:rsidRPr="000045F4"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0045F4">
              <w:rPr>
                <w:sz w:val="18"/>
                <w:szCs w:val="18"/>
              </w:rPr>
              <w:t>-1,183</w:t>
            </w:r>
          </w:p>
        </w:tc>
        <w:tc>
          <w:tcPr>
            <w:tcW w:w="335" w:type="pct"/>
            <w:vAlign w:val="center"/>
          </w:tcPr>
          <w:p w:rsidR="00F11350" w:rsidRPr="000045F4"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0045F4">
              <w:rPr>
                <w:sz w:val="18"/>
                <w:szCs w:val="18"/>
              </w:rPr>
              <w:t>-1,215</w:t>
            </w:r>
          </w:p>
        </w:tc>
        <w:tc>
          <w:tcPr>
            <w:tcW w:w="335" w:type="pct"/>
            <w:vAlign w:val="center"/>
          </w:tcPr>
          <w:p w:rsidR="00F11350" w:rsidRPr="000045F4"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0045F4">
              <w:rPr>
                <w:sz w:val="18"/>
                <w:szCs w:val="18"/>
              </w:rPr>
              <w:t>-1,249</w:t>
            </w:r>
          </w:p>
        </w:tc>
        <w:tc>
          <w:tcPr>
            <w:tcW w:w="333" w:type="pct"/>
            <w:vAlign w:val="center"/>
          </w:tcPr>
          <w:p w:rsidR="00F11350" w:rsidRPr="000045F4"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0045F4">
              <w:rPr>
                <w:sz w:val="18"/>
                <w:szCs w:val="18"/>
              </w:rPr>
              <w:t>-1,284</w:t>
            </w:r>
          </w:p>
        </w:tc>
        <w:tc>
          <w:tcPr>
            <w:tcW w:w="332" w:type="pct"/>
            <w:vAlign w:val="center"/>
          </w:tcPr>
          <w:p w:rsidR="00F11350" w:rsidRPr="000045F4"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0045F4">
              <w:rPr>
                <w:sz w:val="18"/>
                <w:szCs w:val="18"/>
              </w:rPr>
              <w:t>-1,321</w:t>
            </w:r>
          </w:p>
        </w:tc>
        <w:tc>
          <w:tcPr>
            <w:tcW w:w="332" w:type="pct"/>
            <w:vAlign w:val="center"/>
          </w:tcPr>
          <w:p w:rsidR="00F11350" w:rsidRPr="000045F4"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0045F4">
              <w:rPr>
                <w:sz w:val="18"/>
                <w:szCs w:val="18"/>
              </w:rPr>
              <w:t>-1,358</w:t>
            </w:r>
          </w:p>
        </w:tc>
        <w:tc>
          <w:tcPr>
            <w:tcW w:w="332" w:type="pct"/>
            <w:vAlign w:val="center"/>
          </w:tcPr>
          <w:p w:rsidR="00F11350" w:rsidRPr="000045F4"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0045F4">
              <w:rPr>
                <w:sz w:val="18"/>
                <w:szCs w:val="18"/>
              </w:rPr>
              <w:t>-1,397</w:t>
            </w:r>
          </w:p>
        </w:tc>
        <w:tc>
          <w:tcPr>
            <w:tcW w:w="358" w:type="pct"/>
            <w:vAlign w:val="center"/>
          </w:tcPr>
          <w:p w:rsidR="00F11350" w:rsidRPr="000045F4"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0045F4">
              <w:rPr>
                <w:b/>
                <w:sz w:val="18"/>
                <w:szCs w:val="18"/>
              </w:rPr>
              <w:t>-11,245</w:t>
            </w:r>
          </w:p>
        </w:tc>
      </w:tr>
      <w:tr w:rsidR="000045F4" w:rsidRPr="000045F4" w:rsidTr="00346892">
        <w:trPr>
          <w:cantSplit/>
        </w:trPr>
        <w:tc>
          <w:tcPr>
            <w:cnfStyle w:val="001000000000" w:firstRow="0" w:lastRow="0" w:firstColumn="1" w:lastColumn="0" w:oddVBand="0" w:evenVBand="0" w:oddHBand="0" w:evenHBand="0" w:firstRowFirstColumn="0" w:firstRowLastColumn="0" w:lastRowFirstColumn="0" w:lastRowLastColumn="0"/>
            <w:tcW w:w="639" w:type="pct"/>
            <w:vAlign w:val="center"/>
          </w:tcPr>
          <w:p w:rsidR="00F11350" w:rsidRPr="000045F4" w:rsidRDefault="00F11350" w:rsidP="00F11350">
            <w:pPr>
              <w:keepNext/>
              <w:keepLines/>
              <w:spacing w:line="240" w:lineRule="auto"/>
              <w:ind w:left="57" w:right="57"/>
              <w:rPr>
                <w:sz w:val="18"/>
                <w:szCs w:val="18"/>
              </w:rPr>
            </w:pPr>
            <w:r w:rsidRPr="000045F4">
              <w:rPr>
                <w:sz w:val="18"/>
                <w:szCs w:val="18"/>
              </w:rPr>
              <w:t>Impact of reversing budget measures</w:t>
            </w:r>
          </w:p>
        </w:tc>
        <w:tc>
          <w:tcPr>
            <w:tcW w:w="335" w:type="pct"/>
            <w:vAlign w:val="center"/>
          </w:tcPr>
          <w:p w:rsidR="00F11350" w:rsidRPr="000045F4"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0045F4">
              <w:rPr>
                <w:sz w:val="18"/>
                <w:szCs w:val="18"/>
              </w:rPr>
              <w:t>-279</w:t>
            </w:r>
          </w:p>
        </w:tc>
        <w:tc>
          <w:tcPr>
            <w:tcW w:w="334" w:type="pct"/>
            <w:vAlign w:val="center"/>
          </w:tcPr>
          <w:p w:rsidR="00F11350" w:rsidRPr="000045F4"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0045F4">
              <w:rPr>
                <w:sz w:val="18"/>
                <w:szCs w:val="18"/>
              </w:rPr>
              <w:t>-1,062</w:t>
            </w:r>
          </w:p>
        </w:tc>
        <w:tc>
          <w:tcPr>
            <w:tcW w:w="334" w:type="pct"/>
            <w:vAlign w:val="center"/>
          </w:tcPr>
          <w:p w:rsidR="00F11350" w:rsidRPr="000045F4"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0045F4">
              <w:rPr>
                <w:sz w:val="18"/>
                <w:szCs w:val="18"/>
              </w:rPr>
              <w:t>-1,629</w:t>
            </w:r>
          </w:p>
        </w:tc>
        <w:tc>
          <w:tcPr>
            <w:tcW w:w="334" w:type="pct"/>
            <w:vAlign w:val="center"/>
          </w:tcPr>
          <w:p w:rsidR="00F11350" w:rsidRPr="000045F4"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0045F4">
              <w:rPr>
                <w:sz w:val="18"/>
                <w:szCs w:val="18"/>
              </w:rPr>
              <w:t>-1,813</w:t>
            </w:r>
          </w:p>
        </w:tc>
        <w:tc>
          <w:tcPr>
            <w:tcW w:w="334" w:type="pct"/>
            <w:vAlign w:val="center"/>
          </w:tcPr>
          <w:p w:rsidR="00F11350" w:rsidRPr="000045F4"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0045F4">
              <w:rPr>
                <w:b/>
                <w:sz w:val="18"/>
                <w:szCs w:val="18"/>
              </w:rPr>
              <w:t>-4,783</w:t>
            </w:r>
          </w:p>
        </w:tc>
        <w:tc>
          <w:tcPr>
            <w:tcW w:w="335" w:type="pct"/>
            <w:vAlign w:val="center"/>
          </w:tcPr>
          <w:p w:rsidR="00F11350" w:rsidRPr="000045F4"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0045F4">
              <w:rPr>
                <w:sz w:val="18"/>
                <w:szCs w:val="18"/>
              </w:rPr>
              <w:t>-2,021</w:t>
            </w:r>
          </w:p>
        </w:tc>
        <w:tc>
          <w:tcPr>
            <w:tcW w:w="335" w:type="pct"/>
            <w:vAlign w:val="center"/>
          </w:tcPr>
          <w:p w:rsidR="00F11350" w:rsidRPr="000045F4"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0045F4">
              <w:rPr>
                <w:sz w:val="18"/>
                <w:szCs w:val="18"/>
              </w:rPr>
              <w:t>-2,244</w:t>
            </w:r>
          </w:p>
        </w:tc>
        <w:tc>
          <w:tcPr>
            <w:tcW w:w="335" w:type="pct"/>
            <w:vAlign w:val="center"/>
          </w:tcPr>
          <w:p w:rsidR="00F11350" w:rsidRPr="000045F4"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0045F4">
              <w:rPr>
                <w:sz w:val="18"/>
                <w:szCs w:val="18"/>
              </w:rPr>
              <w:t>-2,475</w:t>
            </w:r>
          </w:p>
        </w:tc>
        <w:tc>
          <w:tcPr>
            <w:tcW w:w="333" w:type="pct"/>
            <w:vAlign w:val="center"/>
          </w:tcPr>
          <w:p w:rsidR="00F11350" w:rsidRPr="000045F4"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0045F4">
              <w:rPr>
                <w:sz w:val="18"/>
                <w:szCs w:val="18"/>
              </w:rPr>
              <w:t>-2,718</w:t>
            </w:r>
          </w:p>
        </w:tc>
        <w:tc>
          <w:tcPr>
            <w:tcW w:w="332" w:type="pct"/>
            <w:vAlign w:val="center"/>
          </w:tcPr>
          <w:p w:rsidR="00F11350" w:rsidRPr="000045F4"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0045F4">
              <w:rPr>
                <w:sz w:val="18"/>
                <w:szCs w:val="18"/>
              </w:rPr>
              <w:t>-2,983</w:t>
            </w:r>
          </w:p>
        </w:tc>
        <w:tc>
          <w:tcPr>
            <w:tcW w:w="332" w:type="pct"/>
            <w:vAlign w:val="center"/>
          </w:tcPr>
          <w:p w:rsidR="00F11350" w:rsidRPr="000045F4"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0045F4">
              <w:rPr>
                <w:sz w:val="18"/>
                <w:szCs w:val="18"/>
              </w:rPr>
              <w:t>-3,248</w:t>
            </w:r>
          </w:p>
        </w:tc>
        <w:tc>
          <w:tcPr>
            <w:tcW w:w="332" w:type="pct"/>
            <w:vAlign w:val="center"/>
          </w:tcPr>
          <w:p w:rsidR="00F11350" w:rsidRPr="000045F4"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0045F4">
              <w:rPr>
                <w:sz w:val="18"/>
                <w:szCs w:val="18"/>
              </w:rPr>
              <w:t>-3,530</w:t>
            </w:r>
          </w:p>
        </w:tc>
        <w:tc>
          <w:tcPr>
            <w:tcW w:w="358" w:type="pct"/>
            <w:vAlign w:val="center"/>
          </w:tcPr>
          <w:p w:rsidR="00F11350" w:rsidRPr="000045F4"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0045F4">
              <w:rPr>
                <w:b/>
                <w:sz w:val="18"/>
                <w:szCs w:val="18"/>
              </w:rPr>
              <w:t>-24,003</w:t>
            </w:r>
          </w:p>
        </w:tc>
      </w:tr>
      <w:tr w:rsidR="000045F4" w:rsidRPr="000045F4" w:rsidTr="00346892">
        <w:trPr>
          <w:cantSplit/>
        </w:trPr>
        <w:tc>
          <w:tcPr>
            <w:cnfStyle w:val="001000000000" w:firstRow="0" w:lastRow="0" w:firstColumn="1" w:lastColumn="0" w:oddVBand="0" w:evenVBand="0" w:oddHBand="0" w:evenHBand="0" w:firstRowFirstColumn="0" w:firstRowLastColumn="0" w:lastRowFirstColumn="0" w:lastRowLastColumn="0"/>
            <w:tcW w:w="639" w:type="pct"/>
            <w:vAlign w:val="center"/>
          </w:tcPr>
          <w:p w:rsidR="00F11350" w:rsidRPr="000045F4" w:rsidRDefault="00F11350" w:rsidP="00F11350">
            <w:pPr>
              <w:keepNext/>
              <w:keepLines/>
              <w:spacing w:line="240" w:lineRule="auto"/>
              <w:ind w:left="57" w:right="57"/>
              <w:rPr>
                <w:sz w:val="18"/>
                <w:szCs w:val="18"/>
              </w:rPr>
            </w:pPr>
            <w:r w:rsidRPr="000045F4">
              <w:rPr>
                <w:sz w:val="18"/>
                <w:szCs w:val="18"/>
              </w:rPr>
              <w:t>PDI</w:t>
            </w:r>
            <w:r w:rsidRPr="000045F4">
              <w:rPr>
                <w:sz w:val="18"/>
                <w:szCs w:val="18"/>
                <w:vertAlign w:val="superscript"/>
              </w:rPr>
              <w:t>(d)</w:t>
            </w:r>
          </w:p>
        </w:tc>
        <w:tc>
          <w:tcPr>
            <w:tcW w:w="335" w:type="pct"/>
            <w:vAlign w:val="center"/>
          </w:tcPr>
          <w:p w:rsidR="00F11350" w:rsidRPr="000045F4"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0045F4">
              <w:rPr>
                <w:sz w:val="18"/>
                <w:szCs w:val="18"/>
              </w:rPr>
              <w:t>-</w:t>
            </w:r>
          </w:p>
        </w:tc>
        <w:tc>
          <w:tcPr>
            <w:tcW w:w="334" w:type="pct"/>
            <w:vAlign w:val="center"/>
          </w:tcPr>
          <w:p w:rsidR="00F11350" w:rsidRPr="000045F4"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0045F4">
              <w:rPr>
                <w:sz w:val="18"/>
                <w:szCs w:val="18"/>
              </w:rPr>
              <w:t>5</w:t>
            </w:r>
          </w:p>
        </w:tc>
        <w:tc>
          <w:tcPr>
            <w:tcW w:w="334" w:type="pct"/>
            <w:vAlign w:val="center"/>
          </w:tcPr>
          <w:p w:rsidR="00F11350" w:rsidRPr="000045F4"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0045F4">
              <w:rPr>
                <w:sz w:val="18"/>
                <w:szCs w:val="18"/>
              </w:rPr>
              <w:t>23</w:t>
            </w:r>
          </w:p>
        </w:tc>
        <w:tc>
          <w:tcPr>
            <w:tcW w:w="334" w:type="pct"/>
            <w:vAlign w:val="center"/>
          </w:tcPr>
          <w:p w:rsidR="00F11350" w:rsidRPr="000045F4"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0045F4">
              <w:rPr>
                <w:sz w:val="18"/>
                <w:szCs w:val="18"/>
              </w:rPr>
              <w:t>48</w:t>
            </w:r>
          </w:p>
        </w:tc>
        <w:tc>
          <w:tcPr>
            <w:tcW w:w="334" w:type="pct"/>
            <w:vAlign w:val="center"/>
          </w:tcPr>
          <w:p w:rsidR="00F11350" w:rsidRPr="000045F4"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0045F4">
              <w:rPr>
                <w:b/>
                <w:sz w:val="18"/>
                <w:szCs w:val="18"/>
              </w:rPr>
              <w:t>77</w:t>
            </w:r>
          </w:p>
        </w:tc>
        <w:tc>
          <w:tcPr>
            <w:tcW w:w="335" w:type="pct"/>
            <w:vAlign w:val="center"/>
          </w:tcPr>
          <w:p w:rsidR="00F11350" w:rsidRPr="000045F4"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0045F4">
              <w:rPr>
                <w:sz w:val="18"/>
                <w:szCs w:val="18"/>
              </w:rPr>
              <w:t>100</w:t>
            </w:r>
          </w:p>
        </w:tc>
        <w:tc>
          <w:tcPr>
            <w:tcW w:w="335" w:type="pct"/>
            <w:vAlign w:val="center"/>
          </w:tcPr>
          <w:p w:rsidR="00F11350" w:rsidRPr="000045F4"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0045F4">
              <w:rPr>
                <w:sz w:val="18"/>
                <w:szCs w:val="18"/>
              </w:rPr>
              <w:t>166</w:t>
            </w:r>
          </w:p>
        </w:tc>
        <w:tc>
          <w:tcPr>
            <w:tcW w:w="335" w:type="pct"/>
            <w:vAlign w:val="center"/>
          </w:tcPr>
          <w:p w:rsidR="00F11350" w:rsidRPr="000045F4"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0045F4">
              <w:rPr>
                <w:sz w:val="18"/>
                <w:szCs w:val="18"/>
              </w:rPr>
              <w:t>241</w:t>
            </w:r>
          </w:p>
        </w:tc>
        <w:tc>
          <w:tcPr>
            <w:tcW w:w="333" w:type="pct"/>
            <w:vAlign w:val="center"/>
          </w:tcPr>
          <w:p w:rsidR="00F11350" w:rsidRPr="000045F4"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0045F4">
              <w:rPr>
                <w:sz w:val="18"/>
                <w:szCs w:val="18"/>
              </w:rPr>
              <w:t>327</w:t>
            </w:r>
          </w:p>
        </w:tc>
        <w:tc>
          <w:tcPr>
            <w:tcW w:w="332" w:type="pct"/>
            <w:vAlign w:val="center"/>
          </w:tcPr>
          <w:p w:rsidR="00F11350" w:rsidRPr="000045F4"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0045F4">
              <w:rPr>
                <w:sz w:val="18"/>
                <w:szCs w:val="18"/>
              </w:rPr>
              <w:t>423</w:t>
            </w:r>
          </w:p>
        </w:tc>
        <w:tc>
          <w:tcPr>
            <w:tcW w:w="332" w:type="pct"/>
            <w:vAlign w:val="center"/>
          </w:tcPr>
          <w:p w:rsidR="00F11350" w:rsidRPr="000045F4"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0045F4">
              <w:rPr>
                <w:sz w:val="18"/>
                <w:szCs w:val="18"/>
              </w:rPr>
              <w:t>528</w:t>
            </w:r>
          </w:p>
        </w:tc>
        <w:tc>
          <w:tcPr>
            <w:tcW w:w="332" w:type="pct"/>
            <w:vAlign w:val="center"/>
          </w:tcPr>
          <w:p w:rsidR="00F11350" w:rsidRPr="000045F4"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0045F4">
              <w:rPr>
                <w:sz w:val="18"/>
                <w:szCs w:val="18"/>
              </w:rPr>
              <w:t>644</w:t>
            </w:r>
          </w:p>
        </w:tc>
        <w:tc>
          <w:tcPr>
            <w:tcW w:w="358" w:type="pct"/>
            <w:vAlign w:val="center"/>
          </w:tcPr>
          <w:p w:rsidR="00F11350" w:rsidRPr="000045F4"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0045F4">
              <w:rPr>
                <w:b/>
                <w:sz w:val="18"/>
                <w:szCs w:val="18"/>
              </w:rPr>
              <w:t>2,506</w:t>
            </w:r>
          </w:p>
        </w:tc>
      </w:tr>
      <w:tr w:rsidR="00700053" w:rsidRPr="000045F4" w:rsidTr="000045F4">
        <w:trPr>
          <w:cantSplit/>
        </w:trPr>
        <w:tc>
          <w:tcPr>
            <w:cnfStyle w:val="001000000000" w:firstRow="0" w:lastRow="0" w:firstColumn="1" w:lastColumn="0" w:oddVBand="0" w:evenVBand="0" w:oddHBand="0" w:evenHBand="0" w:firstRowFirstColumn="0" w:firstRowLastColumn="0" w:lastRowFirstColumn="0" w:lastRowLastColumn="0"/>
            <w:tcW w:w="639" w:type="pct"/>
            <w:shd w:val="clear" w:color="auto" w:fill="E9ECF3"/>
            <w:vAlign w:val="center"/>
          </w:tcPr>
          <w:p w:rsidR="00F11350" w:rsidRPr="000045F4" w:rsidRDefault="00F11350" w:rsidP="00F11350">
            <w:pPr>
              <w:keepNext/>
              <w:keepLines/>
              <w:spacing w:line="240" w:lineRule="auto"/>
              <w:ind w:left="57" w:right="57"/>
              <w:rPr>
                <w:b/>
                <w:sz w:val="18"/>
                <w:szCs w:val="18"/>
              </w:rPr>
            </w:pPr>
            <w:r w:rsidRPr="000045F4">
              <w:rPr>
                <w:b/>
                <w:sz w:val="18"/>
                <w:szCs w:val="18"/>
              </w:rPr>
              <w:t>Total</w:t>
            </w:r>
          </w:p>
        </w:tc>
        <w:tc>
          <w:tcPr>
            <w:tcW w:w="335" w:type="pct"/>
            <w:shd w:val="clear" w:color="auto" w:fill="E9ECF3"/>
            <w:vAlign w:val="center"/>
          </w:tcPr>
          <w:p w:rsidR="00F11350" w:rsidRPr="000045F4"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0045F4">
              <w:rPr>
                <w:b/>
                <w:sz w:val="18"/>
                <w:szCs w:val="18"/>
              </w:rPr>
              <w:t>-408</w:t>
            </w:r>
          </w:p>
        </w:tc>
        <w:tc>
          <w:tcPr>
            <w:tcW w:w="334" w:type="pct"/>
            <w:shd w:val="clear" w:color="auto" w:fill="E9ECF3"/>
            <w:vAlign w:val="center"/>
          </w:tcPr>
          <w:p w:rsidR="00F11350" w:rsidRPr="000045F4"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0045F4">
              <w:rPr>
                <w:b/>
                <w:sz w:val="18"/>
                <w:szCs w:val="18"/>
              </w:rPr>
              <w:t>-1,459</w:t>
            </w:r>
          </w:p>
        </w:tc>
        <w:tc>
          <w:tcPr>
            <w:tcW w:w="334" w:type="pct"/>
            <w:shd w:val="clear" w:color="auto" w:fill="E9ECF3"/>
            <w:vAlign w:val="center"/>
          </w:tcPr>
          <w:p w:rsidR="00F11350" w:rsidRPr="000045F4"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0045F4">
              <w:rPr>
                <w:b/>
                <w:sz w:val="18"/>
                <w:szCs w:val="18"/>
              </w:rPr>
              <w:t>-2,303</w:t>
            </w:r>
          </w:p>
        </w:tc>
        <w:tc>
          <w:tcPr>
            <w:tcW w:w="334" w:type="pct"/>
            <w:shd w:val="clear" w:color="auto" w:fill="E9ECF3"/>
            <w:vAlign w:val="center"/>
          </w:tcPr>
          <w:p w:rsidR="00F11350" w:rsidRPr="000045F4"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0045F4">
              <w:rPr>
                <w:b/>
                <w:sz w:val="18"/>
                <w:szCs w:val="18"/>
              </w:rPr>
              <w:t>-2,773</w:t>
            </w:r>
          </w:p>
        </w:tc>
        <w:tc>
          <w:tcPr>
            <w:tcW w:w="334" w:type="pct"/>
            <w:shd w:val="clear" w:color="auto" w:fill="E9ECF3"/>
            <w:vAlign w:val="center"/>
          </w:tcPr>
          <w:p w:rsidR="00F11350" w:rsidRPr="000045F4"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0045F4">
              <w:rPr>
                <w:b/>
                <w:sz w:val="18"/>
                <w:szCs w:val="18"/>
              </w:rPr>
              <w:t>-6,943</w:t>
            </w:r>
          </w:p>
        </w:tc>
        <w:tc>
          <w:tcPr>
            <w:tcW w:w="335" w:type="pct"/>
            <w:shd w:val="clear" w:color="auto" w:fill="E9ECF3"/>
            <w:vAlign w:val="center"/>
          </w:tcPr>
          <w:p w:rsidR="00F11350" w:rsidRPr="000045F4"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0045F4">
              <w:rPr>
                <w:b/>
                <w:sz w:val="18"/>
                <w:szCs w:val="18"/>
              </w:rPr>
              <w:t>-3,104</w:t>
            </w:r>
          </w:p>
        </w:tc>
        <w:tc>
          <w:tcPr>
            <w:tcW w:w="335" w:type="pct"/>
            <w:shd w:val="clear" w:color="auto" w:fill="E9ECF3"/>
            <w:vAlign w:val="center"/>
          </w:tcPr>
          <w:p w:rsidR="00F11350" w:rsidRPr="000045F4"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0045F4">
              <w:rPr>
                <w:b/>
                <w:sz w:val="18"/>
                <w:szCs w:val="18"/>
              </w:rPr>
              <w:t>-3,293</w:t>
            </w:r>
          </w:p>
        </w:tc>
        <w:tc>
          <w:tcPr>
            <w:tcW w:w="335" w:type="pct"/>
            <w:shd w:val="clear" w:color="auto" w:fill="E9ECF3"/>
            <w:vAlign w:val="center"/>
          </w:tcPr>
          <w:p w:rsidR="00F11350" w:rsidRPr="000045F4"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0045F4">
              <w:rPr>
                <w:b/>
                <w:sz w:val="18"/>
                <w:szCs w:val="18"/>
              </w:rPr>
              <w:t>-3,483</w:t>
            </w:r>
          </w:p>
        </w:tc>
        <w:tc>
          <w:tcPr>
            <w:tcW w:w="333" w:type="pct"/>
            <w:shd w:val="clear" w:color="auto" w:fill="E9ECF3"/>
            <w:vAlign w:val="center"/>
          </w:tcPr>
          <w:p w:rsidR="00F11350" w:rsidRPr="000045F4"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0045F4">
              <w:rPr>
                <w:b/>
                <w:sz w:val="18"/>
                <w:szCs w:val="18"/>
              </w:rPr>
              <w:t>-3,675</w:t>
            </w:r>
          </w:p>
        </w:tc>
        <w:tc>
          <w:tcPr>
            <w:tcW w:w="332" w:type="pct"/>
            <w:shd w:val="clear" w:color="auto" w:fill="E9ECF3"/>
            <w:vAlign w:val="center"/>
          </w:tcPr>
          <w:p w:rsidR="00F11350" w:rsidRPr="000045F4"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0045F4">
              <w:rPr>
                <w:b/>
                <w:sz w:val="18"/>
                <w:szCs w:val="18"/>
              </w:rPr>
              <w:t>-3,880</w:t>
            </w:r>
          </w:p>
        </w:tc>
        <w:tc>
          <w:tcPr>
            <w:tcW w:w="332" w:type="pct"/>
            <w:shd w:val="clear" w:color="auto" w:fill="E9ECF3"/>
            <w:vAlign w:val="center"/>
          </w:tcPr>
          <w:p w:rsidR="00F11350" w:rsidRPr="000045F4"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0045F4">
              <w:rPr>
                <w:b/>
                <w:sz w:val="18"/>
                <w:szCs w:val="18"/>
              </w:rPr>
              <w:t>-4,079</w:t>
            </w:r>
          </w:p>
        </w:tc>
        <w:tc>
          <w:tcPr>
            <w:tcW w:w="332" w:type="pct"/>
            <w:shd w:val="clear" w:color="auto" w:fill="E9ECF3"/>
            <w:vAlign w:val="center"/>
          </w:tcPr>
          <w:p w:rsidR="00F11350" w:rsidRPr="000045F4"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0045F4">
              <w:rPr>
                <w:b/>
                <w:sz w:val="18"/>
                <w:szCs w:val="18"/>
              </w:rPr>
              <w:t>-4,284</w:t>
            </w:r>
          </w:p>
        </w:tc>
        <w:tc>
          <w:tcPr>
            <w:tcW w:w="358" w:type="pct"/>
            <w:shd w:val="clear" w:color="auto" w:fill="E9ECF3"/>
            <w:vAlign w:val="center"/>
          </w:tcPr>
          <w:p w:rsidR="00F11350" w:rsidRPr="000045F4"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0045F4">
              <w:rPr>
                <w:b/>
                <w:sz w:val="18"/>
                <w:szCs w:val="18"/>
              </w:rPr>
              <w:t>-32,741</w:t>
            </w:r>
          </w:p>
        </w:tc>
      </w:tr>
    </w:tbl>
    <w:p w:rsidR="00F11350" w:rsidRPr="00346892" w:rsidRDefault="00F11350" w:rsidP="00346892">
      <w:pPr>
        <w:pStyle w:val="Footnotes"/>
        <w:numPr>
          <w:ilvl w:val="0"/>
          <w:numId w:val="27"/>
        </w:numPr>
        <w:spacing w:before="40" w:after="40" w:line="0" w:lineRule="atLeast"/>
        <w:ind w:left="284" w:hanging="284"/>
        <w:contextualSpacing w:val="0"/>
        <w:rPr>
          <w:rFonts w:ascii="Calibri" w:eastAsia="Calibri" w:hAnsi="Calibri" w:cs="Times New Roman"/>
          <w:sz w:val="18"/>
          <w:szCs w:val="18"/>
        </w:rPr>
      </w:pPr>
      <w:r w:rsidRPr="00346892">
        <w:rPr>
          <w:rFonts w:ascii="Calibri" w:eastAsia="Calibri" w:hAnsi="Calibri" w:cs="Times New Roman"/>
          <w:sz w:val="18"/>
          <w:szCs w:val="18"/>
        </w:rPr>
        <w:t>A positive number for the underlying cash balance indicates an increase in receipts or a decrease in outlays or net capital investment in cash terms. A negative number for the fiscal balance indicates a decrease in receipts or an increase in outlays or net capital investment in cash terms.</w:t>
      </w:r>
    </w:p>
    <w:p w:rsidR="00F11350" w:rsidRPr="00346892" w:rsidRDefault="00F11350" w:rsidP="00346892">
      <w:pPr>
        <w:numPr>
          <w:ilvl w:val="0"/>
          <w:numId w:val="21"/>
        </w:numPr>
        <w:spacing w:before="40" w:after="40" w:line="0" w:lineRule="atLeast"/>
        <w:ind w:left="284" w:hanging="284"/>
        <w:rPr>
          <w:rFonts w:ascii="Calibri" w:eastAsia="Calibri" w:hAnsi="Calibri" w:cs="Times New Roman"/>
          <w:sz w:val="18"/>
          <w:szCs w:val="18"/>
        </w:rPr>
      </w:pPr>
      <w:r w:rsidRPr="00346892">
        <w:rPr>
          <w:rFonts w:ascii="Calibri" w:eastAsia="Calibri" w:hAnsi="Calibri" w:cs="Times New Roman"/>
          <w:sz w:val="18"/>
          <w:szCs w:val="18"/>
        </w:rPr>
        <w:t xml:space="preserve"> Figures may not sum to totals due to rounding.</w:t>
      </w:r>
    </w:p>
    <w:p w:rsidR="00F11350" w:rsidRPr="00346892" w:rsidRDefault="00F11350" w:rsidP="00346892">
      <w:pPr>
        <w:numPr>
          <w:ilvl w:val="0"/>
          <w:numId w:val="21"/>
        </w:numPr>
        <w:spacing w:before="40" w:after="40" w:line="0" w:lineRule="atLeast"/>
        <w:ind w:left="284" w:hanging="284"/>
        <w:rPr>
          <w:rFonts w:ascii="Calibri" w:eastAsia="Calibri" w:hAnsi="Calibri" w:cs="Times New Roman"/>
          <w:sz w:val="18"/>
          <w:szCs w:val="18"/>
        </w:rPr>
      </w:pPr>
      <w:r w:rsidRPr="00346892">
        <w:rPr>
          <w:rFonts w:ascii="Calibri" w:eastAsia="Calibri" w:hAnsi="Calibri" w:cs="Times New Roman"/>
          <w:sz w:val="18"/>
          <w:szCs w:val="18"/>
        </w:rPr>
        <w:t>The increase in university spending has been phased at a rate of 2.5 per cent per calendar year from 1 January 2017 accumulatively up to 10 per cent by 1 January 2020.</w:t>
      </w:r>
    </w:p>
    <w:p w:rsidR="00F11350" w:rsidRPr="00346892" w:rsidRDefault="00F11350" w:rsidP="00346892">
      <w:pPr>
        <w:numPr>
          <w:ilvl w:val="0"/>
          <w:numId w:val="21"/>
        </w:numPr>
        <w:spacing w:before="40" w:after="40" w:line="0" w:lineRule="atLeast"/>
        <w:ind w:left="284" w:hanging="284"/>
        <w:rPr>
          <w:rFonts w:ascii="Calibri" w:eastAsia="Calibri" w:hAnsi="Calibri" w:cs="Times New Roman"/>
          <w:sz w:val="18"/>
          <w:szCs w:val="18"/>
        </w:rPr>
      </w:pPr>
      <w:r w:rsidRPr="00346892">
        <w:rPr>
          <w:rFonts w:ascii="Calibri" w:eastAsia="Calibri" w:hAnsi="Calibri" w:cs="Times New Roman"/>
          <w:sz w:val="18"/>
          <w:szCs w:val="18"/>
        </w:rPr>
        <w:t xml:space="preserve">PDI is calculated only on the reversal of the measure: </w:t>
      </w:r>
      <w:r w:rsidRPr="00346892">
        <w:rPr>
          <w:rFonts w:ascii="Calibri" w:eastAsia="Calibri" w:hAnsi="Calibri" w:cs="Times New Roman"/>
          <w:i/>
          <w:sz w:val="18"/>
          <w:szCs w:val="18"/>
        </w:rPr>
        <w:t>Expanding Opportunity – expansion of the demand driven system and sharing the cost fairly</w:t>
      </w:r>
      <w:r w:rsidRPr="00346892">
        <w:rPr>
          <w:rFonts w:ascii="Calibri" w:eastAsia="Calibri" w:hAnsi="Calibri" w:cs="Times New Roman"/>
          <w:sz w:val="18"/>
          <w:szCs w:val="18"/>
        </w:rPr>
        <w:t>.</w:t>
      </w:r>
    </w:p>
    <w:p w:rsidR="00F11350" w:rsidRPr="00346892" w:rsidRDefault="00F11350" w:rsidP="00346892">
      <w:pPr>
        <w:spacing w:before="40" w:after="40" w:line="0" w:lineRule="atLeast"/>
        <w:ind w:left="284" w:hanging="284"/>
        <w:rPr>
          <w:rFonts w:ascii="Calibri" w:eastAsia="Calibri" w:hAnsi="Calibri" w:cs="Times New Roman"/>
          <w:sz w:val="18"/>
          <w:szCs w:val="18"/>
        </w:rPr>
      </w:pPr>
      <w:r w:rsidRPr="00346892">
        <w:rPr>
          <w:rFonts w:ascii="Calibri" w:eastAsia="Calibri" w:hAnsi="Calibri" w:cs="Times New Roman"/>
          <w:sz w:val="18"/>
          <w:szCs w:val="18"/>
        </w:rPr>
        <w:t>-</w:t>
      </w:r>
      <w:r w:rsidRPr="00346892">
        <w:rPr>
          <w:rFonts w:ascii="Calibri" w:eastAsia="Calibri" w:hAnsi="Calibri" w:cs="Times New Roman"/>
          <w:sz w:val="18"/>
          <w:szCs w:val="18"/>
        </w:rPr>
        <w:tab/>
        <w:t>Indicates nil.</w:t>
      </w:r>
      <w:r w:rsidRPr="00346892">
        <w:rPr>
          <w:rFonts w:ascii="Calibri" w:eastAsia="Calibri" w:hAnsi="Calibri" w:cs="Times New Roman"/>
          <w:sz w:val="18"/>
          <w:szCs w:val="18"/>
        </w:rPr>
        <w:br w:type="page"/>
      </w:r>
    </w:p>
    <w:p w:rsidR="00F11350" w:rsidRPr="00F11350" w:rsidRDefault="00F11350" w:rsidP="00F11350">
      <w:pPr>
        <w:keepNext/>
        <w:spacing w:before="340" w:after="114"/>
        <w:rPr>
          <w:rFonts w:ascii="Calibri" w:eastAsia="Calibri" w:hAnsi="Calibri" w:cs="Times New Roman"/>
          <w:b/>
          <w:bCs/>
          <w:color w:val="1F497D"/>
          <w:spacing w:val="-4"/>
          <w:vertAlign w:val="superscript"/>
        </w:rPr>
      </w:pPr>
      <w:r w:rsidRPr="00F11350">
        <w:rPr>
          <w:rFonts w:ascii="Calibri" w:eastAsia="Calibri" w:hAnsi="Calibri" w:cs="Times New Roman"/>
          <w:b/>
          <w:bCs/>
          <w:color w:val="1F497D"/>
          <w:spacing w:val="-4"/>
        </w:rPr>
        <w:lastRenderedPageBreak/>
        <w:t xml:space="preserve">Table B3: Headline cash </w:t>
      </w:r>
      <w:proofErr w:type="gramStart"/>
      <w:r w:rsidRPr="00F11350">
        <w:rPr>
          <w:rFonts w:ascii="Calibri" w:eastAsia="Calibri" w:hAnsi="Calibri" w:cs="Times New Roman"/>
          <w:b/>
          <w:bCs/>
          <w:color w:val="1F497D"/>
          <w:spacing w:val="-4"/>
        </w:rPr>
        <w:t>balance</w:t>
      </w:r>
      <w:r w:rsidRPr="00F11350">
        <w:rPr>
          <w:rFonts w:ascii="Calibri" w:eastAsia="Calibri" w:hAnsi="Calibri" w:cs="Times New Roman"/>
          <w:b/>
          <w:bCs/>
          <w:color w:val="1F497D"/>
          <w:spacing w:val="-4"/>
          <w:vertAlign w:val="superscript"/>
        </w:rPr>
        <w:t>(</w:t>
      </w:r>
      <w:proofErr w:type="gramEnd"/>
      <w:r w:rsidRPr="00F11350">
        <w:rPr>
          <w:rFonts w:ascii="Calibri" w:eastAsia="Calibri" w:hAnsi="Calibri" w:cs="Times New Roman"/>
          <w:b/>
          <w:bCs/>
          <w:color w:val="1F497D"/>
          <w:spacing w:val="-4"/>
          <w:vertAlign w:val="superscript"/>
        </w:rPr>
        <w:t>a)(b)</w:t>
      </w:r>
    </w:p>
    <w:tbl>
      <w:tblPr>
        <w:tblStyle w:val="TableGrid1"/>
        <w:tblW w:w="5000" w:type="pct"/>
        <w:tblLayout w:type="fixed"/>
        <w:tblLook w:val="0680" w:firstRow="0" w:lastRow="0" w:firstColumn="1" w:lastColumn="0" w:noHBand="1" w:noVBand="1"/>
      </w:tblPr>
      <w:tblGrid>
        <w:gridCol w:w="1310"/>
        <w:gridCol w:w="687"/>
        <w:gridCol w:w="687"/>
        <w:gridCol w:w="683"/>
        <w:gridCol w:w="681"/>
        <w:gridCol w:w="681"/>
        <w:gridCol w:w="681"/>
        <w:gridCol w:w="679"/>
        <w:gridCol w:w="678"/>
        <w:gridCol w:w="678"/>
        <w:gridCol w:w="678"/>
        <w:gridCol w:w="678"/>
        <w:gridCol w:w="678"/>
        <w:gridCol w:w="735"/>
      </w:tblGrid>
      <w:tr w:rsidR="00700053" w:rsidRPr="005625C1" w:rsidTr="000045F4">
        <w:trPr>
          <w:cantSplit/>
        </w:trPr>
        <w:tc>
          <w:tcPr>
            <w:cnfStyle w:val="001000000000" w:firstRow="0" w:lastRow="0" w:firstColumn="1" w:lastColumn="0" w:oddVBand="0" w:evenVBand="0" w:oddHBand="0" w:evenHBand="0" w:firstRowFirstColumn="0" w:firstRowLastColumn="0" w:lastRowFirstColumn="0" w:lastRowLastColumn="0"/>
            <w:tcW w:w="641" w:type="pct"/>
            <w:shd w:val="clear" w:color="auto" w:fill="D7DDE9"/>
            <w:vAlign w:val="center"/>
          </w:tcPr>
          <w:p w:rsidR="00F11350" w:rsidRPr="005625C1" w:rsidRDefault="00F11350" w:rsidP="00F11350">
            <w:pPr>
              <w:keepNext/>
              <w:keepLines/>
              <w:spacing w:line="240" w:lineRule="auto"/>
              <w:ind w:left="57" w:right="57"/>
              <w:rPr>
                <w:sz w:val="18"/>
                <w:szCs w:val="18"/>
              </w:rPr>
            </w:pPr>
            <w:r w:rsidRPr="005625C1">
              <w:rPr>
                <w:sz w:val="18"/>
                <w:szCs w:val="18"/>
              </w:rPr>
              <w:t>($m)</w:t>
            </w:r>
          </w:p>
        </w:tc>
        <w:tc>
          <w:tcPr>
            <w:tcW w:w="336" w:type="pct"/>
            <w:shd w:val="clear" w:color="auto" w:fill="D7DDE9"/>
            <w:vAlign w:val="center"/>
          </w:tcPr>
          <w:p w:rsidR="00F11350" w:rsidRPr="005625C1" w:rsidRDefault="00F11350" w:rsidP="00346892">
            <w:pPr>
              <w:keepNext/>
              <w:keepLines/>
              <w:spacing w:line="240" w:lineRule="auto"/>
              <w:ind w:left="0" w:right="0"/>
              <w:jc w:val="center"/>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2016–17</w:t>
            </w:r>
          </w:p>
        </w:tc>
        <w:tc>
          <w:tcPr>
            <w:tcW w:w="336" w:type="pct"/>
            <w:shd w:val="clear" w:color="auto" w:fill="D7DDE9"/>
            <w:vAlign w:val="center"/>
          </w:tcPr>
          <w:p w:rsidR="00F11350" w:rsidRPr="005625C1" w:rsidRDefault="00F11350" w:rsidP="00346892">
            <w:pPr>
              <w:keepNext/>
              <w:keepLines/>
              <w:spacing w:line="240" w:lineRule="auto"/>
              <w:ind w:left="0" w:right="0"/>
              <w:jc w:val="center"/>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2017–18</w:t>
            </w:r>
          </w:p>
        </w:tc>
        <w:tc>
          <w:tcPr>
            <w:tcW w:w="334" w:type="pct"/>
            <w:shd w:val="clear" w:color="auto" w:fill="D7DDE9"/>
            <w:vAlign w:val="center"/>
          </w:tcPr>
          <w:p w:rsidR="00F11350" w:rsidRPr="005625C1" w:rsidRDefault="00F11350" w:rsidP="00346892">
            <w:pPr>
              <w:keepNext/>
              <w:keepLines/>
              <w:spacing w:line="240" w:lineRule="auto"/>
              <w:ind w:left="0" w:right="0"/>
              <w:jc w:val="center"/>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2018–19</w:t>
            </w:r>
          </w:p>
        </w:tc>
        <w:tc>
          <w:tcPr>
            <w:tcW w:w="333" w:type="pct"/>
            <w:shd w:val="clear" w:color="auto" w:fill="D7DDE9"/>
            <w:vAlign w:val="center"/>
          </w:tcPr>
          <w:p w:rsidR="00F11350" w:rsidRPr="005625C1" w:rsidRDefault="00F11350" w:rsidP="00346892">
            <w:pPr>
              <w:keepNext/>
              <w:keepLines/>
              <w:spacing w:line="240" w:lineRule="auto"/>
              <w:ind w:left="0" w:right="0"/>
              <w:jc w:val="center"/>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2019–20</w:t>
            </w:r>
          </w:p>
        </w:tc>
        <w:tc>
          <w:tcPr>
            <w:tcW w:w="333" w:type="pct"/>
            <w:shd w:val="clear" w:color="auto" w:fill="D7DDE9"/>
            <w:vAlign w:val="center"/>
          </w:tcPr>
          <w:p w:rsidR="00F11350" w:rsidRPr="005625C1" w:rsidRDefault="00F11350" w:rsidP="00346892">
            <w:pPr>
              <w:keepNext/>
              <w:keepLines/>
              <w:spacing w:line="240" w:lineRule="auto"/>
              <w:ind w:left="0" w:right="0"/>
              <w:jc w:val="center"/>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Total to 2019–20</w:t>
            </w:r>
          </w:p>
        </w:tc>
        <w:tc>
          <w:tcPr>
            <w:tcW w:w="333" w:type="pct"/>
            <w:shd w:val="clear" w:color="auto" w:fill="D7DDE9"/>
            <w:vAlign w:val="center"/>
          </w:tcPr>
          <w:p w:rsidR="00F11350" w:rsidRPr="005625C1" w:rsidRDefault="00F11350" w:rsidP="00346892">
            <w:pPr>
              <w:keepNext/>
              <w:keepLines/>
              <w:spacing w:line="240" w:lineRule="auto"/>
              <w:ind w:left="0" w:right="0"/>
              <w:jc w:val="center"/>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2020–21</w:t>
            </w:r>
          </w:p>
        </w:tc>
        <w:tc>
          <w:tcPr>
            <w:tcW w:w="332" w:type="pct"/>
            <w:shd w:val="clear" w:color="auto" w:fill="D7DDE9"/>
            <w:vAlign w:val="center"/>
          </w:tcPr>
          <w:p w:rsidR="00F11350" w:rsidRPr="005625C1" w:rsidRDefault="00F11350" w:rsidP="00346892">
            <w:pPr>
              <w:keepNext/>
              <w:keepLines/>
              <w:spacing w:line="240" w:lineRule="auto"/>
              <w:ind w:left="0" w:right="0"/>
              <w:jc w:val="center"/>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2021–22</w:t>
            </w:r>
          </w:p>
        </w:tc>
        <w:tc>
          <w:tcPr>
            <w:tcW w:w="332" w:type="pct"/>
            <w:shd w:val="clear" w:color="auto" w:fill="D7DDE9"/>
            <w:vAlign w:val="center"/>
          </w:tcPr>
          <w:p w:rsidR="00F11350" w:rsidRPr="005625C1" w:rsidRDefault="00F11350" w:rsidP="00346892">
            <w:pPr>
              <w:keepNext/>
              <w:keepLines/>
              <w:spacing w:line="240" w:lineRule="auto"/>
              <w:ind w:left="0" w:right="0"/>
              <w:jc w:val="center"/>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2022–23</w:t>
            </w:r>
          </w:p>
        </w:tc>
        <w:tc>
          <w:tcPr>
            <w:tcW w:w="332" w:type="pct"/>
            <w:shd w:val="clear" w:color="auto" w:fill="D7DDE9"/>
            <w:vAlign w:val="center"/>
          </w:tcPr>
          <w:p w:rsidR="00F11350" w:rsidRPr="005625C1" w:rsidRDefault="00F11350" w:rsidP="00346892">
            <w:pPr>
              <w:keepNext/>
              <w:keepLines/>
              <w:spacing w:line="240" w:lineRule="auto"/>
              <w:ind w:left="0" w:right="0"/>
              <w:jc w:val="center"/>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2023–24</w:t>
            </w:r>
          </w:p>
        </w:tc>
        <w:tc>
          <w:tcPr>
            <w:tcW w:w="332" w:type="pct"/>
            <w:shd w:val="clear" w:color="auto" w:fill="D7DDE9"/>
            <w:vAlign w:val="center"/>
          </w:tcPr>
          <w:p w:rsidR="00F11350" w:rsidRPr="005625C1" w:rsidRDefault="00F11350" w:rsidP="00346892">
            <w:pPr>
              <w:keepNext/>
              <w:keepLines/>
              <w:spacing w:line="240" w:lineRule="auto"/>
              <w:ind w:left="0" w:right="0"/>
              <w:jc w:val="center"/>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2024–25</w:t>
            </w:r>
          </w:p>
        </w:tc>
        <w:tc>
          <w:tcPr>
            <w:tcW w:w="332" w:type="pct"/>
            <w:shd w:val="clear" w:color="auto" w:fill="D7DDE9"/>
            <w:vAlign w:val="center"/>
          </w:tcPr>
          <w:p w:rsidR="00F11350" w:rsidRPr="005625C1" w:rsidRDefault="00F11350" w:rsidP="00346892">
            <w:pPr>
              <w:keepNext/>
              <w:keepLines/>
              <w:spacing w:line="240" w:lineRule="auto"/>
              <w:ind w:left="0" w:right="0"/>
              <w:jc w:val="center"/>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2025–26</w:t>
            </w:r>
          </w:p>
        </w:tc>
        <w:tc>
          <w:tcPr>
            <w:tcW w:w="332" w:type="pct"/>
            <w:shd w:val="clear" w:color="auto" w:fill="D7DDE9"/>
            <w:vAlign w:val="center"/>
          </w:tcPr>
          <w:p w:rsidR="00F11350" w:rsidRPr="005625C1" w:rsidRDefault="00F11350" w:rsidP="00346892">
            <w:pPr>
              <w:keepNext/>
              <w:keepLines/>
              <w:spacing w:line="240" w:lineRule="auto"/>
              <w:ind w:left="0" w:right="0"/>
              <w:jc w:val="center"/>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2026–27</w:t>
            </w:r>
          </w:p>
        </w:tc>
        <w:tc>
          <w:tcPr>
            <w:tcW w:w="360" w:type="pct"/>
            <w:shd w:val="clear" w:color="auto" w:fill="D7DDE9"/>
            <w:vAlign w:val="center"/>
          </w:tcPr>
          <w:p w:rsidR="00F11350" w:rsidRPr="005625C1" w:rsidRDefault="00F11350" w:rsidP="00346892">
            <w:pPr>
              <w:keepNext/>
              <w:keepLines/>
              <w:spacing w:line="240" w:lineRule="auto"/>
              <w:ind w:left="0" w:right="0"/>
              <w:jc w:val="center"/>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Total to 2026–27</w:t>
            </w:r>
          </w:p>
        </w:tc>
      </w:tr>
      <w:tr w:rsidR="000045F4" w:rsidRPr="005625C1" w:rsidTr="00346892">
        <w:trPr>
          <w:cantSplit/>
        </w:trPr>
        <w:tc>
          <w:tcPr>
            <w:cnfStyle w:val="001000000000" w:firstRow="0" w:lastRow="0" w:firstColumn="1" w:lastColumn="0" w:oddVBand="0" w:evenVBand="0" w:oddHBand="0" w:evenHBand="0" w:firstRowFirstColumn="0" w:firstRowLastColumn="0" w:lastRowFirstColumn="0" w:lastRowLastColumn="0"/>
            <w:tcW w:w="641" w:type="pct"/>
            <w:vAlign w:val="center"/>
          </w:tcPr>
          <w:p w:rsidR="00F11350" w:rsidRPr="005625C1" w:rsidRDefault="00F11350" w:rsidP="00F11350">
            <w:pPr>
              <w:keepNext/>
              <w:keepLines/>
              <w:spacing w:line="240" w:lineRule="auto"/>
              <w:ind w:left="57" w:right="57"/>
              <w:rPr>
                <w:sz w:val="18"/>
                <w:szCs w:val="18"/>
              </w:rPr>
            </w:pPr>
            <w:r w:rsidRPr="005625C1">
              <w:rPr>
                <w:sz w:val="18"/>
                <w:szCs w:val="18"/>
              </w:rPr>
              <w:t>Additional cost from proposed increase in university funding</w:t>
            </w:r>
            <w:r w:rsidRPr="005625C1">
              <w:rPr>
                <w:sz w:val="18"/>
                <w:szCs w:val="18"/>
                <w:vertAlign w:val="superscript"/>
              </w:rPr>
              <w:t>(c)</w:t>
            </w:r>
          </w:p>
        </w:tc>
        <w:tc>
          <w:tcPr>
            <w:tcW w:w="336"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-129</w:t>
            </w:r>
          </w:p>
        </w:tc>
        <w:tc>
          <w:tcPr>
            <w:tcW w:w="336"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-402</w:t>
            </w:r>
          </w:p>
        </w:tc>
        <w:tc>
          <w:tcPr>
            <w:tcW w:w="334"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-697</w:t>
            </w:r>
          </w:p>
        </w:tc>
        <w:tc>
          <w:tcPr>
            <w:tcW w:w="333"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-1,008</w:t>
            </w:r>
          </w:p>
        </w:tc>
        <w:tc>
          <w:tcPr>
            <w:tcW w:w="333"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-2,237</w:t>
            </w:r>
          </w:p>
        </w:tc>
        <w:tc>
          <w:tcPr>
            <w:tcW w:w="333"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-1,183</w:t>
            </w:r>
          </w:p>
        </w:tc>
        <w:tc>
          <w:tcPr>
            <w:tcW w:w="332"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-1,215</w:t>
            </w:r>
          </w:p>
        </w:tc>
        <w:tc>
          <w:tcPr>
            <w:tcW w:w="332"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-1,249</w:t>
            </w:r>
          </w:p>
        </w:tc>
        <w:tc>
          <w:tcPr>
            <w:tcW w:w="332"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-1,284</w:t>
            </w:r>
          </w:p>
        </w:tc>
        <w:tc>
          <w:tcPr>
            <w:tcW w:w="332"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-1,321</w:t>
            </w:r>
          </w:p>
        </w:tc>
        <w:tc>
          <w:tcPr>
            <w:tcW w:w="332"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-1,358</w:t>
            </w:r>
          </w:p>
        </w:tc>
        <w:tc>
          <w:tcPr>
            <w:tcW w:w="332"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-1,397</w:t>
            </w:r>
          </w:p>
        </w:tc>
        <w:tc>
          <w:tcPr>
            <w:tcW w:w="360"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-11,245</w:t>
            </w:r>
          </w:p>
        </w:tc>
      </w:tr>
      <w:tr w:rsidR="000045F4" w:rsidRPr="005625C1" w:rsidTr="00346892">
        <w:trPr>
          <w:cantSplit/>
        </w:trPr>
        <w:tc>
          <w:tcPr>
            <w:cnfStyle w:val="001000000000" w:firstRow="0" w:lastRow="0" w:firstColumn="1" w:lastColumn="0" w:oddVBand="0" w:evenVBand="0" w:oddHBand="0" w:evenHBand="0" w:firstRowFirstColumn="0" w:firstRowLastColumn="0" w:lastRowFirstColumn="0" w:lastRowLastColumn="0"/>
            <w:tcW w:w="641" w:type="pct"/>
            <w:vAlign w:val="center"/>
          </w:tcPr>
          <w:p w:rsidR="00F11350" w:rsidRPr="005625C1" w:rsidRDefault="00F11350" w:rsidP="00F11350">
            <w:pPr>
              <w:keepNext/>
              <w:keepLines/>
              <w:spacing w:line="240" w:lineRule="auto"/>
              <w:ind w:left="57" w:right="57"/>
              <w:rPr>
                <w:sz w:val="18"/>
                <w:szCs w:val="18"/>
              </w:rPr>
            </w:pPr>
            <w:r w:rsidRPr="005625C1">
              <w:rPr>
                <w:sz w:val="18"/>
                <w:szCs w:val="18"/>
              </w:rPr>
              <w:t>Impact of reversing budget measures</w:t>
            </w:r>
          </w:p>
        </w:tc>
        <w:tc>
          <w:tcPr>
            <w:tcW w:w="336"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-279</w:t>
            </w:r>
          </w:p>
        </w:tc>
        <w:tc>
          <w:tcPr>
            <w:tcW w:w="336"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-1,062</w:t>
            </w:r>
          </w:p>
        </w:tc>
        <w:tc>
          <w:tcPr>
            <w:tcW w:w="334"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-1,629</w:t>
            </w:r>
          </w:p>
        </w:tc>
        <w:tc>
          <w:tcPr>
            <w:tcW w:w="333"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-1,813</w:t>
            </w:r>
          </w:p>
        </w:tc>
        <w:tc>
          <w:tcPr>
            <w:tcW w:w="333"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-4,783</w:t>
            </w:r>
          </w:p>
        </w:tc>
        <w:tc>
          <w:tcPr>
            <w:tcW w:w="333"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-2,021</w:t>
            </w:r>
          </w:p>
        </w:tc>
        <w:tc>
          <w:tcPr>
            <w:tcW w:w="332"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-2,244</w:t>
            </w:r>
          </w:p>
        </w:tc>
        <w:tc>
          <w:tcPr>
            <w:tcW w:w="332"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-2,475</w:t>
            </w:r>
          </w:p>
        </w:tc>
        <w:tc>
          <w:tcPr>
            <w:tcW w:w="332"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-2,718</w:t>
            </w:r>
          </w:p>
        </w:tc>
        <w:tc>
          <w:tcPr>
            <w:tcW w:w="332"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-2,983</w:t>
            </w:r>
          </w:p>
        </w:tc>
        <w:tc>
          <w:tcPr>
            <w:tcW w:w="332"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-3,248</w:t>
            </w:r>
          </w:p>
        </w:tc>
        <w:tc>
          <w:tcPr>
            <w:tcW w:w="332"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-3,530</w:t>
            </w:r>
          </w:p>
        </w:tc>
        <w:tc>
          <w:tcPr>
            <w:tcW w:w="360"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-24,003</w:t>
            </w:r>
          </w:p>
        </w:tc>
      </w:tr>
      <w:tr w:rsidR="000045F4" w:rsidRPr="005625C1" w:rsidTr="00346892">
        <w:trPr>
          <w:cantSplit/>
        </w:trPr>
        <w:tc>
          <w:tcPr>
            <w:cnfStyle w:val="001000000000" w:firstRow="0" w:lastRow="0" w:firstColumn="1" w:lastColumn="0" w:oddVBand="0" w:evenVBand="0" w:oddHBand="0" w:evenHBand="0" w:firstRowFirstColumn="0" w:firstRowLastColumn="0" w:lastRowFirstColumn="0" w:lastRowLastColumn="0"/>
            <w:tcW w:w="641" w:type="pct"/>
            <w:vAlign w:val="center"/>
          </w:tcPr>
          <w:p w:rsidR="00F11350" w:rsidRPr="005625C1" w:rsidRDefault="00F11350" w:rsidP="00F11350">
            <w:pPr>
              <w:keepNext/>
              <w:keepLines/>
              <w:spacing w:line="240" w:lineRule="auto"/>
              <w:ind w:left="57" w:right="57"/>
              <w:rPr>
                <w:sz w:val="18"/>
                <w:szCs w:val="18"/>
              </w:rPr>
            </w:pPr>
            <w:r w:rsidRPr="005625C1">
              <w:rPr>
                <w:sz w:val="18"/>
                <w:szCs w:val="18"/>
              </w:rPr>
              <w:t>Change in Higher Education Loan Program (HELP) loans issued</w:t>
            </w:r>
            <w:r w:rsidRPr="005625C1">
              <w:rPr>
                <w:sz w:val="18"/>
                <w:szCs w:val="18"/>
                <w:vertAlign w:val="superscript"/>
              </w:rPr>
              <w:t>(d)</w:t>
            </w:r>
          </w:p>
        </w:tc>
        <w:tc>
          <w:tcPr>
            <w:tcW w:w="336"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0</w:t>
            </w:r>
          </w:p>
        </w:tc>
        <w:tc>
          <w:tcPr>
            <w:tcW w:w="336"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-44</w:t>
            </w:r>
          </w:p>
        </w:tc>
        <w:tc>
          <w:tcPr>
            <w:tcW w:w="334"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-61</w:t>
            </w:r>
          </w:p>
        </w:tc>
        <w:tc>
          <w:tcPr>
            <w:tcW w:w="333"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-2</w:t>
            </w:r>
          </w:p>
        </w:tc>
        <w:tc>
          <w:tcPr>
            <w:tcW w:w="333"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-108</w:t>
            </w:r>
          </w:p>
        </w:tc>
        <w:tc>
          <w:tcPr>
            <w:tcW w:w="333"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62</w:t>
            </w:r>
          </w:p>
        </w:tc>
        <w:tc>
          <w:tcPr>
            <w:tcW w:w="332"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-100</w:t>
            </w:r>
          </w:p>
        </w:tc>
        <w:tc>
          <w:tcPr>
            <w:tcW w:w="332"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-109</w:t>
            </w:r>
          </w:p>
        </w:tc>
        <w:tc>
          <w:tcPr>
            <w:tcW w:w="332"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-119</w:t>
            </w:r>
          </w:p>
        </w:tc>
        <w:tc>
          <w:tcPr>
            <w:tcW w:w="332"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-128</w:t>
            </w:r>
          </w:p>
        </w:tc>
        <w:tc>
          <w:tcPr>
            <w:tcW w:w="332"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-138</w:t>
            </w:r>
          </w:p>
        </w:tc>
        <w:tc>
          <w:tcPr>
            <w:tcW w:w="332"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-147</w:t>
            </w:r>
          </w:p>
        </w:tc>
        <w:tc>
          <w:tcPr>
            <w:tcW w:w="360"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-788</w:t>
            </w:r>
          </w:p>
        </w:tc>
      </w:tr>
      <w:tr w:rsidR="000045F4" w:rsidRPr="005625C1" w:rsidTr="00346892">
        <w:trPr>
          <w:cantSplit/>
        </w:trPr>
        <w:tc>
          <w:tcPr>
            <w:cnfStyle w:val="001000000000" w:firstRow="0" w:lastRow="0" w:firstColumn="1" w:lastColumn="0" w:oddVBand="0" w:evenVBand="0" w:oddHBand="0" w:evenHBand="0" w:firstRowFirstColumn="0" w:firstRowLastColumn="0" w:lastRowFirstColumn="0" w:lastRowLastColumn="0"/>
            <w:tcW w:w="641" w:type="pct"/>
            <w:vAlign w:val="center"/>
          </w:tcPr>
          <w:p w:rsidR="00F11350" w:rsidRPr="005625C1" w:rsidRDefault="00F11350" w:rsidP="00F11350">
            <w:pPr>
              <w:keepNext/>
              <w:keepLines/>
              <w:spacing w:line="240" w:lineRule="auto"/>
              <w:ind w:left="57" w:right="57"/>
              <w:rPr>
                <w:sz w:val="18"/>
                <w:szCs w:val="18"/>
              </w:rPr>
            </w:pPr>
            <w:r w:rsidRPr="005625C1">
              <w:rPr>
                <w:sz w:val="18"/>
                <w:szCs w:val="18"/>
              </w:rPr>
              <w:t>Change in repayments received</w:t>
            </w:r>
          </w:p>
        </w:tc>
        <w:tc>
          <w:tcPr>
            <w:tcW w:w="336"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w:t>
            </w:r>
          </w:p>
        </w:tc>
        <w:tc>
          <w:tcPr>
            <w:tcW w:w="336"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w:t>
            </w:r>
          </w:p>
        </w:tc>
        <w:tc>
          <w:tcPr>
            <w:tcW w:w="334"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w:t>
            </w:r>
          </w:p>
        </w:tc>
        <w:tc>
          <w:tcPr>
            <w:tcW w:w="333"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w:t>
            </w:r>
          </w:p>
        </w:tc>
        <w:tc>
          <w:tcPr>
            <w:tcW w:w="333"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w:t>
            </w:r>
          </w:p>
        </w:tc>
        <w:tc>
          <w:tcPr>
            <w:tcW w:w="333"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w:t>
            </w:r>
          </w:p>
        </w:tc>
        <w:tc>
          <w:tcPr>
            <w:tcW w:w="332"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-1</w:t>
            </w:r>
          </w:p>
        </w:tc>
        <w:tc>
          <w:tcPr>
            <w:tcW w:w="332"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-3</w:t>
            </w:r>
          </w:p>
        </w:tc>
        <w:tc>
          <w:tcPr>
            <w:tcW w:w="332"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-6</w:t>
            </w:r>
          </w:p>
        </w:tc>
        <w:tc>
          <w:tcPr>
            <w:tcW w:w="332"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-10</w:t>
            </w:r>
          </w:p>
        </w:tc>
        <w:tc>
          <w:tcPr>
            <w:tcW w:w="332"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-16</w:t>
            </w:r>
          </w:p>
        </w:tc>
        <w:tc>
          <w:tcPr>
            <w:tcW w:w="332"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-25</w:t>
            </w:r>
          </w:p>
        </w:tc>
        <w:tc>
          <w:tcPr>
            <w:tcW w:w="360"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-62</w:t>
            </w:r>
          </w:p>
        </w:tc>
      </w:tr>
      <w:tr w:rsidR="000045F4" w:rsidRPr="005625C1" w:rsidTr="00346892">
        <w:trPr>
          <w:cantSplit/>
        </w:trPr>
        <w:tc>
          <w:tcPr>
            <w:cnfStyle w:val="001000000000" w:firstRow="0" w:lastRow="0" w:firstColumn="1" w:lastColumn="0" w:oddVBand="0" w:evenVBand="0" w:oddHBand="0" w:evenHBand="0" w:firstRowFirstColumn="0" w:firstRowLastColumn="0" w:lastRowFirstColumn="0" w:lastRowLastColumn="0"/>
            <w:tcW w:w="641" w:type="pct"/>
            <w:vAlign w:val="center"/>
          </w:tcPr>
          <w:p w:rsidR="00F11350" w:rsidRPr="005625C1" w:rsidRDefault="00F11350" w:rsidP="00F11350">
            <w:pPr>
              <w:keepNext/>
              <w:keepLines/>
              <w:spacing w:line="240" w:lineRule="auto"/>
              <w:ind w:left="57" w:right="57"/>
              <w:rPr>
                <w:sz w:val="18"/>
                <w:szCs w:val="18"/>
              </w:rPr>
            </w:pPr>
            <w:r w:rsidRPr="005625C1">
              <w:rPr>
                <w:sz w:val="18"/>
                <w:szCs w:val="18"/>
              </w:rPr>
              <w:t>PDI</w:t>
            </w:r>
            <w:r w:rsidRPr="005625C1">
              <w:rPr>
                <w:sz w:val="18"/>
                <w:szCs w:val="18"/>
                <w:vertAlign w:val="superscript"/>
              </w:rPr>
              <w:t>(e)</w:t>
            </w:r>
          </w:p>
        </w:tc>
        <w:tc>
          <w:tcPr>
            <w:tcW w:w="336"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w:t>
            </w:r>
          </w:p>
        </w:tc>
        <w:tc>
          <w:tcPr>
            <w:tcW w:w="336"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5</w:t>
            </w:r>
          </w:p>
        </w:tc>
        <w:tc>
          <w:tcPr>
            <w:tcW w:w="334"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23</w:t>
            </w:r>
          </w:p>
        </w:tc>
        <w:tc>
          <w:tcPr>
            <w:tcW w:w="333"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48</w:t>
            </w:r>
          </w:p>
        </w:tc>
        <w:tc>
          <w:tcPr>
            <w:tcW w:w="333"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77</w:t>
            </w:r>
          </w:p>
        </w:tc>
        <w:tc>
          <w:tcPr>
            <w:tcW w:w="333"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100</w:t>
            </w:r>
          </w:p>
        </w:tc>
        <w:tc>
          <w:tcPr>
            <w:tcW w:w="332"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166</w:t>
            </w:r>
          </w:p>
        </w:tc>
        <w:tc>
          <w:tcPr>
            <w:tcW w:w="332"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241</w:t>
            </w:r>
          </w:p>
        </w:tc>
        <w:tc>
          <w:tcPr>
            <w:tcW w:w="332"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327</w:t>
            </w:r>
          </w:p>
        </w:tc>
        <w:tc>
          <w:tcPr>
            <w:tcW w:w="332"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423</w:t>
            </w:r>
          </w:p>
        </w:tc>
        <w:tc>
          <w:tcPr>
            <w:tcW w:w="332"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528</w:t>
            </w:r>
          </w:p>
        </w:tc>
        <w:tc>
          <w:tcPr>
            <w:tcW w:w="332"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sz w:val="18"/>
                <w:szCs w:val="18"/>
              </w:rPr>
            </w:pPr>
            <w:r w:rsidRPr="005625C1">
              <w:rPr>
                <w:sz w:val="18"/>
                <w:szCs w:val="18"/>
              </w:rPr>
              <w:t>644</w:t>
            </w:r>
          </w:p>
        </w:tc>
        <w:tc>
          <w:tcPr>
            <w:tcW w:w="360" w:type="pct"/>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2,506</w:t>
            </w:r>
          </w:p>
        </w:tc>
      </w:tr>
      <w:tr w:rsidR="00700053" w:rsidRPr="005625C1" w:rsidTr="000045F4">
        <w:trPr>
          <w:cantSplit/>
        </w:trPr>
        <w:tc>
          <w:tcPr>
            <w:cnfStyle w:val="001000000000" w:firstRow="0" w:lastRow="0" w:firstColumn="1" w:lastColumn="0" w:oddVBand="0" w:evenVBand="0" w:oddHBand="0" w:evenHBand="0" w:firstRowFirstColumn="0" w:firstRowLastColumn="0" w:lastRowFirstColumn="0" w:lastRowLastColumn="0"/>
            <w:tcW w:w="641" w:type="pct"/>
            <w:shd w:val="clear" w:color="auto" w:fill="E9ECF3"/>
            <w:vAlign w:val="center"/>
          </w:tcPr>
          <w:p w:rsidR="00F11350" w:rsidRPr="005625C1" w:rsidRDefault="00F11350" w:rsidP="00F11350">
            <w:pPr>
              <w:keepNext/>
              <w:keepLines/>
              <w:spacing w:line="240" w:lineRule="auto"/>
              <w:ind w:left="57" w:right="57"/>
              <w:rPr>
                <w:b/>
                <w:sz w:val="18"/>
                <w:szCs w:val="18"/>
              </w:rPr>
            </w:pPr>
            <w:r w:rsidRPr="005625C1">
              <w:rPr>
                <w:b/>
                <w:sz w:val="18"/>
                <w:szCs w:val="18"/>
              </w:rPr>
              <w:t>Total</w:t>
            </w:r>
          </w:p>
        </w:tc>
        <w:tc>
          <w:tcPr>
            <w:tcW w:w="336" w:type="pct"/>
            <w:shd w:val="clear" w:color="auto" w:fill="E9ECF3"/>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-408</w:t>
            </w:r>
          </w:p>
        </w:tc>
        <w:tc>
          <w:tcPr>
            <w:tcW w:w="336" w:type="pct"/>
            <w:shd w:val="clear" w:color="auto" w:fill="E9ECF3"/>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-1,504</w:t>
            </w:r>
          </w:p>
        </w:tc>
        <w:tc>
          <w:tcPr>
            <w:tcW w:w="334" w:type="pct"/>
            <w:shd w:val="clear" w:color="auto" w:fill="E9ECF3"/>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-2,364</w:t>
            </w:r>
          </w:p>
        </w:tc>
        <w:tc>
          <w:tcPr>
            <w:tcW w:w="333" w:type="pct"/>
            <w:shd w:val="clear" w:color="auto" w:fill="E9ECF3"/>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-2,776</w:t>
            </w:r>
          </w:p>
        </w:tc>
        <w:tc>
          <w:tcPr>
            <w:tcW w:w="333" w:type="pct"/>
            <w:shd w:val="clear" w:color="auto" w:fill="E9ECF3"/>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-7,051</w:t>
            </w:r>
          </w:p>
        </w:tc>
        <w:tc>
          <w:tcPr>
            <w:tcW w:w="333" w:type="pct"/>
            <w:shd w:val="clear" w:color="auto" w:fill="E9ECF3"/>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-3,043</w:t>
            </w:r>
          </w:p>
        </w:tc>
        <w:tc>
          <w:tcPr>
            <w:tcW w:w="332" w:type="pct"/>
            <w:shd w:val="clear" w:color="auto" w:fill="E9ECF3"/>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-3,395</w:t>
            </w:r>
          </w:p>
        </w:tc>
        <w:tc>
          <w:tcPr>
            <w:tcW w:w="332" w:type="pct"/>
            <w:shd w:val="clear" w:color="auto" w:fill="E9ECF3"/>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-3,595</w:t>
            </w:r>
          </w:p>
        </w:tc>
        <w:tc>
          <w:tcPr>
            <w:tcW w:w="332" w:type="pct"/>
            <w:shd w:val="clear" w:color="auto" w:fill="E9ECF3"/>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-3,800</w:t>
            </w:r>
          </w:p>
        </w:tc>
        <w:tc>
          <w:tcPr>
            <w:tcW w:w="332" w:type="pct"/>
            <w:shd w:val="clear" w:color="auto" w:fill="E9ECF3"/>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-4,018</w:t>
            </w:r>
          </w:p>
        </w:tc>
        <w:tc>
          <w:tcPr>
            <w:tcW w:w="332" w:type="pct"/>
            <w:shd w:val="clear" w:color="auto" w:fill="E9ECF3"/>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-4,233</w:t>
            </w:r>
          </w:p>
        </w:tc>
        <w:tc>
          <w:tcPr>
            <w:tcW w:w="332" w:type="pct"/>
            <w:shd w:val="clear" w:color="auto" w:fill="E9ECF3"/>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-4,456</w:t>
            </w:r>
          </w:p>
        </w:tc>
        <w:tc>
          <w:tcPr>
            <w:tcW w:w="360" w:type="pct"/>
            <w:shd w:val="clear" w:color="auto" w:fill="E9ECF3"/>
            <w:vAlign w:val="center"/>
          </w:tcPr>
          <w:p w:rsidR="00F11350" w:rsidRPr="005625C1" w:rsidRDefault="00F11350" w:rsidP="00F11350">
            <w:pPr>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18"/>
                <w:szCs w:val="18"/>
              </w:rPr>
            </w:pPr>
            <w:r w:rsidRPr="005625C1">
              <w:rPr>
                <w:b/>
                <w:sz w:val="18"/>
                <w:szCs w:val="18"/>
              </w:rPr>
              <w:t>-33,591</w:t>
            </w:r>
          </w:p>
        </w:tc>
      </w:tr>
    </w:tbl>
    <w:p w:rsidR="00F11350" w:rsidRPr="00346892" w:rsidRDefault="00F11350" w:rsidP="00346892">
      <w:pPr>
        <w:pStyle w:val="Footnotes"/>
        <w:numPr>
          <w:ilvl w:val="0"/>
          <w:numId w:val="26"/>
        </w:numPr>
        <w:spacing w:before="40" w:after="40" w:line="240" w:lineRule="atLeast"/>
        <w:ind w:left="284" w:hanging="284"/>
        <w:contextualSpacing w:val="0"/>
        <w:rPr>
          <w:rFonts w:ascii="Calibri" w:eastAsia="Calibri" w:hAnsi="Calibri" w:cs="Times New Roman"/>
          <w:sz w:val="18"/>
          <w:szCs w:val="18"/>
        </w:rPr>
      </w:pPr>
      <w:r w:rsidRPr="00346892">
        <w:rPr>
          <w:rFonts w:ascii="Calibri" w:eastAsia="Calibri" w:hAnsi="Calibri" w:cs="Times New Roman"/>
          <w:sz w:val="18"/>
          <w:szCs w:val="18"/>
        </w:rPr>
        <w:t>A positive number for the headline cash balance indicates an increase in cash flows.  A negative number for the headline cash balance indicates a decrease in cash flows.</w:t>
      </w:r>
    </w:p>
    <w:p w:rsidR="00F11350" w:rsidRPr="00346892" w:rsidRDefault="00F11350" w:rsidP="00346892">
      <w:pPr>
        <w:numPr>
          <w:ilvl w:val="0"/>
          <w:numId w:val="21"/>
        </w:numPr>
        <w:spacing w:before="40" w:after="40" w:line="240" w:lineRule="atLeast"/>
        <w:ind w:left="284" w:hanging="284"/>
        <w:rPr>
          <w:rFonts w:ascii="Calibri" w:eastAsia="Calibri" w:hAnsi="Calibri" w:cs="Times New Roman"/>
          <w:sz w:val="18"/>
          <w:szCs w:val="18"/>
        </w:rPr>
      </w:pPr>
      <w:r w:rsidRPr="00346892">
        <w:rPr>
          <w:rFonts w:ascii="Calibri" w:eastAsia="Calibri" w:hAnsi="Calibri" w:cs="Times New Roman"/>
          <w:sz w:val="18"/>
          <w:szCs w:val="18"/>
        </w:rPr>
        <w:t>Figures may not sum to totals due to rounding.</w:t>
      </w:r>
    </w:p>
    <w:p w:rsidR="00F11350" w:rsidRPr="00346892" w:rsidRDefault="00F11350" w:rsidP="00346892">
      <w:pPr>
        <w:numPr>
          <w:ilvl w:val="0"/>
          <w:numId w:val="21"/>
        </w:numPr>
        <w:spacing w:before="40" w:after="40" w:line="240" w:lineRule="atLeast"/>
        <w:ind w:left="284" w:hanging="284"/>
        <w:rPr>
          <w:rFonts w:ascii="Calibri" w:eastAsia="Calibri" w:hAnsi="Calibri" w:cs="Times New Roman"/>
          <w:sz w:val="18"/>
          <w:szCs w:val="18"/>
        </w:rPr>
      </w:pPr>
      <w:r w:rsidRPr="00346892">
        <w:rPr>
          <w:rFonts w:ascii="Calibri" w:eastAsia="Calibri" w:hAnsi="Calibri" w:cs="Times New Roman"/>
          <w:sz w:val="18"/>
          <w:szCs w:val="18"/>
        </w:rPr>
        <w:t>The increase in university spending has been phased at a rate of 2.5 per cent per calendar year from 1 January 2017 accumulatively up to 10 per cent by 1 January 2020.</w:t>
      </w:r>
    </w:p>
    <w:p w:rsidR="00F11350" w:rsidRPr="00346892" w:rsidRDefault="00F11350" w:rsidP="00346892">
      <w:pPr>
        <w:numPr>
          <w:ilvl w:val="0"/>
          <w:numId w:val="21"/>
        </w:numPr>
        <w:spacing w:before="40" w:after="40" w:line="240" w:lineRule="atLeast"/>
        <w:ind w:left="284" w:hanging="284"/>
        <w:rPr>
          <w:rFonts w:ascii="Calibri" w:eastAsia="Calibri" w:hAnsi="Calibri" w:cs="Times New Roman"/>
          <w:sz w:val="18"/>
          <w:szCs w:val="18"/>
        </w:rPr>
      </w:pPr>
      <w:r w:rsidRPr="00346892">
        <w:rPr>
          <w:rFonts w:ascii="Calibri" w:eastAsia="Calibri" w:hAnsi="Calibri" w:cs="Times New Roman"/>
          <w:sz w:val="18"/>
          <w:szCs w:val="18"/>
        </w:rPr>
        <w:t xml:space="preserve">The change in HELP loans issued is due to the inclusion of the HELP component of the measure: </w:t>
      </w:r>
      <w:r w:rsidRPr="00346892">
        <w:rPr>
          <w:rFonts w:ascii="Calibri" w:eastAsia="Calibri" w:hAnsi="Calibri" w:cs="Times New Roman"/>
          <w:i/>
          <w:sz w:val="18"/>
          <w:szCs w:val="18"/>
        </w:rPr>
        <w:t>Expanding Opportunity – expansion of the demand driven system and sharing the cost fairly</w:t>
      </w:r>
      <w:r w:rsidRPr="00346892">
        <w:rPr>
          <w:rFonts w:ascii="Calibri" w:eastAsia="Calibri" w:hAnsi="Calibri" w:cs="Times New Roman"/>
          <w:sz w:val="18"/>
          <w:szCs w:val="18"/>
        </w:rPr>
        <w:t xml:space="preserve">. </w:t>
      </w:r>
    </w:p>
    <w:p w:rsidR="00F11350" w:rsidRPr="00346892" w:rsidRDefault="00F11350" w:rsidP="00346892">
      <w:pPr>
        <w:numPr>
          <w:ilvl w:val="0"/>
          <w:numId w:val="21"/>
        </w:numPr>
        <w:spacing w:before="40" w:after="40" w:line="240" w:lineRule="atLeast"/>
        <w:ind w:left="284" w:hanging="284"/>
        <w:rPr>
          <w:rFonts w:ascii="Calibri" w:eastAsia="Calibri" w:hAnsi="Calibri" w:cs="Times New Roman"/>
          <w:sz w:val="18"/>
          <w:szCs w:val="18"/>
        </w:rPr>
      </w:pPr>
      <w:r w:rsidRPr="00346892">
        <w:rPr>
          <w:rFonts w:ascii="Calibri" w:eastAsia="Calibri" w:hAnsi="Calibri" w:cs="Times New Roman"/>
          <w:sz w:val="18"/>
          <w:szCs w:val="18"/>
        </w:rPr>
        <w:t xml:space="preserve">PDI is calculated only on the reversal of the measure: </w:t>
      </w:r>
      <w:r w:rsidRPr="00346892">
        <w:rPr>
          <w:rFonts w:ascii="Calibri" w:eastAsia="Calibri" w:hAnsi="Calibri" w:cs="Times New Roman"/>
          <w:i/>
          <w:sz w:val="18"/>
          <w:szCs w:val="18"/>
        </w:rPr>
        <w:t>Expanding Opportunity – expansion of the demand driven system and sharing the cost fairly</w:t>
      </w:r>
      <w:r w:rsidRPr="00346892">
        <w:rPr>
          <w:rFonts w:ascii="Calibri" w:eastAsia="Calibri" w:hAnsi="Calibri" w:cs="Times New Roman"/>
          <w:sz w:val="18"/>
          <w:szCs w:val="18"/>
        </w:rPr>
        <w:t>.</w:t>
      </w:r>
    </w:p>
    <w:p w:rsidR="00F11350" w:rsidRPr="00346892" w:rsidRDefault="00F11350" w:rsidP="00346892">
      <w:pPr>
        <w:spacing w:before="40" w:after="40" w:line="240" w:lineRule="atLeast"/>
        <w:ind w:left="284" w:hanging="284"/>
        <w:rPr>
          <w:rFonts w:ascii="Calibri" w:eastAsia="Calibri" w:hAnsi="Calibri" w:cs="Times New Roman"/>
          <w:sz w:val="18"/>
          <w:szCs w:val="18"/>
        </w:rPr>
      </w:pPr>
      <w:r w:rsidRPr="00346892">
        <w:rPr>
          <w:rFonts w:ascii="Calibri" w:eastAsia="Calibri" w:hAnsi="Calibri" w:cs="Times New Roman"/>
          <w:sz w:val="18"/>
          <w:szCs w:val="18"/>
        </w:rPr>
        <w:t xml:space="preserve">.. </w:t>
      </w:r>
      <w:r w:rsidRPr="00346892">
        <w:rPr>
          <w:rFonts w:ascii="Calibri" w:eastAsia="Calibri" w:hAnsi="Calibri" w:cs="Times New Roman"/>
          <w:sz w:val="18"/>
          <w:szCs w:val="18"/>
        </w:rPr>
        <w:tab/>
        <w:t>Not zero but rounded to zero.</w:t>
      </w:r>
    </w:p>
    <w:p w:rsidR="00E11791" w:rsidRDefault="00F11350" w:rsidP="00346892">
      <w:pPr>
        <w:numPr>
          <w:ilvl w:val="0"/>
          <w:numId w:val="25"/>
        </w:numPr>
        <w:spacing w:before="40" w:after="40" w:line="240" w:lineRule="atLeast"/>
        <w:ind w:left="284" w:hanging="284"/>
        <w:rPr>
          <w:rFonts w:ascii="Calibri" w:eastAsia="Calibri" w:hAnsi="Calibri" w:cs="Times New Roman"/>
          <w:sz w:val="18"/>
          <w:szCs w:val="18"/>
        </w:rPr>
      </w:pPr>
      <w:r w:rsidRPr="00346892">
        <w:rPr>
          <w:rFonts w:ascii="Calibri" w:eastAsia="Calibri" w:hAnsi="Calibri" w:cs="Times New Roman"/>
          <w:sz w:val="18"/>
          <w:szCs w:val="18"/>
        </w:rPr>
        <w:t>Indicates nil.</w:t>
      </w:r>
      <w:r w:rsidR="00E11791">
        <w:rPr>
          <w:rFonts w:ascii="Calibri" w:eastAsia="Calibri" w:hAnsi="Calibri" w:cs="Times New Roman"/>
          <w:sz w:val="18"/>
          <w:szCs w:val="18"/>
        </w:rPr>
        <w:br w:type="page"/>
      </w:r>
    </w:p>
    <w:p w:rsidR="001759BC" w:rsidRDefault="001759BC" w:rsidP="00346892">
      <w:pPr>
        <w:numPr>
          <w:ilvl w:val="0"/>
          <w:numId w:val="25"/>
        </w:numPr>
        <w:spacing w:before="40" w:after="40" w:line="240" w:lineRule="atLeast"/>
        <w:ind w:left="284" w:hanging="284"/>
        <w:rPr>
          <w:rFonts w:ascii="Calibri" w:eastAsia="Calibri" w:hAnsi="Calibri" w:cs="Times New Roman"/>
          <w:sz w:val="18"/>
          <w:szCs w:val="18"/>
        </w:rPr>
      </w:pPr>
    </w:p>
    <w:p w:rsidR="001759BC" w:rsidRDefault="001759BC">
      <w:pPr>
        <w:rPr>
          <w:rFonts w:ascii="Calibri" w:eastAsia="Calibri" w:hAnsi="Calibri" w:cs="Times New Roman"/>
          <w:sz w:val="18"/>
          <w:szCs w:val="18"/>
        </w:rPr>
      </w:pPr>
    </w:p>
    <w:p w:rsidR="001759BC" w:rsidRDefault="001759BC" w:rsidP="00F11350">
      <w:pPr>
        <w:pStyle w:val="BodyText"/>
        <w:sectPr w:rsidR="001759BC" w:rsidSect="00125669">
          <w:footerReference w:type="default" r:id="rId34"/>
          <w:pgSz w:w="11906" w:h="16838" w:code="9"/>
          <w:pgMar w:top="1361" w:right="851" w:bottom="1474" w:left="851" w:header="284" w:footer="454" w:gutter="0"/>
          <w:cols w:space="708"/>
          <w:docGrid w:linePitch="360"/>
        </w:sectPr>
      </w:pPr>
    </w:p>
    <w:p w:rsidR="001759BC" w:rsidRPr="00C62DA3" w:rsidRDefault="001759BC" w:rsidP="00F11350">
      <w:pPr>
        <w:pStyle w:val="BodyText"/>
      </w:pPr>
      <w:r w:rsidRPr="003A2FBB">
        <w:rPr>
          <w:noProof/>
          <w:color w:val="FFFFFF" w:themeColor="background1"/>
          <w:sz w:val="72"/>
          <w:szCs w:val="72"/>
          <w:lang w:eastAsia="en-AU"/>
        </w:rPr>
        <w:lastRenderedPageBreak/>
        <mc:AlternateContent>
          <mc:Choice Requires="wpc">
            <w:drawing>
              <wp:anchor distT="0" distB="0" distL="114300" distR="114300" simplePos="0" relativeHeight="251660288" behindDoc="1" locked="0" layoutInCell="1" allowOverlap="1" wp14:anchorId="1905AA2C" wp14:editId="095E0DB0">
                <wp:simplePos x="0" y="0"/>
                <wp:positionH relativeFrom="page">
                  <wp:posOffset>0</wp:posOffset>
                </wp:positionH>
                <wp:positionV relativeFrom="page">
                  <wp:posOffset>0</wp:posOffset>
                </wp:positionV>
                <wp:extent cx="7632000" cy="10692000"/>
                <wp:effectExtent l="0" t="0" r="7620" b="0"/>
                <wp:wrapTight wrapText="bothSides">
                  <wp:wrapPolygon edited="0">
                    <wp:start x="0" y="0"/>
                    <wp:lineTo x="0" y="21553"/>
                    <wp:lineTo x="21568" y="21553"/>
                    <wp:lineTo x="21568" y="0"/>
                    <wp:lineTo x="0" y="0"/>
                  </wp:wrapPolygon>
                </wp:wrapTight>
                <wp:docPr id="26" name="Canvas 26"/>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bg1"/>
                        </a:solidFill>
                      </wpc:bg>
                      <wpc:whole/>
                      <pic:pic xmlns:pic="http://schemas.openxmlformats.org/drawingml/2006/picture">
                        <pic:nvPicPr>
                          <pic:cNvPr id="24" name="Picture 24"/>
                          <pic:cNvPicPr preferRelativeResize="0">
                            <a:picLocks/>
                          </pic:cNvPicPr>
                        </pic:nvPicPr>
                        <pic:blipFill>
                          <a:blip r:embed="rId35" cstate="print">
                            <a:extLst>
                              <a:ext uri="{28A0092B-C50C-407E-A947-70E740481C1C}">
                                <a14:useLocalDpi xmlns:a14="http://schemas.microsoft.com/office/drawing/2010/main" val="0"/>
                              </a:ext>
                            </a:extLst>
                          </a:blip>
                          <a:stretch>
                            <a:fillRect/>
                          </a:stretch>
                        </pic:blipFill>
                        <pic:spPr>
                          <a:xfrm>
                            <a:off x="0" y="7772"/>
                            <a:ext cx="7563600" cy="10687050"/>
                          </a:xfrm>
                          <a:prstGeom prst="rect">
                            <a:avLst/>
                          </a:prstGeom>
                        </pic:spPr>
                      </pic:pic>
                      <wps:wsp>
                        <wps:cNvPr id="25" name="Text Box 2"/>
                        <wps:cNvSpPr txBox="1">
                          <a:spLocks noChangeArrowheads="1"/>
                        </wps:cNvSpPr>
                        <wps:spPr bwMode="auto">
                          <a:xfrm>
                            <a:off x="2520315" y="8763000"/>
                            <a:ext cx="2520000" cy="608400"/>
                          </a:xfrm>
                          <a:prstGeom prst="rect">
                            <a:avLst/>
                          </a:prstGeom>
                          <a:noFill/>
                          <a:ln w="9525">
                            <a:noFill/>
                            <a:miter lim="800000"/>
                            <a:headEnd/>
                            <a:tailEnd/>
                          </a:ln>
                        </wps:spPr>
                        <wps:txbx>
                          <w:txbxContent>
                            <w:p w:rsidR="00D64CC7" w:rsidRPr="0061135C" w:rsidRDefault="004473A2" w:rsidP="00700053">
                              <w:pPr>
                                <w:pStyle w:val="xBackPageWebAddress"/>
                                <w:jc w:val="center"/>
                              </w:pPr>
                              <w:hyperlink r:id="rId36" w:history="1">
                                <w:r w:rsidR="00D64CC7" w:rsidRPr="0061135C">
                                  <w:t>www.pbo.gov.au</w:t>
                                </w:r>
                              </w:hyperlink>
                            </w:p>
                          </w:txbxContent>
                        </wps:txbx>
                        <wps:bodyPr rot="0" vert="horz" wrap="square" lIns="91440" tIns="45720" rIns="91440" bIns="45720" anchor="b" anchorCtr="0">
                          <a:noAutofit/>
                        </wps:bodyPr>
                      </wps:wsp>
                    </wpc:wpc>
                  </a:graphicData>
                </a:graphic>
                <wp14:sizeRelH relativeFrom="page">
                  <wp14:pctWidth>0</wp14:pctWidth>
                </wp14:sizeRelH>
                <wp14:sizeRelV relativeFrom="page">
                  <wp14:pctHeight>0</wp14:pctHeight>
                </wp14:sizeRelV>
              </wp:anchor>
            </w:drawing>
          </mc:Choice>
          <mc:Fallback>
            <w:pict>
              <v:group id="Canvas 26" o:spid="_x0000_s1026" editas="canvas" style="position:absolute;margin-left:0;margin-top:0;width:600.95pt;height:841.9pt;z-index:-251656192;mso-position-horizontal-relative:page;mso-position-vertical-relative:page" coordsize="76314,106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AREqjAMAAM8HAAAOAAAAZHJzL2Uyb0RvYy54bWysVdtu2zgQfS/QfyD4&#10;7ugS2XKEKEXqpEWB7jZIux9AUZRFVCJVkr6kxf77HlJS42wKNFjsg+UhORyeOXOGvHxz7DuyF8ZK&#10;rUqanMWUCMV1LdW2pH99ebdYU2IdUzXrtBIlfRCWvrl6/eryMBQi1a3uamEIgihbHIaSts4NRRRZ&#10;3oqe2TM9CIXFRpueOQzNNqoNOyB630VpHK+igzb1YDQX1mL2ZlykVyF+0wjuPjWNFY50JQU2F74m&#10;fCv/ja4uWbE1bGgln2Cw/4CiZ1Lh0J+hbphjZGfks1C95EZb3bgzrvtIN43kIuSAbJL4X9lsmNoz&#10;G5LhYGcGCOt/jFttPW6rO1m/k10XBp59sekM2TPwVm0Tz1P0xCsCisLv9f8H1FHAZZC8wG8iEtYz&#10;nL8vKHa5nRF0CtK/KEbPzNfdsACnA3Oykp10D0EfIM+DUvs7ye/MOOB/7u8MkXVJ04wSxXroEsv+&#10;VIKZKQ/v5feQwYhGmHvRIfJe3Asrv2NDHMqN2B81/2o9PbCLedM0fHJs1clhZtjbU4IQ4+9FPwrl&#10;RvNdL5QblW8CIq1sKwdLiSlEXwkkZT7UCSUcXeeAczBSuYBVHN1H63x9YY3i/JGur+P4In272Czj&#10;zSKL89vF9UWWL/L4Ns/ibJ1sks3ffneSFTsrkCvrbgY5d0qSPQP/S4FPPTtqPPTKqKzQf9AVAAV9&#10;zRAx5RkKWnRGON56s4E879HRkxbnhUD8I7m+DHbwtWbFsTG9/wd95Bia/qGkeZ6nY997Hjjm8+Xq&#10;fBXjeuBYTuLVOo+XM7Q5xGCsey90DzlY3CIGOAKrbA9SR0Szy1T8EURAB0y+UXDF2bnsGL2MO3/B&#10;/epy+NyyQQCCD3ui6OWs6C8+u7f6SEKyk9dnEEPcEdNINOC3QxAwUXrTMrUV18boQytYDXhj259s&#10;HU/ziZHq8IeuoS+2czoEmomauE6XaXyeAA0oXeer8xj8gqZRfJ507+AnA+mreJ2NDij9HGnm80WU&#10;s0Jp313hjE6RQ0kvlukyQDtZ6aXDe9PJHqj88RMon/CtqsNmx2Q32sDSKVTTMzBW01vuWB3h6M1K&#10;1w/gwmgoApngHYTRavOdkgPelJLabzvm77LugwKfF0mW+UcoDLJlnmJgTleq0xWmOELh+qVkNDcu&#10;PFyeRKWvwXsjg/IekUxYobJghUcD1pNn6XQcvB7f4at/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uswB49sAAAAHAQAADwAAAGRycy9kb3ducmV2LnhtbEyPzU7DMBCE70h9B2uR&#10;uFG7BVUhxKkqBAiOhJ+zGy9xhL0OttuEt6/bS7msZjWrmW+r9eQs22OIvScJi7kAhtR63VMn4eP9&#10;6boAFpMirawnlPCHEdb17KJSpfYjveG+SR3LIRRLJcGkNJScx9agU3HuB6TsffvgVMpr6LgOaszh&#10;zvKlECvuVE+5wagBHwy2P83OSSAUj40N/CW1n1+D+S2659fbUcqry2lzDyzhlM7HcMTP6FBnpq3f&#10;kY7MSsiPpNM8ekuxuAO2zWpV3BTA64r/568PAAAA//8DAFBLAwQKAAAAAAAAACEAeISj6RsNAAAb&#10;DQAAFAAAAGRycy9tZWRpYS9pbWFnZTEucG5niVBORw0KGgoAAAANSUhEUgAAAl4AAANaCAIAAADX&#10;pdVzAAAAAXNSR0IArs4c6QAAAARnQU1BAACxjwv8YQUAAAAJcEhZcwAAIdUAACHVAQSctJ0AAAyw&#10;SURBVHhe7dVBDYAwAMDA+feBgimZF0LCC37L6uGa89DxSZKkI2uUJClZoyRJyRolSUrWKElSskZJ&#10;kpI1SpKUrFGSpGSNkiQla5QkKVmjJEnJGiVJStYoSVKyRkmSkjVKkpSsUZKkZI2SJCVrlCQpWaMk&#10;SckaJUlK1ihJUrJGSZKSNUqSlKxRkqRkjZIkJWuUJClZoyRJyRolSUrWKElSskZJkpI1SpKUrFGS&#10;pGSNkiQla5QkKVmjJEnJGiVJStYoSVKyRkmSkjVKkpSsUZKkZI2SJCVrlCQpWaMkSckaJUlK1ihJ&#10;UrJGSZKSNUqSlKxRkqRkjZIkJWuUJClZoyRJyRolSUrWKElSskZJkpI1SpKUrFGSpGSNkiQla5Qk&#10;KVmjJEnJGiVJStYoSVKyRkmSkjVKkpSsUZKkZI2SJCVrlCQpWaMkSckaJUlK1ihJUrJGSZKSNUqS&#10;lKxRkqRkjZIkJWuUJClZoyRJyRolSUrWKElSskZJkpI1SpKUrFGSpGSNkiQla5QkKVmjJEnJGiVJ&#10;StYoSVKyRkmSkjVKkpSsUZKkZI2SJCVrlCQpWaMkSckaJUlK1ihJUrJGSZKSNUqSlKxRkqRkjZIk&#10;JWuUJClZoyRJyRolSUrWKElSskZJkpI1SpKUrFGSpGSNkiQla5QkKVmjJEnJGiVJStYoSVKyRkmS&#10;kjVKkpSsUZKkZI2SJCVrlCQpWaMkSckaJUlK1ihJUrJGSZKSNUqSlKxRkqRkjZIkJWuUJClZoyRJ&#10;yRolSUrWKElSskZJkpI1SpKUrFGSpGSNkiQla5QkKVmjJEnJGiVJStYoSVKyRkmSkjVKkpSsUZKk&#10;ZI2SJCVrlCQpWaMkSckaJUlK1ihJUrJGSZKSNUqSlKxRkqRkjZIkJWuUJClZoyRJyRolSUrWKElS&#10;skZJkpI1SpKUrFGSpGSNkiQla5QkKVmjJEnJGiVJStYoSVKyRkmSkjVKkpSsUZKkZI2SJCVrlCQp&#10;WaMkSckaJUlK1ihJUrJGSZKSNUqSlKxRkqRkjZIkJWuUJClZoyRJyRolSUrWKElSskZJkpI1SpKU&#10;rFGSpGSNkiQla5QkKVmjJEnJGiVJStYoSVKyRkmSkjVKkpSsUZKkZI2SJCVrlCQpWaMkSckaJUlK&#10;1ihJUrJGSZKSNUqSlKxRkqRkjZIkJWuUJClZoyRJyRolSUrWKElSskZJkpI1SpKUrFGSpGSNkiQl&#10;a5QkKVmjJEnJGiVJStYoSVKyRkmSkjVKkpSsUZKkZI2SJCVrlCQpWaMkSckaJUlK1ihJUrJGSZKS&#10;NUqSlKxRkqRkjZIkJWuUJClZoyRJyRolSUrWKElSskZJkpI1SpKUrFGSpGSNkiQla5QkKVmjJEnJ&#10;GiVJStYoSVKyRkmSkjVKkpSsUZKkZI2SJCVrlCQpWaMkSckaJUlK435eAGAb11wAwGa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CHuX5K&#10;AdilaETDXwAAAABJRU5ErkJgglBLAQItABQABgAIAAAAIQCxgme2CgEAABMCAAATAAAAAAAAAAAA&#10;AAAAAAAAAABbQ29udGVudF9UeXBlc10ueG1sUEsBAi0AFAAGAAgAAAAhADj9If/WAAAAlAEAAAsA&#10;AAAAAAAAAAAAAAAAOwEAAF9yZWxzLy5yZWxzUEsBAi0AFAAGAAgAAAAhAAgBESqMAwAAzwcAAA4A&#10;AAAAAAAAAAAAAAAAOgIAAGRycy9lMm9Eb2MueG1sUEsBAi0AFAAGAAgAAAAhAKomDr68AAAAIQEA&#10;ABkAAAAAAAAAAAAAAAAA8gUAAGRycy9fcmVscy9lMm9Eb2MueG1sLnJlbHNQSwECLQAUAAYACAAA&#10;ACEAuswB49sAAAAHAQAADwAAAAAAAAAAAAAAAADlBgAAZHJzL2Rvd25yZXYueG1sUEsBAi0ACgAA&#10;AAAAAAAhAHiEo+kbDQAAGw0AABQAAAAAAAAAAAAAAAAA7QcAAGRycy9tZWRpYS9pbWFnZTEucG5n&#10;UEsFBgAAAAAGAAYAfAEAADo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6314;height:106914;visibility:visible;mso-wrap-style:square" filled="t" fillcolor="white [3212]">
                  <v:fill o:detectmouseclick="t"/>
                  <v:path o:connecttype="none"/>
                </v:shape>
                <v:shape id="Picture 24" o:spid="_x0000_s1028" type="#_x0000_t75" style="position:absolute;top:77;width:75636;height:106871;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DK7jFAAAA2wAAAA8AAABkcnMvZG93bnJldi54bWxEj0FrwkAUhO9C/8PyCl6k2VRESnQNbaBg&#10;oVBMS8DbI/tMgtm3aXabxH/vFgSPw8x8w2zTybRioN41lhU8RzEI4tLqhisFP9/vTy8gnEfW2Fom&#10;BRdykO4eZltMtB35QEPuKxEg7BJUUHvfJVK6siaDLrIdcfBOtjfog+wrqXscA9y0chnHa2mw4bBQ&#10;Y0dZTeU5/zMK8rHAc15dvmT2tjgeToX8/P0YlJo/Tq8bEJ4mfw/f2nutYLmC/y/hB8jdF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Swyu4xQAAANsAAAAPAAAAAAAAAAAAAAAA&#10;AJ8CAABkcnMvZG93bnJldi54bWxQSwUGAAAAAAQABAD3AAAAkQMAAAAA&#10;">
                  <v:imagedata r:id="rId37" o:title=""/>
                  <v:path arrowok="t"/>
                  <o:lock v:ext="edit" aspectratio="f"/>
                </v:shape>
                <v:shapetype id="_x0000_t202" coordsize="21600,21600" o:spt="202" path="m,l,21600r21600,l21600,xe">
                  <v:stroke joinstyle="miter"/>
                  <v:path gradientshapeok="t" o:connecttype="rect"/>
                </v:shapetype>
                <v:shape id="Text Box 2" o:spid="_x0000_s1029" type="#_x0000_t202" style="position:absolute;left:25203;top:87630;width:25200;height:6084;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amlsUA&#10;AADbAAAADwAAAGRycy9kb3ducmV2LnhtbESP0WrCQBRE3wv9h+UW+mY2SpSSukqxFfoi1rQfcJO9&#10;JrHZuyG7Mcnfu0Khj8PMnGHW29E04kqdqy0rmEcxCOLC6ppLBT/f+9kLCOeRNTaWScFEDrabx4c1&#10;ptoOfKJr5ksRIOxSVFB536ZSuqIigy6yLXHwzrYz6IPsSqk7HALcNHIRxytpsOawUGFLu4qK36w3&#10;Cj6+8ilP5pd98h5PuT4Oh13RH5R6fhrfXkF4Gv1/+K/9qRUslnD/En6A3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BqaWxQAAANsAAAAPAAAAAAAAAAAAAAAAAJgCAABkcnMv&#10;ZG93bnJldi54bWxQSwUGAAAAAAQABAD1AAAAigMAAAAA&#10;" filled="f" stroked="f">
                  <v:textbox>
                    <w:txbxContent>
                      <w:p w:rsidR="00D64CC7" w:rsidRPr="0061135C" w:rsidRDefault="00D64CC7" w:rsidP="00700053">
                        <w:pPr>
                          <w:pStyle w:val="xBackPageWebAddress"/>
                          <w:jc w:val="center"/>
                        </w:pPr>
                        <w:hyperlink r:id="rId38" w:history="1">
                          <w:r w:rsidRPr="0061135C">
                            <w:t>www.pbo.gov.au</w:t>
                          </w:r>
                        </w:hyperlink>
                      </w:p>
                    </w:txbxContent>
                  </v:textbox>
                </v:shape>
                <w10:wrap type="tight" anchorx="page" anchory="page"/>
              </v:group>
            </w:pict>
          </mc:Fallback>
        </mc:AlternateContent>
      </w:r>
    </w:p>
    <w:sectPr w:rsidR="001759BC" w:rsidRPr="00C62DA3" w:rsidSect="00700053">
      <w:footerReference w:type="even" r:id="rId39"/>
      <w:footerReference w:type="default" r:id="rId40"/>
      <w:pgSz w:w="11907" w:h="16839" w:code="9"/>
      <w:pgMar w:top="1361" w:right="1797" w:bottom="1474" w:left="1797" w:header="283"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CC7" w:rsidRDefault="00D64CC7" w:rsidP="00A20802">
      <w:pPr>
        <w:spacing w:line="240" w:lineRule="auto"/>
      </w:pPr>
      <w:r>
        <w:separator/>
      </w:r>
    </w:p>
    <w:p w:rsidR="00D64CC7" w:rsidRDefault="00D64CC7"/>
  </w:endnote>
  <w:endnote w:type="continuationSeparator" w:id="0">
    <w:p w:rsidR="00D64CC7" w:rsidRDefault="00D64CC7" w:rsidP="00A20802">
      <w:pPr>
        <w:spacing w:line="240" w:lineRule="auto"/>
      </w:pPr>
      <w:r>
        <w:continuationSeparator/>
      </w:r>
    </w:p>
    <w:p w:rsidR="00D64CC7" w:rsidRDefault="00D64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CC7" w:rsidRDefault="00D64CC7">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4"/>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D64CC7" w:rsidRPr="00367A8E" w:rsidTr="00AA1CAF">
      <w:trPr>
        <w:trHeight w:val="340"/>
      </w:trPr>
      <w:tc>
        <w:tcPr>
          <w:tcW w:w="8164" w:type="dxa"/>
          <w:tcBorders>
            <w:right w:val="single" w:sz="4" w:space="0" w:color="788184" w:themeColor="background2"/>
          </w:tcBorders>
          <w:vAlign w:val="center"/>
        </w:tcPr>
        <w:p w:rsidR="00D64CC7" w:rsidRPr="00367A8E" w:rsidRDefault="00D64CC7" w:rsidP="00AA1CAF">
          <w:pPr>
            <w:spacing w:before="180" w:after="120" w:line="240" w:lineRule="auto"/>
            <w:ind w:left="397" w:right="397"/>
            <w:jc w:val="right"/>
            <w:rPr>
              <w:b/>
              <w:color w:val="788184" w:themeColor="background2"/>
              <w:spacing w:val="-2"/>
            </w:rPr>
          </w:pPr>
          <w:r>
            <w:rPr>
              <w:b/>
              <w:color w:val="788184" w:themeColor="background2"/>
              <w:spacing w:val="-2"/>
            </w:rPr>
            <w:fldChar w:fldCharType="begin"/>
          </w:r>
          <w:r>
            <w:rPr>
              <w:b/>
              <w:color w:val="788184" w:themeColor="background2"/>
              <w:spacing w:val="-2"/>
            </w:rPr>
            <w:instrText xml:space="preserve"> STYLEREF  "Heading 1 No Numbering"  \* MERGEFORMAT </w:instrText>
          </w:r>
          <w:r>
            <w:rPr>
              <w:b/>
              <w:color w:val="788184" w:themeColor="background2"/>
              <w:spacing w:val="-2"/>
            </w:rPr>
            <w:fldChar w:fldCharType="separate"/>
          </w:r>
          <w:r w:rsidR="001024B6">
            <w:rPr>
              <w:b/>
              <w:noProof/>
              <w:color w:val="788184" w:themeColor="background2"/>
              <w:spacing w:val="-2"/>
            </w:rPr>
            <w:t>Appendix A: Examples of costing minutes</w:t>
          </w:r>
          <w:r>
            <w:rPr>
              <w:b/>
              <w:color w:val="788184" w:themeColor="background2"/>
              <w:spacing w:val="-2"/>
            </w:rPr>
            <w:fldChar w:fldCharType="end"/>
          </w:r>
        </w:p>
      </w:tc>
      <w:tc>
        <w:tcPr>
          <w:tcW w:w="567" w:type="dxa"/>
          <w:tcBorders>
            <w:left w:val="single" w:sz="4" w:space="0" w:color="788184" w:themeColor="background2"/>
          </w:tcBorders>
          <w:vAlign w:val="center"/>
        </w:tcPr>
        <w:p w:rsidR="00D64CC7" w:rsidRPr="00367A8E" w:rsidRDefault="00D64CC7" w:rsidP="00AA1CAF">
          <w:pPr>
            <w:spacing w:before="180" w:after="120" w:line="240" w:lineRule="auto"/>
            <w:jc w:val="right"/>
            <w:rPr>
              <w:b/>
              <w:noProof/>
              <w:color w:val="788184" w:themeColor="background2"/>
            </w:rPr>
          </w:pPr>
          <w:r w:rsidRPr="00367A8E">
            <w:rPr>
              <w:b/>
              <w:noProof/>
              <w:color w:val="788184" w:themeColor="background2"/>
            </w:rPr>
            <w:fldChar w:fldCharType="begin"/>
          </w:r>
          <w:r w:rsidRPr="00367A8E">
            <w:rPr>
              <w:b/>
              <w:noProof/>
              <w:color w:val="788184" w:themeColor="background2"/>
            </w:rPr>
            <w:instrText xml:space="preserve"> PAGE   \* MERGEFORMAT </w:instrText>
          </w:r>
          <w:r w:rsidRPr="00367A8E">
            <w:rPr>
              <w:b/>
              <w:noProof/>
              <w:color w:val="788184" w:themeColor="background2"/>
            </w:rPr>
            <w:fldChar w:fldCharType="separate"/>
          </w:r>
          <w:r>
            <w:rPr>
              <w:b/>
              <w:noProof/>
              <w:color w:val="788184" w:themeColor="background2"/>
            </w:rPr>
            <w:t>24</w:t>
          </w:r>
          <w:r w:rsidRPr="00367A8E">
            <w:rPr>
              <w:b/>
              <w:noProof/>
              <w:color w:val="788184" w:themeColor="background2"/>
            </w:rPr>
            <w:fldChar w:fldCharType="end"/>
          </w:r>
        </w:p>
      </w:tc>
    </w:tr>
    <w:tr w:rsidR="00D64CC7" w:rsidRPr="00367A8E" w:rsidTr="00AA1CAF">
      <w:trPr>
        <w:trHeight w:hRule="exact" w:val="403"/>
      </w:trPr>
      <w:tc>
        <w:tcPr>
          <w:tcW w:w="8164" w:type="dxa"/>
        </w:tcPr>
        <w:p w:rsidR="00D64CC7" w:rsidRPr="00367A8E" w:rsidRDefault="00D64CC7" w:rsidP="00AA1CAF"/>
      </w:tc>
      <w:tc>
        <w:tcPr>
          <w:tcW w:w="567" w:type="dxa"/>
          <w:tcMar>
            <w:bottom w:w="284" w:type="dxa"/>
          </w:tcMar>
        </w:tcPr>
        <w:p w:rsidR="00D64CC7" w:rsidRPr="00367A8E" w:rsidRDefault="00D64CC7" w:rsidP="00AA1CAF"/>
      </w:tc>
    </w:tr>
  </w:tbl>
  <w:p w:rsidR="00D64CC7" w:rsidRDefault="00D64CC7">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D64CC7" w:rsidRPr="00EB388E" w:rsidTr="0087390B">
      <w:trPr>
        <w:trHeight w:val="340"/>
      </w:trPr>
      <w:tc>
        <w:tcPr>
          <w:tcW w:w="8164" w:type="dxa"/>
          <w:tcBorders>
            <w:right w:val="single" w:sz="4" w:space="0" w:color="788184" w:themeColor="background2"/>
          </w:tcBorders>
          <w:vAlign w:val="center"/>
        </w:tcPr>
        <w:p w:rsidR="00D64CC7" w:rsidRPr="00125669" w:rsidRDefault="004473A2" w:rsidP="001C48DE">
          <w:pPr>
            <w:pStyle w:val="FooterRight"/>
            <w:framePr w:wrap="auto" w:vAnchor="margin" w:hAnchor="text" w:xAlign="left" w:yAlign="inline"/>
          </w:pPr>
          <w:r>
            <w:fldChar w:fldCharType="begin"/>
          </w:r>
          <w:r>
            <w:instrText xml:space="preserve"> STYLEREF  "Heading 1 No Numbering"  \* MERGEFORMAT </w:instrText>
          </w:r>
          <w:r>
            <w:fldChar w:fldCharType="separate"/>
          </w:r>
          <w:r>
            <w:rPr>
              <w:noProof/>
            </w:rPr>
            <w:t>Appendix A: Examples of costing minutes</w:t>
          </w:r>
          <w:r>
            <w:rPr>
              <w:noProof/>
            </w:rPr>
            <w:fldChar w:fldCharType="end"/>
          </w:r>
        </w:p>
      </w:tc>
      <w:tc>
        <w:tcPr>
          <w:tcW w:w="567" w:type="dxa"/>
          <w:tcBorders>
            <w:left w:val="single" w:sz="4" w:space="0" w:color="788184" w:themeColor="background2"/>
          </w:tcBorders>
          <w:vAlign w:val="center"/>
        </w:tcPr>
        <w:p w:rsidR="00D64CC7" w:rsidRPr="00CB70DF" w:rsidRDefault="00D64CC7" w:rsidP="00D91D62">
          <w:pPr>
            <w:pStyle w:val="FooterRightPageNumber"/>
          </w:pPr>
          <w:r>
            <w:t>31</w:t>
          </w:r>
        </w:p>
      </w:tc>
    </w:tr>
    <w:tr w:rsidR="00D64CC7" w:rsidRPr="00EB388E" w:rsidTr="004F1297">
      <w:trPr>
        <w:trHeight w:hRule="exact" w:val="403"/>
      </w:trPr>
      <w:tc>
        <w:tcPr>
          <w:tcW w:w="8164" w:type="dxa"/>
        </w:tcPr>
        <w:p w:rsidR="00D64CC7" w:rsidRPr="00090E70" w:rsidRDefault="00D64CC7" w:rsidP="0087390B"/>
      </w:tc>
      <w:tc>
        <w:tcPr>
          <w:tcW w:w="567" w:type="dxa"/>
          <w:tcMar>
            <w:bottom w:w="284" w:type="dxa"/>
          </w:tcMar>
        </w:tcPr>
        <w:p w:rsidR="00D64CC7" w:rsidRPr="00090E70" w:rsidRDefault="00D64CC7" w:rsidP="0087390B"/>
      </w:tc>
    </w:tr>
  </w:tbl>
  <w:p w:rsidR="00D64CC7" w:rsidRDefault="00D64CC7">
    <w:pPr>
      <w:pStyle w:val="Footer"/>
    </w:pPr>
  </w:p>
  <w:p w:rsidR="00D64CC7" w:rsidRPr="004816D7" w:rsidRDefault="00D64CC7" w:rsidP="004816D7">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D64CC7" w:rsidRPr="00EB388E" w:rsidTr="00700053">
      <w:trPr>
        <w:trHeight w:val="340"/>
      </w:trPr>
      <w:tc>
        <w:tcPr>
          <w:tcW w:w="567" w:type="dxa"/>
          <w:tcBorders>
            <w:right w:val="single" w:sz="4" w:space="0" w:color="788184" w:themeColor="background2"/>
          </w:tcBorders>
          <w:vAlign w:val="center"/>
        </w:tcPr>
        <w:p w:rsidR="00D64CC7" w:rsidRPr="00CB70DF" w:rsidRDefault="00D64CC7" w:rsidP="001759BC">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Pr>
              <w:noProof/>
            </w:rPr>
            <w:t>30</w:t>
          </w:r>
          <w:r w:rsidRPr="00EB388E">
            <w:fldChar w:fldCharType="end"/>
          </w:r>
        </w:p>
      </w:tc>
      <w:tc>
        <w:tcPr>
          <w:tcW w:w="8164" w:type="dxa"/>
          <w:tcBorders>
            <w:left w:val="single" w:sz="4" w:space="0" w:color="788184" w:themeColor="background2"/>
          </w:tcBorders>
          <w:vAlign w:val="center"/>
        </w:tcPr>
        <w:p w:rsidR="00D64CC7" w:rsidRPr="00CB70DF" w:rsidRDefault="004473A2" w:rsidP="001759BC">
          <w:pPr>
            <w:pStyle w:val="FooterLeft"/>
            <w:framePr w:wrap="auto" w:vAnchor="margin" w:hAnchor="text" w:yAlign="inline"/>
          </w:pPr>
          <w:r>
            <w:fldChar w:fldCharType="begin"/>
          </w:r>
          <w:r>
            <w:instrText xml:space="preserve"> STYLEREF  Title  \* MERGEFORMAT </w:instrText>
          </w:r>
          <w:r>
            <w:fldChar w:fldCharType="separate"/>
          </w:r>
          <w:r w:rsidR="001024B6">
            <w:rPr>
              <w:noProof/>
            </w:rPr>
            <w:t>What is a Parliamentary Budget Office costing?</w:t>
          </w:r>
          <w:r>
            <w:rPr>
              <w:noProof/>
            </w:rPr>
            <w:fldChar w:fldCharType="end"/>
          </w:r>
        </w:p>
      </w:tc>
    </w:tr>
    <w:tr w:rsidR="00D64CC7" w:rsidRPr="00EB388E" w:rsidTr="00700053">
      <w:trPr>
        <w:trHeight w:hRule="exact" w:val="403"/>
      </w:trPr>
      <w:tc>
        <w:tcPr>
          <w:tcW w:w="567" w:type="dxa"/>
          <w:tcMar>
            <w:bottom w:w="284" w:type="dxa"/>
          </w:tcMar>
        </w:tcPr>
        <w:p w:rsidR="00D64CC7" w:rsidRPr="00EB388E" w:rsidRDefault="00D64CC7" w:rsidP="001759BC">
          <w:pPr>
            <w:pStyle w:val="FooterRightPageNumber"/>
          </w:pPr>
        </w:p>
      </w:tc>
      <w:tc>
        <w:tcPr>
          <w:tcW w:w="8164" w:type="dxa"/>
          <w:tcMar>
            <w:bottom w:w="284" w:type="dxa"/>
          </w:tcMar>
        </w:tcPr>
        <w:p w:rsidR="00D64CC7" w:rsidRPr="00090E70" w:rsidRDefault="00D64CC7" w:rsidP="001759BC"/>
      </w:tc>
    </w:tr>
  </w:tbl>
  <w:p w:rsidR="00D64CC7" w:rsidRDefault="00D64CC7" w:rsidP="001759BC">
    <w:pPr>
      <w:pStyle w:val="Footer"/>
    </w:pPr>
  </w:p>
  <w:p w:rsidR="00D64CC7" w:rsidRPr="004816D7" w:rsidRDefault="00D64CC7" w:rsidP="001759BC">
    <w:pPr>
      <w:pStyle w:val="Footer"/>
    </w:pPr>
  </w:p>
  <w:p w:rsidR="00D64CC7" w:rsidRPr="004816D7" w:rsidRDefault="00D64CC7" w:rsidP="004816D7">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D64CC7" w:rsidRPr="00EB388E" w:rsidTr="00700053">
      <w:trPr>
        <w:trHeight w:val="340"/>
      </w:trPr>
      <w:tc>
        <w:tcPr>
          <w:tcW w:w="8164" w:type="dxa"/>
          <w:tcBorders>
            <w:right w:val="single" w:sz="4" w:space="0" w:color="788184" w:themeColor="background2"/>
          </w:tcBorders>
          <w:vAlign w:val="center"/>
        </w:tcPr>
        <w:p w:rsidR="00D64CC7" w:rsidRPr="00CB70DF" w:rsidRDefault="004473A2" w:rsidP="001759BC">
          <w:pPr>
            <w:pStyle w:val="FooterRight"/>
            <w:framePr w:wrap="auto" w:vAnchor="margin" w:hAnchor="text" w:xAlign="left" w:yAlign="inline"/>
          </w:pPr>
          <w:r>
            <w:fldChar w:fldCharType="begin"/>
          </w:r>
          <w:r>
            <w:instrText xml:space="preserve"> STYLEREF  "Heading 1"  \* MERGEFORMAT </w:instrText>
          </w:r>
          <w:r>
            <w:fldChar w:fldCharType="separate"/>
          </w:r>
          <w:r>
            <w:rPr>
              <w:noProof/>
            </w:rPr>
            <w:t>The costing minute</w:t>
          </w:r>
          <w:r>
            <w:rPr>
              <w:noProof/>
            </w:rPr>
            <w:fldChar w:fldCharType="end"/>
          </w:r>
        </w:p>
      </w:tc>
      <w:tc>
        <w:tcPr>
          <w:tcW w:w="567" w:type="dxa"/>
          <w:tcBorders>
            <w:left w:val="single" w:sz="4" w:space="0" w:color="788184" w:themeColor="background2"/>
          </w:tcBorders>
          <w:vAlign w:val="center"/>
        </w:tcPr>
        <w:p w:rsidR="00D64CC7" w:rsidRPr="00CB70DF" w:rsidRDefault="00D64CC7" w:rsidP="001759BC">
          <w:pPr>
            <w:pStyle w:val="FooterRightPageNumber"/>
          </w:pPr>
          <w:r w:rsidRPr="00EB388E">
            <w:fldChar w:fldCharType="begin"/>
          </w:r>
          <w:r w:rsidRPr="00EB388E">
            <w:instrText xml:space="preserve"> PAGE   \* MERGEFORMAT </w:instrText>
          </w:r>
          <w:r w:rsidRPr="00EB388E">
            <w:fldChar w:fldCharType="separate"/>
          </w:r>
          <w:r w:rsidR="004473A2">
            <w:t>29</w:t>
          </w:r>
          <w:r w:rsidRPr="00EB388E">
            <w:fldChar w:fldCharType="end"/>
          </w:r>
        </w:p>
      </w:tc>
    </w:tr>
    <w:tr w:rsidR="00D64CC7" w:rsidRPr="00EB388E" w:rsidTr="00700053">
      <w:trPr>
        <w:trHeight w:hRule="exact" w:val="403"/>
      </w:trPr>
      <w:tc>
        <w:tcPr>
          <w:tcW w:w="8164" w:type="dxa"/>
        </w:tcPr>
        <w:p w:rsidR="00D64CC7" w:rsidRPr="00090E70" w:rsidRDefault="00D64CC7" w:rsidP="001759BC"/>
      </w:tc>
      <w:tc>
        <w:tcPr>
          <w:tcW w:w="567" w:type="dxa"/>
          <w:tcMar>
            <w:bottom w:w="284" w:type="dxa"/>
          </w:tcMar>
        </w:tcPr>
        <w:p w:rsidR="00D64CC7" w:rsidRPr="00090E70" w:rsidRDefault="00D64CC7" w:rsidP="001759BC"/>
      </w:tc>
    </w:tr>
  </w:tbl>
  <w:p w:rsidR="00D64CC7" w:rsidRDefault="00D64CC7" w:rsidP="001759BC">
    <w:pPr>
      <w:pStyle w:val="Footer"/>
      <w:framePr w:wrap="around" w:vAnchor="page" w:hAnchor="margin" w:xAlign="right" w:yAlign="bottom"/>
    </w:pPr>
  </w:p>
  <w:p w:rsidR="00D64CC7" w:rsidRPr="004816D7" w:rsidRDefault="00D64CC7" w:rsidP="001759BC">
    <w:pPr>
      <w:pStyle w:val="Footer"/>
      <w:framePr w:wrap="around" w:vAnchor="page" w:hAnchor="margin" w:xAlign="right" w:yAlign="bottom"/>
    </w:pPr>
  </w:p>
  <w:p w:rsidR="00D64CC7" w:rsidRPr="004816D7" w:rsidRDefault="00D64CC7" w:rsidP="004816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2"/>
      <w:tblpPr w:bottomFromText="284"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D64CC7" w:rsidRPr="00367A8E" w:rsidTr="00367A8E">
      <w:trPr>
        <w:trHeight w:val="340"/>
      </w:trPr>
      <w:tc>
        <w:tcPr>
          <w:tcW w:w="567" w:type="dxa"/>
          <w:tcBorders>
            <w:right w:val="single" w:sz="4" w:space="0" w:color="788184" w:themeColor="background2"/>
          </w:tcBorders>
          <w:vAlign w:val="center"/>
        </w:tcPr>
        <w:p w:rsidR="00D64CC7" w:rsidRPr="00367A8E" w:rsidRDefault="00D64CC7" w:rsidP="00367A8E">
          <w:pPr>
            <w:spacing w:before="180" w:after="120" w:line="240" w:lineRule="auto"/>
            <w:ind w:right="57"/>
            <w:rPr>
              <w:b/>
              <w:color w:val="788184" w:themeColor="background2"/>
            </w:rPr>
          </w:pPr>
          <w:r>
            <w:rPr>
              <w:b/>
              <w:color w:val="788184" w:themeColor="background2"/>
            </w:rPr>
            <w:fldChar w:fldCharType="begin"/>
          </w:r>
          <w:r>
            <w:rPr>
              <w:b/>
              <w:color w:val="788184" w:themeColor="background2"/>
            </w:rPr>
            <w:instrText xml:space="preserve"> PAGE  \* roman  \* MERGEFORMAT </w:instrText>
          </w:r>
          <w:r>
            <w:rPr>
              <w:b/>
              <w:color w:val="788184" w:themeColor="background2"/>
            </w:rPr>
            <w:fldChar w:fldCharType="separate"/>
          </w:r>
          <w:r w:rsidR="004473A2">
            <w:rPr>
              <w:b/>
              <w:noProof/>
              <w:color w:val="788184" w:themeColor="background2"/>
            </w:rPr>
            <w:t>iv</w:t>
          </w:r>
          <w:r>
            <w:rPr>
              <w:b/>
              <w:color w:val="788184" w:themeColor="background2"/>
            </w:rPr>
            <w:fldChar w:fldCharType="end"/>
          </w:r>
        </w:p>
      </w:tc>
      <w:tc>
        <w:tcPr>
          <w:tcW w:w="8164" w:type="dxa"/>
          <w:tcBorders>
            <w:left w:val="single" w:sz="4" w:space="0" w:color="788184" w:themeColor="background2"/>
          </w:tcBorders>
          <w:vAlign w:val="center"/>
        </w:tcPr>
        <w:p w:rsidR="00D64CC7" w:rsidRPr="00367A8E" w:rsidRDefault="00D64CC7" w:rsidP="001D36F0">
          <w:pPr>
            <w:spacing w:before="180" w:after="120" w:line="240" w:lineRule="auto"/>
            <w:ind w:left="397"/>
            <w:rPr>
              <w:b/>
              <w:color w:val="788184" w:themeColor="background2"/>
              <w:spacing w:val="-2"/>
            </w:rPr>
          </w:pPr>
          <w:r w:rsidRPr="00367A8E">
            <w:rPr>
              <w:b/>
              <w:color w:val="788184" w:themeColor="background2"/>
              <w:spacing w:val="-2"/>
            </w:rPr>
            <w:fldChar w:fldCharType="begin"/>
          </w:r>
          <w:r w:rsidRPr="00367A8E">
            <w:rPr>
              <w:b/>
              <w:color w:val="788184" w:themeColor="background2"/>
              <w:spacing w:val="-2"/>
            </w:rPr>
            <w:instrText xml:space="preserve"> STYLEREF  Title  \* MERGEFORMAT </w:instrText>
          </w:r>
          <w:r w:rsidRPr="00367A8E">
            <w:rPr>
              <w:b/>
              <w:color w:val="788184" w:themeColor="background2"/>
              <w:spacing w:val="-2"/>
            </w:rPr>
            <w:fldChar w:fldCharType="separate"/>
          </w:r>
          <w:r w:rsidR="004473A2">
            <w:rPr>
              <w:b/>
              <w:noProof/>
              <w:color w:val="788184" w:themeColor="background2"/>
              <w:spacing w:val="-2"/>
            </w:rPr>
            <w:t>What is a Parliamentary Budget Office costing?</w:t>
          </w:r>
          <w:r w:rsidRPr="00367A8E">
            <w:rPr>
              <w:b/>
              <w:noProof/>
              <w:color w:val="788184" w:themeColor="background2"/>
              <w:spacing w:val="-2"/>
            </w:rPr>
            <w:fldChar w:fldCharType="end"/>
          </w:r>
        </w:p>
      </w:tc>
    </w:tr>
    <w:tr w:rsidR="00D64CC7" w:rsidRPr="00367A8E" w:rsidTr="00367A8E">
      <w:trPr>
        <w:trHeight w:hRule="exact" w:val="403"/>
      </w:trPr>
      <w:tc>
        <w:tcPr>
          <w:tcW w:w="567" w:type="dxa"/>
          <w:tcMar>
            <w:bottom w:w="284" w:type="dxa"/>
          </w:tcMar>
        </w:tcPr>
        <w:p w:rsidR="00D64CC7" w:rsidRPr="00367A8E" w:rsidRDefault="00D64CC7" w:rsidP="00367A8E">
          <w:pPr>
            <w:spacing w:before="180" w:after="120" w:line="240" w:lineRule="auto"/>
            <w:jc w:val="right"/>
            <w:rPr>
              <w:b/>
              <w:noProof/>
              <w:color w:val="788184" w:themeColor="background2"/>
            </w:rPr>
          </w:pPr>
        </w:p>
      </w:tc>
      <w:tc>
        <w:tcPr>
          <w:tcW w:w="8164" w:type="dxa"/>
          <w:tcMar>
            <w:bottom w:w="284" w:type="dxa"/>
          </w:tcMar>
        </w:tcPr>
        <w:p w:rsidR="00D64CC7" w:rsidRPr="00367A8E" w:rsidRDefault="00D64CC7" w:rsidP="00367A8E"/>
      </w:tc>
    </w:tr>
  </w:tbl>
  <w:p w:rsidR="00D64CC7" w:rsidRDefault="00D64CC7">
    <w:pPr>
      <w:pStyle w:val="Footer"/>
    </w:pPr>
  </w:p>
  <w:p w:rsidR="00D64CC7" w:rsidRPr="004816D7" w:rsidRDefault="00D64CC7" w:rsidP="004816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D64CC7" w:rsidRPr="00EB388E" w:rsidTr="0087390B">
      <w:trPr>
        <w:trHeight w:val="340"/>
      </w:trPr>
      <w:tc>
        <w:tcPr>
          <w:tcW w:w="8164" w:type="dxa"/>
          <w:tcBorders>
            <w:right w:val="single" w:sz="4" w:space="0" w:color="788184" w:themeColor="background2"/>
          </w:tcBorders>
          <w:vAlign w:val="center"/>
        </w:tcPr>
        <w:p w:rsidR="00D64CC7" w:rsidRPr="00CB70DF" w:rsidRDefault="004473A2" w:rsidP="001C48DE">
          <w:pPr>
            <w:pStyle w:val="FooterRight"/>
            <w:framePr w:wrap="auto" w:vAnchor="margin" w:hAnchor="text" w:xAlign="left" w:yAlign="inline"/>
          </w:pPr>
          <w:r>
            <w:fldChar w:fldCharType="begin"/>
          </w:r>
          <w:r>
            <w:instrText xml:space="preserve"> STYLEREF  "TOC Heading"  \* MERGEFORMAT </w:instrText>
          </w:r>
          <w:r>
            <w:fldChar w:fldCharType="separate"/>
          </w:r>
          <w:r>
            <w:rPr>
              <w:noProof/>
            </w:rPr>
            <w:t>Contents</w:t>
          </w:r>
          <w:r>
            <w:rPr>
              <w:noProof/>
            </w:rPr>
            <w:fldChar w:fldCharType="end"/>
          </w:r>
        </w:p>
      </w:tc>
      <w:tc>
        <w:tcPr>
          <w:tcW w:w="567" w:type="dxa"/>
          <w:tcBorders>
            <w:left w:val="single" w:sz="4" w:space="0" w:color="788184" w:themeColor="background2"/>
          </w:tcBorders>
          <w:vAlign w:val="center"/>
        </w:tcPr>
        <w:p w:rsidR="00D64CC7" w:rsidRPr="00CB70DF" w:rsidRDefault="00D64CC7" w:rsidP="00E915E6">
          <w:pPr>
            <w:pStyle w:val="FooterRightPageNumber"/>
          </w:pPr>
          <w:r w:rsidRPr="00EB388E">
            <w:fldChar w:fldCharType="begin"/>
          </w:r>
          <w:r w:rsidRPr="00EB388E">
            <w:instrText xml:space="preserve"> PAGE   \* MERGEFORMAT </w:instrText>
          </w:r>
          <w:r w:rsidRPr="00EB388E">
            <w:fldChar w:fldCharType="separate"/>
          </w:r>
          <w:r w:rsidR="004473A2">
            <w:t>iii</w:t>
          </w:r>
          <w:r w:rsidRPr="00EB388E">
            <w:fldChar w:fldCharType="end"/>
          </w:r>
        </w:p>
      </w:tc>
    </w:tr>
    <w:tr w:rsidR="00D64CC7" w:rsidRPr="00EB388E" w:rsidTr="004F1297">
      <w:trPr>
        <w:trHeight w:hRule="exact" w:val="403"/>
      </w:trPr>
      <w:tc>
        <w:tcPr>
          <w:tcW w:w="8164" w:type="dxa"/>
        </w:tcPr>
        <w:p w:rsidR="00D64CC7" w:rsidRPr="00090E70" w:rsidRDefault="00D64CC7" w:rsidP="0087390B"/>
      </w:tc>
      <w:tc>
        <w:tcPr>
          <w:tcW w:w="567" w:type="dxa"/>
          <w:tcMar>
            <w:bottom w:w="284" w:type="dxa"/>
          </w:tcMar>
        </w:tcPr>
        <w:p w:rsidR="00D64CC7" w:rsidRPr="00090E70" w:rsidRDefault="00D64CC7" w:rsidP="0087390B"/>
      </w:tc>
    </w:tr>
  </w:tbl>
  <w:p w:rsidR="00D64CC7" w:rsidRDefault="00D64CC7">
    <w:pPr>
      <w:pStyle w:val="Footer"/>
    </w:pPr>
  </w:p>
  <w:p w:rsidR="00D64CC7" w:rsidRPr="004816D7" w:rsidRDefault="00D64CC7" w:rsidP="004816D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D64CC7" w:rsidRPr="00EB388E" w:rsidTr="0087390B">
      <w:trPr>
        <w:trHeight w:val="340"/>
      </w:trPr>
      <w:tc>
        <w:tcPr>
          <w:tcW w:w="8164" w:type="dxa"/>
          <w:tcBorders>
            <w:right w:val="single" w:sz="4" w:space="0" w:color="788184" w:themeColor="background2"/>
          </w:tcBorders>
          <w:vAlign w:val="center"/>
        </w:tcPr>
        <w:p w:rsidR="00D64CC7" w:rsidRPr="00CB70DF" w:rsidRDefault="004473A2" w:rsidP="001C48DE">
          <w:pPr>
            <w:pStyle w:val="FooterRight"/>
            <w:framePr w:wrap="auto" w:vAnchor="margin" w:hAnchor="text" w:xAlign="left" w:yAlign="inline"/>
          </w:pPr>
          <w:r>
            <w:fldChar w:fldCharType="begin"/>
          </w:r>
          <w:r>
            <w:instrText xml:space="preserve"> STYLEREF  "Heading 1 No Numbering"  \* MERGEFORMAT </w:instrText>
          </w:r>
          <w:r>
            <w:fldChar w:fldCharType="separate"/>
          </w:r>
          <w:r w:rsidR="001024B6">
            <w:rPr>
              <w:noProof/>
            </w:rPr>
            <w:t>Foreword</w:t>
          </w:r>
          <w:r>
            <w:rPr>
              <w:noProof/>
            </w:rPr>
            <w:fldChar w:fldCharType="end"/>
          </w:r>
        </w:p>
      </w:tc>
      <w:tc>
        <w:tcPr>
          <w:tcW w:w="567" w:type="dxa"/>
          <w:tcBorders>
            <w:left w:val="single" w:sz="4" w:space="0" w:color="788184" w:themeColor="background2"/>
          </w:tcBorders>
          <w:vAlign w:val="center"/>
        </w:tcPr>
        <w:p w:rsidR="00D64CC7" w:rsidRPr="00CB70DF" w:rsidRDefault="00D64CC7" w:rsidP="00E915E6">
          <w:pPr>
            <w:pStyle w:val="FooterRightPageNumber"/>
          </w:pPr>
          <w:r w:rsidRPr="00EB388E">
            <w:fldChar w:fldCharType="begin"/>
          </w:r>
          <w:r w:rsidRPr="00EB388E">
            <w:instrText xml:space="preserve"> PAGE   \* MERGEFORMAT </w:instrText>
          </w:r>
          <w:r w:rsidRPr="00EB388E">
            <w:fldChar w:fldCharType="separate"/>
          </w:r>
          <w:r>
            <w:t>v</w:t>
          </w:r>
          <w:r w:rsidRPr="00EB388E">
            <w:fldChar w:fldCharType="end"/>
          </w:r>
        </w:p>
      </w:tc>
    </w:tr>
    <w:tr w:rsidR="00D64CC7" w:rsidRPr="00EB388E" w:rsidTr="004F1297">
      <w:trPr>
        <w:trHeight w:hRule="exact" w:val="403"/>
      </w:trPr>
      <w:tc>
        <w:tcPr>
          <w:tcW w:w="8164" w:type="dxa"/>
        </w:tcPr>
        <w:p w:rsidR="00D64CC7" w:rsidRPr="00090E70" w:rsidRDefault="00D64CC7" w:rsidP="0087390B"/>
      </w:tc>
      <w:tc>
        <w:tcPr>
          <w:tcW w:w="567" w:type="dxa"/>
          <w:tcMar>
            <w:bottom w:w="284" w:type="dxa"/>
          </w:tcMar>
        </w:tcPr>
        <w:p w:rsidR="00D64CC7" w:rsidRPr="00090E70" w:rsidRDefault="00D64CC7" w:rsidP="0087390B"/>
      </w:tc>
    </w:tr>
  </w:tbl>
  <w:p w:rsidR="00D64CC7" w:rsidRDefault="00D64CC7">
    <w:pPr>
      <w:pStyle w:val="Footer"/>
    </w:pPr>
  </w:p>
  <w:p w:rsidR="00D64CC7" w:rsidRPr="004816D7" w:rsidRDefault="00D64CC7" w:rsidP="004816D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4"/>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D64CC7" w:rsidRPr="00367A8E" w:rsidTr="00367A8E">
      <w:trPr>
        <w:trHeight w:val="340"/>
      </w:trPr>
      <w:tc>
        <w:tcPr>
          <w:tcW w:w="8164" w:type="dxa"/>
          <w:tcBorders>
            <w:right w:val="single" w:sz="4" w:space="0" w:color="788184" w:themeColor="background2"/>
          </w:tcBorders>
          <w:vAlign w:val="center"/>
        </w:tcPr>
        <w:p w:rsidR="00D64CC7" w:rsidRPr="00367A8E" w:rsidRDefault="00D64CC7" w:rsidP="00367A8E">
          <w:pPr>
            <w:spacing w:before="180" w:after="120" w:line="240" w:lineRule="auto"/>
            <w:ind w:left="397" w:right="397"/>
            <w:jc w:val="right"/>
            <w:rPr>
              <w:b/>
              <w:color w:val="788184" w:themeColor="background2"/>
              <w:spacing w:val="-2"/>
            </w:rPr>
          </w:pPr>
          <w:r>
            <w:rPr>
              <w:b/>
              <w:color w:val="788184" w:themeColor="background2"/>
              <w:spacing w:val="-2"/>
            </w:rPr>
            <w:fldChar w:fldCharType="begin"/>
          </w:r>
          <w:r>
            <w:rPr>
              <w:b/>
              <w:color w:val="788184" w:themeColor="background2"/>
              <w:spacing w:val="-2"/>
            </w:rPr>
            <w:instrText xml:space="preserve"> STYLEREF  "Heading 1 No Numbering"  \* MERGEFORMAT </w:instrText>
          </w:r>
          <w:r>
            <w:rPr>
              <w:b/>
              <w:color w:val="788184" w:themeColor="background2"/>
              <w:spacing w:val="-2"/>
            </w:rPr>
            <w:fldChar w:fldCharType="separate"/>
          </w:r>
          <w:r w:rsidR="004473A2">
            <w:rPr>
              <w:b/>
              <w:noProof/>
              <w:color w:val="788184" w:themeColor="background2"/>
              <w:spacing w:val="-2"/>
            </w:rPr>
            <w:t>Overview</w:t>
          </w:r>
          <w:r>
            <w:rPr>
              <w:b/>
              <w:color w:val="788184" w:themeColor="background2"/>
              <w:spacing w:val="-2"/>
            </w:rPr>
            <w:fldChar w:fldCharType="end"/>
          </w:r>
        </w:p>
      </w:tc>
      <w:tc>
        <w:tcPr>
          <w:tcW w:w="567" w:type="dxa"/>
          <w:tcBorders>
            <w:left w:val="single" w:sz="4" w:space="0" w:color="788184" w:themeColor="background2"/>
          </w:tcBorders>
          <w:vAlign w:val="center"/>
        </w:tcPr>
        <w:p w:rsidR="00D64CC7" w:rsidRPr="00367A8E" w:rsidRDefault="00D64CC7" w:rsidP="00367A8E">
          <w:pPr>
            <w:spacing w:before="180" w:after="120" w:line="240" w:lineRule="auto"/>
            <w:jc w:val="right"/>
            <w:rPr>
              <w:b/>
              <w:noProof/>
              <w:color w:val="788184" w:themeColor="background2"/>
            </w:rPr>
          </w:pPr>
          <w:r w:rsidRPr="00367A8E">
            <w:rPr>
              <w:b/>
              <w:noProof/>
              <w:color w:val="788184" w:themeColor="background2"/>
            </w:rPr>
            <w:fldChar w:fldCharType="begin"/>
          </w:r>
          <w:r w:rsidRPr="00367A8E">
            <w:rPr>
              <w:b/>
              <w:noProof/>
              <w:color w:val="788184" w:themeColor="background2"/>
            </w:rPr>
            <w:instrText xml:space="preserve"> PAGE   \* MERGEFORMAT </w:instrText>
          </w:r>
          <w:r w:rsidRPr="00367A8E">
            <w:rPr>
              <w:b/>
              <w:noProof/>
              <w:color w:val="788184" w:themeColor="background2"/>
            </w:rPr>
            <w:fldChar w:fldCharType="separate"/>
          </w:r>
          <w:r w:rsidR="004473A2">
            <w:rPr>
              <w:b/>
              <w:noProof/>
              <w:color w:val="788184" w:themeColor="background2"/>
            </w:rPr>
            <w:t>v</w:t>
          </w:r>
          <w:r w:rsidRPr="00367A8E">
            <w:rPr>
              <w:b/>
              <w:noProof/>
              <w:color w:val="788184" w:themeColor="background2"/>
            </w:rPr>
            <w:fldChar w:fldCharType="end"/>
          </w:r>
        </w:p>
      </w:tc>
    </w:tr>
    <w:tr w:rsidR="00D64CC7" w:rsidRPr="00367A8E" w:rsidTr="00367A8E">
      <w:trPr>
        <w:trHeight w:hRule="exact" w:val="403"/>
      </w:trPr>
      <w:tc>
        <w:tcPr>
          <w:tcW w:w="8164" w:type="dxa"/>
        </w:tcPr>
        <w:p w:rsidR="00D64CC7" w:rsidRPr="00367A8E" w:rsidRDefault="00D64CC7" w:rsidP="00367A8E"/>
      </w:tc>
      <w:tc>
        <w:tcPr>
          <w:tcW w:w="567" w:type="dxa"/>
          <w:tcMar>
            <w:bottom w:w="284" w:type="dxa"/>
          </w:tcMar>
        </w:tcPr>
        <w:p w:rsidR="00D64CC7" w:rsidRPr="00367A8E" w:rsidRDefault="00D64CC7" w:rsidP="00367A8E"/>
      </w:tc>
    </w:tr>
  </w:tbl>
  <w:p w:rsidR="00D64CC7" w:rsidRDefault="00D64CC7">
    <w:pPr>
      <w:pStyle w:val="Footer"/>
    </w:pPr>
  </w:p>
  <w:p w:rsidR="00D64CC7" w:rsidRPr="004816D7" w:rsidRDefault="00D64CC7" w:rsidP="004816D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2"/>
      <w:tblpPr w:bottomFromText="284"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D64CC7" w:rsidRPr="00367A8E" w:rsidTr="00367A8E">
      <w:trPr>
        <w:trHeight w:val="340"/>
      </w:trPr>
      <w:tc>
        <w:tcPr>
          <w:tcW w:w="567" w:type="dxa"/>
          <w:tcBorders>
            <w:right w:val="single" w:sz="4" w:space="0" w:color="788184" w:themeColor="background2"/>
          </w:tcBorders>
          <w:vAlign w:val="center"/>
        </w:tcPr>
        <w:p w:rsidR="00D64CC7" w:rsidRPr="00367A8E" w:rsidRDefault="00D64CC7" w:rsidP="00367A8E">
          <w:pPr>
            <w:spacing w:before="180" w:after="120" w:line="240" w:lineRule="auto"/>
            <w:ind w:right="57"/>
            <w:rPr>
              <w:b/>
              <w:color w:val="788184" w:themeColor="background2"/>
            </w:rPr>
          </w:pPr>
          <w:r>
            <w:rPr>
              <w:b/>
              <w:color w:val="788184" w:themeColor="background2"/>
            </w:rPr>
            <w:fldChar w:fldCharType="begin"/>
          </w:r>
          <w:r>
            <w:rPr>
              <w:b/>
              <w:color w:val="788184" w:themeColor="background2"/>
            </w:rPr>
            <w:instrText xml:space="preserve"> PAGE  \* Arabic  \* MERGEFORMAT </w:instrText>
          </w:r>
          <w:r>
            <w:rPr>
              <w:b/>
              <w:color w:val="788184" w:themeColor="background2"/>
            </w:rPr>
            <w:fldChar w:fldCharType="separate"/>
          </w:r>
          <w:r w:rsidR="004473A2">
            <w:rPr>
              <w:b/>
              <w:noProof/>
              <w:color w:val="788184" w:themeColor="background2"/>
            </w:rPr>
            <w:t>2</w:t>
          </w:r>
          <w:r>
            <w:rPr>
              <w:b/>
              <w:color w:val="788184" w:themeColor="background2"/>
            </w:rPr>
            <w:fldChar w:fldCharType="end"/>
          </w:r>
        </w:p>
      </w:tc>
      <w:tc>
        <w:tcPr>
          <w:tcW w:w="8164" w:type="dxa"/>
          <w:tcBorders>
            <w:left w:val="single" w:sz="4" w:space="0" w:color="788184" w:themeColor="background2"/>
          </w:tcBorders>
          <w:vAlign w:val="center"/>
        </w:tcPr>
        <w:p w:rsidR="00D64CC7" w:rsidRPr="00367A8E" w:rsidRDefault="00D64CC7" w:rsidP="001D36F0">
          <w:pPr>
            <w:spacing w:before="180" w:after="120" w:line="240" w:lineRule="auto"/>
            <w:ind w:left="397"/>
            <w:rPr>
              <w:b/>
              <w:color w:val="788184" w:themeColor="background2"/>
              <w:spacing w:val="-2"/>
            </w:rPr>
          </w:pPr>
          <w:r w:rsidRPr="00367A8E">
            <w:rPr>
              <w:b/>
              <w:color w:val="788184" w:themeColor="background2"/>
              <w:spacing w:val="-2"/>
            </w:rPr>
            <w:fldChar w:fldCharType="begin"/>
          </w:r>
          <w:r w:rsidRPr="00367A8E">
            <w:rPr>
              <w:b/>
              <w:color w:val="788184" w:themeColor="background2"/>
              <w:spacing w:val="-2"/>
            </w:rPr>
            <w:instrText xml:space="preserve"> STYLEREF  Title  \* MERGEFORMAT </w:instrText>
          </w:r>
          <w:r w:rsidRPr="00367A8E">
            <w:rPr>
              <w:b/>
              <w:color w:val="788184" w:themeColor="background2"/>
              <w:spacing w:val="-2"/>
            </w:rPr>
            <w:fldChar w:fldCharType="separate"/>
          </w:r>
          <w:r w:rsidR="004473A2">
            <w:rPr>
              <w:b/>
              <w:noProof/>
              <w:color w:val="788184" w:themeColor="background2"/>
              <w:spacing w:val="-2"/>
            </w:rPr>
            <w:t>What is a Parliamentary Budget Office costing?</w:t>
          </w:r>
          <w:r w:rsidRPr="00367A8E">
            <w:rPr>
              <w:b/>
              <w:noProof/>
              <w:color w:val="788184" w:themeColor="background2"/>
              <w:spacing w:val="-2"/>
            </w:rPr>
            <w:fldChar w:fldCharType="end"/>
          </w:r>
        </w:p>
      </w:tc>
    </w:tr>
    <w:tr w:rsidR="00D64CC7" w:rsidRPr="00367A8E" w:rsidTr="00367A8E">
      <w:trPr>
        <w:trHeight w:hRule="exact" w:val="403"/>
      </w:trPr>
      <w:tc>
        <w:tcPr>
          <w:tcW w:w="567" w:type="dxa"/>
          <w:tcMar>
            <w:bottom w:w="284" w:type="dxa"/>
          </w:tcMar>
        </w:tcPr>
        <w:p w:rsidR="00D64CC7" w:rsidRPr="00367A8E" w:rsidRDefault="00D64CC7" w:rsidP="00367A8E">
          <w:pPr>
            <w:spacing w:before="180" w:after="120" w:line="240" w:lineRule="auto"/>
            <w:jc w:val="right"/>
            <w:rPr>
              <w:b/>
              <w:noProof/>
              <w:color w:val="788184" w:themeColor="background2"/>
            </w:rPr>
          </w:pPr>
        </w:p>
      </w:tc>
      <w:tc>
        <w:tcPr>
          <w:tcW w:w="8164" w:type="dxa"/>
          <w:tcMar>
            <w:bottom w:w="284" w:type="dxa"/>
          </w:tcMar>
        </w:tcPr>
        <w:p w:rsidR="00D64CC7" w:rsidRPr="00367A8E" w:rsidRDefault="00D64CC7" w:rsidP="00367A8E"/>
      </w:tc>
    </w:tr>
  </w:tbl>
  <w:p w:rsidR="00D64CC7" w:rsidRDefault="00D64CC7">
    <w:pPr>
      <w:pStyle w:val="Footer"/>
    </w:pPr>
  </w:p>
  <w:p w:rsidR="00D64CC7" w:rsidRPr="004816D7" w:rsidRDefault="00D64CC7" w:rsidP="004816D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4"/>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D64CC7" w:rsidRPr="00367A8E" w:rsidTr="00367A8E">
      <w:trPr>
        <w:trHeight w:val="340"/>
      </w:trPr>
      <w:tc>
        <w:tcPr>
          <w:tcW w:w="8164" w:type="dxa"/>
          <w:tcBorders>
            <w:right w:val="single" w:sz="4" w:space="0" w:color="788184" w:themeColor="background2"/>
          </w:tcBorders>
          <w:vAlign w:val="center"/>
        </w:tcPr>
        <w:p w:rsidR="00D64CC7" w:rsidRPr="00367A8E" w:rsidRDefault="00D64CC7" w:rsidP="00367A8E">
          <w:pPr>
            <w:spacing w:before="180" w:after="120" w:line="240" w:lineRule="auto"/>
            <w:ind w:left="397" w:right="397"/>
            <w:jc w:val="right"/>
            <w:rPr>
              <w:b/>
              <w:color w:val="788184" w:themeColor="background2"/>
              <w:spacing w:val="-2"/>
            </w:rPr>
          </w:pPr>
          <w:r>
            <w:rPr>
              <w:b/>
              <w:color w:val="788184" w:themeColor="background2"/>
              <w:spacing w:val="-2"/>
            </w:rPr>
            <w:fldChar w:fldCharType="begin"/>
          </w:r>
          <w:r>
            <w:rPr>
              <w:b/>
              <w:color w:val="788184" w:themeColor="background2"/>
              <w:spacing w:val="-2"/>
            </w:rPr>
            <w:instrText xml:space="preserve"> STYLEREF  "Heading 1"  \* MERGEFORMAT </w:instrText>
          </w:r>
          <w:r>
            <w:rPr>
              <w:b/>
              <w:color w:val="788184" w:themeColor="background2"/>
              <w:spacing w:val="-2"/>
            </w:rPr>
            <w:fldChar w:fldCharType="separate"/>
          </w:r>
          <w:r w:rsidR="004473A2">
            <w:rPr>
              <w:b/>
              <w:noProof/>
              <w:color w:val="788184" w:themeColor="background2"/>
              <w:spacing w:val="-2"/>
            </w:rPr>
            <w:t>The role of costings in the policy debate</w:t>
          </w:r>
          <w:r>
            <w:rPr>
              <w:b/>
              <w:color w:val="788184" w:themeColor="background2"/>
              <w:spacing w:val="-2"/>
            </w:rPr>
            <w:fldChar w:fldCharType="end"/>
          </w:r>
        </w:p>
      </w:tc>
      <w:tc>
        <w:tcPr>
          <w:tcW w:w="567" w:type="dxa"/>
          <w:tcBorders>
            <w:left w:val="single" w:sz="4" w:space="0" w:color="788184" w:themeColor="background2"/>
          </w:tcBorders>
          <w:vAlign w:val="center"/>
        </w:tcPr>
        <w:p w:rsidR="00D64CC7" w:rsidRPr="00367A8E" w:rsidRDefault="00D64CC7" w:rsidP="00367A8E">
          <w:pPr>
            <w:spacing w:before="180" w:after="120" w:line="240" w:lineRule="auto"/>
            <w:jc w:val="right"/>
            <w:rPr>
              <w:b/>
              <w:noProof/>
              <w:color w:val="788184" w:themeColor="background2"/>
            </w:rPr>
          </w:pPr>
          <w:r w:rsidRPr="00367A8E">
            <w:rPr>
              <w:b/>
              <w:noProof/>
              <w:color w:val="788184" w:themeColor="background2"/>
            </w:rPr>
            <w:fldChar w:fldCharType="begin"/>
          </w:r>
          <w:r w:rsidRPr="00367A8E">
            <w:rPr>
              <w:b/>
              <w:noProof/>
              <w:color w:val="788184" w:themeColor="background2"/>
            </w:rPr>
            <w:instrText xml:space="preserve"> PAGE   \* MERGEFORMAT </w:instrText>
          </w:r>
          <w:r w:rsidRPr="00367A8E">
            <w:rPr>
              <w:b/>
              <w:noProof/>
              <w:color w:val="788184" w:themeColor="background2"/>
            </w:rPr>
            <w:fldChar w:fldCharType="separate"/>
          </w:r>
          <w:r w:rsidR="004473A2">
            <w:rPr>
              <w:b/>
              <w:noProof/>
              <w:color w:val="788184" w:themeColor="background2"/>
            </w:rPr>
            <w:t>3</w:t>
          </w:r>
          <w:r w:rsidRPr="00367A8E">
            <w:rPr>
              <w:b/>
              <w:noProof/>
              <w:color w:val="788184" w:themeColor="background2"/>
            </w:rPr>
            <w:fldChar w:fldCharType="end"/>
          </w:r>
        </w:p>
      </w:tc>
    </w:tr>
    <w:tr w:rsidR="00D64CC7" w:rsidRPr="00367A8E" w:rsidTr="00367A8E">
      <w:trPr>
        <w:trHeight w:hRule="exact" w:val="403"/>
      </w:trPr>
      <w:tc>
        <w:tcPr>
          <w:tcW w:w="8164" w:type="dxa"/>
        </w:tcPr>
        <w:p w:rsidR="00D64CC7" w:rsidRPr="00367A8E" w:rsidRDefault="00D64CC7" w:rsidP="00367A8E"/>
      </w:tc>
      <w:tc>
        <w:tcPr>
          <w:tcW w:w="567" w:type="dxa"/>
          <w:tcMar>
            <w:bottom w:w="284" w:type="dxa"/>
          </w:tcMar>
        </w:tcPr>
        <w:p w:rsidR="00D64CC7" w:rsidRPr="00367A8E" w:rsidRDefault="00D64CC7" w:rsidP="00367A8E"/>
      </w:tc>
    </w:tr>
  </w:tbl>
  <w:p w:rsidR="00D64CC7" w:rsidRDefault="00D64CC7">
    <w:pPr>
      <w:pStyle w:val="Footer"/>
    </w:pPr>
  </w:p>
  <w:p w:rsidR="00D64CC7" w:rsidRPr="004816D7" w:rsidRDefault="00D64CC7" w:rsidP="004816D7">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4"/>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D64CC7" w:rsidRPr="00367A8E" w:rsidTr="00367A8E">
      <w:trPr>
        <w:trHeight w:val="340"/>
      </w:trPr>
      <w:tc>
        <w:tcPr>
          <w:tcW w:w="8164" w:type="dxa"/>
          <w:tcBorders>
            <w:right w:val="single" w:sz="4" w:space="0" w:color="788184" w:themeColor="background2"/>
          </w:tcBorders>
          <w:vAlign w:val="center"/>
        </w:tcPr>
        <w:p w:rsidR="00D64CC7" w:rsidRPr="00367A8E" w:rsidRDefault="00D64CC7" w:rsidP="00125669">
          <w:pPr>
            <w:spacing w:before="180" w:after="120" w:line="240" w:lineRule="auto"/>
            <w:ind w:left="397" w:right="397"/>
            <w:jc w:val="right"/>
            <w:rPr>
              <w:b/>
              <w:color w:val="788184" w:themeColor="background2"/>
              <w:spacing w:val="-2"/>
            </w:rPr>
          </w:pPr>
          <w:r>
            <w:rPr>
              <w:b/>
              <w:color w:val="788184" w:themeColor="background2"/>
              <w:spacing w:val="-2"/>
            </w:rPr>
            <w:fldChar w:fldCharType="begin"/>
          </w:r>
          <w:r>
            <w:rPr>
              <w:b/>
              <w:color w:val="788184" w:themeColor="background2"/>
              <w:spacing w:val="-2"/>
            </w:rPr>
            <w:instrText xml:space="preserve"> STYLEREF  "Heading 1 No Numbering"  \* MERGEFORMAT </w:instrText>
          </w:r>
          <w:r>
            <w:rPr>
              <w:b/>
              <w:color w:val="788184" w:themeColor="background2"/>
              <w:spacing w:val="-2"/>
            </w:rPr>
            <w:fldChar w:fldCharType="separate"/>
          </w:r>
          <w:r w:rsidR="004473A2">
            <w:rPr>
              <w:b/>
              <w:noProof/>
              <w:color w:val="788184" w:themeColor="background2"/>
              <w:spacing w:val="-2"/>
            </w:rPr>
            <w:t>Appendix A: Examples of costing minutes</w:t>
          </w:r>
          <w:r>
            <w:rPr>
              <w:b/>
              <w:color w:val="788184" w:themeColor="background2"/>
              <w:spacing w:val="-2"/>
            </w:rPr>
            <w:fldChar w:fldCharType="end"/>
          </w:r>
        </w:p>
      </w:tc>
      <w:tc>
        <w:tcPr>
          <w:tcW w:w="567" w:type="dxa"/>
          <w:tcBorders>
            <w:left w:val="single" w:sz="4" w:space="0" w:color="788184" w:themeColor="background2"/>
          </w:tcBorders>
          <w:vAlign w:val="center"/>
        </w:tcPr>
        <w:p w:rsidR="00D64CC7" w:rsidRPr="00367A8E" w:rsidRDefault="00D64CC7" w:rsidP="00367A8E">
          <w:pPr>
            <w:spacing w:before="180" w:after="120" w:line="240" w:lineRule="auto"/>
            <w:jc w:val="right"/>
            <w:rPr>
              <w:b/>
              <w:noProof/>
              <w:color w:val="788184" w:themeColor="background2"/>
            </w:rPr>
          </w:pPr>
          <w:r w:rsidRPr="00367A8E">
            <w:rPr>
              <w:b/>
              <w:noProof/>
              <w:color w:val="788184" w:themeColor="background2"/>
            </w:rPr>
            <w:fldChar w:fldCharType="begin"/>
          </w:r>
          <w:r w:rsidRPr="00367A8E">
            <w:rPr>
              <w:b/>
              <w:noProof/>
              <w:color w:val="788184" w:themeColor="background2"/>
            </w:rPr>
            <w:instrText xml:space="preserve"> PAGE   \* MERGEFORMAT </w:instrText>
          </w:r>
          <w:r w:rsidRPr="00367A8E">
            <w:rPr>
              <w:b/>
              <w:noProof/>
              <w:color w:val="788184" w:themeColor="background2"/>
            </w:rPr>
            <w:fldChar w:fldCharType="separate"/>
          </w:r>
          <w:r w:rsidR="004473A2">
            <w:rPr>
              <w:b/>
              <w:noProof/>
              <w:color w:val="788184" w:themeColor="background2"/>
            </w:rPr>
            <w:t>23</w:t>
          </w:r>
          <w:r w:rsidRPr="00367A8E">
            <w:rPr>
              <w:b/>
              <w:noProof/>
              <w:color w:val="788184" w:themeColor="background2"/>
            </w:rPr>
            <w:fldChar w:fldCharType="end"/>
          </w:r>
        </w:p>
      </w:tc>
    </w:tr>
    <w:tr w:rsidR="00D64CC7" w:rsidRPr="00367A8E" w:rsidTr="00367A8E">
      <w:trPr>
        <w:trHeight w:hRule="exact" w:val="403"/>
      </w:trPr>
      <w:tc>
        <w:tcPr>
          <w:tcW w:w="8164" w:type="dxa"/>
        </w:tcPr>
        <w:p w:rsidR="00D64CC7" w:rsidRPr="00367A8E" w:rsidRDefault="00D64CC7" w:rsidP="00367A8E"/>
      </w:tc>
      <w:tc>
        <w:tcPr>
          <w:tcW w:w="567" w:type="dxa"/>
          <w:tcMar>
            <w:bottom w:w="284" w:type="dxa"/>
          </w:tcMar>
        </w:tcPr>
        <w:p w:rsidR="00D64CC7" w:rsidRPr="00367A8E" w:rsidRDefault="00D64CC7" w:rsidP="00367A8E"/>
      </w:tc>
    </w:tr>
  </w:tbl>
  <w:p w:rsidR="00D64CC7" w:rsidRDefault="00D64CC7">
    <w:pPr>
      <w:pStyle w:val="Footer"/>
    </w:pPr>
  </w:p>
  <w:p w:rsidR="00D64CC7" w:rsidRPr="004816D7" w:rsidRDefault="00D64CC7" w:rsidP="004816D7">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2"/>
      <w:tblpPr w:bottomFromText="284"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D64CC7" w:rsidRPr="00367A8E" w:rsidTr="00AA1CAF">
      <w:trPr>
        <w:trHeight w:val="340"/>
      </w:trPr>
      <w:tc>
        <w:tcPr>
          <w:tcW w:w="567" w:type="dxa"/>
          <w:tcBorders>
            <w:right w:val="single" w:sz="4" w:space="0" w:color="788184" w:themeColor="background2"/>
          </w:tcBorders>
          <w:vAlign w:val="center"/>
        </w:tcPr>
        <w:p w:rsidR="00D64CC7" w:rsidRPr="00367A8E" w:rsidRDefault="00D64CC7" w:rsidP="00AA1CAF">
          <w:pPr>
            <w:spacing w:before="180" w:after="120" w:line="240" w:lineRule="auto"/>
            <w:ind w:right="57"/>
            <w:rPr>
              <w:b/>
              <w:color w:val="788184" w:themeColor="background2"/>
            </w:rPr>
          </w:pPr>
          <w:r w:rsidRPr="00367A8E">
            <w:rPr>
              <w:b/>
              <w:color w:val="788184" w:themeColor="background2"/>
            </w:rPr>
            <w:fldChar w:fldCharType="begin"/>
          </w:r>
          <w:r w:rsidRPr="00367A8E">
            <w:rPr>
              <w:b/>
              <w:color w:val="788184" w:themeColor="background2"/>
            </w:rPr>
            <w:instrText xml:space="preserve"> PAGE   \* MERGEFORMAT </w:instrText>
          </w:r>
          <w:r w:rsidRPr="00367A8E">
            <w:rPr>
              <w:b/>
              <w:color w:val="788184" w:themeColor="background2"/>
            </w:rPr>
            <w:fldChar w:fldCharType="separate"/>
          </w:r>
          <w:r>
            <w:rPr>
              <w:b/>
              <w:noProof/>
              <w:color w:val="788184" w:themeColor="background2"/>
            </w:rPr>
            <w:t>23</w:t>
          </w:r>
          <w:r w:rsidRPr="00367A8E">
            <w:rPr>
              <w:b/>
              <w:color w:val="788184" w:themeColor="background2"/>
            </w:rPr>
            <w:fldChar w:fldCharType="end"/>
          </w:r>
        </w:p>
      </w:tc>
      <w:tc>
        <w:tcPr>
          <w:tcW w:w="8164" w:type="dxa"/>
          <w:tcBorders>
            <w:left w:val="single" w:sz="4" w:space="0" w:color="788184" w:themeColor="background2"/>
          </w:tcBorders>
          <w:vAlign w:val="center"/>
        </w:tcPr>
        <w:p w:rsidR="00D64CC7" w:rsidRPr="00367A8E" w:rsidRDefault="00D64CC7" w:rsidP="00AA1CAF">
          <w:pPr>
            <w:spacing w:before="180" w:after="120" w:line="240" w:lineRule="auto"/>
            <w:ind w:left="397"/>
            <w:rPr>
              <w:b/>
              <w:color w:val="788184" w:themeColor="background2"/>
              <w:spacing w:val="-2"/>
            </w:rPr>
          </w:pPr>
          <w:r w:rsidRPr="00367A8E">
            <w:rPr>
              <w:b/>
              <w:color w:val="788184" w:themeColor="background2"/>
              <w:spacing w:val="-2"/>
            </w:rPr>
            <w:fldChar w:fldCharType="begin"/>
          </w:r>
          <w:r w:rsidRPr="00367A8E">
            <w:rPr>
              <w:b/>
              <w:color w:val="788184" w:themeColor="background2"/>
              <w:spacing w:val="-2"/>
            </w:rPr>
            <w:instrText xml:space="preserve"> STYLEREF  Title  \* MERGEFORMAT </w:instrText>
          </w:r>
          <w:r w:rsidRPr="00367A8E">
            <w:rPr>
              <w:b/>
              <w:color w:val="788184" w:themeColor="background2"/>
              <w:spacing w:val="-2"/>
            </w:rPr>
            <w:fldChar w:fldCharType="separate"/>
          </w:r>
          <w:r w:rsidR="001024B6">
            <w:rPr>
              <w:b/>
              <w:noProof/>
              <w:color w:val="788184" w:themeColor="background2"/>
              <w:spacing w:val="-2"/>
            </w:rPr>
            <w:t>What is a Parliamentary Budget Office costing?</w:t>
          </w:r>
          <w:r w:rsidRPr="00367A8E">
            <w:rPr>
              <w:b/>
              <w:noProof/>
              <w:color w:val="788184" w:themeColor="background2"/>
              <w:spacing w:val="-2"/>
            </w:rPr>
            <w:fldChar w:fldCharType="end"/>
          </w:r>
        </w:p>
      </w:tc>
    </w:tr>
    <w:tr w:rsidR="00D64CC7" w:rsidRPr="00367A8E" w:rsidTr="00AA1CAF">
      <w:trPr>
        <w:trHeight w:hRule="exact" w:val="403"/>
      </w:trPr>
      <w:tc>
        <w:tcPr>
          <w:tcW w:w="567" w:type="dxa"/>
          <w:tcMar>
            <w:bottom w:w="284" w:type="dxa"/>
          </w:tcMar>
        </w:tcPr>
        <w:p w:rsidR="00D64CC7" w:rsidRPr="00367A8E" w:rsidRDefault="00D64CC7" w:rsidP="00AA1CAF">
          <w:pPr>
            <w:spacing w:before="180" w:after="120" w:line="240" w:lineRule="auto"/>
            <w:jc w:val="right"/>
            <w:rPr>
              <w:b/>
              <w:noProof/>
              <w:color w:val="788184" w:themeColor="background2"/>
            </w:rPr>
          </w:pPr>
        </w:p>
      </w:tc>
      <w:tc>
        <w:tcPr>
          <w:tcW w:w="8164" w:type="dxa"/>
          <w:tcMar>
            <w:bottom w:w="284" w:type="dxa"/>
          </w:tcMar>
        </w:tcPr>
        <w:p w:rsidR="00D64CC7" w:rsidRPr="00367A8E" w:rsidRDefault="00D64CC7" w:rsidP="00AA1CAF"/>
      </w:tc>
    </w:tr>
  </w:tbl>
  <w:p w:rsidR="00D64CC7" w:rsidRPr="001D36F0" w:rsidRDefault="00D64CC7">
    <w:pPr>
      <w:pStyle w:val="Footer"/>
      <w:rPr>
        <w:b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CC7" w:rsidRPr="000557A7" w:rsidRDefault="00D64CC7" w:rsidP="008D5A11">
      <w:pPr>
        <w:pBdr>
          <w:top w:val="single" w:sz="4" w:space="1" w:color="auto"/>
        </w:pBdr>
        <w:spacing w:before="240" w:line="60" w:lineRule="exact"/>
        <w:rPr>
          <w:sz w:val="16"/>
          <w:szCs w:val="16"/>
        </w:rPr>
      </w:pPr>
    </w:p>
  </w:footnote>
  <w:footnote w:type="continuationSeparator" w:id="0">
    <w:p w:rsidR="00D64CC7" w:rsidRDefault="00D64CC7" w:rsidP="00A20802">
      <w:pPr>
        <w:spacing w:line="240" w:lineRule="auto"/>
      </w:pPr>
      <w:r>
        <w:continuationSeparator/>
      </w:r>
    </w:p>
    <w:p w:rsidR="00D64CC7" w:rsidRDefault="00D64CC7"/>
  </w:footnote>
  <w:footnote w:id="1">
    <w:p w:rsidR="00D64CC7" w:rsidRPr="00AA6CAC" w:rsidRDefault="00D64CC7">
      <w:pPr>
        <w:pStyle w:val="FootnoteText"/>
      </w:pPr>
      <w:r w:rsidRPr="00AA6CAC">
        <w:footnoteRef/>
      </w:r>
      <w:r>
        <w:tab/>
      </w:r>
      <w:r w:rsidRPr="00AA6CAC">
        <w:t xml:space="preserve">These </w:t>
      </w:r>
      <w:r>
        <w:t xml:space="preserve">categories reflect the costing </w:t>
      </w:r>
      <w:r w:rsidRPr="00AA6CAC">
        <w:t xml:space="preserve">functions set out in the </w:t>
      </w:r>
      <w:r w:rsidRPr="00AA6CAC">
        <w:rPr>
          <w:i/>
        </w:rPr>
        <w:t>Parliamentary Service Act 1999.</w:t>
      </w:r>
    </w:p>
  </w:footnote>
  <w:footnote w:id="2">
    <w:p w:rsidR="00D64CC7" w:rsidRPr="00C37B76" w:rsidRDefault="00D64CC7">
      <w:pPr>
        <w:pStyle w:val="FootnoteText"/>
      </w:pPr>
      <w:r w:rsidRPr="00C37B76">
        <w:footnoteRef/>
      </w:r>
      <w:r>
        <w:tab/>
      </w:r>
      <w:r w:rsidRPr="00C37B76">
        <w:t>A designated parliamentary party means a party with at least five members in the Parliament immediately before the commencement of the caretaker period for a general election.</w:t>
      </w:r>
    </w:p>
  </w:footnote>
  <w:footnote w:id="3">
    <w:p w:rsidR="00D64CC7" w:rsidRDefault="00D64CC7" w:rsidP="00A84DAA">
      <w:pPr>
        <w:pStyle w:val="FootnoteText"/>
      </w:pPr>
      <w:r w:rsidRPr="004F65DE">
        <w:rPr>
          <w:rStyle w:val="FootnoteReference"/>
          <w:vertAlign w:val="baseline"/>
        </w:rPr>
        <w:footnoteRef/>
      </w:r>
      <w:r w:rsidRPr="004F65DE">
        <w:t xml:space="preserve"> </w:t>
      </w:r>
      <w:r>
        <w:tab/>
        <w:t xml:space="preserve">See the </w:t>
      </w:r>
      <w:r w:rsidRPr="001A7EEE">
        <w:rPr>
          <w:i/>
          <w:u w:val="single"/>
        </w:rPr>
        <w:t>Charter of Budget Honesty Policy Costing Guidelines</w:t>
      </w:r>
      <w:r>
        <w:t>, 2016, Commonwealth of Australia 2016.</w:t>
      </w:r>
    </w:p>
  </w:footnote>
  <w:footnote w:id="4">
    <w:p w:rsidR="00D64CC7" w:rsidRPr="00AA6CAC" w:rsidRDefault="00D64CC7" w:rsidP="00363562">
      <w:pPr>
        <w:pStyle w:val="FootnoteText"/>
        <w:spacing w:before="40" w:line="240" w:lineRule="exact"/>
      </w:pPr>
      <w:r w:rsidRPr="00AA6CAC">
        <w:footnoteRef/>
      </w:r>
      <w:r>
        <w:tab/>
      </w:r>
      <w:r w:rsidRPr="00AA6CAC">
        <w:t xml:space="preserve">The Economic and Fiscal Outlook is generally updated twice a year, at Budget (in early May) and at the </w:t>
      </w:r>
      <w:r>
        <w:br/>
      </w:r>
      <w:r w:rsidRPr="00AA6CAC">
        <w:t>Mid</w:t>
      </w:r>
      <w:r>
        <w:t>-</w:t>
      </w:r>
      <w:r w:rsidRPr="00AA6CAC">
        <w:t xml:space="preserve">Year Economic and Fiscal Outlook (MYEFO) update (late in the year).  </w:t>
      </w:r>
      <w:proofErr w:type="gramStart"/>
      <w:r w:rsidRPr="00AA6CAC">
        <w:t>An updated Outlook, the</w:t>
      </w:r>
      <w:r w:rsidR="00363562">
        <w:t xml:space="preserve"> </w:t>
      </w:r>
      <w:r w:rsidR="00363562">
        <w:br/>
      </w:r>
      <w:r w:rsidRPr="00AA6CAC">
        <w:t xml:space="preserve">Pre-Election Economic and Fiscal Outlook (PEFO), </w:t>
      </w:r>
      <w:r w:rsidR="00363562">
        <w:t>within 10 days after the issue of a writ for a general election</w:t>
      </w:r>
      <w:r w:rsidRPr="00AA6CAC">
        <w:t>.</w:t>
      </w:r>
      <w:proofErr w:type="gramEnd"/>
    </w:p>
  </w:footnote>
  <w:footnote w:id="5">
    <w:p w:rsidR="00D64CC7" w:rsidRPr="00C37B76" w:rsidRDefault="00D64CC7">
      <w:pPr>
        <w:pStyle w:val="FootnoteText"/>
      </w:pPr>
      <w:r w:rsidRPr="00700053">
        <w:footnoteRef/>
      </w:r>
      <w:r>
        <w:tab/>
      </w:r>
      <w:r w:rsidRPr="00AA6CAC">
        <w:t>The PBO can also prepare responses to requests for budget analysis that compare a policy proposal with a baseline that is different from the most recent budget update.  For example the baseline could be determined by a piece of legislation that was passed after the most recent update, changing the baseline from what was assumed in the budget update.  Such analyses are called ‘budget analysis’ rather than ‘costings’―they cannot be directly added to line items from the most recent budget update.</w:t>
      </w:r>
    </w:p>
  </w:footnote>
  <w:footnote w:id="6">
    <w:p w:rsidR="00D64CC7" w:rsidRPr="00AA6CAC" w:rsidRDefault="00D64CC7">
      <w:pPr>
        <w:pStyle w:val="FootnoteText"/>
      </w:pPr>
      <w:r w:rsidRPr="00AA6CAC">
        <w:footnoteRef/>
      </w:r>
      <w:r w:rsidRPr="00AA6CAC">
        <w:t xml:space="preserve"> </w:t>
      </w:r>
      <w:r>
        <w:tab/>
      </w:r>
      <w:r w:rsidRPr="00AA6CAC">
        <w:t>The principal exceptions have been costings of policies which have a measurable direct impact on the consumer price index (CPI) which would flow automatically through to indexed welfare benefits and certain excise revenues, where these automatic flow</w:t>
      </w:r>
      <w:r>
        <w:noBreakHyphen/>
      </w:r>
      <w:r w:rsidRPr="00AA6CAC">
        <w:t>through effects have been included in the costing estimates.</w:t>
      </w:r>
    </w:p>
  </w:footnote>
  <w:footnote w:id="7">
    <w:p w:rsidR="00D64CC7" w:rsidRPr="00003EE0" w:rsidRDefault="00D64CC7">
      <w:pPr>
        <w:pStyle w:val="FootnoteText"/>
        <w:rPr>
          <w:i/>
        </w:rPr>
      </w:pPr>
      <w:r>
        <w:rPr>
          <w:rStyle w:val="FootnoteReference"/>
          <w:vertAlign w:val="baseline"/>
        </w:rPr>
        <w:t>7</w:t>
      </w:r>
      <w:r w:rsidRPr="00003EE0">
        <w:rPr>
          <w:rStyle w:val="FootnoteReference"/>
        </w:rPr>
        <w:tab/>
      </w:r>
      <w:r>
        <w:t xml:space="preserve">See PBO Guidance 01/2013, </w:t>
      </w:r>
      <w:r>
        <w:rPr>
          <w:i/>
        </w:rPr>
        <w:t>Costing of policy proposals at the request of a parliamentarian or political party that are attributed to another parliamentarian or political party.</w:t>
      </w:r>
    </w:p>
  </w:footnote>
  <w:footnote w:id="8">
    <w:p w:rsidR="00D64CC7" w:rsidRPr="00D02CA3" w:rsidRDefault="00D64CC7" w:rsidP="00EA647B">
      <w:pPr>
        <w:pStyle w:val="FootnoteText"/>
        <w:rPr>
          <w:lang w:val="en-US"/>
        </w:rPr>
      </w:pPr>
      <w:r>
        <w:rPr>
          <w:rStyle w:val="FootnoteReference"/>
          <w:vertAlign w:val="baseline"/>
        </w:rPr>
        <w:t>8</w:t>
      </w:r>
      <w:r w:rsidRPr="004F65DE">
        <w:t xml:space="preserve"> </w:t>
      </w:r>
      <w:r>
        <w:tab/>
        <w:t xml:space="preserve">For further details, see PBO information paper 01/2017, </w:t>
      </w:r>
      <w:r w:rsidRPr="005265C8">
        <w:rPr>
          <w:i/>
        </w:rPr>
        <w:t>Factors influencing the reliability of policy proposal costings</w:t>
      </w:r>
      <w:r w:rsidRPr="00815CE1">
        <w:rPr>
          <w:i/>
          <w:iCs/>
          <w:sz w:val="22"/>
        </w:rPr>
        <w:t>.</w:t>
      </w:r>
    </w:p>
  </w:footnote>
  <w:footnote w:id="9">
    <w:p w:rsidR="00D64CC7" w:rsidRPr="004962D9" w:rsidRDefault="00536D14" w:rsidP="004324D8">
      <w:pPr>
        <w:pStyle w:val="FootnoteText"/>
      </w:pPr>
      <w:r>
        <w:t>9</w:t>
      </w:r>
      <w:r w:rsidR="00D64CC7">
        <w:tab/>
        <w:t xml:space="preserve">The 2017 Independent Review of the PBO recommended establishing a panel of external experts that the PBO could consult on cross-cutting issues associated with policy costings and recommended that a selection of policy costings are periodically evaluated to identify areas for improvement.  Both of these recommendations are in the process of being implemented.  </w:t>
      </w:r>
    </w:p>
  </w:footnote>
  <w:footnote w:id="10">
    <w:p w:rsidR="00D64CC7" w:rsidRPr="0066026A" w:rsidRDefault="00D64CC7" w:rsidP="00EA647B">
      <w:pPr>
        <w:pStyle w:val="FootnoteText"/>
      </w:pPr>
      <w:r>
        <w:t>1</w:t>
      </w:r>
      <w:r w:rsidR="00536D14">
        <w:t>0</w:t>
      </w:r>
      <w:r>
        <w:tab/>
        <w:t xml:space="preserve">In the 2017–18 Budget, the Government placed a greater focus on the net operating balance to provide more information on the state of recurrent budget revenue and expenditure.  </w:t>
      </w:r>
      <w:r w:rsidRPr="0066026A">
        <w:t>The net operating balance is an accrual measure of revenue less expenses (including the depreciation of prior capital investment)</w:t>
      </w:r>
      <w:r>
        <w:t xml:space="preserve">.  </w:t>
      </w:r>
      <w:r w:rsidRPr="0066026A">
        <w:t xml:space="preserve">It does not include net new capital investment (such as spending on infrastructure or defence assets) as does the </w:t>
      </w:r>
      <w:r>
        <w:t xml:space="preserve">fiscal balance and </w:t>
      </w:r>
      <w:r w:rsidRPr="0066026A">
        <w:t>underlying cash balance.</w:t>
      </w:r>
    </w:p>
  </w:footnote>
  <w:footnote w:id="11">
    <w:p w:rsidR="00D64CC7" w:rsidRPr="00D1075C" w:rsidRDefault="00D64CC7" w:rsidP="00367A8E">
      <w:pPr>
        <w:pStyle w:val="FootnoteText"/>
        <w:spacing w:after="240"/>
      </w:pPr>
      <w:r>
        <w:rPr>
          <w:rStyle w:val="FootnoteReference"/>
          <w:vertAlign w:val="baseline"/>
        </w:rPr>
        <w:t>1</w:t>
      </w:r>
      <w:r w:rsidR="00536D14">
        <w:t>1</w:t>
      </w:r>
      <w:r>
        <w:t xml:space="preserve"> </w:t>
      </w:r>
      <w:r>
        <w:tab/>
        <w:t>See PBO guidance note 02/2015,</w:t>
      </w:r>
      <w:r w:rsidRPr="00166DEE">
        <w:t xml:space="preserve"> </w:t>
      </w:r>
      <w:r w:rsidRPr="001A7EEE">
        <w:rPr>
          <w:i/>
          <w:u w:val="single"/>
        </w:rPr>
        <w:t>Public Debt Interest (PDI) payments in PBO costings</w:t>
      </w:r>
      <w:r w:rsidRPr="00D1075C">
        <w:t xml:space="preserve"> </w:t>
      </w:r>
      <w:r>
        <w:t xml:space="preserve">and </w:t>
      </w:r>
      <w:r w:rsidRPr="008C4140">
        <w:t xml:space="preserve">the </w:t>
      </w:r>
      <w:r w:rsidRPr="00C75896">
        <w:rPr>
          <w:i/>
        </w:rPr>
        <w:t>Charter of Budget Honesty Policy Costing Guidelines</w:t>
      </w:r>
      <w:r w:rsidRPr="008C4140">
        <w:t xml:space="preserve"> </w:t>
      </w:r>
      <w:r>
        <w:t>for further details on how the PBO treats PDI effects of costings.</w:t>
      </w:r>
    </w:p>
  </w:footnote>
  <w:footnote w:id="12">
    <w:p w:rsidR="00D64CC7" w:rsidRPr="00923E28" w:rsidRDefault="00D64CC7" w:rsidP="00723252">
      <w:pPr>
        <w:pStyle w:val="FootnoteText"/>
      </w:pPr>
      <w:r>
        <w:rPr>
          <w:rStyle w:val="FootnoteReference"/>
          <w:vertAlign w:val="baseline"/>
        </w:rPr>
        <w:t>1</w:t>
      </w:r>
      <w:r>
        <w:tab/>
      </w:r>
      <w:proofErr w:type="gramStart"/>
      <w:r w:rsidRPr="00923E28">
        <w:t>A taxable</w:t>
      </w:r>
      <w:proofErr w:type="gramEnd"/>
      <w:r w:rsidRPr="00923E28">
        <w:t xml:space="preserve"> income elasticity is a measure of the responsiveness of taxable income to changes in after-tax income.  An increase in tax will result in a decrease in after-tax income.  An elasticity of 0.2 means that a 1</w:t>
      </w:r>
      <w:r>
        <w:t> </w:t>
      </w:r>
      <w:r w:rsidRPr="00923E28">
        <w:t>per cent decrease in the net-of-tax rate (the proportion of each additional dollar kept as take-home income) results in a 0.2 per cent decrease in taxable income.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CC7" w:rsidRDefault="00D64CC7">
    <w:pPr>
      <w:pStyle w:val="Header"/>
    </w:pPr>
    <w:r>
      <w:rPr>
        <w:noProof/>
        <w:lang w:eastAsia="en-AU"/>
      </w:rPr>
      <mc:AlternateContent>
        <mc:Choice Requires="wps">
          <w:drawing>
            <wp:anchor distT="0" distB="0" distL="114300" distR="114300" simplePos="0" relativeHeight="251663360" behindDoc="1" locked="1" layoutInCell="1" allowOverlap="1" wp14:anchorId="326E1BA7" wp14:editId="4527B1AE">
              <wp:simplePos x="0" y="0"/>
              <wp:positionH relativeFrom="page">
                <wp:align>center</wp:align>
              </wp:positionH>
              <wp:positionV relativeFrom="page">
                <wp:align>center</wp:align>
              </wp:positionV>
              <wp:extent cx="7560000" cy="1796400"/>
              <wp:effectExtent l="0" t="0" r="0" b="0"/>
              <wp:wrapNone/>
              <wp:docPr id="2"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CC7" w:rsidRPr="0001226A" w:rsidRDefault="00D64CC7"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separate"/>
                          </w:r>
                          <w:r w:rsidR="001024B6">
                            <w:rPr>
                              <w:szCs w:val="120"/>
                            </w:rPr>
                            <w:t>DRAFT</w: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7" o:spid="_x0000_s1030" type="#_x0000_t202" style="position:absolute;margin-left:0;margin-top:0;width:595.3pt;height:141.45pt;z-index:-25165312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UIOtgIAALwFAAAOAAAAZHJzL2Uyb0RvYy54bWysVNuOmzAQfa/Uf7D8znKpEwJastoNoaq0&#10;vUi7/QAHTLAKNrWdwLbqv3dsctutKlVteUC2Z3xmzszxXN+MXYv2TGkuRYbDqwAjJkpZcbHN8OfH&#10;wltgpA0VFW2lYBl+YhrfLF+/uh76lEWykW3FFAIQodOhz3BjTJ/6vi4b1lF9JXsmwFhL1VEDW7X1&#10;K0UHQO9aPwqCuT9IVfVKlkxrOM0nI146/LpmpflY15oZ1GYYcjPur9x/Y//+8pqmW0X7hpeHNOhf&#10;ZNFRLiDoCSqnhqKd4r9AdbxUUsvaXJWy82Vd85I5DsAmDF6weWhozxwXKI7uT2XS/w+2/LD/pBCv&#10;MhxhJGgHLXpko0F3ckRRGNv6DL1Owe2hB0czggH67Ljq/l6WXzQSctVQsWW3SsmhYbSC/EJ707+4&#10;OuFoC7IZ3ssKAtGdkQ5orFVniwflQIAOfXo69cYmU8JhPJsH8GFUgi2MkzmBjY1B0+P1XmnzlskO&#10;2UWGFTTfwdP9vTaT69HFRhOy4G0L5zRtxbMDwJxOIDhctTabhuvn9yRI1ov1gngkmq89EuS5d1us&#10;iDcvwniWv8lXqzz8YeOGJG14VTFhwxy1FZI/691B5ZMqTurSsuWVhbMpabXdrFqF9hS0XbjvUJAL&#10;N/95Gq5ewOUFpTAiwV2UeMV8EXukIDMviYOFF4TJXTIPSELy4jmley7Yv1NCQ4aTWTSb1PRbbrbv&#10;p2ZfcKNpxw1Mj5Z3GV6cnGhqNbgWlWutobyd1helsOmfSwHtPjbaKdaKdJKrGTcjoFgZb2T1BNpV&#10;EpQFKoSRB4tGqm8YDTA+Mqy/7qhiGLXvBOg/CQmx88ZtyCyOYKMuLZtLCxUlQGXYYDQtV2aaUbte&#10;8W0DkaYXJ+QtvJmaOzWfszq8NBgRjtRhnNkZdLl3Xuehu/wJAAD//wMAUEsDBBQABgAIAAAAIQA0&#10;xUTO2wAAAAYBAAAPAAAAZHJzL2Rvd25yZXYueG1sTI9PS8NAEMXvgt9hGcGbnW3Q0sRMiiheFesf&#10;8LbNTpNgdjZkt0389m696GXg8R7v/abczK5XRx5D54VgudCgWGpvO2kI3l4fr9agQjRiTe+FCb45&#10;wKY6PytNYf0kL3zcxkalEgmFIWhjHArEULfsTFj4gSV5ez86E5McG7SjmVK56zHTeoXOdJIWWjPw&#10;fcv11/bgCN6f9p8f1/q5eXA3w+RnjeJyJLq8mO9uQUWe418YTvgJHarEtPMHsUH1BOmR+HtP3jLX&#10;K1A7gmyd5YBVif/xqx8AAAD//wMAUEsBAi0AFAAGAAgAAAAhALaDOJL+AAAA4QEAABMAAAAAAAAA&#10;AAAAAAAAAAAAAFtDb250ZW50X1R5cGVzXS54bWxQSwECLQAUAAYACAAAACEAOP0h/9YAAACUAQAA&#10;CwAAAAAAAAAAAAAAAAAvAQAAX3JlbHMvLnJlbHNQSwECLQAUAAYACAAAACEATlFCDrYCAAC8BQAA&#10;DgAAAAAAAAAAAAAAAAAuAgAAZHJzL2Uyb0RvYy54bWxQSwECLQAUAAYACAAAACEANMVEztsAAAAG&#10;AQAADwAAAAAAAAAAAAAAAAAQBQAAZHJzL2Rvd25yZXYueG1sUEsFBgAAAAAEAAQA8wAAABgGAAAA&#10;AA==&#10;" filled="f" stroked="f">
              <v:textbox>
                <w:txbxContent>
                  <w:p w:rsidR="00D64CC7" w:rsidRPr="0001226A" w:rsidRDefault="00D64CC7"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separate"/>
                    </w:r>
                    <w:r w:rsidR="001024B6">
                      <w:rPr>
                        <w:szCs w:val="120"/>
                      </w:rPr>
                      <w:t>DRAFT</w:t>
                    </w:r>
                    <w:r w:rsidRPr="0001226A">
                      <w:rPr>
                        <w:szCs w:val="120"/>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CC7" w:rsidRDefault="00D64CC7">
    <w:pPr>
      <w:pStyle w:val="Header"/>
    </w:pPr>
    <w:r>
      <w:rPr>
        <w:noProof/>
        <w:lang w:eastAsia="en-AU"/>
      </w:rPr>
      <mc:AlternateContent>
        <mc:Choice Requires="wps">
          <w:drawing>
            <wp:anchor distT="0" distB="0" distL="114300" distR="114300" simplePos="0" relativeHeight="251665408" behindDoc="1" locked="1" layoutInCell="1" allowOverlap="1" wp14:anchorId="07EE7CA6" wp14:editId="6330906B">
              <wp:simplePos x="0" y="0"/>
              <wp:positionH relativeFrom="page">
                <wp:align>center</wp:align>
              </wp:positionH>
              <wp:positionV relativeFrom="page">
                <wp:align>center</wp:align>
              </wp:positionV>
              <wp:extent cx="7560000" cy="1796400"/>
              <wp:effectExtent l="0" t="0" r="0" b="0"/>
              <wp:wrapNone/>
              <wp:docPr id="3"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CC7" w:rsidRPr="0001226A" w:rsidRDefault="00D64CC7"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separate"/>
                          </w:r>
                          <w:r w:rsidR="001024B6">
                            <w:rPr>
                              <w:szCs w:val="120"/>
                            </w:rPr>
                            <w:t>DRAFT</w: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0;margin-top:0;width:595.3pt;height:141.45pt;z-index:-25165107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AdFugIAAMMFAAAOAAAAZHJzL2Uyb0RvYy54bWysVG1vmzAQ/j5p/8Hyd8pLnRBQSdWGME3q&#10;XqR2P8ABE6yBzWwn0FX77zubJE07TZq28QHZvvNz99w9vqvrsWvRninNpchweBFgxEQpKy62Gf7y&#10;UHgLjLShoqKtFCzDj0zj6+XbN1dDn7JINrKtmEIAInQ69BlujOlT39dlwzqqL2TPBBhrqTpqYKu2&#10;fqXoAOhd60dBMPcHqapeyZJpDaf5ZMRLh1/XrDSf6lozg9oMQ27G/ZX7b+zfX17RdKto3/DykAb9&#10;iyw6ygUEPUHl1FC0U/wXqI6XSmpZm4tSdr6sa14yxwHYhMErNvcN7ZnjAsXR/alM+v/Blh/3nxXi&#10;VYYvMRK0gxY9sNGgWzmiKIxtfYZep+B234OjGcEAfXZcdX8ny68aCblqqNiyG6Xk0DBaQX6hvemf&#10;XZ1wtAXZDB9kBYHozkgHNNaqs8WDciBAhz49nnpjkynhMJ7NA/gwKsEWxsmcwMbGoOnxeq+0ecdk&#10;h+wiwwqa7+Dp/k6byfXoYqMJWfC2hXOatuLFAWBOJxAcrlqbTcP18ykJkvVivSAeieZrjwR57t0U&#10;K+LNizCe5Zf5apWHP2zckKQNryombJijtkLyZ707qHxSxUldWra8snA2Ja22m1Wr0J6Ctgv3HQpy&#10;5ua/TMPVC7i8ohRGJLiNEq+YL2KPFGTmJXGw8IIwuU3mAUlIXrykdMcF+3dKaMhwMotmk5p+y832&#10;/dTsM2407biB6dHyLsOLkxNNrQbXonKtNZS30/qsFDb951JAu4+Ndoq1Ip3kasbN6B6Hk7NV80ZW&#10;jyBhJUFgIEaYfLBopPqO0QBTJMP6244qhlH7XsAzSEJC7NhxGzKLI9ioc8vm3EJFCVAZNhhNy5WZ&#10;RtWuV3zbQKTp4Ql5A0+n5k7Uz1kdHhxMCsftMNXsKDrfO6/n2bv8CQ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IeAB0W6AgAA&#10;wwUAAA4AAAAAAAAAAAAAAAAALgIAAGRycy9lMm9Eb2MueG1sUEsBAi0AFAAGAAgAAAAhADTFRM7b&#10;AAAABgEAAA8AAAAAAAAAAAAAAAAAFAUAAGRycy9kb3ducmV2LnhtbFBLBQYAAAAABAAEAPMAAAAc&#10;BgAAAAA=&#10;" filled="f" stroked="f">
              <v:textbox>
                <w:txbxContent>
                  <w:p w:rsidR="00D64CC7" w:rsidRPr="0001226A" w:rsidRDefault="00D64CC7"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separate"/>
                    </w:r>
                    <w:r w:rsidR="001024B6">
                      <w:rPr>
                        <w:szCs w:val="120"/>
                      </w:rPr>
                      <w:t>DRAFT</w:t>
                    </w:r>
                    <w:r w:rsidRPr="0001226A">
                      <w:rPr>
                        <w:szCs w:val="120"/>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CC7" w:rsidRPr="00C4571D" w:rsidRDefault="00D64CC7" w:rsidP="00C4571D">
    <w:pPr>
      <w:pStyle w:val="Header"/>
      <w:jc w:val="center"/>
      <w:rPr>
        <w:rFonts w:ascii="Times New Roman" w:hAnsi="Times New Roman" w:cs="Times New Roman"/>
        <w:b/>
        <w:sz w:val="24"/>
        <w:szCs w:val="24"/>
      </w:rPr>
    </w:pPr>
    <w:r w:rsidRPr="00C4571D">
      <w:rPr>
        <w:rFonts w:ascii="Times New Roman" w:hAnsi="Times New Roman" w:cs="Times New Roman"/>
        <w:b/>
        <w:noProof/>
        <w:sz w:val="28"/>
        <w:szCs w:val="24"/>
        <w:lang w:eastAsia="en-AU"/>
      </w:rPr>
      <w:drawing>
        <wp:anchor distT="0" distB="0" distL="114300" distR="114300" simplePos="0" relativeHeight="251674624" behindDoc="1" locked="0" layoutInCell="1" allowOverlap="1" wp14:anchorId="4EC60D36" wp14:editId="1EF5AD02">
          <wp:simplePos x="0" y="0"/>
          <wp:positionH relativeFrom="page">
            <wp:posOffset>0</wp:posOffset>
          </wp:positionH>
          <wp:positionV relativeFrom="page">
            <wp:posOffset>0</wp:posOffset>
          </wp:positionV>
          <wp:extent cx="7563600" cy="10695600"/>
          <wp:effectExtent l="0" t="0" r="0" b="0"/>
          <wp:wrapNone/>
          <wp:docPr id="10" name="Picture 10" descr="Background image" title="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5600"/>
                  </a:xfrm>
                  <a:prstGeom prst="rect">
                    <a:avLst/>
                  </a:prstGeom>
                </pic:spPr>
              </pic:pic>
            </a:graphicData>
          </a:graphic>
          <wp14:sizeRelH relativeFrom="page">
            <wp14:pctWidth>0</wp14:pctWidth>
          </wp14:sizeRelH>
          <wp14:sizeRelV relativeFrom="page">
            <wp14:pctHeight>0</wp14:pctHeight>
          </wp14:sizeRelV>
        </wp:anchor>
      </w:drawing>
    </w:r>
    <w:r w:rsidRPr="00C4571D">
      <w:rPr>
        <w:rFonts w:ascii="Times New Roman" w:hAnsi="Times New Roman" w:cs="Times New Roman"/>
        <w:b/>
        <w:noProof/>
        <w:sz w:val="28"/>
        <w:szCs w:val="24"/>
        <w:lang w:eastAsia="en-AU"/>
      </w:rPr>
      <mc:AlternateContent>
        <mc:Choice Requires="wps">
          <w:drawing>
            <wp:anchor distT="0" distB="0" distL="114300" distR="114300" simplePos="0" relativeHeight="251661312" behindDoc="1" locked="1" layoutInCell="1" allowOverlap="1" wp14:anchorId="51FAD7C7" wp14:editId="1F34D406">
              <wp:simplePos x="0" y="0"/>
              <wp:positionH relativeFrom="page">
                <wp:align>center</wp:align>
              </wp:positionH>
              <wp:positionV relativeFrom="page">
                <wp:align>center</wp:align>
              </wp:positionV>
              <wp:extent cx="7560000" cy="1796400"/>
              <wp:effectExtent l="0" t="0" r="0" b="0"/>
              <wp:wrapNone/>
              <wp:docPr id="6"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CC7" w:rsidRPr="0001226A" w:rsidRDefault="00D64CC7"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separate"/>
                          </w:r>
                          <w:r w:rsidR="001024B6">
                            <w:rPr>
                              <w:szCs w:val="120"/>
                            </w:rPr>
                            <w:t>DRAFT</w: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left:0;text-align:left;margin-left:0;margin-top:0;width:595.3pt;height:141.45pt;z-index:-25165516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sOSugIAAMMFAAAOAAAAZHJzL2Uyb0RvYy54bWysVNuO0zAQfUfiHyy/Z3PBTZto09Vu0yCk&#10;5SLt8gFu4jQWiR1st+mC+HfGTttNFyEhwA+W7RmfuZ2Z65tD16I9U5pLkeHwKsCIiVJWXGwz/Pmx&#10;8BYYaUNFRVspWIafmMY3y9evroc+ZZFsZFsxhQBE6HToM9wY06e+r8uGdVRfyZ4JENZSddTAVW39&#10;StEB0LvWj4Ig9gepql7JkmkNr/koxEuHX9esNB/rWjOD2gyDb8btyu0bu/vLa5puFe0bXh7doH/h&#10;RUe5AKNnqJwainaK/wLV8VJJLWtzVcrOl3XNS+ZigGjC4EU0Dw3tmYsFkqP7c5r0/4MtP+w/KcSr&#10;DMcYCdpBiR7ZwaA7eUBROLf5GXqdgtpDD4rmAAKos4tV9/ey/KKRkKuGii27VUoODaMV+Bfan/7k&#10;64ijLchmeC8rMER3RjqgQ606mzxIBwJ0qNPTuTbWmRIe57M4gIVRCbJwnsQELtYGTU/fe6XNWyY7&#10;ZA8ZVlB8B0/399qMqicVa03IgrctvNO0FRcPgDm+gHH4amXWDVfP70mQrBfrBfFIFK89EuS5d1us&#10;iBcX4XyWv8lXqzz8Ye2GJG14VTFhzZy4FZI/q92R5SMrzuzSsuWVhbMuabXdrFqF9hS4Xbh1TMhE&#10;zb90w+ULYnkRUhiR4C5KvCJezD1SkJmXzIOFF4TJXRIHJCF5cRnSPRfs30NCQ4aTWTQb2fTb2Gzd&#10;z8WexEbTjhuYHi3vMrw4K9HUcnAtKldaQ3k7niepsO4/pwLKfSq0Y6wl6UhXc9gcXHNEp0bYyOoJ&#10;KKwkEAzICJMPDo1U3zAaYIpkWH/dUcUwat8JaIMkJMSOHXchs3kEFzWVbKYSKkqAyrDBaDyuzDiq&#10;dr3i2wYsjY0n5C20Ts0dqW2PjV4dGw4mhYvtONXsKJrendbz7F3+B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Gtyw5K6AgAA&#10;wwUAAA4AAAAAAAAAAAAAAAAALgIAAGRycy9lMm9Eb2MueG1sUEsBAi0AFAAGAAgAAAAhADTFRM7b&#10;AAAABgEAAA8AAAAAAAAAAAAAAAAAFAUAAGRycy9kb3ducmV2LnhtbFBLBQYAAAAABAAEAPMAAAAc&#10;BgAAAAA=&#10;" filled="f" stroked="f">
              <v:textbox>
                <w:txbxContent>
                  <w:p w:rsidR="00D64CC7" w:rsidRPr="0001226A" w:rsidRDefault="00D64CC7"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separate"/>
                    </w:r>
                    <w:r w:rsidR="001024B6">
                      <w:rPr>
                        <w:szCs w:val="120"/>
                      </w:rPr>
                      <w:t>DRAFT</w:t>
                    </w:r>
                    <w:r w:rsidRPr="0001226A">
                      <w:rPr>
                        <w:szCs w:val="120"/>
                      </w:rPr>
                      <w:fldChar w:fldCharType="end"/>
                    </w:r>
                  </w:p>
                </w:txbxContent>
              </v:textbox>
              <w10:wrap anchorx="page" anchory="page"/>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CC7" w:rsidRPr="00FD10F1" w:rsidRDefault="00D64CC7" w:rsidP="00FD10F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CC7" w:rsidRDefault="00D64CC7">
    <w:pPr>
      <w:pStyle w:val="Header"/>
    </w:pPr>
    <w:r>
      <w:rPr>
        <w:noProof/>
        <w:lang w:eastAsia="en-AU"/>
      </w:rPr>
      <mc:AlternateContent>
        <mc:Choice Requires="wps">
          <w:drawing>
            <wp:anchor distT="0" distB="0" distL="114300" distR="114300" simplePos="0" relativeHeight="251669504" behindDoc="1" locked="1" layoutInCell="1" allowOverlap="1" wp14:anchorId="24402FF8" wp14:editId="4D7D1608">
              <wp:simplePos x="0" y="0"/>
              <wp:positionH relativeFrom="page">
                <wp:align>center</wp:align>
              </wp:positionH>
              <wp:positionV relativeFrom="page">
                <wp:align>center</wp:align>
              </wp:positionV>
              <wp:extent cx="7560000" cy="1796400"/>
              <wp:effectExtent l="0" t="0" r="0" b="0"/>
              <wp:wrapNone/>
              <wp:docPr id="5"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CC7" w:rsidRPr="0001226A" w:rsidRDefault="00D64CC7"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separate"/>
                          </w:r>
                          <w:r w:rsidR="001024B6">
                            <w:rPr>
                              <w:szCs w:val="120"/>
                            </w:rPr>
                            <w:t>DRAFT</w: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0;margin-top:0;width:595.3pt;height:141.45pt;z-index:-25164697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BpuwIAAMMFAAAOAAAAZHJzL2Uyb0RvYy54bWysVFtv2yAUfp+0/4B4d30pdmKrTtXG8TSp&#10;u0jtfgCxcYxmgwckTlftv++AkzTtNGnaxgMCzuE7t++cq+t936EdU5pLkePwIsCIiUrWXGxy/OWh&#10;9OYYaUNFTTspWI4fmcbXi7dvrsYhY5FsZVczhQBE6GwcctwaM2S+r6uW9VRfyIEJEDZS9dTAVW38&#10;WtER0PvOj4Ig8Uep6kHJimkNr8UkxAuH3zSsMp+aRjODuhyDb8btyu1ru/uLK5ptFB1aXh3coH/h&#10;RU+5AKMnqIIairaK/wLV80pJLRtzUcnel03DK+ZigGjC4FU09y0dmIsFkqOHU5r0/4OtPu4+K8Tr&#10;HMcYCdpDiR7Y3qBbuUdROLP5GQedgdr9AIpmDwKos4tVD3ey+qqRkMuWig27UUqOLaM1+Bfan/7Z&#10;1wlHW5D1+EHWYIhujXRA+0b1NnmQDgToUKfHU22sMxU8zuIkgIVRBbJwliYELtYGzY7fB6XNOyZ7&#10;ZA85VlB8B093d9pMqkcVa03IkncdvNOsEy8eAHN6AePw1cqsG66eT2mQruarOfFIlKw8EhSFd1Mu&#10;iZeU4SwuLovlsgh/WLshyVpe10xYM0duheTPandg+cSKE7u07Hht4axLWm3Wy06hHQVul24dEnKm&#10;5r90w+ULYnkVUhiR4DZKvTKZzzxSkthLZ8HcC8L0Nk0CkpKifBnSHRfs30NCY47TOIonNv02Nlv3&#10;U7HPYqNZzw1Mj473OZ6flGhmObgStSutobybzmepsO4/pwLKfSy0Y6wl6URXs1/vXXNcHhthLetH&#10;oLCSQDAgI0w+OLRSfcdohCmSY/1tSxXDqHsvoA3SkBA7dtyFxLMILupcsj6XUFEBVI4NRtNxaaZR&#10;tR0U37RgaWo8IW+gdRruSG17bPLq0HAwKVxsh6lmR9H53Wk9z97FTwAAAP//AwBQSwMEFAAGAAgA&#10;AAAhADTFRM7bAAAABgEAAA8AAABkcnMvZG93bnJldi54bWxMj09Lw0AQxe+C32EZwZudbdDSxEyK&#10;KF4V6x/wts1Ok2B2NmS3Tfz2br3oZeDxHu/9ptzMrldHHkPnhWC50KBYam87aQjeXh+v1qBCNGJN&#10;74UJvjnApjo/K01h/SQvfNzGRqUSCYUhaGMcCsRQt+xMWPiBJXl7PzoTkxwbtKOZUrnrMdN6hc50&#10;khZaM/B9y/XX9uAI3p/2nx/X+rl5cDfD5GeN4nIkuryY725BRZ7jXxhO+AkdqsS08wexQfUE6ZH4&#10;e0/eMtcrUDuCbJ3lgFWJ//GrHwAAAP//AwBQSwECLQAUAAYACAAAACEAtoM4kv4AAADhAQAAEwAA&#10;AAAAAAAAAAAAAAAAAAAAW0NvbnRlbnRfVHlwZXNdLnhtbFBLAQItABQABgAIAAAAIQA4/SH/1gAA&#10;AJQBAAALAAAAAAAAAAAAAAAAAC8BAABfcmVscy8ucmVsc1BLAQItABQABgAIAAAAIQDwIVBpuwIA&#10;AMMFAAAOAAAAAAAAAAAAAAAAAC4CAABkcnMvZTJvRG9jLnhtbFBLAQItABQABgAIAAAAIQA0xUTO&#10;2wAAAAYBAAAPAAAAAAAAAAAAAAAAABUFAABkcnMvZG93bnJldi54bWxQSwUGAAAAAAQABADzAAAA&#10;HQYAAAAA&#10;" filled="f" stroked="f">
              <v:textbox>
                <w:txbxContent>
                  <w:p w:rsidR="00D64CC7" w:rsidRPr="0001226A" w:rsidRDefault="00D64CC7"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separate"/>
                    </w:r>
                    <w:r w:rsidR="001024B6">
                      <w:rPr>
                        <w:szCs w:val="120"/>
                      </w:rPr>
                      <w:t>DRAFT</w:t>
                    </w:r>
                    <w:r w:rsidRPr="0001226A">
                      <w:rPr>
                        <w:szCs w:val="120"/>
                      </w:rPr>
                      <w:fldChar w:fldCharType="end"/>
                    </w:r>
                  </w:p>
                </w:txbxContent>
              </v:textbox>
              <w10:wrap anchorx="page" anchory="page"/>
              <w10:anchorlock/>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CC7" w:rsidRDefault="00D64CC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CC7" w:rsidRDefault="00D64CC7" w:rsidP="00C4571D">
    <w:pPr>
      <w:pStyle w:val="Header"/>
      <w:jc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CC7" w:rsidRPr="00FD10F1" w:rsidRDefault="00D64CC7" w:rsidP="00FD10F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CC7" w:rsidRPr="00FD10F1" w:rsidRDefault="00D64CC7" w:rsidP="00FD10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B37FE"/>
    <w:multiLevelType w:val="multilevel"/>
    <w:tmpl w:val="D1A2BED4"/>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
    <w:nsid w:val="0D745448"/>
    <w:multiLevelType w:val="multilevel"/>
    <w:tmpl w:val="A1467BCC"/>
    <w:name w:val="PBOHeadings"/>
    <w:lvl w:ilvl="0">
      <w:start w:val="1"/>
      <w:numFmt w:val="decimal"/>
      <w:pStyle w:val="Heading1"/>
      <w:lvlText w:val="%1"/>
      <w:lvlJc w:val="left"/>
      <w:pPr>
        <w:ind w:left="765" w:hanging="765"/>
      </w:pPr>
      <w:rPr>
        <w:rFonts w:hint="default"/>
      </w:rPr>
    </w:lvl>
    <w:lvl w:ilvl="1">
      <w:start w:val="1"/>
      <w:numFmt w:val="decimal"/>
      <w:pStyle w:val="Heading2"/>
      <w:lvlText w:val="%1.%2"/>
      <w:lvlJc w:val="left"/>
      <w:pPr>
        <w:ind w:left="765" w:hanging="765"/>
      </w:pPr>
      <w:rPr>
        <w:rFonts w:hint="default"/>
      </w:rPr>
    </w:lvl>
    <w:lvl w:ilvl="2">
      <w:start w:val="1"/>
      <w:numFmt w:val="decimal"/>
      <w:pStyle w:val="Heading3"/>
      <w:lvlText w:val="%1.%2.%3"/>
      <w:lvlJc w:val="left"/>
      <w:pPr>
        <w:ind w:left="765" w:hanging="765"/>
      </w:pPr>
      <w:rPr>
        <w:b/>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2">
    <w:nsid w:val="0FB2573F"/>
    <w:multiLevelType w:val="multilevel"/>
    <w:tmpl w:val="93FEDA8E"/>
    <w:name w:val="TableFootnotes"/>
    <w:lvl w:ilvl="0">
      <w:start w:val="1"/>
      <w:numFmt w:val="decimal"/>
      <w:pStyle w:val="TableFootnotes"/>
      <w:lvlText w:val="%1"/>
      <w:lvlJc w:val="left"/>
      <w:pPr>
        <w:ind w:left="227" w:hanging="227"/>
      </w:pPr>
      <w:rPr>
        <w:rFonts w:hint="default"/>
        <w:color w:val="788184" w:themeColor="background2"/>
        <w:spacing w:val="0"/>
        <w:sz w:val="20"/>
        <w:vertAlign w:val="superscript"/>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3">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4">
    <w:nsid w:val="1C150163"/>
    <w:multiLevelType w:val="hybridMultilevel"/>
    <w:tmpl w:val="E3C0F8F6"/>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2C72580B"/>
    <w:multiLevelType w:val="multilevel"/>
    <w:tmpl w:val="A1605A0E"/>
    <w:name w:val="PullOutNumbering"/>
    <w:lvl w:ilvl="0">
      <w:start w:val="1"/>
      <w:numFmt w:val="decimal"/>
      <w:pStyle w:val="PullOutBoxNumber"/>
      <w:lvlText w:val="%1"/>
      <w:lvlJc w:val="left"/>
      <w:pPr>
        <w:tabs>
          <w:tab w:val="num" w:pos="624"/>
        </w:tabs>
        <w:ind w:left="624" w:hanging="340"/>
      </w:pPr>
      <w:rPr>
        <w:rFonts w:hint="default"/>
      </w:rPr>
    </w:lvl>
    <w:lvl w:ilvl="1">
      <w:start w:val="1"/>
      <w:numFmt w:val="lowerLetter"/>
      <w:pStyle w:val="PullOutBoxNumber2"/>
      <w:lvlText w:val="%2"/>
      <w:lvlJc w:val="left"/>
      <w:pPr>
        <w:tabs>
          <w:tab w:val="num" w:pos="964"/>
        </w:tabs>
        <w:ind w:left="964" w:hanging="340"/>
      </w:pPr>
      <w:rPr>
        <w:rFonts w:hint="default"/>
        <w:color w:val="auto"/>
      </w:rPr>
    </w:lvl>
    <w:lvl w:ilvl="2">
      <w:start w:val="1"/>
      <w:numFmt w:val="lowerRoman"/>
      <w:pStyle w:val="PullOutBoxNumber3"/>
      <w:lvlText w:val="%3"/>
      <w:lvlJc w:val="left"/>
      <w:pPr>
        <w:tabs>
          <w:tab w:val="num" w:pos="1304"/>
        </w:tabs>
        <w:ind w:left="1304" w:hanging="340"/>
      </w:pPr>
      <w:rPr>
        <w:rFonts w:hint="default"/>
        <w:color w:val="auto"/>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nsid w:val="2D7E76D2"/>
    <w:multiLevelType w:val="hybridMultilevel"/>
    <w:tmpl w:val="D400ADCA"/>
    <w:lvl w:ilvl="0" w:tplc="6C8811C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0E45E35"/>
    <w:multiLevelType w:val="hybridMultilevel"/>
    <w:tmpl w:val="BAC84328"/>
    <w:lvl w:ilvl="0" w:tplc="EE46B378">
      <w:start w:val="1"/>
      <w:numFmt w:val="lowerLetter"/>
      <w:pStyle w:val="Footnotes"/>
      <w:lvlText w:val="(%1)"/>
      <w:lvlJc w:val="left"/>
      <w:pPr>
        <w:ind w:left="360" w:hanging="360"/>
      </w:pPr>
      <w:rPr>
        <w:rFonts w:hint="default"/>
      </w:rPr>
    </w:lvl>
    <w:lvl w:ilvl="1" w:tplc="0C090019">
      <w:start w:val="1"/>
      <w:numFmt w:val="lowerLetter"/>
      <w:lvlText w:val="%2."/>
      <w:lvlJc w:val="left"/>
      <w:pPr>
        <w:ind w:left="967" w:hanging="360"/>
      </w:pPr>
    </w:lvl>
    <w:lvl w:ilvl="2" w:tplc="0C09001B" w:tentative="1">
      <w:start w:val="1"/>
      <w:numFmt w:val="lowerRoman"/>
      <w:lvlText w:val="%3."/>
      <w:lvlJc w:val="right"/>
      <w:pPr>
        <w:ind w:left="1687" w:hanging="180"/>
      </w:pPr>
    </w:lvl>
    <w:lvl w:ilvl="3" w:tplc="0C09000F" w:tentative="1">
      <w:start w:val="1"/>
      <w:numFmt w:val="decimal"/>
      <w:lvlText w:val="%4."/>
      <w:lvlJc w:val="left"/>
      <w:pPr>
        <w:ind w:left="2407" w:hanging="360"/>
      </w:pPr>
    </w:lvl>
    <w:lvl w:ilvl="4" w:tplc="0C090019" w:tentative="1">
      <w:start w:val="1"/>
      <w:numFmt w:val="lowerLetter"/>
      <w:lvlText w:val="%5."/>
      <w:lvlJc w:val="left"/>
      <w:pPr>
        <w:ind w:left="3127" w:hanging="360"/>
      </w:pPr>
    </w:lvl>
    <w:lvl w:ilvl="5" w:tplc="0C09001B" w:tentative="1">
      <w:start w:val="1"/>
      <w:numFmt w:val="lowerRoman"/>
      <w:lvlText w:val="%6."/>
      <w:lvlJc w:val="right"/>
      <w:pPr>
        <w:ind w:left="3847" w:hanging="180"/>
      </w:pPr>
    </w:lvl>
    <w:lvl w:ilvl="6" w:tplc="0C09000F" w:tentative="1">
      <w:start w:val="1"/>
      <w:numFmt w:val="decimal"/>
      <w:lvlText w:val="%7."/>
      <w:lvlJc w:val="left"/>
      <w:pPr>
        <w:ind w:left="4567" w:hanging="360"/>
      </w:pPr>
    </w:lvl>
    <w:lvl w:ilvl="7" w:tplc="0C090019" w:tentative="1">
      <w:start w:val="1"/>
      <w:numFmt w:val="lowerLetter"/>
      <w:lvlText w:val="%8."/>
      <w:lvlJc w:val="left"/>
      <w:pPr>
        <w:ind w:left="5287" w:hanging="360"/>
      </w:pPr>
    </w:lvl>
    <w:lvl w:ilvl="8" w:tplc="0C09001B" w:tentative="1">
      <w:start w:val="1"/>
      <w:numFmt w:val="lowerRoman"/>
      <w:lvlText w:val="%9."/>
      <w:lvlJc w:val="right"/>
      <w:pPr>
        <w:ind w:left="6007" w:hanging="180"/>
      </w:pPr>
    </w:lvl>
  </w:abstractNum>
  <w:abstractNum w:abstractNumId="8">
    <w:nsid w:val="354E25AB"/>
    <w:multiLevelType w:val="hybridMultilevel"/>
    <w:tmpl w:val="8F566B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38723AD4"/>
    <w:multiLevelType w:val="multilevel"/>
    <w:tmpl w:val="CC2400A2"/>
    <w:name w:val="PullOutBullets"/>
    <w:lvl w:ilvl="0">
      <w:start w:val="1"/>
      <w:numFmt w:val="bullet"/>
      <w:pStyle w:val="PullOutBoxBullet"/>
      <w:lvlText w:val="•"/>
      <w:lvlJc w:val="left"/>
      <w:pPr>
        <w:tabs>
          <w:tab w:val="num" w:pos="510"/>
        </w:tabs>
        <w:ind w:left="510" w:hanging="340"/>
      </w:pPr>
      <w:rPr>
        <w:rFonts w:ascii="Calibri" w:hAnsi="Calibri" w:hint="default"/>
        <w:color w:val="auto"/>
        <w:sz w:val="22"/>
      </w:rPr>
    </w:lvl>
    <w:lvl w:ilvl="1">
      <w:start w:val="1"/>
      <w:numFmt w:val="bullet"/>
      <w:pStyle w:val="PullOutBoxBullet2"/>
      <w:lvlText w:val="–"/>
      <w:lvlJc w:val="left"/>
      <w:pPr>
        <w:tabs>
          <w:tab w:val="num" w:pos="850"/>
        </w:tabs>
        <w:ind w:left="850" w:hanging="340"/>
      </w:pPr>
      <w:rPr>
        <w:rFonts w:ascii="Calibri" w:hAnsi="Calibri" w:hint="default"/>
        <w:color w:val="auto"/>
        <w:sz w:val="22"/>
      </w:rPr>
    </w:lvl>
    <w:lvl w:ilvl="2">
      <w:start w:val="1"/>
      <w:numFmt w:val="bullet"/>
      <w:pStyle w:val="PullOutBoxBullet3"/>
      <w:lvlText w:val=""/>
      <w:lvlJc w:val="left"/>
      <w:pPr>
        <w:tabs>
          <w:tab w:val="num" w:pos="1190"/>
        </w:tabs>
        <w:ind w:left="1190" w:hanging="340"/>
      </w:pPr>
      <w:rPr>
        <w:rFonts w:ascii="Wingdings" w:hAnsi="Wingdings" w:hint="default"/>
        <w:color w:val="auto"/>
        <w:position w:val="0"/>
        <w:sz w:val="22"/>
      </w:rPr>
    </w:lvl>
    <w:lvl w:ilvl="3">
      <w:start w:val="1"/>
      <w:numFmt w:val="none"/>
      <w:lvlText w:val=""/>
      <w:lvlJc w:val="left"/>
      <w:pPr>
        <w:ind w:left="-114" w:firstLine="0"/>
      </w:pPr>
      <w:rPr>
        <w:rFonts w:hint="default"/>
      </w:rPr>
    </w:lvl>
    <w:lvl w:ilvl="4">
      <w:start w:val="1"/>
      <w:numFmt w:val="none"/>
      <w:lvlText w:val=""/>
      <w:lvlJc w:val="left"/>
      <w:pPr>
        <w:ind w:left="-114" w:firstLine="0"/>
      </w:pPr>
      <w:rPr>
        <w:rFonts w:hint="default"/>
      </w:rPr>
    </w:lvl>
    <w:lvl w:ilvl="5">
      <w:start w:val="1"/>
      <w:numFmt w:val="none"/>
      <w:lvlText w:val=""/>
      <w:lvlJc w:val="left"/>
      <w:pPr>
        <w:ind w:left="-114" w:firstLine="0"/>
      </w:pPr>
      <w:rPr>
        <w:rFonts w:hint="default"/>
      </w:rPr>
    </w:lvl>
    <w:lvl w:ilvl="6">
      <w:start w:val="1"/>
      <w:numFmt w:val="none"/>
      <w:lvlText w:val=""/>
      <w:lvlJc w:val="left"/>
      <w:pPr>
        <w:ind w:left="-114" w:firstLine="0"/>
      </w:pPr>
      <w:rPr>
        <w:rFonts w:hint="default"/>
      </w:rPr>
    </w:lvl>
    <w:lvl w:ilvl="7">
      <w:start w:val="1"/>
      <w:numFmt w:val="none"/>
      <w:lvlText w:val=""/>
      <w:lvlJc w:val="left"/>
      <w:pPr>
        <w:ind w:left="-114" w:firstLine="0"/>
      </w:pPr>
      <w:rPr>
        <w:rFonts w:hint="default"/>
      </w:rPr>
    </w:lvl>
    <w:lvl w:ilvl="8">
      <w:start w:val="1"/>
      <w:numFmt w:val="none"/>
      <w:lvlText w:val=""/>
      <w:lvlJc w:val="left"/>
      <w:pPr>
        <w:ind w:left="-114" w:firstLine="0"/>
      </w:pPr>
      <w:rPr>
        <w:rFonts w:hint="default"/>
      </w:rPr>
    </w:lvl>
  </w:abstractNum>
  <w:abstractNum w:abstractNumId="10">
    <w:nsid w:val="5D0540A9"/>
    <w:multiLevelType w:val="multilevel"/>
    <w:tmpl w:val="78FE1352"/>
    <w:name w:val="AppendicesNumbering"/>
    <w:lvl w:ilvl="0">
      <w:start w:val="1"/>
      <w:numFmt w:val="upperLetter"/>
      <w:pStyle w:val="Heading8"/>
      <w:suff w:val="nothing"/>
      <w:lvlText w:val="Appendix %1"/>
      <w:lvlJc w:val="left"/>
      <w:pPr>
        <w:ind w:left="0" w:firstLine="0"/>
      </w:pPr>
      <w:rPr>
        <w:rFonts w:hint="default"/>
        <w:b w:val="0"/>
        <w:i w:val="0"/>
        <w:sz w:val="40"/>
      </w:rPr>
    </w:lvl>
    <w:lvl w:ilvl="1">
      <w:start w:val="1"/>
      <w:numFmt w:val="decimal"/>
      <w:pStyle w:val="Heading9"/>
      <w:lvlText w:val="%1%2."/>
      <w:lvlJc w:val="left"/>
      <w:pPr>
        <w:tabs>
          <w:tab w:val="num" w:pos="765"/>
        </w:tabs>
        <w:ind w:left="765" w:hanging="765"/>
      </w:pPr>
      <w:rPr>
        <w:rFonts w:hint="default"/>
        <w:sz w:val="26"/>
      </w:rPr>
    </w:lvl>
    <w:lvl w:ilvl="2">
      <w:start w:val="1"/>
      <w:numFmt w:val="decimal"/>
      <w:pStyle w:val="AppendixHeading2"/>
      <w:lvlText w:val="%1%2.%3"/>
      <w:lvlJc w:val="left"/>
      <w:pPr>
        <w:tabs>
          <w:tab w:val="num" w:pos="765"/>
        </w:tabs>
        <w:ind w:left="765" w:hanging="765"/>
      </w:pPr>
      <w:rPr>
        <w:rFonts w:hint="default"/>
      </w:rPr>
    </w:lvl>
    <w:lvl w:ilvl="3">
      <w:start w:val="1"/>
      <w:numFmt w:val="decimal"/>
      <w:pStyle w:val="AppendixHeading3"/>
      <w:lvlText w:val="%1%2.%3.%4"/>
      <w:lvlJc w:val="left"/>
      <w:pPr>
        <w:tabs>
          <w:tab w:val="num" w:pos="765"/>
        </w:tabs>
        <w:ind w:left="765" w:hanging="765"/>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11">
    <w:nsid w:val="6D0D63D2"/>
    <w:multiLevelType w:val="hybridMultilevel"/>
    <w:tmpl w:val="4FAC0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D1D40AC"/>
    <w:multiLevelType w:val="multilevel"/>
    <w:tmpl w:val="D18C6390"/>
    <w:name w:val="TableNumbering"/>
    <w:lvl w:ilvl="0">
      <w:start w:val="1"/>
      <w:numFmt w:val="decimal"/>
      <w:pStyle w:val="TableTextNumber"/>
      <w:lvlText w:val="%1"/>
      <w:lvlJc w:val="left"/>
      <w:pPr>
        <w:tabs>
          <w:tab w:val="num" w:pos="397"/>
        </w:tabs>
        <w:ind w:left="397" w:hanging="284"/>
      </w:pPr>
      <w:rPr>
        <w:rFonts w:hint="default"/>
      </w:rPr>
    </w:lvl>
    <w:lvl w:ilvl="1">
      <w:start w:val="1"/>
      <w:numFmt w:val="lowerLetter"/>
      <w:pStyle w:val="TableTextNumber2"/>
      <w:lvlText w:val="%2"/>
      <w:lvlJc w:val="left"/>
      <w:pPr>
        <w:tabs>
          <w:tab w:val="num" w:pos="709"/>
        </w:tabs>
        <w:ind w:left="709" w:hanging="283"/>
      </w:pPr>
      <w:rPr>
        <w:rFonts w:hint="default"/>
      </w:rPr>
    </w:lvl>
    <w:lvl w:ilvl="2">
      <w:start w:val="1"/>
      <w:numFmt w:val="lowerRoman"/>
      <w:pStyle w:val="TableTextNumber3"/>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nsid w:val="70250B03"/>
    <w:multiLevelType w:val="multilevel"/>
    <w:tmpl w:val="5796740A"/>
    <w:name w:val="QuoteBullets"/>
    <w:lvl w:ilvl="0">
      <w:start w:val="1"/>
      <w:numFmt w:val="bullet"/>
      <w:pStyle w:val="QuoteBullet"/>
      <w:lvlText w:val="•"/>
      <w:lvlJc w:val="left"/>
      <w:pPr>
        <w:tabs>
          <w:tab w:val="num" w:pos="567"/>
        </w:tabs>
        <w:ind w:left="567" w:hanging="283"/>
      </w:pPr>
      <w:rPr>
        <w:rFonts w:ascii="Arial" w:hAnsi="Arial" w:hint="default"/>
        <w:color w:val="auto"/>
        <w:sz w:val="18"/>
      </w:rPr>
    </w:lvl>
    <w:lvl w:ilvl="1">
      <w:start w:val="1"/>
      <w:numFmt w:val="bullet"/>
      <w:pStyle w:val="QuoteBullet2"/>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2B3B5F"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14">
    <w:nsid w:val="745C3AB2"/>
    <w:multiLevelType w:val="hybridMultilevel"/>
    <w:tmpl w:val="5EB0E89C"/>
    <w:lvl w:ilvl="0" w:tplc="661CA760">
      <w:start w:val="1"/>
      <w:numFmt w:val="bullet"/>
      <w:pStyle w:val="Bullet1"/>
      <w:lvlText w:val=""/>
      <w:lvlJc w:val="left"/>
      <w:pPr>
        <w:ind w:left="360" w:hanging="360"/>
      </w:pPr>
      <w:rPr>
        <w:rFonts w:ascii="Symbol" w:hAnsi="Symbol" w:hint="default"/>
      </w:rPr>
    </w:lvl>
    <w:lvl w:ilvl="1" w:tplc="0C090003" w:tentative="1">
      <w:start w:val="1"/>
      <w:numFmt w:val="bullet"/>
      <w:pStyle w:val="Bullet2"/>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7839021E"/>
    <w:multiLevelType w:val="multilevel"/>
    <w:tmpl w:val="C186E662"/>
    <w:name w:val="ListNumbering"/>
    <w:lvl w:ilvl="0">
      <w:start w:val="1"/>
      <w:numFmt w:val="decimal"/>
      <w:pStyle w:val="ListNumber"/>
      <w:lvlText w:val="%1"/>
      <w:lvlJc w:val="left"/>
      <w:pPr>
        <w:tabs>
          <w:tab w:val="num" w:pos="454"/>
        </w:tabs>
        <w:ind w:left="454" w:hanging="454"/>
      </w:pPr>
      <w:rPr>
        <w:rFonts w:hint="default"/>
        <w:color w:val="auto"/>
        <w:spacing w:val="0"/>
        <w:sz w:val="22"/>
      </w:rPr>
    </w:lvl>
    <w:lvl w:ilvl="1">
      <w:start w:val="1"/>
      <w:numFmt w:val="lowerLetter"/>
      <w:pStyle w:val="ListNumber2"/>
      <w:lvlText w:val="%2"/>
      <w:lvlJc w:val="left"/>
      <w:pPr>
        <w:tabs>
          <w:tab w:val="num" w:pos="907"/>
        </w:tabs>
        <w:ind w:left="907" w:hanging="453"/>
      </w:pPr>
      <w:rPr>
        <w:rFonts w:hint="default"/>
        <w:color w:val="auto"/>
        <w:spacing w:val="0"/>
        <w:sz w:val="22"/>
      </w:rPr>
    </w:lvl>
    <w:lvl w:ilvl="2">
      <w:start w:val="1"/>
      <w:numFmt w:val="lowerRoman"/>
      <w:pStyle w:val="ListNumber3"/>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10"/>
  </w:num>
  <w:num w:numId="2">
    <w:abstractNumId w:val="0"/>
  </w:num>
  <w:num w:numId="3">
    <w:abstractNumId w:val="15"/>
  </w:num>
  <w:num w:numId="4">
    <w:abstractNumId w:val="9"/>
  </w:num>
  <w:num w:numId="5">
    <w:abstractNumId w:val="9"/>
  </w:num>
  <w:num w:numId="6">
    <w:abstractNumId w:val="5"/>
  </w:num>
  <w:num w:numId="7">
    <w:abstractNumId w:val="13"/>
  </w:num>
  <w:num w:numId="8">
    <w:abstractNumId w:val="2"/>
  </w:num>
  <w:num w:numId="9">
    <w:abstractNumId w:val="3"/>
  </w:num>
  <w:num w:numId="10">
    <w:abstractNumId w:val="12"/>
  </w:num>
  <w:num w:numId="11">
    <w:abstractNumId w:val="1"/>
  </w:num>
  <w:num w:numId="12">
    <w:abstractNumId w:val="14"/>
  </w:num>
  <w:num w:numId="13">
    <w:abstractNumId w:val="1"/>
  </w:num>
  <w:num w:numId="14">
    <w:abstractNumId w:val="1"/>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4"/>
  </w:num>
  <w:num w:numId="19">
    <w:abstractNumId w:val="1"/>
  </w:num>
  <w:num w:numId="20">
    <w:abstractNumId w:val="7"/>
  </w:num>
  <w:num w:numId="21">
    <w:abstractNumId w:val="7"/>
    <w:lvlOverride w:ilvl="0">
      <w:startOverride w:val="1"/>
    </w:lvlOverride>
  </w:num>
  <w:num w:numId="22">
    <w:abstractNumId w:val="7"/>
    <w:lvlOverride w:ilvl="0">
      <w:startOverride w:val="1"/>
    </w:lvlOverride>
  </w:num>
  <w:num w:numId="23">
    <w:abstractNumId w:val="8"/>
  </w:num>
  <w:num w:numId="24">
    <w:abstractNumId w:val="11"/>
  </w:num>
  <w:num w:numId="25">
    <w:abstractNumId w:val="6"/>
  </w:num>
  <w:num w:numId="26">
    <w:abstractNumId w:val="7"/>
    <w:lvlOverride w:ilvl="0">
      <w:startOverride w:val="1"/>
    </w:lvlOverride>
  </w:num>
  <w:num w:numId="27">
    <w:abstractNumId w:val="7"/>
    <w:lvlOverride w:ilvl="0">
      <w:startOverride w:val="1"/>
    </w:lvlOverride>
  </w:num>
  <w:num w:numId="28">
    <w:abstractNumId w:val="7"/>
    <w:lvlOverride w:ilvl="0">
      <w:startOverride w:val="1"/>
    </w:lvlOverride>
  </w:num>
  <w:num w:numId="29">
    <w:abstractNumId w:val="7"/>
    <w:lvlOverride w:ilvl="0">
      <w:startOverride w:val="1"/>
    </w:lvlOverride>
  </w:num>
  <w:num w:numId="30">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evenAndOddHeaders/>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ces" w:val="False"/>
    <w:docVar w:name="AppendixName" w:val="Appendix"/>
    <w:docVar w:name="Disclaimer" w:val="True"/>
    <w:docVar w:name="Foreword" w:val="True"/>
    <w:docVar w:name="Heading1Numbered" w:val="True"/>
    <w:docVar w:name="Heading2Numbered" w:val="True"/>
    <w:docVar w:name="Heading3Numbered" w:val="True"/>
    <w:docVar w:name="IsWordingOverview" w:val="True"/>
    <w:docVar w:name="NumberedBodyText" w:val="False"/>
    <w:docVar w:name="optHeading1OddPage" w:val="False"/>
    <w:docVar w:name="Overview" w:val="True"/>
    <w:docVar w:name="PageSetup" w:val="Double"/>
    <w:docVar w:name="RibbonLabel" w:val="Appendix"/>
    <w:docVar w:name="TOC" w:val="True"/>
    <w:docVar w:name="TOCNew" w:val="True"/>
    <w:docVar w:name="Version" w:val="Version 1"/>
  </w:docVars>
  <w:rsids>
    <w:rsidRoot w:val="000631D3"/>
    <w:rsid w:val="0000322C"/>
    <w:rsid w:val="00003CDD"/>
    <w:rsid w:val="00003EE0"/>
    <w:rsid w:val="0000428C"/>
    <w:rsid w:val="000045F4"/>
    <w:rsid w:val="000057B1"/>
    <w:rsid w:val="00011989"/>
    <w:rsid w:val="00012817"/>
    <w:rsid w:val="00014211"/>
    <w:rsid w:val="000167E1"/>
    <w:rsid w:val="000168A7"/>
    <w:rsid w:val="00022A15"/>
    <w:rsid w:val="000278D0"/>
    <w:rsid w:val="00027E62"/>
    <w:rsid w:val="000307C8"/>
    <w:rsid w:val="00030F73"/>
    <w:rsid w:val="00031831"/>
    <w:rsid w:val="0003549B"/>
    <w:rsid w:val="00035ADE"/>
    <w:rsid w:val="0004224B"/>
    <w:rsid w:val="00046226"/>
    <w:rsid w:val="00051DCD"/>
    <w:rsid w:val="0005330D"/>
    <w:rsid w:val="00054760"/>
    <w:rsid w:val="00055764"/>
    <w:rsid w:val="000557A7"/>
    <w:rsid w:val="00055805"/>
    <w:rsid w:val="000567FA"/>
    <w:rsid w:val="00056CB3"/>
    <w:rsid w:val="00056FA8"/>
    <w:rsid w:val="0006137E"/>
    <w:rsid w:val="000631D3"/>
    <w:rsid w:val="00065866"/>
    <w:rsid w:val="000673E1"/>
    <w:rsid w:val="000678F7"/>
    <w:rsid w:val="00067A28"/>
    <w:rsid w:val="0007260F"/>
    <w:rsid w:val="00073592"/>
    <w:rsid w:val="000805D5"/>
    <w:rsid w:val="0008082F"/>
    <w:rsid w:val="0008103B"/>
    <w:rsid w:val="00081301"/>
    <w:rsid w:val="00083166"/>
    <w:rsid w:val="00085F97"/>
    <w:rsid w:val="000873B5"/>
    <w:rsid w:val="00092A33"/>
    <w:rsid w:val="000957B7"/>
    <w:rsid w:val="00097C9B"/>
    <w:rsid w:val="000A2FEC"/>
    <w:rsid w:val="000A348F"/>
    <w:rsid w:val="000A55D4"/>
    <w:rsid w:val="000B138E"/>
    <w:rsid w:val="000B376F"/>
    <w:rsid w:val="000B409A"/>
    <w:rsid w:val="000B4D49"/>
    <w:rsid w:val="000B6942"/>
    <w:rsid w:val="000C09FA"/>
    <w:rsid w:val="000C37A9"/>
    <w:rsid w:val="000C6728"/>
    <w:rsid w:val="000C702E"/>
    <w:rsid w:val="000D15E9"/>
    <w:rsid w:val="000D3182"/>
    <w:rsid w:val="000D38C8"/>
    <w:rsid w:val="000D45C4"/>
    <w:rsid w:val="000E18F3"/>
    <w:rsid w:val="000E266E"/>
    <w:rsid w:val="000F094A"/>
    <w:rsid w:val="000F129C"/>
    <w:rsid w:val="000F1515"/>
    <w:rsid w:val="000F16B5"/>
    <w:rsid w:val="000F3251"/>
    <w:rsid w:val="000F616E"/>
    <w:rsid w:val="001024B6"/>
    <w:rsid w:val="001029E1"/>
    <w:rsid w:val="00110D43"/>
    <w:rsid w:val="001159EA"/>
    <w:rsid w:val="001177B7"/>
    <w:rsid w:val="0012244B"/>
    <w:rsid w:val="00123FF0"/>
    <w:rsid w:val="00125410"/>
    <w:rsid w:val="00125669"/>
    <w:rsid w:val="00127613"/>
    <w:rsid w:val="00130858"/>
    <w:rsid w:val="00130A55"/>
    <w:rsid w:val="00134FAD"/>
    <w:rsid w:val="00136183"/>
    <w:rsid w:val="00136C26"/>
    <w:rsid w:val="0014059F"/>
    <w:rsid w:val="00141551"/>
    <w:rsid w:val="001417CE"/>
    <w:rsid w:val="00142AB5"/>
    <w:rsid w:val="0014479F"/>
    <w:rsid w:val="001513EF"/>
    <w:rsid w:val="00154DC5"/>
    <w:rsid w:val="001559A4"/>
    <w:rsid w:val="00156507"/>
    <w:rsid w:val="00157303"/>
    <w:rsid w:val="00160C8D"/>
    <w:rsid w:val="001612A8"/>
    <w:rsid w:val="001629C0"/>
    <w:rsid w:val="001642E7"/>
    <w:rsid w:val="00165122"/>
    <w:rsid w:val="00165854"/>
    <w:rsid w:val="00173DFD"/>
    <w:rsid w:val="00174A2F"/>
    <w:rsid w:val="001759BC"/>
    <w:rsid w:val="00176BC7"/>
    <w:rsid w:val="001779C4"/>
    <w:rsid w:val="00180C69"/>
    <w:rsid w:val="00180FF9"/>
    <w:rsid w:val="001825BF"/>
    <w:rsid w:val="00184D69"/>
    <w:rsid w:val="001908CB"/>
    <w:rsid w:val="00195228"/>
    <w:rsid w:val="00195696"/>
    <w:rsid w:val="00196532"/>
    <w:rsid w:val="001A0BE3"/>
    <w:rsid w:val="001A1EFC"/>
    <w:rsid w:val="001A48EF"/>
    <w:rsid w:val="001A49CC"/>
    <w:rsid w:val="001A5553"/>
    <w:rsid w:val="001A5F15"/>
    <w:rsid w:val="001A716E"/>
    <w:rsid w:val="001A7EEE"/>
    <w:rsid w:val="001B2A6F"/>
    <w:rsid w:val="001B2C65"/>
    <w:rsid w:val="001B7058"/>
    <w:rsid w:val="001C0814"/>
    <w:rsid w:val="001C2894"/>
    <w:rsid w:val="001C2AE5"/>
    <w:rsid w:val="001C35D1"/>
    <w:rsid w:val="001C3A4F"/>
    <w:rsid w:val="001C4121"/>
    <w:rsid w:val="001C48DE"/>
    <w:rsid w:val="001D1B9F"/>
    <w:rsid w:val="001D2628"/>
    <w:rsid w:val="001D36F0"/>
    <w:rsid w:val="001D52E3"/>
    <w:rsid w:val="001D576F"/>
    <w:rsid w:val="001D5928"/>
    <w:rsid w:val="001D7C29"/>
    <w:rsid w:val="001E0475"/>
    <w:rsid w:val="001E6455"/>
    <w:rsid w:val="001E65E6"/>
    <w:rsid w:val="001F0FEC"/>
    <w:rsid w:val="001F5C90"/>
    <w:rsid w:val="001F767C"/>
    <w:rsid w:val="00200CD1"/>
    <w:rsid w:val="00204D3F"/>
    <w:rsid w:val="002106D5"/>
    <w:rsid w:val="00210FCF"/>
    <w:rsid w:val="0021328A"/>
    <w:rsid w:val="002171C7"/>
    <w:rsid w:val="00222DF9"/>
    <w:rsid w:val="00222EFF"/>
    <w:rsid w:val="00223922"/>
    <w:rsid w:val="002240D5"/>
    <w:rsid w:val="0022421E"/>
    <w:rsid w:val="00224A73"/>
    <w:rsid w:val="002261A7"/>
    <w:rsid w:val="00226AEC"/>
    <w:rsid w:val="00232304"/>
    <w:rsid w:val="002326A6"/>
    <w:rsid w:val="00236555"/>
    <w:rsid w:val="00237E36"/>
    <w:rsid w:val="002545F3"/>
    <w:rsid w:val="00254B51"/>
    <w:rsid w:val="00256F64"/>
    <w:rsid w:val="0026344F"/>
    <w:rsid w:val="00266A17"/>
    <w:rsid w:val="00270372"/>
    <w:rsid w:val="00275534"/>
    <w:rsid w:val="00277075"/>
    <w:rsid w:val="002775D2"/>
    <w:rsid w:val="00281ADD"/>
    <w:rsid w:val="002876CA"/>
    <w:rsid w:val="00293E0D"/>
    <w:rsid w:val="00293E80"/>
    <w:rsid w:val="002973B0"/>
    <w:rsid w:val="00297C14"/>
    <w:rsid w:val="002A220F"/>
    <w:rsid w:val="002A24F1"/>
    <w:rsid w:val="002A2575"/>
    <w:rsid w:val="002A2857"/>
    <w:rsid w:val="002A4B68"/>
    <w:rsid w:val="002A5778"/>
    <w:rsid w:val="002A5B27"/>
    <w:rsid w:val="002B15B1"/>
    <w:rsid w:val="002B1E84"/>
    <w:rsid w:val="002B2085"/>
    <w:rsid w:val="002B305E"/>
    <w:rsid w:val="002B3EC4"/>
    <w:rsid w:val="002C2D6E"/>
    <w:rsid w:val="002C37D5"/>
    <w:rsid w:val="002C4F8C"/>
    <w:rsid w:val="002D34DB"/>
    <w:rsid w:val="002D4B11"/>
    <w:rsid w:val="002D5A8F"/>
    <w:rsid w:val="002D6DE0"/>
    <w:rsid w:val="002E08E3"/>
    <w:rsid w:val="002E1ADB"/>
    <w:rsid w:val="002E2DF5"/>
    <w:rsid w:val="002E4263"/>
    <w:rsid w:val="002E5633"/>
    <w:rsid w:val="002F142B"/>
    <w:rsid w:val="002F1963"/>
    <w:rsid w:val="002F5474"/>
    <w:rsid w:val="002F5B6E"/>
    <w:rsid w:val="002F61B5"/>
    <w:rsid w:val="0030209B"/>
    <w:rsid w:val="00304990"/>
    <w:rsid w:val="00310505"/>
    <w:rsid w:val="003127E4"/>
    <w:rsid w:val="00313215"/>
    <w:rsid w:val="003167B2"/>
    <w:rsid w:val="00316B61"/>
    <w:rsid w:val="003174C3"/>
    <w:rsid w:val="0031781D"/>
    <w:rsid w:val="0032426B"/>
    <w:rsid w:val="0032557A"/>
    <w:rsid w:val="00340778"/>
    <w:rsid w:val="00344549"/>
    <w:rsid w:val="00344D2C"/>
    <w:rsid w:val="003458CE"/>
    <w:rsid w:val="00345A57"/>
    <w:rsid w:val="00346892"/>
    <w:rsid w:val="00346D90"/>
    <w:rsid w:val="003474D9"/>
    <w:rsid w:val="00351F62"/>
    <w:rsid w:val="003601F4"/>
    <w:rsid w:val="003614C9"/>
    <w:rsid w:val="00363562"/>
    <w:rsid w:val="003671E2"/>
    <w:rsid w:val="00367A8E"/>
    <w:rsid w:val="00372AE6"/>
    <w:rsid w:val="003837E1"/>
    <w:rsid w:val="0038584D"/>
    <w:rsid w:val="00385FCE"/>
    <w:rsid w:val="00391193"/>
    <w:rsid w:val="003919F3"/>
    <w:rsid w:val="0039257F"/>
    <w:rsid w:val="003931DE"/>
    <w:rsid w:val="0039560E"/>
    <w:rsid w:val="00397D1A"/>
    <w:rsid w:val="00397D23"/>
    <w:rsid w:val="003A163C"/>
    <w:rsid w:val="003A2B4E"/>
    <w:rsid w:val="003A2FBB"/>
    <w:rsid w:val="003A3476"/>
    <w:rsid w:val="003A3799"/>
    <w:rsid w:val="003A3E6B"/>
    <w:rsid w:val="003A4913"/>
    <w:rsid w:val="003A54A9"/>
    <w:rsid w:val="003A5AEA"/>
    <w:rsid w:val="003A7083"/>
    <w:rsid w:val="003B04EE"/>
    <w:rsid w:val="003B17F6"/>
    <w:rsid w:val="003B1B0A"/>
    <w:rsid w:val="003B272E"/>
    <w:rsid w:val="003B38B3"/>
    <w:rsid w:val="003B3A97"/>
    <w:rsid w:val="003B3D44"/>
    <w:rsid w:val="003B60AB"/>
    <w:rsid w:val="003C0B1E"/>
    <w:rsid w:val="003C1BD9"/>
    <w:rsid w:val="003C37C8"/>
    <w:rsid w:val="003C7CC2"/>
    <w:rsid w:val="003D50B6"/>
    <w:rsid w:val="003E05DF"/>
    <w:rsid w:val="003E0F41"/>
    <w:rsid w:val="003E29BE"/>
    <w:rsid w:val="003E6085"/>
    <w:rsid w:val="003E6CA3"/>
    <w:rsid w:val="003F360A"/>
    <w:rsid w:val="003F4C96"/>
    <w:rsid w:val="004023B8"/>
    <w:rsid w:val="00403899"/>
    <w:rsid w:val="00406002"/>
    <w:rsid w:val="00406AD3"/>
    <w:rsid w:val="0041083D"/>
    <w:rsid w:val="00412E42"/>
    <w:rsid w:val="0042194C"/>
    <w:rsid w:val="004239FC"/>
    <w:rsid w:val="00426356"/>
    <w:rsid w:val="00426929"/>
    <w:rsid w:val="00426E57"/>
    <w:rsid w:val="004273B0"/>
    <w:rsid w:val="004275A8"/>
    <w:rsid w:val="004324D8"/>
    <w:rsid w:val="00433104"/>
    <w:rsid w:val="004334CB"/>
    <w:rsid w:val="00436A52"/>
    <w:rsid w:val="00442C16"/>
    <w:rsid w:val="00446439"/>
    <w:rsid w:val="004473A2"/>
    <w:rsid w:val="00450BDA"/>
    <w:rsid w:val="00453350"/>
    <w:rsid w:val="00453A3E"/>
    <w:rsid w:val="0045452F"/>
    <w:rsid w:val="00454ABC"/>
    <w:rsid w:val="0045766B"/>
    <w:rsid w:val="00457931"/>
    <w:rsid w:val="00460301"/>
    <w:rsid w:val="0046591A"/>
    <w:rsid w:val="0047026F"/>
    <w:rsid w:val="00470DCC"/>
    <w:rsid w:val="00472EEA"/>
    <w:rsid w:val="00474885"/>
    <w:rsid w:val="00474BB7"/>
    <w:rsid w:val="004816D7"/>
    <w:rsid w:val="00481A53"/>
    <w:rsid w:val="0048342E"/>
    <w:rsid w:val="004859D6"/>
    <w:rsid w:val="00487478"/>
    <w:rsid w:val="0048782D"/>
    <w:rsid w:val="00494612"/>
    <w:rsid w:val="00494DC1"/>
    <w:rsid w:val="004962D9"/>
    <w:rsid w:val="00496AD6"/>
    <w:rsid w:val="004978A0"/>
    <w:rsid w:val="004A1CD0"/>
    <w:rsid w:val="004A234D"/>
    <w:rsid w:val="004A3F56"/>
    <w:rsid w:val="004A5E21"/>
    <w:rsid w:val="004A666A"/>
    <w:rsid w:val="004B143F"/>
    <w:rsid w:val="004B49A0"/>
    <w:rsid w:val="004B4BF2"/>
    <w:rsid w:val="004B78C2"/>
    <w:rsid w:val="004C1B7B"/>
    <w:rsid w:val="004C36A5"/>
    <w:rsid w:val="004C6306"/>
    <w:rsid w:val="004C6F5E"/>
    <w:rsid w:val="004C7E94"/>
    <w:rsid w:val="004D17A1"/>
    <w:rsid w:val="004D1C3B"/>
    <w:rsid w:val="004D243A"/>
    <w:rsid w:val="004D33E3"/>
    <w:rsid w:val="004D6356"/>
    <w:rsid w:val="004D7CF8"/>
    <w:rsid w:val="004D7EDA"/>
    <w:rsid w:val="004E0E49"/>
    <w:rsid w:val="004E197A"/>
    <w:rsid w:val="004E2B07"/>
    <w:rsid w:val="004E5D52"/>
    <w:rsid w:val="004F07D7"/>
    <w:rsid w:val="004F1297"/>
    <w:rsid w:val="004F16DB"/>
    <w:rsid w:val="004F3175"/>
    <w:rsid w:val="004F4D7E"/>
    <w:rsid w:val="004F5B16"/>
    <w:rsid w:val="004F5D9D"/>
    <w:rsid w:val="004F65DE"/>
    <w:rsid w:val="004F65ED"/>
    <w:rsid w:val="004F68E5"/>
    <w:rsid w:val="004F6DA8"/>
    <w:rsid w:val="004F741B"/>
    <w:rsid w:val="0050091B"/>
    <w:rsid w:val="00503253"/>
    <w:rsid w:val="00503BB0"/>
    <w:rsid w:val="00503E03"/>
    <w:rsid w:val="00505139"/>
    <w:rsid w:val="0051062B"/>
    <w:rsid w:val="00512226"/>
    <w:rsid w:val="005147C6"/>
    <w:rsid w:val="005159B1"/>
    <w:rsid w:val="005166A4"/>
    <w:rsid w:val="005214B9"/>
    <w:rsid w:val="00522502"/>
    <w:rsid w:val="005255A1"/>
    <w:rsid w:val="0052641C"/>
    <w:rsid w:val="00527E38"/>
    <w:rsid w:val="00531D50"/>
    <w:rsid w:val="00536D14"/>
    <w:rsid w:val="0053795D"/>
    <w:rsid w:val="005432F3"/>
    <w:rsid w:val="00544522"/>
    <w:rsid w:val="005468AB"/>
    <w:rsid w:val="005501A0"/>
    <w:rsid w:val="00550831"/>
    <w:rsid w:val="005536F0"/>
    <w:rsid w:val="00554273"/>
    <w:rsid w:val="005625C1"/>
    <w:rsid w:val="005642B6"/>
    <w:rsid w:val="0056667D"/>
    <w:rsid w:val="00571D5E"/>
    <w:rsid w:val="005823D0"/>
    <w:rsid w:val="005825DA"/>
    <w:rsid w:val="005857B9"/>
    <w:rsid w:val="00586715"/>
    <w:rsid w:val="0059095E"/>
    <w:rsid w:val="00590DA3"/>
    <w:rsid w:val="0059535F"/>
    <w:rsid w:val="005A1C40"/>
    <w:rsid w:val="005A2748"/>
    <w:rsid w:val="005A28CA"/>
    <w:rsid w:val="005A443F"/>
    <w:rsid w:val="005B58D4"/>
    <w:rsid w:val="005C07B3"/>
    <w:rsid w:val="005C19E5"/>
    <w:rsid w:val="005C284E"/>
    <w:rsid w:val="005C47D4"/>
    <w:rsid w:val="005D13D3"/>
    <w:rsid w:val="005D1534"/>
    <w:rsid w:val="005D51D0"/>
    <w:rsid w:val="005D6F83"/>
    <w:rsid w:val="005D7877"/>
    <w:rsid w:val="005D7CCF"/>
    <w:rsid w:val="005D7EE7"/>
    <w:rsid w:val="005E0E9E"/>
    <w:rsid w:val="005E58C4"/>
    <w:rsid w:val="005E5D8F"/>
    <w:rsid w:val="005E7328"/>
    <w:rsid w:val="005F10AF"/>
    <w:rsid w:val="005F2ECD"/>
    <w:rsid w:val="005F5A5C"/>
    <w:rsid w:val="005F5CD9"/>
    <w:rsid w:val="005F71AA"/>
    <w:rsid w:val="006023FD"/>
    <w:rsid w:val="00605814"/>
    <w:rsid w:val="00606B21"/>
    <w:rsid w:val="0061135C"/>
    <w:rsid w:val="0061241D"/>
    <w:rsid w:val="006136DD"/>
    <w:rsid w:val="006149F0"/>
    <w:rsid w:val="006201B8"/>
    <w:rsid w:val="00620A79"/>
    <w:rsid w:val="006220A5"/>
    <w:rsid w:val="00623FA4"/>
    <w:rsid w:val="00624AC8"/>
    <w:rsid w:val="00625736"/>
    <w:rsid w:val="00633C60"/>
    <w:rsid w:val="00634110"/>
    <w:rsid w:val="006401BC"/>
    <w:rsid w:val="0064126D"/>
    <w:rsid w:val="00641F43"/>
    <w:rsid w:val="00641F45"/>
    <w:rsid w:val="006451B8"/>
    <w:rsid w:val="00645722"/>
    <w:rsid w:val="00645789"/>
    <w:rsid w:val="00651BC8"/>
    <w:rsid w:val="00652432"/>
    <w:rsid w:val="00657840"/>
    <w:rsid w:val="0066003C"/>
    <w:rsid w:val="0066026A"/>
    <w:rsid w:val="0066041E"/>
    <w:rsid w:val="00663178"/>
    <w:rsid w:val="00665667"/>
    <w:rsid w:val="00673CCC"/>
    <w:rsid w:val="006759CE"/>
    <w:rsid w:val="00675C98"/>
    <w:rsid w:val="00680B2B"/>
    <w:rsid w:val="006865D8"/>
    <w:rsid w:val="0069026B"/>
    <w:rsid w:val="00692336"/>
    <w:rsid w:val="00694E7B"/>
    <w:rsid w:val="006952A9"/>
    <w:rsid w:val="006956EA"/>
    <w:rsid w:val="00696019"/>
    <w:rsid w:val="006A490C"/>
    <w:rsid w:val="006A578D"/>
    <w:rsid w:val="006B3788"/>
    <w:rsid w:val="006B4F7D"/>
    <w:rsid w:val="006B5810"/>
    <w:rsid w:val="006B6F60"/>
    <w:rsid w:val="006C114C"/>
    <w:rsid w:val="006C29B2"/>
    <w:rsid w:val="006C3864"/>
    <w:rsid w:val="006C45E6"/>
    <w:rsid w:val="006C5383"/>
    <w:rsid w:val="006C5E72"/>
    <w:rsid w:val="006D2AEC"/>
    <w:rsid w:val="006D4C8E"/>
    <w:rsid w:val="006D6B12"/>
    <w:rsid w:val="006E19D1"/>
    <w:rsid w:val="006E1CBB"/>
    <w:rsid w:val="006E5853"/>
    <w:rsid w:val="006F100B"/>
    <w:rsid w:val="006F239A"/>
    <w:rsid w:val="006F2C9D"/>
    <w:rsid w:val="00700053"/>
    <w:rsid w:val="0070637D"/>
    <w:rsid w:val="007071DD"/>
    <w:rsid w:val="007071DF"/>
    <w:rsid w:val="0070771F"/>
    <w:rsid w:val="00712A14"/>
    <w:rsid w:val="007157FD"/>
    <w:rsid w:val="00716C04"/>
    <w:rsid w:val="00717180"/>
    <w:rsid w:val="007179D2"/>
    <w:rsid w:val="00720750"/>
    <w:rsid w:val="00723252"/>
    <w:rsid w:val="0072549C"/>
    <w:rsid w:val="00725A80"/>
    <w:rsid w:val="00727F33"/>
    <w:rsid w:val="00730040"/>
    <w:rsid w:val="00732B00"/>
    <w:rsid w:val="00732BE7"/>
    <w:rsid w:val="00733970"/>
    <w:rsid w:val="0074078E"/>
    <w:rsid w:val="007440B7"/>
    <w:rsid w:val="00754C58"/>
    <w:rsid w:val="00760A64"/>
    <w:rsid w:val="00764326"/>
    <w:rsid w:val="00766130"/>
    <w:rsid w:val="00773829"/>
    <w:rsid w:val="00776E78"/>
    <w:rsid w:val="0078138A"/>
    <w:rsid w:val="00781E7D"/>
    <w:rsid w:val="00783014"/>
    <w:rsid w:val="007834DC"/>
    <w:rsid w:val="0078367A"/>
    <w:rsid w:val="007863A2"/>
    <w:rsid w:val="00787C45"/>
    <w:rsid w:val="00791502"/>
    <w:rsid w:val="007959D8"/>
    <w:rsid w:val="0079630F"/>
    <w:rsid w:val="007A0358"/>
    <w:rsid w:val="007A0492"/>
    <w:rsid w:val="007A04C2"/>
    <w:rsid w:val="007A416F"/>
    <w:rsid w:val="007A4E82"/>
    <w:rsid w:val="007A6A19"/>
    <w:rsid w:val="007B146A"/>
    <w:rsid w:val="007B361A"/>
    <w:rsid w:val="007B7B05"/>
    <w:rsid w:val="007C0E7C"/>
    <w:rsid w:val="007C0EAA"/>
    <w:rsid w:val="007C402C"/>
    <w:rsid w:val="007C44B2"/>
    <w:rsid w:val="007C507B"/>
    <w:rsid w:val="007C6496"/>
    <w:rsid w:val="007C65D2"/>
    <w:rsid w:val="007C745E"/>
    <w:rsid w:val="007D5D2F"/>
    <w:rsid w:val="007D6E8C"/>
    <w:rsid w:val="007D75C6"/>
    <w:rsid w:val="007E3F8C"/>
    <w:rsid w:val="007E69AB"/>
    <w:rsid w:val="007E767C"/>
    <w:rsid w:val="007F05D8"/>
    <w:rsid w:val="007F2058"/>
    <w:rsid w:val="007F4BEA"/>
    <w:rsid w:val="007F6BA6"/>
    <w:rsid w:val="007F7685"/>
    <w:rsid w:val="0080011D"/>
    <w:rsid w:val="00800EA5"/>
    <w:rsid w:val="00801C01"/>
    <w:rsid w:val="008130BB"/>
    <w:rsid w:val="00823073"/>
    <w:rsid w:val="008237FA"/>
    <w:rsid w:val="00825D37"/>
    <w:rsid w:val="008309D1"/>
    <w:rsid w:val="0083467A"/>
    <w:rsid w:val="00835352"/>
    <w:rsid w:val="008369B0"/>
    <w:rsid w:val="00836BCC"/>
    <w:rsid w:val="00844A84"/>
    <w:rsid w:val="00850BBE"/>
    <w:rsid w:val="00853AA8"/>
    <w:rsid w:val="0085732C"/>
    <w:rsid w:val="00860B45"/>
    <w:rsid w:val="0086209E"/>
    <w:rsid w:val="00863860"/>
    <w:rsid w:val="008638B5"/>
    <w:rsid w:val="008734DB"/>
    <w:rsid w:val="0087390B"/>
    <w:rsid w:val="008745A1"/>
    <w:rsid w:val="008768E9"/>
    <w:rsid w:val="0087751B"/>
    <w:rsid w:val="00885D30"/>
    <w:rsid w:val="00890995"/>
    <w:rsid w:val="008914FB"/>
    <w:rsid w:val="0089389A"/>
    <w:rsid w:val="00897E99"/>
    <w:rsid w:val="008A3499"/>
    <w:rsid w:val="008A4829"/>
    <w:rsid w:val="008B002F"/>
    <w:rsid w:val="008B2384"/>
    <w:rsid w:val="008B38D6"/>
    <w:rsid w:val="008B4802"/>
    <w:rsid w:val="008B69E3"/>
    <w:rsid w:val="008C1FD1"/>
    <w:rsid w:val="008C24A8"/>
    <w:rsid w:val="008C35EF"/>
    <w:rsid w:val="008C5996"/>
    <w:rsid w:val="008D3961"/>
    <w:rsid w:val="008D5A11"/>
    <w:rsid w:val="008D5E23"/>
    <w:rsid w:val="008D7C2A"/>
    <w:rsid w:val="008E6D59"/>
    <w:rsid w:val="008E75B6"/>
    <w:rsid w:val="008F2403"/>
    <w:rsid w:val="008F2801"/>
    <w:rsid w:val="008F5D66"/>
    <w:rsid w:val="008F6F95"/>
    <w:rsid w:val="00900F15"/>
    <w:rsid w:val="009028AA"/>
    <w:rsid w:val="00903E3F"/>
    <w:rsid w:val="009049C3"/>
    <w:rsid w:val="009057D9"/>
    <w:rsid w:val="0090774A"/>
    <w:rsid w:val="00910D07"/>
    <w:rsid w:val="00912A80"/>
    <w:rsid w:val="009134D7"/>
    <w:rsid w:val="00914978"/>
    <w:rsid w:val="00914B2F"/>
    <w:rsid w:val="009150E6"/>
    <w:rsid w:val="00915B8E"/>
    <w:rsid w:val="00917F89"/>
    <w:rsid w:val="00924A10"/>
    <w:rsid w:val="009255EE"/>
    <w:rsid w:val="00925603"/>
    <w:rsid w:val="00925F76"/>
    <w:rsid w:val="0093138C"/>
    <w:rsid w:val="00931991"/>
    <w:rsid w:val="00932E89"/>
    <w:rsid w:val="0093359D"/>
    <w:rsid w:val="00933F2B"/>
    <w:rsid w:val="009355AA"/>
    <w:rsid w:val="0093655F"/>
    <w:rsid w:val="00937096"/>
    <w:rsid w:val="0094046B"/>
    <w:rsid w:val="0094084E"/>
    <w:rsid w:val="00942EEB"/>
    <w:rsid w:val="0094468E"/>
    <w:rsid w:val="00945261"/>
    <w:rsid w:val="009506A5"/>
    <w:rsid w:val="009507EE"/>
    <w:rsid w:val="009511BE"/>
    <w:rsid w:val="0095246E"/>
    <w:rsid w:val="00953F01"/>
    <w:rsid w:val="009541CC"/>
    <w:rsid w:val="00956564"/>
    <w:rsid w:val="00956D5A"/>
    <w:rsid w:val="00960E75"/>
    <w:rsid w:val="00961B2C"/>
    <w:rsid w:val="00961DBB"/>
    <w:rsid w:val="00963BA3"/>
    <w:rsid w:val="0096618E"/>
    <w:rsid w:val="00971A45"/>
    <w:rsid w:val="00981433"/>
    <w:rsid w:val="00985C07"/>
    <w:rsid w:val="00987C79"/>
    <w:rsid w:val="009912BE"/>
    <w:rsid w:val="00992253"/>
    <w:rsid w:val="00993210"/>
    <w:rsid w:val="009949B8"/>
    <w:rsid w:val="00995B4F"/>
    <w:rsid w:val="00997582"/>
    <w:rsid w:val="00997BFA"/>
    <w:rsid w:val="009A2C21"/>
    <w:rsid w:val="009A3C59"/>
    <w:rsid w:val="009A3E58"/>
    <w:rsid w:val="009A47AD"/>
    <w:rsid w:val="009A5F02"/>
    <w:rsid w:val="009A7AB1"/>
    <w:rsid w:val="009B69C3"/>
    <w:rsid w:val="009B7FD8"/>
    <w:rsid w:val="009C6DAA"/>
    <w:rsid w:val="009D0039"/>
    <w:rsid w:val="009D0E74"/>
    <w:rsid w:val="009D1A96"/>
    <w:rsid w:val="009D370B"/>
    <w:rsid w:val="009E2087"/>
    <w:rsid w:val="009E252B"/>
    <w:rsid w:val="009E26A7"/>
    <w:rsid w:val="009E3265"/>
    <w:rsid w:val="009E3353"/>
    <w:rsid w:val="009E446D"/>
    <w:rsid w:val="009E77A9"/>
    <w:rsid w:val="009E7C09"/>
    <w:rsid w:val="009F146D"/>
    <w:rsid w:val="009F4F1E"/>
    <w:rsid w:val="00A011E2"/>
    <w:rsid w:val="00A015E4"/>
    <w:rsid w:val="00A029D2"/>
    <w:rsid w:val="00A053F3"/>
    <w:rsid w:val="00A075BC"/>
    <w:rsid w:val="00A10FD9"/>
    <w:rsid w:val="00A11222"/>
    <w:rsid w:val="00A12720"/>
    <w:rsid w:val="00A12C39"/>
    <w:rsid w:val="00A134FB"/>
    <w:rsid w:val="00A13AC6"/>
    <w:rsid w:val="00A20802"/>
    <w:rsid w:val="00A25B4F"/>
    <w:rsid w:val="00A27727"/>
    <w:rsid w:val="00A27B50"/>
    <w:rsid w:val="00A27F2F"/>
    <w:rsid w:val="00A30AE1"/>
    <w:rsid w:val="00A324AA"/>
    <w:rsid w:val="00A442BF"/>
    <w:rsid w:val="00A50167"/>
    <w:rsid w:val="00A53716"/>
    <w:rsid w:val="00A5629E"/>
    <w:rsid w:val="00A62015"/>
    <w:rsid w:val="00A624EB"/>
    <w:rsid w:val="00A64832"/>
    <w:rsid w:val="00A70014"/>
    <w:rsid w:val="00A70AAC"/>
    <w:rsid w:val="00A732DB"/>
    <w:rsid w:val="00A7389D"/>
    <w:rsid w:val="00A747A6"/>
    <w:rsid w:val="00A84DAA"/>
    <w:rsid w:val="00A85B50"/>
    <w:rsid w:val="00A86F04"/>
    <w:rsid w:val="00A9029F"/>
    <w:rsid w:val="00A946C4"/>
    <w:rsid w:val="00A96AD5"/>
    <w:rsid w:val="00AA1CAF"/>
    <w:rsid w:val="00AA43B9"/>
    <w:rsid w:val="00AA4BEA"/>
    <w:rsid w:val="00AA513E"/>
    <w:rsid w:val="00AA6119"/>
    <w:rsid w:val="00AA6CAC"/>
    <w:rsid w:val="00AB5646"/>
    <w:rsid w:val="00AC01F8"/>
    <w:rsid w:val="00AC059A"/>
    <w:rsid w:val="00AC3F86"/>
    <w:rsid w:val="00AD01B2"/>
    <w:rsid w:val="00AD0308"/>
    <w:rsid w:val="00AD1B0D"/>
    <w:rsid w:val="00AD377A"/>
    <w:rsid w:val="00AD56DF"/>
    <w:rsid w:val="00AD67BB"/>
    <w:rsid w:val="00AE082F"/>
    <w:rsid w:val="00AE1CC1"/>
    <w:rsid w:val="00AE2C3B"/>
    <w:rsid w:val="00AE3EA4"/>
    <w:rsid w:val="00AE3EB0"/>
    <w:rsid w:val="00AE4DB6"/>
    <w:rsid w:val="00AE7F85"/>
    <w:rsid w:val="00AF1B02"/>
    <w:rsid w:val="00AF41E4"/>
    <w:rsid w:val="00AF586A"/>
    <w:rsid w:val="00B04E64"/>
    <w:rsid w:val="00B05F09"/>
    <w:rsid w:val="00B0627A"/>
    <w:rsid w:val="00B06A75"/>
    <w:rsid w:val="00B06B84"/>
    <w:rsid w:val="00B06BC3"/>
    <w:rsid w:val="00B06C93"/>
    <w:rsid w:val="00B06CA6"/>
    <w:rsid w:val="00B100A6"/>
    <w:rsid w:val="00B112EA"/>
    <w:rsid w:val="00B15847"/>
    <w:rsid w:val="00B15A0F"/>
    <w:rsid w:val="00B20236"/>
    <w:rsid w:val="00B20937"/>
    <w:rsid w:val="00B220A0"/>
    <w:rsid w:val="00B22B64"/>
    <w:rsid w:val="00B22FEA"/>
    <w:rsid w:val="00B24321"/>
    <w:rsid w:val="00B2457C"/>
    <w:rsid w:val="00B25273"/>
    <w:rsid w:val="00B26338"/>
    <w:rsid w:val="00B30FEB"/>
    <w:rsid w:val="00B373A1"/>
    <w:rsid w:val="00B40AA3"/>
    <w:rsid w:val="00B44478"/>
    <w:rsid w:val="00B534DD"/>
    <w:rsid w:val="00B56ACA"/>
    <w:rsid w:val="00B56FF2"/>
    <w:rsid w:val="00B6002C"/>
    <w:rsid w:val="00B620EE"/>
    <w:rsid w:val="00B71A7A"/>
    <w:rsid w:val="00B71B7B"/>
    <w:rsid w:val="00B806F3"/>
    <w:rsid w:val="00B85366"/>
    <w:rsid w:val="00B87F60"/>
    <w:rsid w:val="00B93127"/>
    <w:rsid w:val="00B93D3D"/>
    <w:rsid w:val="00B9433D"/>
    <w:rsid w:val="00B96D06"/>
    <w:rsid w:val="00B97E29"/>
    <w:rsid w:val="00BA471F"/>
    <w:rsid w:val="00BB040C"/>
    <w:rsid w:val="00BB1423"/>
    <w:rsid w:val="00BB5013"/>
    <w:rsid w:val="00BB528E"/>
    <w:rsid w:val="00BB5DBD"/>
    <w:rsid w:val="00BC2600"/>
    <w:rsid w:val="00BC36F0"/>
    <w:rsid w:val="00BC4FA7"/>
    <w:rsid w:val="00BC5E30"/>
    <w:rsid w:val="00BD02C5"/>
    <w:rsid w:val="00BD068D"/>
    <w:rsid w:val="00BD6421"/>
    <w:rsid w:val="00BE0D9A"/>
    <w:rsid w:val="00BE1A50"/>
    <w:rsid w:val="00BE2F0D"/>
    <w:rsid w:val="00BE6683"/>
    <w:rsid w:val="00BF0BD5"/>
    <w:rsid w:val="00BF55F8"/>
    <w:rsid w:val="00BF6BF3"/>
    <w:rsid w:val="00BF7CAC"/>
    <w:rsid w:val="00C051FD"/>
    <w:rsid w:val="00C20146"/>
    <w:rsid w:val="00C20C7D"/>
    <w:rsid w:val="00C20DEF"/>
    <w:rsid w:val="00C21C45"/>
    <w:rsid w:val="00C224F1"/>
    <w:rsid w:val="00C2482E"/>
    <w:rsid w:val="00C24B25"/>
    <w:rsid w:val="00C26E8B"/>
    <w:rsid w:val="00C32C2F"/>
    <w:rsid w:val="00C3738A"/>
    <w:rsid w:val="00C37B76"/>
    <w:rsid w:val="00C405F2"/>
    <w:rsid w:val="00C42675"/>
    <w:rsid w:val="00C4315A"/>
    <w:rsid w:val="00C43F5E"/>
    <w:rsid w:val="00C44074"/>
    <w:rsid w:val="00C4571D"/>
    <w:rsid w:val="00C4651F"/>
    <w:rsid w:val="00C47AFC"/>
    <w:rsid w:val="00C508D1"/>
    <w:rsid w:val="00C51D0B"/>
    <w:rsid w:val="00C52A50"/>
    <w:rsid w:val="00C62DA3"/>
    <w:rsid w:val="00C642D4"/>
    <w:rsid w:val="00C6526B"/>
    <w:rsid w:val="00C70584"/>
    <w:rsid w:val="00C7281D"/>
    <w:rsid w:val="00C730F4"/>
    <w:rsid w:val="00C75896"/>
    <w:rsid w:val="00C80200"/>
    <w:rsid w:val="00C8064B"/>
    <w:rsid w:val="00C80A72"/>
    <w:rsid w:val="00C8270B"/>
    <w:rsid w:val="00C82C1A"/>
    <w:rsid w:val="00C82C5F"/>
    <w:rsid w:val="00C83C8E"/>
    <w:rsid w:val="00C841A9"/>
    <w:rsid w:val="00C8488D"/>
    <w:rsid w:val="00C8728F"/>
    <w:rsid w:val="00C95B54"/>
    <w:rsid w:val="00C97FBC"/>
    <w:rsid w:val="00CA0B7E"/>
    <w:rsid w:val="00CA3052"/>
    <w:rsid w:val="00CA4A57"/>
    <w:rsid w:val="00CA5598"/>
    <w:rsid w:val="00CA5871"/>
    <w:rsid w:val="00CA5873"/>
    <w:rsid w:val="00CA5EF8"/>
    <w:rsid w:val="00CB28A3"/>
    <w:rsid w:val="00CB6301"/>
    <w:rsid w:val="00CC00A0"/>
    <w:rsid w:val="00CC5455"/>
    <w:rsid w:val="00CC54EC"/>
    <w:rsid w:val="00CC5AB3"/>
    <w:rsid w:val="00CC6C06"/>
    <w:rsid w:val="00CC7E2F"/>
    <w:rsid w:val="00CD12D4"/>
    <w:rsid w:val="00CD13A1"/>
    <w:rsid w:val="00CD3A68"/>
    <w:rsid w:val="00CD425A"/>
    <w:rsid w:val="00CD5509"/>
    <w:rsid w:val="00CE1EB0"/>
    <w:rsid w:val="00CE3DF2"/>
    <w:rsid w:val="00CF0C0F"/>
    <w:rsid w:val="00CF1690"/>
    <w:rsid w:val="00CF1F2A"/>
    <w:rsid w:val="00CF5CE3"/>
    <w:rsid w:val="00CF5DCF"/>
    <w:rsid w:val="00CF7412"/>
    <w:rsid w:val="00D030F8"/>
    <w:rsid w:val="00D077B7"/>
    <w:rsid w:val="00D16BED"/>
    <w:rsid w:val="00D16CF9"/>
    <w:rsid w:val="00D20297"/>
    <w:rsid w:val="00D21E6B"/>
    <w:rsid w:val="00D23634"/>
    <w:rsid w:val="00D24A51"/>
    <w:rsid w:val="00D27079"/>
    <w:rsid w:val="00D27251"/>
    <w:rsid w:val="00D34551"/>
    <w:rsid w:val="00D3546B"/>
    <w:rsid w:val="00D35473"/>
    <w:rsid w:val="00D413B0"/>
    <w:rsid w:val="00D457D6"/>
    <w:rsid w:val="00D568CC"/>
    <w:rsid w:val="00D64CC7"/>
    <w:rsid w:val="00D64CE2"/>
    <w:rsid w:val="00D66FD3"/>
    <w:rsid w:val="00D7751B"/>
    <w:rsid w:val="00D77BE8"/>
    <w:rsid w:val="00D815DC"/>
    <w:rsid w:val="00D822B5"/>
    <w:rsid w:val="00D83D3C"/>
    <w:rsid w:val="00D84E60"/>
    <w:rsid w:val="00D867AE"/>
    <w:rsid w:val="00D87BBB"/>
    <w:rsid w:val="00D87C87"/>
    <w:rsid w:val="00D903E0"/>
    <w:rsid w:val="00D91B75"/>
    <w:rsid w:val="00D91D62"/>
    <w:rsid w:val="00D921C4"/>
    <w:rsid w:val="00D9296A"/>
    <w:rsid w:val="00D93C23"/>
    <w:rsid w:val="00D95638"/>
    <w:rsid w:val="00D9584C"/>
    <w:rsid w:val="00DA0E85"/>
    <w:rsid w:val="00DA14D9"/>
    <w:rsid w:val="00DA3E74"/>
    <w:rsid w:val="00DA415A"/>
    <w:rsid w:val="00DA44F2"/>
    <w:rsid w:val="00DA60F7"/>
    <w:rsid w:val="00DB13AD"/>
    <w:rsid w:val="00DB23F9"/>
    <w:rsid w:val="00DB2C8A"/>
    <w:rsid w:val="00DB58BE"/>
    <w:rsid w:val="00DB6176"/>
    <w:rsid w:val="00DB64D7"/>
    <w:rsid w:val="00DB6AA0"/>
    <w:rsid w:val="00DB7C3A"/>
    <w:rsid w:val="00DC309B"/>
    <w:rsid w:val="00DC552B"/>
    <w:rsid w:val="00DC6240"/>
    <w:rsid w:val="00DC7C9D"/>
    <w:rsid w:val="00DD0202"/>
    <w:rsid w:val="00DD0EE1"/>
    <w:rsid w:val="00DD176E"/>
    <w:rsid w:val="00DD26C8"/>
    <w:rsid w:val="00DD32AB"/>
    <w:rsid w:val="00DD3B71"/>
    <w:rsid w:val="00DD5BF6"/>
    <w:rsid w:val="00DD7A30"/>
    <w:rsid w:val="00DE02A4"/>
    <w:rsid w:val="00DE1865"/>
    <w:rsid w:val="00DE6CEF"/>
    <w:rsid w:val="00DF11C2"/>
    <w:rsid w:val="00DF4593"/>
    <w:rsid w:val="00E10D05"/>
    <w:rsid w:val="00E10F84"/>
    <w:rsid w:val="00E11791"/>
    <w:rsid w:val="00E14FAD"/>
    <w:rsid w:val="00E2223E"/>
    <w:rsid w:val="00E22D98"/>
    <w:rsid w:val="00E24623"/>
    <w:rsid w:val="00E252E3"/>
    <w:rsid w:val="00E27736"/>
    <w:rsid w:val="00E30C11"/>
    <w:rsid w:val="00E3123C"/>
    <w:rsid w:val="00E317D8"/>
    <w:rsid w:val="00E40505"/>
    <w:rsid w:val="00E428E3"/>
    <w:rsid w:val="00E42A41"/>
    <w:rsid w:val="00E435EC"/>
    <w:rsid w:val="00E45766"/>
    <w:rsid w:val="00E46CC0"/>
    <w:rsid w:val="00E4794C"/>
    <w:rsid w:val="00E50180"/>
    <w:rsid w:val="00E5066F"/>
    <w:rsid w:val="00E530A8"/>
    <w:rsid w:val="00E567E5"/>
    <w:rsid w:val="00E62C79"/>
    <w:rsid w:val="00E6708B"/>
    <w:rsid w:val="00E73A8C"/>
    <w:rsid w:val="00E7409F"/>
    <w:rsid w:val="00E75050"/>
    <w:rsid w:val="00E76F42"/>
    <w:rsid w:val="00E77075"/>
    <w:rsid w:val="00E87098"/>
    <w:rsid w:val="00E8797A"/>
    <w:rsid w:val="00E915E6"/>
    <w:rsid w:val="00E97B15"/>
    <w:rsid w:val="00EA0F46"/>
    <w:rsid w:val="00EA1746"/>
    <w:rsid w:val="00EA3E11"/>
    <w:rsid w:val="00EA43DA"/>
    <w:rsid w:val="00EA647B"/>
    <w:rsid w:val="00EA6EB3"/>
    <w:rsid w:val="00EB0CED"/>
    <w:rsid w:val="00EB2FDB"/>
    <w:rsid w:val="00EB4A8E"/>
    <w:rsid w:val="00EB5EF3"/>
    <w:rsid w:val="00EB695D"/>
    <w:rsid w:val="00EC152B"/>
    <w:rsid w:val="00ED0787"/>
    <w:rsid w:val="00ED17BA"/>
    <w:rsid w:val="00ED39CE"/>
    <w:rsid w:val="00ED4134"/>
    <w:rsid w:val="00ED49C3"/>
    <w:rsid w:val="00ED7ECA"/>
    <w:rsid w:val="00EE05F1"/>
    <w:rsid w:val="00EE471A"/>
    <w:rsid w:val="00EE5492"/>
    <w:rsid w:val="00EE6D0D"/>
    <w:rsid w:val="00EF35C4"/>
    <w:rsid w:val="00EF670A"/>
    <w:rsid w:val="00F07156"/>
    <w:rsid w:val="00F07BD5"/>
    <w:rsid w:val="00F11350"/>
    <w:rsid w:val="00F122D6"/>
    <w:rsid w:val="00F13876"/>
    <w:rsid w:val="00F142B4"/>
    <w:rsid w:val="00F15BF4"/>
    <w:rsid w:val="00F17940"/>
    <w:rsid w:val="00F2046C"/>
    <w:rsid w:val="00F20647"/>
    <w:rsid w:val="00F20F31"/>
    <w:rsid w:val="00F218B5"/>
    <w:rsid w:val="00F2289A"/>
    <w:rsid w:val="00F26580"/>
    <w:rsid w:val="00F27FE7"/>
    <w:rsid w:val="00F31392"/>
    <w:rsid w:val="00F348B5"/>
    <w:rsid w:val="00F353EA"/>
    <w:rsid w:val="00F3652B"/>
    <w:rsid w:val="00F377B9"/>
    <w:rsid w:val="00F42914"/>
    <w:rsid w:val="00F42B27"/>
    <w:rsid w:val="00F45442"/>
    <w:rsid w:val="00F507D0"/>
    <w:rsid w:val="00F5145E"/>
    <w:rsid w:val="00F558EA"/>
    <w:rsid w:val="00F613CB"/>
    <w:rsid w:val="00F61F79"/>
    <w:rsid w:val="00F65172"/>
    <w:rsid w:val="00F656A4"/>
    <w:rsid w:val="00F6665E"/>
    <w:rsid w:val="00F7075F"/>
    <w:rsid w:val="00F71D76"/>
    <w:rsid w:val="00F73621"/>
    <w:rsid w:val="00F80D4D"/>
    <w:rsid w:val="00F8349F"/>
    <w:rsid w:val="00F835E2"/>
    <w:rsid w:val="00F83FB7"/>
    <w:rsid w:val="00F85935"/>
    <w:rsid w:val="00F85D29"/>
    <w:rsid w:val="00F935C3"/>
    <w:rsid w:val="00F969D3"/>
    <w:rsid w:val="00FA03B5"/>
    <w:rsid w:val="00FA16C4"/>
    <w:rsid w:val="00FA190E"/>
    <w:rsid w:val="00FA3A35"/>
    <w:rsid w:val="00FA54D8"/>
    <w:rsid w:val="00FA63F4"/>
    <w:rsid w:val="00FB2273"/>
    <w:rsid w:val="00FB7FEE"/>
    <w:rsid w:val="00FC381D"/>
    <w:rsid w:val="00FC4FB7"/>
    <w:rsid w:val="00FD0586"/>
    <w:rsid w:val="00FD10F1"/>
    <w:rsid w:val="00FD308F"/>
    <w:rsid w:val="00FD357B"/>
    <w:rsid w:val="00FD38FC"/>
    <w:rsid w:val="00FD6119"/>
    <w:rsid w:val="00FD688E"/>
    <w:rsid w:val="00FD7C0C"/>
    <w:rsid w:val="00FE045C"/>
    <w:rsid w:val="00FE0C52"/>
    <w:rsid w:val="00FE1692"/>
    <w:rsid w:val="00FE1D86"/>
    <w:rsid w:val="00FE4F80"/>
    <w:rsid w:val="00FE5052"/>
    <w:rsid w:val="00FE6050"/>
    <w:rsid w:val="00FF0566"/>
    <w:rsid w:val="00FF0828"/>
    <w:rsid w:val="00FF1963"/>
    <w:rsid w:val="00FF2155"/>
    <w:rsid w:val="00FF62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qFormat="1"/>
    <w:lsdException w:name="table of figures" w:semiHidden="0" w:uiPriority="99" w:unhideWhenUsed="0"/>
    <w:lsdException w:name="annotation reference" w:uiPriority="99"/>
    <w:lsdException w:name="List Bullet" w:qFormat="1"/>
    <w:lsdException w:name="List Number" w:qFormat="1"/>
    <w:lsdException w:name="List Bullet 2"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Plain Text" w:uiPriority="99"/>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lsdException w:name="Quote" w:semiHidden="0"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qFormat/>
    <w:rsid w:val="000E266E"/>
  </w:style>
  <w:style w:type="paragraph" w:styleId="Heading1">
    <w:name w:val="heading 1"/>
    <w:basedOn w:val="Normal"/>
    <w:next w:val="BodyText"/>
    <w:link w:val="Heading1Char"/>
    <w:qFormat/>
    <w:rsid w:val="00733970"/>
    <w:pPr>
      <w:keepNext/>
      <w:keepLines/>
      <w:numPr>
        <w:numId w:val="11"/>
      </w:numPr>
      <w:tabs>
        <w:tab w:val="right" w:pos="1418"/>
        <w:tab w:val="right" w:pos="1701"/>
        <w:tab w:val="right" w:pos="1985"/>
      </w:tabs>
      <w:spacing w:before="480" w:after="340" w:line="240" w:lineRule="auto"/>
      <w:outlineLvl w:val="0"/>
    </w:pPr>
    <w:rPr>
      <w:rFonts w:asciiTheme="majorHAnsi" w:hAnsiTheme="majorHAnsi"/>
      <w:bCs/>
      <w:color w:val="2B3B5F" w:themeColor="text2"/>
      <w:spacing w:val="-6"/>
      <w:kern w:val="32"/>
      <w:sz w:val="40"/>
      <w:szCs w:val="32"/>
    </w:rPr>
  </w:style>
  <w:style w:type="paragraph" w:styleId="Heading2">
    <w:name w:val="heading 2"/>
    <w:basedOn w:val="Normal"/>
    <w:next w:val="BodyText"/>
    <w:link w:val="Heading2Char"/>
    <w:qFormat/>
    <w:rsid w:val="00961DBB"/>
    <w:pPr>
      <w:keepNext/>
      <w:keepLines/>
      <w:numPr>
        <w:ilvl w:val="1"/>
        <w:numId w:val="11"/>
      </w:numPr>
      <w:tabs>
        <w:tab w:val="left" w:pos="1418"/>
        <w:tab w:val="left" w:pos="1701"/>
        <w:tab w:val="left" w:pos="1985"/>
      </w:tabs>
      <w:spacing w:before="470" w:after="227"/>
      <w:outlineLvl w:val="1"/>
    </w:pPr>
    <w:rPr>
      <w:rFonts w:asciiTheme="majorHAnsi" w:hAnsiTheme="majorHAnsi"/>
      <w:bCs/>
      <w:iCs/>
      <w:color w:val="2B3B5F" w:themeColor="text2"/>
      <w:kern w:val="20"/>
      <w:sz w:val="32"/>
      <w:szCs w:val="28"/>
    </w:rPr>
  </w:style>
  <w:style w:type="paragraph" w:styleId="Heading3">
    <w:name w:val="heading 3"/>
    <w:basedOn w:val="Normal"/>
    <w:next w:val="BodyText"/>
    <w:link w:val="Heading3Char"/>
    <w:qFormat/>
    <w:rsid w:val="004D6356"/>
    <w:pPr>
      <w:keepNext/>
      <w:keepLines/>
      <w:numPr>
        <w:ilvl w:val="2"/>
        <w:numId w:val="11"/>
      </w:numPr>
      <w:tabs>
        <w:tab w:val="left" w:pos="1418"/>
        <w:tab w:val="left" w:pos="1701"/>
        <w:tab w:val="left" w:pos="1985"/>
      </w:tabs>
      <w:spacing w:before="470" w:after="227"/>
      <w:outlineLvl w:val="2"/>
    </w:pPr>
    <w:rPr>
      <w:b/>
      <w:color w:val="2B3B5F" w:themeColor="text2"/>
      <w:sz w:val="28"/>
    </w:rPr>
  </w:style>
  <w:style w:type="paragraph" w:styleId="Heading4">
    <w:name w:val="heading 4"/>
    <w:basedOn w:val="Normal"/>
    <w:next w:val="BodyText"/>
    <w:link w:val="Heading4Char"/>
    <w:qFormat/>
    <w:rsid w:val="00B620EE"/>
    <w:pPr>
      <w:keepNext/>
      <w:keepLines/>
      <w:tabs>
        <w:tab w:val="left" w:pos="1418"/>
        <w:tab w:val="left" w:pos="1701"/>
        <w:tab w:val="left" w:pos="1985"/>
      </w:tabs>
      <w:spacing w:before="227" w:after="113"/>
      <w:outlineLvl w:val="3"/>
    </w:pPr>
    <w:rPr>
      <w:rFonts w:eastAsiaTheme="majorEastAsia" w:cstheme="majorBidi"/>
      <w:b/>
      <w:bCs/>
      <w:i/>
      <w:iCs/>
      <w:color w:val="2B3B5F" w:themeColor="text2"/>
      <w:sz w:val="24"/>
    </w:rPr>
  </w:style>
  <w:style w:type="paragraph" w:styleId="Heading5">
    <w:name w:val="heading 5"/>
    <w:basedOn w:val="Normal"/>
    <w:next w:val="BodyText"/>
    <w:link w:val="Heading5Char"/>
    <w:qFormat/>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qFormat/>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rsid w:val="00174A2F"/>
    <w:pPr>
      <w:keepNext/>
      <w:keepLines/>
      <w:pageBreakBefore/>
      <w:numPr>
        <w:numId w:val="1"/>
      </w:numPr>
      <w:tabs>
        <w:tab w:val="left" w:pos="4536"/>
      </w:tabs>
      <w:spacing w:before="480" w:after="340"/>
      <w:outlineLvl w:val="7"/>
    </w:pPr>
    <w:rPr>
      <w:rFonts w:asciiTheme="majorHAnsi" w:eastAsiaTheme="majorEastAsia" w:hAnsiTheme="majorHAnsi" w:cstheme="majorBidi"/>
      <w:color w:val="2B3B5F" w:themeColor="text2"/>
      <w:sz w:val="40"/>
    </w:rPr>
  </w:style>
  <w:style w:type="paragraph" w:styleId="Heading9">
    <w:name w:val="heading 9"/>
    <w:aliases w:val="Appendix Heading 1"/>
    <w:basedOn w:val="Normal"/>
    <w:next w:val="BodyText"/>
    <w:link w:val="Heading9Char"/>
    <w:rsid w:val="00CA5598"/>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rsid w:val="000E266E"/>
    <w:rPr>
      <w:kern w:val="16"/>
      <w:sz w:val="18"/>
    </w:rPr>
  </w:style>
  <w:style w:type="character" w:styleId="FootnoteReference">
    <w:name w:val="footnote reference"/>
    <w:basedOn w:val="DefaultParagraphFont"/>
    <w:rsid w:val="00961DBB"/>
    <w:rPr>
      <w:rFonts w:asciiTheme="minorHAnsi" w:hAnsiTheme="minorHAnsi"/>
      <w:color w:val="auto"/>
      <w:vertAlign w:val="superscript"/>
    </w:rPr>
  </w:style>
  <w:style w:type="paragraph" w:styleId="BodyText">
    <w:name w:val="Body Text"/>
    <w:basedOn w:val="Normal"/>
    <w:link w:val="BodyTextChar"/>
    <w:qFormat/>
    <w:rsid w:val="008D5A11"/>
    <w:pPr>
      <w:spacing w:before="113" w:after="113"/>
    </w:pPr>
    <w:rPr>
      <w:rFonts w:cs="Times New Roman"/>
      <w:spacing w:val="-1"/>
    </w:rPr>
  </w:style>
  <w:style w:type="character" w:customStyle="1" w:styleId="BodyTextChar">
    <w:name w:val="Body Text Char"/>
    <w:basedOn w:val="DefaultParagraphFont"/>
    <w:link w:val="BodyText"/>
    <w:rsid w:val="000E266E"/>
    <w:rPr>
      <w:rFonts w:cs="Times New Roman"/>
      <w:spacing w:val="-1"/>
    </w:rPr>
  </w:style>
  <w:style w:type="paragraph" w:customStyle="1" w:styleId="BodyText17ptAbove">
    <w:name w:val="Body Text 17pt Above"/>
    <w:basedOn w:val="BodyText"/>
    <w:next w:val="BodyText"/>
    <w:qFormat/>
    <w:rsid w:val="00961DBB"/>
    <w:pPr>
      <w:spacing w:before="340"/>
    </w:pPr>
  </w:style>
  <w:style w:type="character" w:customStyle="1" w:styleId="Heading1Char">
    <w:name w:val="Heading 1 Char"/>
    <w:basedOn w:val="DefaultParagraphFont"/>
    <w:link w:val="Heading1"/>
    <w:rsid w:val="000E266E"/>
    <w:rPr>
      <w:rFonts w:asciiTheme="majorHAnsi" w:hAnsiTheme="majorHAnsi"/>
      <w:bCs/>
      <w:color w:val="2B3B5F" w:themeColor="text2"/>
      <w:spacing w:val="-6"/>
      <w:kern w:val="32"/>
      <w:sz w:val="40"/>
      <w:szCs w:val="32"/>
    </w:rPr>
  </w:style>
  <w:style w:type="character" w:customStyle="1" w:styleId="Heading2Char">
    <w:name w:val="Heading 2 Char"/>
    <w:basedOn w:val="DefaultParagraphFont"/>
    <w:link w:val="Heading2"/>
    <w:rsid w:val="000E266E"/>
    <w:rPr>
      <w:rFonts w:asciiTheme="majorHAnsi" w:hAnsiTheme="majorHAnsi"/>
      <w:bCs/>
      <w:iCs/>
      <w:color w:val="2B3B5F" w:themeColor="text2"/>
      <w:kern w:val="20"/>
      <w:sz w:val="32"/>
      <w:szCs w:val="28"/>
    </w:rPr>
  </w:style>
  <w:style w:type="character" w:customStyle="1" w:styleId="Heading3Char">
    <w:name w:val="Heading 3 Char"/>
    <w:basedOn w:val="DefaultParagraphFont"/>
    <w:link w:val="Heading3"/>
    <w:rsid w:val="004D6356"/>
    <w:rPr>
      <w:b/>
      <w:color w:val="2B3B5F" w:themeColor="text2"/>
      <w:sz w:val="28"/>
    </w:rPr>
  </w:style>
  <w:style w:type="character" w:customStyle="1" w:styleId="Heading4Char">
    <w:name w:val="Heading 4 Char"/>
    <w:basedOn w:val="DefaultParagraphFont"/>
    <w:link w:val="Heading4"/>
    <w:uiPriority w:val="9"/>
    <w:rsid w:val="000E266E"/>
    <w:rPr>
      <w:rFonts w:eastAsiaTheme="majorEastAsia" w:cstheme="majorBidi"/>
      <w:b/>
      <w:bCs/>
      <w:i/>
      <w:iCs/>
      <w:color w:val="2B3B5F" w:themeColor="text2"/>
      <w:sz w:val="24"/>
    </w:rPr>
  </w:style>
  <w:style w:type="character" w:customStyle="1" w:styleId="Heading5Char">
    <w:name w:val="Heading 5 Char"/>
    <w:basedOn w:val="DefaultParagraphFont"/>
    <w:link w:val="Heading5"/>
    <w:rsid w:val="000E266E"/>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rsid w:val="000E266E"/>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ppendix Title Char"/>
    <w:basedOn w:val="DefaultParagraphFont"/>
    <w:link w:val="Heading8"/>
    <w:rsid w:val="00174A2F"/>
    <w:rPr>
      <w:rFonts w:asciiTheme="majorHAnsi" w:eastAsiaTheme="majorEastAsia" w:hAnsiTheme="majorHAnsi" w:cstheme="majorBidi"/>
      <w:color w:val="2B3B5F" w:themeColor="text2"/>
      <w:sz w:val="40"/>
    </w:rPr>
  </w:style>
  <w:style w:type="character" w:customStyle="1" w:styleId="Heading9Char">
    <w:name w:val="Heading 9 Char"/>
    <w:aliases w:val="Appendix Heading 1 Char"/>
    <w:basedOn w:val="DefaultParagraphFont"/>
    <w:link w:val="Heading9"/>
    <w:rsid w:val="000E266E"/>
    <w:rPr>
      <w:rFonts w:asciiTheme="majorHAnsi" w:hAnsiTheme="majorHAnsi"/>
      <w:color w:val="2B3B5F" w:themeColor="text2"/>
      <w:sz w:val="32"/>
    </w:rPr>
  </w:style>
  <w:style w:type="paragraph" w:customStyle="1" w:styleId="AppendixHeading2">
    <w:name w:val="Appendix Heading 2"/>
    <w:basedOn w:val="Normal"/>
    <w:next w:val="BodyTex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ppendixHeading3">
    <w:name w:val="Appendix Heading 3"/>
    <w:basedOn w:val="Normal"/>
    <w:next w:val="BodyTex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BodyText"/>
    <w:rsid w:val="00961DBB"/>
    <w:pPr>
      <w:keepNext/>
      <w:spacing w:before="340" w:after="114"/>
    </w:pPr>
    <w:rPr>
      <w:b/>
      <w:bCs/>
      <w:color w:val="2B3B5F" w:themeColor="text2"/>
      <w:spacing w:val="-4"/>
    </w:rPr>
  </w:style>
  <w:style w:type="paragraph" w:styleId="Footer">
    <w:name w:val="footer"/>
    <w:basedOn w:val="Normal"/>
    <w:link w:val="FooterChar"/>
    <w:rsid w:val="00961DBB"/>
    <w:pPr>
      <w:spacing w:line="240" w:lineRule="auto"/>
    </w:pPr>
    <w:rPr>
      <w:b/>
      <w:color w:val="788184" w:themeColor="background2"/>
    </w:rPr>
  </w:style>
  <w:style w:type="character" w:customStyle="1" w:styleId="FooterChar">
    <w:name w:val="Footer Char"/>
    <w:basedOn w:val="DefaultParagraphFont"/>
    <w:link w:val="Footer"/>
    <w:rsid w:val="000E266E"/>
    <w:rPr>
      <w:b/>
      <w:color w:val="788184" w:themeColor="background2"/>
    </w:rPr>
  </w:style>
  <w:style w:type="paragraph" w:customStyle="1" w:styleId="FooterLeft">
    <w:name w:val="Footer Left"/>
    <w:basedOn w:val="Footer"/>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rsid w:val="00961DBB"/>
    <w:pPr>
      <w:framePr w:wrap="around" w:xAlign="right"/>
      <w:ind w:right="397"/>
      <w:jc w:val="right"/>
    </w:pPr>
  </w:style>
  <w:style w:type="paragraph" w:customStyle="1" w:styleId="FooterRightPageNumber">
    <w:name w:val="Footer Right Page Number"/>
    <w:basedOn w:val="Normal"/>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rsid w:val="00961DBB"/>
    <w:pPr>
      <w:framePr w:wrap="around" w:vAnchor="page" w:hAnchor="margin" w:yAlign="bottom"/>
      <w:spacing w:before="180" w:after="120"/>
      <w:ind w:right="57"/>
    </w:pPr>
  </w:style>
  <w:style w:type="paragraph" w:customStyle="1" w:styleId="FootnoteSeparator">
    <w:name w:val="Footnote Separator"/>
    <w:basedOn w:val="Normal"/>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rsid w:val="00961DBB"/>
    <w:pPr>
      <w:spacing w:line="240" w:lineRule="auto"/>
    </w:pPr>
  </w:style>
  <w:style w:type="character" w:customStyle="1" w:styleId="HeaderChar">
    <w:name w:val="Header Char"/>
    <w:basedOn w:val="DefaultParagraphFont"/>
    <w:link w:val="Header"/>
    <w:rsid w:val="000E266E"/>
  </w:style>
  <w:style w:type="paragraph" w:customStyle="1" w:styleId="HighlightText">
    <w:name w:val="Highlight Text"/>
    <w:basedOn w:val="Normal"/>
    <w:qFormat/>
    <w:rsid w:val="00961DBB"/>
    <w:pPr>
      <w:spacing w:before="120" w:after="420"/>
    </w:pPr>
    <w:rPr>
      <w:i/>
      <w:color w:val="2B3B5F" w:themeColor="text2"/>
      <w:spacing w:val="-1"/>
    </w:rPr>
  </w:style>
  <w:style w:type="paragraph" w:customStyle="1" w:styleId="Introduction">
    <w:name w:val="Introduction"/>
    <w:basedOn w:val="Normal"/>
    <w:next w:val="BodyText"/>
    <w:qFormat/>
    <w:rsid w:val="00961DBB"/>
    <w:pPr>
      <w:spacing w:after="180" w:line="360" w:lineRule="atLeast"/>
    </w:pPr>
    <w:rPr>
      <w:color w:val="2B3B5F" w:themeColor="text2"/>
      <w:spacing w:val="-2"/>
      <w:sz w:val="30"/>
    </w:rPr>
  </w:style>
  <w:style w:type="character" w:customStyle="1" w:styleId="Italics">
    <w:name w:val="Italics"/>
    <w:rsid w:val="00961DBB"/>
    <w:rPr>
      <w:i/>
    </w:rPr>
  </w:style>
  <w:style w:type="paragraph" w:styleId="ListBullet">
    <w:name w:val="List Bullet"/>
    <w:basedOn w:val="Normal"/>
    <w:unhideWhenUsed/>
    <w:qFormat/>
    <w:rsid w:val="00961DBB"/>
    <w:pPr>
      <w:keepLines/>
      <w:numPr>
        <w:numId w:val="2"/>
      </w:numPr>
      <w:spacing w:after="113"/>
    </w:pPr>
    <w:rPr>
      <w:spacing w:val="-1"/>
    </w:rPr>
  </w:style>
  <w:style w:type="paragraph" w:styleId="ListBullet2">
    <w:name w:val="List Bullet 2"/>
    <w:basedOn w:val="ListBullet"/>
    <w:unhideWhenUsed/>
    <w:qFormat/>
    <w:rsid w:val="00961DBB"/>
    <w:pPr>
      <w:numPr>
        <w:ilvl w:val="1"/>
      </w:numPr>
    </w:pPr>
  </w:style>
  <w:style w:type="paragraph" w:styleId="ListBullet3">
    <w:name w:val="List Bullet 3"/>
    <w:basedOn w:val="ListBullet2"/>
    <w:unhideWhenUsed/>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qFormat/>
    <w:rsid w:val="00961DBB"/>
    <w:pPr>
      <w:numPr>
        <w:numId w:val="3"/>
      </w:numPr>
      <w:spacing w:before="113" w:after="113"/>
    </w:pPr>
    <w:rPr>
      <w:spacing w:val="-1"/>
    </w:rPr>
  </w:style>
  <w:style w:type="paragraph" w:styleId="ListNumber2">
    <w:name w:val="List Number 2"/>
    <w:basedOn w:val="Normal"/>
    <w:qFormat/>
    <w:rsid w:val="00961DBB"/>
    <w:pPr>
      <w:numPr>
        <w:ilvl w:val="1"/>
        <w:numId w:val="3"/>
      </w:numPr>
      <w:spacing w:before="113" w:after="113"/>
    </w:pPr>
    <w:rPr>
      <w:spacing w:val="-1"/>
    </w:rPr>
  </w:style>
  <w:style w:type="paragraph" w:styleId="ListNumber3">
    <w:name w:val="List Number 3"/>
    <w:basedOn w:val="Normal"/>
    <w:qFormat/>
    <w:rsid w:val="00961DBB"/>
    <w:pPr>
      <w:numPr>
        <w:ilvl w:val="2"/>
        <w:numId w:val="3"/>
      </w:numPr>
      <w:spacing w:before="113" w:after="113"/>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pPr>
      <w:spacing w:line="240" w:lineRule="auto"/>
    </w:pPr>
    <w:rPr>
      <w:rFonts w:eastAsia="Times New Roman" w:cs="Arial"/>
      <w:lang w:eastAsia="en-AU"/>
    </w:rPr>
  </w:style>
  <w:style w:type="paragraph" w:customStyle="1" w:styleId="OverviewBodyText">
    <w:name w:val="Overview Body Text"/>
    <w:basedOn w:val="Normal"/>
    <w:rsid w:val="00512226"/>
    <w:pPr>
      <w:spacing w:after="113"/>
    </w:pPr>
  </w:style>
  <w:style w:type="paragraph" w:customStyle="1" w:styleId="OverviewHeading2">
    <w:name w:val="Overview Heading 2"/>
    <w:basedOn w:val="Normal"/>
    <w:next w:val="OverviewBodyText"/>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rsid w:val="00961DBB"/>
    <w:rPr>
      <w:color w:val="808080"/>
    </w:rPr>
  </w:style>
  <w:style w:type="paragraph" w:customStyle="1" w:styleId="PullOutBoxBodyText">
    <w:name w:val="Pull Out Box Body Text"/>
    <w:basedOn w:val="Normal"/>
    <w:qFormat/>
    <w:rsid w:val="00961DBB"/>
    <w:pPr>
      <w:spacing w:before="113" w:after="113"/>
      <w:ind w:left="227" w:right="170"/>
    </w:pPr>
    <w:rPr>
      <w:spacing w:val="-1"/>
    </w:rPr>
  </w:style>
  <w:style w:type="paragraph" w:customStyle="1" w:styleId="PullOutBoxBullet">
    <w:name w:val="Pull Out Box Bullet"/>
    <w:basedOn w:val="PullOutBoxBodyText"/>
    <w:qFormat/>
    <w:rsid w:val="00961DBB"/>
    <w:pPr>
      <w:numPr>
        <w:numId w:val="5"/>
      </w:numPr>
    </w:pPr>
  </w:style>
  <w:style w:type="paragraph" w:customStyle="1" w:styleId="PullOutBoxBullet2">
    <w:name w:val="Pull Out Box Bullet 2"/>
    <w:basedOn w:val="PullOutBoxBodyText"/>
    <w:qFormat/>
    <w:rsid w:val="00961DBB"/>
    <w:pPr>
      <w:numPr>
        <w:ilvl w:val="1"/>
        <w:numId w:val="5"/>
      </w:numPr>
    </w:pPr>
  </w:style>
  <w:style w:type="paragraph" w:customStyle="1" w:styleId="PullOutBoxBullet3">
    <w:name w:val="Pull Out Box Bullet 3"/>
    <w:basedOn w:val="PullOutBoxBodyText"/>
    <w:qFormat/>
    <w:rsid w:val="00961DBB"/>
    <w:pPr>
      <w:numPr>
        <w:ilvl w:val="2"/>
        <w:numId w:val="5"/>
      </w:numPr>
    </w:pPr>
  </w:style>
  <w:style w:type="paragraph" w:customStyle="1" w:styleId="PullOutBoxHeading">
    <w:name w:val="Pull Out Box Heading"/>
    <w:basedOn w:val="PullOutBoxBodyText"/>
    <w:qFormat/>
    <w:rsid w:val="009E446D"/>
    <w:pPr>
      <w:keepNext/>
      <w:keepLines/>
      <w:spacing w:before="114" w:after="114" w:line="360" w:lineRule="atLeast"/>
    </w:pPr>
    <w:rPr>
      <w:b/>
      <w:color w:val="2B3B5F" w:themeColor="text2"/>
      <w:sz w:val="28"/>
    </w:rPr>
  </w:style>
  <w:style w:type="paragraph" w:customStyle="1" w:styleId="PullOutBoxNumber">
    <w:name w:val="Pull Out Box Number"/>
    <w:basedOn w:val="PullOutBoxBodyText"/>
    <w:qFormat/>
    <w:rsid w:val="00961DBB"/>
    <w:pPr>
      <w:numPr>
        <w:numId w:val="6"/>
      </w:numPr>
    </w:pPr>
  </w:style>
  <w:style w:type="paragraph" w:customStyle="1" w:styleId="PullOutBoxNumber2">
    <w:name w:val="Pull Out Box Number 2"/>
    <w:basedOn w:val="PullOutBoxBodyText"/>
    <w:qFormat/>
    <w:rsid w:val="00961DBB"/>
    <w:pPr>
      <w:numPr>
        <w:ilvl w:val="1"/>
        <w:numId w:val="6"/>
      </w:numPr>
    </w:pPr>
  </w:style>
  <w:style w:type="paragraph" w:customStyle="1" w:styleId="PullOutBoxNumber3">
    <w:name w:val="Pull Out Box Number 3"/>
    <w:basedOn w:val="PullOutBoxBodyText"/>
    <w:qFormat/>
    <w:rsid w:val="00961DBB"/>
    <w:pPr>
      <w:numPr>
        <w:ilvl w:val="2"/>
        <w:numId w:val="6"/>
      </w:numPr>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qFormat/>
    <w:rsid w:val="00961DBB"/>
    <w:pPr>
      <w:tabs>
        <w:tab w:val="left" w:pos="1134"/>
      </w:tabs>
      <w:spacing w:before="240" w:after="240"/>
      <w:ind w:left="284"/>
    </w:pPr>
    <w:rPr>
      <w:i/>
      <w:iCs/>
    </w:rPr>
  </w:style>
  <w:style w:type="character" w:customStyle="1" w:styleId="QuoteChar">
    <w:name w:val="Quote Char"/>
    <w:basedOn w:val="DefaultParagraphFont"/>
    <w:link w:val="Quote"/>
    <w:rsid w:val="000E266E"/>
    <w:rPr>
      <w:i/>
      <w:iCs/>
    </w:rPr>
  </w:style>
  <w:style w:type="paragraph" w:customStyle="1" w:styleId="QuoteBullet">
    <w:name w:val="Quote Bullet"/>
    <w:basedOn w:val="Quote"/>
    <w:qFormat/>
    <w:rsid w:val="00961DBB"/>
    <w:pPr>
      <w:numPr>
        <w:numId w:val="7"/>
      </w:numPr>
    </w:pPr>
  </w:style>
  <w:style w:type="paragraph" w:customStyle="1" w:styleId="QuoteBullet2">
    <w:name w:val="Quote Bullet 2"/>
    <w:basedOn w:val="Quote"/>
    <w:qFormat/>
    <w:rsid w:val="00961DBB"/>
    <w:pPr>
      <w:numPr>
        <w:ilvl w:val="1"/>
        <w:numId w:val="7"/>
      </w:numPr>
      <w:tabs>
        <w:tab w:val="clear" w:pos="1134"/>
      </w:tabs>
    </w:pPr>
  </w:style>
  <w:style w:type="paragraph" w:customStyle="1" w:styleId="SectionHeading">
    <w:name w:val="Section Heading"/>
    <w:basedOn w:val="Normal"/>
    <w:next w:val="BodyText"/>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rsid w:val="00E45766"/>
    <w:rPr>
      <w:color w:val="751D71" w:themeColor="accent4"/>
      <w:sz w:val="40"/>
    </w:rPr>
  </w:style>
  <w:style w:type="paragraph" w:styleId="Subtitle">
    <w:name w:val="Subtitle"/>
    <w:basedOn w:val="Normal"/>
    <w:next w:val="Normal"/>
    <w:link w:val="SubtitleChar"/>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0E266E"/>
    <w:rPr>
      <w:rFonts w:asciiTheme="majorHAnsi" w:eastAsiaTheme="majorEastAsia" w:hAnsiTheme="majorHAnsi" w:cstheme="majorBidi"/>
      <w:iCs/>
      <w:spacing w:val="15"/>
    </w:rPr>
  </w:style>
  <w:style w:type="character" w:customStyle="1" w:styleId="Superscript">
    <w:name w:val="Superscript"/>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rsid w:val="00035ADE"/>
    <w:pPr>
      <w:keepLines/>
      <w:numPr>
        <w:numId w:val="8"/>
      </w:numPr>
      <w:spacing w:after="50"/>
    </w:pPr>
    <w:rPr>
      <w:color w:val="788184" w:themeColor="background2"/>
      <w:sz w:val="20"/>
    </w:rPr>
  </w:style>
  <w:style w:type="table" w:styleId="TableGrid">
    <w:name w:val="Table Grid"/>
    <w:basedOn w:val="TableNormal"/>
    <w:uiPriority w:val="59"/>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qFormat/>
    <w:rsid w:val="0048342E"/>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956D5A"/>
    <w:pPr>
      <w:jc w:val="center"/>
    </w:pPr>
    <w:rPr>
      <w:color w:val="auto"/>
    </w:rPr>
  </w:style>
  <w:style w:type="paragraph" w:customStyle="1" w:styleId="TableHeadingRight">
    <w:name w:val="Table Heading Right"/>
    <w:basedOn w:val="TableHeading"/>
    <w:qFormat/>
    <w:rsid w:val="00956D5A"/>
    <w:pPr>
      <w:jc w:val="right"/>
    </w:pPr>
  </w:style>
  <w:style w:type="paragraph" w:customStyle="1" w:styleId="Source">
    <w:name w:val="Source"/>
    <w:basedOn w:val="Normal"/>
    <w:next w:val="BodyText17ptAbove"/>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qFormat/>
    <w:rsid w:val="0048342E"/>
    <w:pPr>
      <w:spacing w:before="70" w:after="70" w:line="260" w:lineRule="atLeast"/>
      <w:ind w:left="113" w:right="113"/>
    </w:pPr>
    <w:rPr>
      <w:rFonts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9"/>
      </w:numPr>
    </w:pPr>
  </w:style>
  <w:style w:type="paragraph" w:customStyle="1" w:styleId="TableTextBullet2">
    <w:name w:val="Table Text Bullet 2"/>
    <w:basedOn w:val="TableTextBullet"/>
    <w:qFormat/>
    <w:rsid w:val="00961DBB"/>
    <w:pPr>
      <w:numPr>
        <w:ilvl w:val="1"/>
      </w:numPr>
    </w:pPr>
    <w:rPr>
      <w:bCs/>
    </w:rPr>
  </w:style>
  <w:style w:type="paragraph" w:customStyle="1" w:styleId="TableTextBullet3">
    <w:name w:val="Table Text Bullet 3"/>
    <w:basedOn w:val="TableTextBullet2"/>
    <w:qFormat/>
    <w:rsid w:val="00961DBB"/>
    <w:pPr>
      <w:numPr>
        <w:ilvl w:val="2"/>
      </w:numPr>
    </w:pPr>
    <w:rPr>
      <w:bCs w:val="0"/>
    </w:rPr>
  </w:style>
  <w:style w:type="paragraph" w:customStyle="1" w:styleId="TableTextNumber">
    <w:name w:val="Table Text Number"/>
    <w:basedOn w:val="TableText"/>
    <w:qFormat/>
    <w:rsid w:val="00961DBB"/>
    <w:pPr>
      <w:numPr>
        <w:numId w:val="10"/>
      </w:numPr>
    </w:pPr>
  </w:style>
  <w:style w:type="paragraph" w:customStyle="1" w:styleId="TableTextNumber2">
    <w:name w:val="Table Text Number 2"/>
    <w:basedOn w:val="TableTextNumber"/>
    <w:qFormat/>
    <w:rsid w:val="00961DBB"/>
    <w:pPr>
      <w:numPr>
        <w:ilvl w:val="1"/>
      </w:numPr>
      <w:tabs>
        <w:tab w:val="clear" w:pos="709"/>
        <w:tab w:val="num" w:pos="680"/>
      </w:tabs>
      <w:ind w:left="680"/>
    </w:pPr>
  </w:style>
  <w:style w:type="paragraph" w:customStyle="1" w:styleId="TableTextNumber3">
    <w:name w:val="Table Text Number 3"/>
    <w:basedOn w:val="TableTextNumber2"/>
    <w:qFormat/>
    <w:rsid w:val="00961DBB"/>
    <w:pPr>
      <w:numPr>
        <w:ilvl w:val="2"/>
      </w:numPr>
    </w:pPr>
  </w:style>
  <w:style w:type="paragraph" w:customStyle="1" w:styleId="TableTextRight">
    <w:name w:val="Table Text Right"/>
    <w:basedOn w:val="TableText"/>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rsid w:val="00195228"/>
    <w:pPr>
      <w:spacing w:after="100" w:line="240" w:lineRule="auto"/>
      <w:jc w:val="right"/>
    </w:pPr>
    <w:rPr>
      <w:rFonts w:asciiTheme="majorHAnsi" w:eastAsiaTheme="majorEastAsia" w:hAnsiTheme="majorHAnsi" w:cstheme="majorBidi"/>
      <w:color w:val="2B3B5F" w:themeColor="text2"/>
      <w:spacing w:val="-2"/>
      <w:sz w:val="50"/>
      <w:szCs w:val="50"/>
    </w:rPr>
  </w:style>
  <w:style w:type="character" w:customStyle="1" w:styleId="TitleChar">
    <w:name w:val="Title Char"/>
    <w:basedOn w:val="DefaultParagraphFont"/>
    <w:link w:val="Title"/>
    <w:rsid w:val="000E266E"/>
    <w:rPr>
      <w:rFonts w:asciiTheme="majorHAnsi" w:eastAsiaTheme="majorEastAsia" w:hAnsiTheme="majorHAnsi" w:cstheme="majorBidi"/>
      <w:color w:val="2B3B5F" w:themeColor="text2"/>
      <w:spacing w:val="-2"/>
      <w:sz w:val="50"/>
      <w:szCs w:val="50"/>
    </w:rPr>
  </w:style>
  <w:style w:type="paragraph" w:customStyle="1" w:styleId="Title2">
    <w:name w:val="Title 2"/>
    <w:basedOn w:val="Normal"/>
    <w:link w:val="Title2Char"/>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rsid w:val="000E266E"/>
    <w:rPr>
      <w:rFonts w:asciiTheme="majorHAnsi" w:hAnsiTheme="majorHAnsi"/>
      <w:color w:val="FFFFFF"/>
      <w:spacing w:val="-2"/>
      <w:sz w:val="32"/>
    </w:rPr>
  </w:style>
  <w:style w:type="paragraph" w:customStyle="1" w:styleId="Title3">
    <w:name w:val="Title 3"/>
    <w:basedOn w:val="Title2"/>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left" w:pos="454"/>
        <w:tab w:val="right" w:leader="underscore" w:pos="8165"/>
      </w:tabs>
      <w:spacing w:after="227"/>
      <w:ind w:left="454" w:right="851" w:hanging="454"/>
    </w:pPr>
    <w:rPr>
      <w:b/>
      <w:noProof/>
      <w:color w:val="2B3B5F" w:themeColor="text2"/>
    </w:rPr>
  </w:style>
  <w:style w:type="paragraph" w:styleId="TOC2">
    <w:name w:val="toc 2"/>
    <w:basedOn w:val="Normal"/>
    <w:next w:val="Normal"/>
    <w:uiPriority w:val="39"/>
    <w:rsid w:val="001B2C65"/>
    <w:pPr>
      <w:tabs>
        <w:tab w:val="left" w:pos="1021"/>
        <w:tab w:val="right" w:leader="underscore" w:pos="8165"/>
      </w:tabs>
      <w:spacing w:after="227"/>
      <w:ind w:left="1021" w:right="851" w:hanging="567"/>
    </w:pPr>
    <w:rPr>
      <w:noProof/>
      <w:szCs w:val="28"/>
    </w:rPr>
  </w:style>
  <w:style w:type="paragraph" w:styleId="TOC3">
    <w:name w:val="toc 3"/>
    <w:basedOn w:val="Normal"/>
    <w:next w:val="Normal"/>
    <w:uiPriority w:val="39"/>
    <w:rsid w:val="001B2C65"/>
    <w:pPr>
      <w:tabs>
        <w:tab w:val="left" w:pos="1758"/>
        <w:tab w:val="right" w:leader="underscore" w:pos="8165"/>
      </w:tabs>
      <w:spacing w:after="227"/>
      <w:ind w:left="1758" w:right="851" w:hanging="737"/>
    </w:pPr>
    <w:rPr>
      <w:rFonts w:eastAsiaTheme="minorEastAsia"/>
      <w:noProof/>
    </w:rPr>
  </w:style>
  <w:style w:type="paragraph" w:styleId="TOC4">
    <w:name w:val="toc 4"/>
    <w:basedOn w:val="Normal"/>
    <w:rsid w:val="006C5E72"/>
    <w:pPr>
      <w:tabs>
        <w:tab w:val="right" w:leader="underscore" w:pos="8165"/>
      </w:tabs>
      <w:spacing w:after="80"/>
      <w:ind w:right="851"/>
    </w:pPr>
    <w:rPr>
      <w:noProof/>
    </w:rPr>
  </w:style>
  <w:style w:type="paragraph" w:styleId="TOC5">
    <w:name w:val="toc 5"/>
    <w:basedOn w:val="Normal"/>
    <w:next w:val="Normal"/>
    <w:autoRedefine/>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rsid w:val="00961DBB"/>
    <w:pPr>
      <w:tabs>
        <w:tab w:val="right" w:leader="dot" w:pos="9582"/>
      </w:tabs>
      <w:spacing w:after="227"/>
      <w:ind w:right="907"/>
    </w:pPr>
    <w:rPr>
      <w:color w:val="2B3B5F" w:themeColor="text2"/>
    </w:rPr>
  </w:style>
  <w:style w:type="paragraph" w:styleId="TOCHeading">
    <w:name w:val="TOC Heading"/>
    <w:basedOn w:val="Normal"/>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rsid w:val="000E266E"/>
    <w:rPr>
      <w:b/>
    </w:rPr>
  </w:style>
  <w:style w:type="paragraph" w:customStyle="1" w:styleId="xDisclaimerText">
    <w:name w:val="xDisclaimer Text"/>
    <w:basedOn w:val="Normal"/>
    <w:rsid w:val="00961DBB"/>
    <w:pPr>
      <w:spacing w:after="57" w:line="302" w:lineRule="atLeast"/>
    </w:pPr>
    <w:rPr>
      <w:rFonts w:cs="Times New Roman"/>
    </w:rPr>
  </w:style>
  <w:style w:type="paragraph" w:customStyle="1" w:styleId="xDisclaimerText2">
    <w:name w:val="xDisclaimer Text 2"/>
    <w:basedOn w:val="xDisclaimerHeading"/>
    <w:rsid w:val="00961DBB"/>
    <w:pPr>
      <w:framePr w:wrap="around"/>
      <w:spacing w:before="0" w:after="170" w:line="302" w:lineRule="atLeast"/>
    </w:pPr>
    <w:rPr>
      <w:b w:val="0"/>
    </w:rPr>
  </w:style>
  <w:style w:type="paragraph" w:customStyle="1" w:styleId="xDisclaimertext3">
    <w:name w:val="xDisclaimer text 3"/>
    <w:basedOn w:val="xDisclaimerText"/>
    <w:rsid w:val="00961DBB"/>
    <w:pPr>
      <w:spacing w:before="170" w:after="170"/>
    </w:pPr>
  </w:style>
  <w:style w:type="paragraph" w:customStyle="1" w:styleId="xInlineShape">
    <w:name w:val="xInlineShape"/>
    <w:basedOn w:val="Normal"/>
    <w:next w:val="BodyText"/>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2000" w:lineRule="exact"/>
      <w:jc w:val="center"/>
    </w:pPr>
    <w:rPr>
      <w:caps/>
      <w:color w:val="EAEAEA"/>
      <w:spacing w:val="40"/>
      <w:sz w:val="200"/>
    </w:rPr>
  </w:style>
  <w:style w:type="paragraph" w:customStyle="1" w:styleId="xDisclaimerHeadingwithxDisclaimerText">
    <w:name w:val="xDisclaimer Heading (with xDisclaimer Text)"/>
    <w:basedOn w:val="xDisclaimerHeading"/>
    <w:link w:val="xDisclaimerHeadingwithxDisclaimerTextChar"/>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rsid w:val="000E266E"/>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rsid w:val="00FD6119"/>
    <w:pPr>
      <w:spacing w:before="240"/>
    </w:pPr>
  </w:style>
  <w:style w:type="paragraph" w:customStyle="1" w:styleId="xBackPageWebAddress">
    <w:name w:val="xBack Page Web Address"/>
    <w:basedOn w:val="Normal"/>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qFormat/>
    <w:rsid w:val="00A12C39"/>
    <w:pPr>
      <w:numPr>
        <w:numId w:val="0"/>
      </w:numPr>
    </w:pPr>
  </w:style>
  <w:style w:type="paragraph" w:styleId="TableofFigures">
    <w:name w:val="table of figures"/>
    <w:basedOn w:val="Normal"/>
    <w:next w:val="Normal"/>
    <w:rsid w:val="00D64CE2"/>
    <w:pPr>
      <w:tabs>
        <w:tab w:val="right" w:leader="underscore" w:pos="8165"/>
      </w:tabs>
      <w:spacing w:after="80"/>
      <w:ind w:right="851"/>
    </w:pPr>
  </w:style>
  <w:style w:type="paragraph" w:customStyle="1" w:styleId="SectionHeadingNoTOC">
    <w:name w:val="Section Heading No TOC"/>
    <w:basedOn w:val="SectionHeading"/>
    <w:rsid w:val="00E45766"/>
  </w:style>
  <w:style w:type="paragraph" w:customStyle="1" w:styleId="TableTextCentred">
    <w:name w:val="Table Text Centred"/>
    <w:basedOn w:val="TableText"/>
    <w:qFormat/>
    <w:rsid w:val="00AE1CC1"/>
    <w:pPr>
      <w:jc w:val="center"/>
    </w:pPr>
    <w:rPr>
      <w:rFonts w:eastAsia="Times New Roman"/>
      <w:lang w:eastAsia="en-AU"/>
    </w:rPr>
  </w:style>
  <w:style w:type="paragraph" w:customStyle="1" w:styleId="FooterRightPageNumberLS">
    <w:name w:val="Footer Right Page Number LS"/>
    <w:basedOn w:val="Normal"/>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styleId="PlainText">
    <w:name w:val="Plain Text"/>
    <w:basedOn w:val="Normal"/>
    <w:link w:val="PlainTextChar"/>
    <w:uiPriority w:val="99"/>
    <w:semiHidden/>
    <w:unhideWhenUsed/>
    <w:rsid w:val="000631D3"/>
    <w:pPr>
      <w:spacing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0631D3"/>
    <w:rPr>
      <w:rFonts w:ascii="Calibri" w:hAnsi="Calibri" w:cs="Times New Roman"/>
    </w:rPr>
  </w:style>
  <w:style w:type="character" w:styleId="FollowedHyperlink">
    <w:name w:val="FollowedHyperlink"/>
    <w:basedOn w:val="DefaultParagraphFont"/>
    <w:semiHidden/>
    <w:unhideWhenUsed/>
    <w:rsid w:val="005E7328"/>
    <w:rPr>
      <w:color w:val="000000" w:themeColor="followedHyperlink"/>
      <w:u w:val="single"/>
    </w:rPr>
  </w:style>
  <w:style w:type="paragraph" w:customStyle="1" w:styleId="Caption1">
    <w:name w:val="Caption 1"/>
    <w:basedOn w:val="Caption"/>
    <w:link w:val="Caption1Char"/>
    <w:qFormat/>
    <w:rsid w:val="006C45E6"/>
  </w:style>
  <w:style w:type="character" w:customStyle="1" w:styleId="Caption1Char">
    <w:name w:val="Caption 1 Char"/>
    <w:basedOn w:val="DefaultParagraphFont"/>
    <w:link w:val="Caption1"/>
    <w:rsid w:val="006C45E6"/>
    <w:rPr>
      <w:b/>
      <w:bCs/>
      <w:color w:val="2B3B5F" w:themeColor="text2"/>
      <w:spacing w:val="-4"/>
    </w:rPr>
  </w:style>
  <w:style w:type="paragraph" w:styleId="EndnoteText">
    <w:name w:val="endnote text"/>
    <w:basedOn w:val="Normal"/>
    <w:link w:val="EndnoteTextChar"/>
    <w:semiHidden/>
    <w:unhideWhenUsed/>
    <w:rsid w:val="00003EE0"/>
    <w:pPr>
      <w:spacing w:line="240" w:lineRule="auto"/>
    </w:pPr>
    <w:rPr>
      <w:sz w:val="20"/>
      <w:szCs w:val="20"/>
    </w:rPr>
  </w:style>
  <w:style w:type="character" w:customStyle="1" w:styleId="EndnoteTextChar">
    <w:name w:val="Endnote Text Char"/>
    <w:basedOn w:val="DefaultParagraphFont"/>
    <w:link w:val="EndnoteText"/>
    <w:semiHidden/>
    <w:rsid w:val="00003EE0"/>
    <w:rPr>
      <w:sz w:val="20"/>
      <w:szCs w:val="20"/>
    </w:rPr>
  </w:style>
  <w:style w:type="character" w:styleId="EndnoteReference">
    <w:name w:val="endnote reference"/>
    <w:basedOn w:val="DefaultParagraphFont"/>
    <w:semiHidden/>
    <w:unhideWhenUsed/>
    <w:rsid w:val="00003EE0"/>
    <w:rPr>
      <w:vertAlign w:val="superscript"/>
    </w:rPr>
  </w:style>
  <w:style w:type="paragraph" w:customStyle="1" w:styleId="Bullet1">
    <w:name w:val="Bullet 1"/>
    <w:basedOn w:val="ListBullet"/>
    <w:link w:val="Bullet1Char"/>
    <w:qFormat/>
    <w:rsid w:val="00BB5DBD"/>
    <w:pPr>
      <w:numPr>
        <w:numId w:val="12"/>
      </w:numPr>
    </w:pPr>
    <w:rPr>
      <w:rFonts w:eastAsia="Times New Roman" w:cs="Times New Roman"/>
      <w:lang w:eastAsia="en-AU"/>
    </w:rPr>
  </w:style>
  <w:style w:type="character" w:customStyle="1" w:styleId="Bullet1Char">
    <w:name w:val="Bullet 1 Char"/>
    <w:basedOn w:val="DefaultParagraphFont"/>
    <w:link w:val="Bullet1"/>
    <w:rsid w:val="00BB5DBD"/>
    <w:rPr>
      <w:rFonts w:eastAsia="Times New Roman" w:cs="Times New Roman"/>
      <w:spacing w:val="-1"/>
      <w:lang w:eastAsia="en-AU"/>
    </w:rPr>
  </w:style>
  <w:style w:type="paragraph" w:customStyle="1" w:styleId="Bullet2">
    <w:name w:val="Bullet 2"/>
    <w:basedOn w:val="ListBullet2"/>
    <w:qFormat/>
    <w:rsid w:val="00BB5DBD"/>
    <w:pPr>
      <w:numPr>
        <w:numId w:val="12"/>
      </w:numPr>
      <w:ind w:left="908" w:hanging="454"/>
    </w:pPr>
    <w:rPr>
      <w:rFonts w:eastAsia="Times New Roman" w:cs="Times New Roman"/>
      <w:lang w:eastAsia="en-AU"/>
    </w:rPr>
  </w:style>
  <w:style w:type="character" w:styleId="CommentReference">
    <w:name w:val="annotation reference"/>
    <w:basedOn w:val="DefaultParagraphFont"/>
    <w:uiPriority w:val="99"/>
    <w:semiHidden/>
    <w:unhideWhenUsed/>
    <w:rsid w:val="00D66FD3"/>
    <w:rPr>
      <w:sz w:val="16"/>
      <w:szCs w:val="16"/>
    </w:rPr>
  </w:style>
  <w:style w:type="paragraph" w:styleId="CommentText">
    <w:name w:val="annotation text"/>
    <w:basedOn w:val="Normal"/>
    <w:link w:val="CommentTextChar"/>
    <w:semiHidden/>
    <w:unhideWhenUsed/>
    <w:rsid w:val="00D66FD3"/>
    <w:pPr>
      <w:spacing w:line="240" w:lineRule="auto"/>
    </w:pPr>
    <w:rPr>
      <w:sz w:val="20"/>
      <w:szCs w:val="20"/>
    </w:rPr>
  </w:style>
  <w:style w:type="character" w:customStyle="1" w:styleId="CommentTextChar">
    <w:name w:val="Comment Text Char"/>
    <w:basedOn w:val="DefaultParagraphFont"/>
    <w:link w:val="CommentText"/>
    <w:semiHidden/>
    <w:rsid w:val="00D66FD3"/>
    <w:rPr>
      <w:sz w:val="20"/>
      <w:szCs w:val="20"/>
    </w:rPr>
  </w:style>
  <w:style w:type="paragraph" w:styleId="CommentSubject">
    <w:name w:val="annotation subject"/>
    <w:basedOn w:val="CommentText"/>
    <w:next w:val="CommentText"/>
    <w:link w:val="CommentSubjectChar"/>
    <w:semiHidden/>
    <w:unhideWhenUsed/>
    <w:rsid w:val="00D66FD3"/>
    <w:rPr>
      <w:b/>
      <w:bCs/>
    </w:rPr>
  </w:style>
  <w:style w:type="character" w:customStyle="1" w:styleId="CommentSubjectChar">
    <w:name w:val="Comment Subject Char"/>
    <w:basedOn w:val="CommentTextChar"/>
    <w:link w:val="CommentSubject"/>
    <w:semiHidden/>
    <w:rsid w:val="00D66FD3"/>
    <w:rPr>
      <w:b/>
      <w:bCs/>
      <w:sz w:val="20"/>
      <w:szCs w:val="20"/>
    </w:rPr>
  </w:style>
  <w:style w:type="paragraph" w:styleId="Revision">
    <w:name w:val="Revision"/>
    <w:hidden/>
    <w:uiPriority w:val="99"/>
    <w:semiHidden/>
    <w:rsid w:val="00D66FD3"/>
    <w:pPr>
      <w:spacing w:line="240" w:lineRule="auto"/>
    </w:pPr>
  </w:style>
  <w:style w:type="table" w:styleId="LightList-Accent1">
    <w:name w:val="Light List Accent 1"/>
    <w:basedOn w:val="TableNormal"/>
    <w:uiPriority w:val="61"/>
    <w:rsid w:val="00237E36"/>
    <w:pPr>
      <w:spacing w:line="240" w:lineRule="auto"/>
    </w:pPr>
    <w:tblPr>
      <w:tblStyleRowBandSize w:val="1"/>
      <w:tblStyleColBandSize w:val="1"/>
      <w:tblBorders>
        <w:top w:val="single" w:sz="8" w:space="0" w:color="2B3B5F" w:themeColor="accent1"/>
        <w:left w:val="single" w:sz="8" w:space="0" w:color="2B3B5F" w:themeColor="accent1"/>
        <w:bottom w:val="single" w:sz="8" w:space="0" w:color="2B3B5F" w:themeColor="accent1"/>
        <w:right w:val="single" w:sz="8" w:space="0" w:color="2B3B5F" w:themeColor="accent1"/>
      </w:tblBorders>
    </w:tblPr>
    <w:tblStylePr w:type="firstRow">
      <w:pPr>
        <w:spacing w:before="0" w:after="0" w:line="240" w:lineRule="auto"/>
      </w:pPr>
      <w:rPr>
        <w:b/>
        <w:bCs/>
        <w:color w:val="FFFFFF" w:themeColor="background1"/>
      </w:rPr>
      <w:tblPr/>
      <w:tcPr>
        <w:shd w:val="clear" w:color="auto" w:fill="2B3B5F" w:themeFill="accent1"/>
      </w:tcPr>
    </w:tblStylePr>
    <w:tblStylePr w:type="lastRow">
      <w:pPr>
        <w:spacing w:before="0" w:after="0" w:line="240" w:lineRule="auto"/>
      </w:pPr>
      <w:rPr>
        <w:b/>
        <w:bCs/>
      </w:rPr>
      <w:tblPr/>
      <w:tcPr>
        <w:tcBorders>
          <w:top w:val="double" w:sz="6" w:space="0" w:color="2B3B5F" w:themeColor="accent1"/>
          <w:left w:val="single" w:sz="8" w:space="0" w:color="2B3B5F" w:themeColor="accent1"/>
          <w:bottom w:val="single" w:sz="8" w:space="0" w:color="2B3B5F" w:themeColor="accent1"/>
          <w:right w:val="single" w:sz="8" w:space="0" w:color="2B3B5F" w:themeColor="accent1"/>
        </w:tcBorders>
      </w:tcPr>
    </w:tblStylePr>
    <w:tblStylePr w:type="firstCol">
      <w:rPr>
        <w:b/>
        <w:bCs/>
      </w:rPr>
    </w:tblStylePr>
    <w:tblStylePr w:type="lastCol">
      <w:rPr>
        <w:b/>
        <w:bCs/>
      </w:rPr>
    </w:tblStylePr>
    <w:tblStylePr w:type="band1Vert">
      <w:tblPr/>
      <w:tcPr>
        <w:tcBorders>
          <w:top w:val="single" w:sz="8" w:space="0" w:color="2B3B5F" w:themeColor="accent1"/>
          <w:left w:val="single" w:sz="8" w:space="0" w:color="2B3B5F" w:themeColor="accent1"/>
          <w:bottom w:val="single" w:sz="8" w:space="0" w:color="2B3B5F" w:themeColor="accent1"/>
          <w:right w:val="single" w:sz="8" w:space="0" w:color="2B3B5F" w:themeColor="accent1"/>
        </w:tcBorders>
      </w:tcPr>
    </w:tblStylePr>
    <w:tblStylePr w:type="band1Horz">
      <w:tblPr/>
      <w:tcPr>
        <w:tcBorders>
          <w:top w:val="single" w:sz="8" w:space="0" w:color="2B3B5F" w:themeColor="accent1"/>
          <w:left w:val="single" w:sz="8" w:space="0" w:color="2B3B5F" w:themeColor="accent1"/>
          <w:bottom w:val="single" w:sz="8" w:space="0" w:color="2B3B5F" w:themeColor="accent1"/>
          <w:right w:val="single" w:sz="8" w:space="0" w:color="2B3B5F" w:themeColor="accent1"/>
        </w:tcBorders>
      </w:tcPr>
    </w:tblStylePr>
  </w:style>
  <w:style w:type="paragraph" w:customStyle="1" w:styleId="Footnotes">
    <w:name w:val="Footnotes"/>
    <w:basedOn w:val="ListParagraph"/>
    <w:qFormat/>
    <w:rsid w:val="00723252"/>
    <w:pPr>
      <w:numPr>
        <w:numId w:val="20"/>
      </w:numPr>
      <w:tabs>
        <w:tab w:val="num" w:pos="360"/>
      </w:tabs>
      <w:spacing w:before="114" w:line="260" w:lineRule="atLeast"/>
      <w:ind w:left="720" w:firstLine="0"/>
    </w:pPr>
    <w:rPr>
      <w:sz w:val="20"/>
      <w:szCs w:val="20"/>
    </w:rPr>
  </w:style>
  <w:style w:type="table" w:customStyle="1" w:styleId="Style1">
    <w:name w:val="Style1"/>
    <w:basedOn w:val="TableNormal"/>
    <w:uiPriority w:val="99"/>
    <w:rsid w:val="00723252"/>
    <w:pPr>
      <w:spacing w:line="240" w:lineRule="auto"/>
      <w:ind w:left="57" w:right="57"/>
    </w:pPr>
    <w:rPr>
      <w:rFonts w:ascii="Calibri" w:hAnsi="Calibri"/>
    </w:rPr>
    <w:tblPr>
      <w:tblBorders>
        <w:top w:val="single" w:sz="4" w:space="0" w:color="788182"/>
        <w:left w:val="single" w:sz="4" w:space="0" w:color="788182"/>
        <w:bottom w:val="single" w:sz="4" w:space="0" w:color="788182"/>
        <w:right w:val="single" w:sz="4" w:space="0" w:color="788182"/>
        <w:insideH w:val="single" w:sz="4" w:space="0" w:color="788182"/>
        <w:insideV w:val="single" w:sz="4" w:space="0" w:color="788182"/>
      </w:tblBorders>
    </w:tblPr>
    <w:tblStylePr w:type="firstRow">
      <w:pPr>
        <w:jc w:val="left"/>
      </w:pPr>
      <w:rPr>
        <w:rFonts w:ascii="Calibri" w:hAnsi="Calibri"/>
        <w:b/>
        <w:sz w:val="22"/>
      </w:rPr>
      <w:tblPr/>
      <w:tcPr>
        <w:shd w:val="clear" w:color="auto" w:fill="D7DDE9"/>
      </w:tcPr>
    </w:tblStylePr>
  </w:style>
  <w:style w:type="paragraph" w:styleId="ListParagraph">
    <w:name w:val="List Paragraph"/>
    <w:basedOn w:val="Normal"/>
    <w:rsid w:val="00723252"/>
    <w:pPr>
      <w:ind w:left="720"/>
      <w:contextualSpacing/>
    </w:pPr>
  </w:style>
  <w:style w:type="table" w:customStyle="1" w:styleId="TableGrid1">
    <w:name w:val="Table Grid1"/>
    <w:basedOn w:val="TableNormal"/>
    <w:next w:val="TableGrid"/>
    <w:rsid w:val="00F11350"/>
    <w:pPr>
      <w:spacing w:before="70" w:after="70" w:line="260" w:lineRule="atLeast"/>
      <w:ind w:left="113" w:right="113"/>
    </w:pPr>
    <w:rPr>
      <w:rFonts w:eastAsia="Times New Roman" w:cs="Times New Roman"/>
      <w:lang w:eastAsia="en-AU"/>
    </w:rPr>
    <w:tblPr>
      <w:tblStyleRowBandSize w:val="1"/>
      <w:tblStyleColBandSize w:val="1"/>
      <w:tblBorders>
        <w:top w:val="single" w:sz="4" w:space="0" w:color="788184"/>
        <w:left w:val="single" w:sz="4" w:space="0" w:color="788184"/>
        <w:bottom w:val="single" w:sz="4" w:space="0" w:color="788184"/>
        <w:right w:val="single" w:sz="4" w:space="0" w:color="788184"/>
        <w:insideH w:val="single" w:sz="4" w:space="0" w:color="788184"/>
        <w:insideV w:val="single" w:sz="4" w:space="0" w:color="788184"/>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left"/>
      </w:pPr>
      <w:rPr>
        <w:rFonts w:ascii="Calibri" w:hAnsi="Calibri"/>
        <w:b/>
        <w:i w:val="0"/>
        <w:color w:val="auto"/>
        <w:sz w:val="22"/>
      </w:rPr>
      <w:tblPr/>
      <w:tcPr>
        <w:shd w:val="clear" w:color="auto" w:fill="D7DDE9"/>
        <w:vAlign w:val="top"/>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cPr>
    </w:tblStylePr>
    <w:tblStylePr w:type="nwCell">
      <w:pPr>
        <w:jc w:val="left"/>
      </w:pPr>
      <w:tblPr/>
      <w:tcPr>
        <w:vAlign w:val="top"/>
      </w:tcPr>
    </w:tblStylePr>
  </w:style>
  <w:style w:type="table" w:customStyle="1" w:styleId="TableAsPlaceholder1">
    <w:name w:val="Table As Placeholder1"/>
    <w:basedOn w:val="TableNormal"/>
    <w:uiPriority w:val="99"/>
    <w:qFormat/>
    <w:rsid w:val="00727F33"/>
    <w:rPr>
      <w:rFonts w:eastAsia="Times New Roman" w:cs="Arial"/>
      <w:lang w:eastAsia="en-AU"/>
    </w:rPr>
    <w:tblPr>
      <w:tblCellMar>
        <w:left w:w="0" w:type="dxa"/>
        <w:right w:w="0" w:type="dxa"/>
      </w:tblCellMar>
    </w:tblPr>
  </w:style>
  <w:style w:type="table" w:customStyle="1" w:styleId="TableAsPlaceholder2">
    <w:name w:val="Table As Placeholder2"/>
    <w:basedOn w:val="TableNormal"/>
    <w:uiPriority w:val="99"/>
    <w:qFormat/>
    <w:rsid w:val="00367A8E"/>
    <w:rPr>
      <w:rFonts w:eastAsia="Times New Roman" w:cs="Arial"/>
      <w:lang w:eastAsia="en-AU"/>
    </w:rPr>
    <w:tblPr>
      <w:tblCellMar>
        <w:left w:w="0" w:type="dxa"/>
        <w:right w:w="0" w:type="dxa"/>
      </w:tblCellMar>
    </w:tblPr>
  </w:style>
  <w:style w:type="table" w:customStyle="1" w:styleId="TableAsPlaceholder3">
    <w:name w:val="Table As Placeholder3"/>
    <w:basedOn w:val="TableNormal"/>
    <w:uiPriority w:val="99"/>
    <w:qFormat/>
    <w:rsid w:val="00367A8E"/>
    <w:rPr>
      <w:rFonts w:eastAsia="Times New Roman" w:cs="Arial"/>
      <w:lang w:eastAsia="en-AU"/>
    </w:rPr>
    <w:tblPr>
      <w:tblCellMar>
        <w:left w:w="0" w:type="dxa"/>
        <w:right w:w="0" w:type="dxa"/>
      </w:tblCellMar>
    </w:tblPr>
  </w:style>
  <w:style w:type="table" w:customStyle="1" w:styleId="TableAsPlaceholder4">
    <w:name w:val="Table As Placeholder4"/>
    <w:basedOn w:val="TableNormal"/>
    <w:uiPriority w:val="99"/>
    <w:qFormat/>
    <w:rsid w:val="00367A8E"/>
    <w:rPr>
      <w:rFonts w:eastAsia="Times New Roman" w:cs="Arial"/>
      <w:lang w:eastAsia="en-AU"/>
    </w:rPr>
    <w:tblPr>
      <w:tblCellMar>
        <w:left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qFormat="1"/>
    <w:lsdException w:name="table of figures" w:semiHidden="0" w:uiPriority="99" w:unhideWhenUsed="0"/>
    <w:lsdException w:name="annotation reference" w:uiPriority="99"/>
    <w:lsdException w:name="List Bullet" w:qFormat="1"/>
    <w:lsdException w:name="List Number" w:qFormat="1"/>
    <w:lsdException w:name="List Bullet 2"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Plain Text" w:uiPriority="99"/>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lsdException w:name="Quote" w:semiHidden="0"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qFormat/>
    <w:rsid w:val="000E266E"/>
  </w:style>
  <w:style w:type="paragraph" w:styleId="Heading1">
    <w:name w:val="heading 1"/>
    <w:basedOn w:val="Normal"/>
    <w:next w:val="BodyText"/>
    <w:link w:val="Heading1Char"/>
    <w:qFormat/>
    <w:rsid w:val="00733970"/>
    <w:pPr>
      <w:keepNext/>
      <w:keepLines/>
      <w:numPr>
        <w:numId w:val="11"/>
      </w:numPr>
      <w:tabs>
        <w:tab w:val="right" w:pos="1418"/>
        <w:tab w:val="right" w:pos="1701"/>
        <w:tab w:val="right" w:pos="1985"/>
      </w:tabs>
      <w:spacing w:before="480" w:after="340" w:line="240" w:lineRule="auto"/>
      <w:outlineLvl w:val="0"/>
    </w:pPr>
    <w:rPr>
      <w:rFonts w:asciiTheme="majorHAnsi" w:hAnsiTheme="majorHAnsi"/>
      <w:bCs/>
      <w:color w:val="2B3B5F" w:themeColor="text2"/>
      <w:spacing w:val="-6"/>
      <w:kern w:val="32"/>
      <w:sz w:val="40"/>
      <w:szCs w:val="32"/>
    </w:rPr>
  </w:style>
  <w:style w:type="paragraph" w:styleId="Heading2">
    <w:name w:val="heading 2"/>
    <w:basedOn w:val="Normal"/>
    <w:next w:val="BodyText"/>
    <w:link w:val="Heading2Char"/>
    <w:qFormat/>
    <w:rsid w:val="00961DBB"/>
    <w:pPr>
      <w:keepNext/>
      <w:keepLines/>
      <w:numPr>
        <w:ilvl w:val="1"/>
        <w:numId w:val="11"/>
      </w:numPr>
      <w:tabs>
        <w:tab w:val="left" w:pos="1418"/>
        <w:tab w:val="left" w:pos="1701"/>
        <w:tab w:val="left" w:pos="1985"/>
      </w:tabs>
      <w:spacing w:before="470" w:after="227"/>
      <w:outlineLvl w:val="1"/>
    </w:pPr>
    <w:rPr>
      <w:rFonts w:asciiTheme="majorHAnsi" w:hAnsiTheme="majorHAnsi"/>
      <w:bCs/>
      <w:iCs/>
      <w:color w:val="2B3B5F" w:themeColor="text2"/>
      <w:kern w:val="20"/>
      <w:sz w:val="32"/>
      <w:szCs w:val="28"/>
    </w:rPr>
  </w:style>
  <w:style w:type="paragraph" w:styleId="Heading3">
    <w:name w:val="heading 3"/>
    <w:basedOn w:val="Normal"/>
    <w:next w:val="BodyText"/>
    <w:link w:val="Heading3Char"/>
    <w:qFormat/>
    <w:rsid w:val="004D6356"/>
    <w:pPr>
      <w:keepNext/>
      <w:keepLines/>
      <w:numPr>
        <w:ilvl w:val="2"/>
        <w:numId w:val="11"/>
      </w:numPr>
      <w:tabs>
        <w:tab w:val="left" w:pos="1418"/>
        <w:tab w:val="left" w:pos="1701"/>
        <w:tab w:val="left" w:pos="1985"/>
      </w:tabs>
      <w:spacing w:before="470" w:after="227"/>
      <w:outlineLvl w:val="2"/>
    </w:pPr>
    <w:rPr>
      <w:b/>
      <w:color w:val="2B3B5F" w:themeColor="text2"/>
      <w:sz w:val="28"/>
    </w:rPr>
  </w:style>
  <w:style w:type="paragraph" w:styleId="Heading4">
    <w:name w:val="heading 4"/>
    <w:basedOn w:val="Normal"/>
    <w:next w:val="BodyText"/>
    <w:link w:val="Heading4Char"/>
    <w:qFormat/>
    <w:rsid w:val="00B620EE"/>
    <w:pPr>
      <w:keepNext/>
      <w:keepLines/>
      <w:tabs>
        <w:tab w:val="left" w:pos="1418"/>
        <w:tab w:val="left" w:pos="1701"/>
        <w:tab w:val="left" w:pos="1985"/>
      </w:tabs>
      <w:spacing w:before="227" w:after="113"/>
      <w:outlineLvl w:val="3"/>
    </w:pPr>
    <w:rPr>
      <w:rFonts w:eastAsiaTheme="majorEastAsia" w:cstheme="majorBidi"/>
      <w:b/>
      <w:bCs/>
      <w:i/>
      <w:iCs/>
      <w:color w:val="2B3B5F" w:themeColor="text2"/>
      <w:sz w:val="24"/>
    </w:rPr>
  </w:style>
  <w:style w:type="paragraph" w:styleId="Heading5">
    <w:name w:val="heading 5"/>
    <w:basedOn w:val="Normal"/>
    <w:next w:val="BodyText"/>
    <w:link w:val="Heading5Char"/>
    <w:qFormat/>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qFormat/>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rsid w:val="00174A2F"/>
    <w:pPr>
      <w:keepNext/>
      <w:keepLines/>
      <w:pageBreakBefore/>
      <w:numPr>
        <w:numId w:val="1"/>
      </w:numPr>
      <w:tabs>
        <w:tab w:val="left" w:pos="4536"/>
      </w:tabs>
      <w:spacing w:before="480" w:after="340"/>
      <w:outlineLvl w:val="7"/>
    </w:pPr>
    <w:rPr>
      <w:rFonts w:asciiTheme="majorHAnsi" w:eastAsiaTheme="majorEastAsia" w:hAnsiTheme="majorHAnsi" w:cstheme="majorBidi"/>
      <w:color w:val="2B3B5F" w:themeColor="text2"/>
      <w:sz w:val="40"/>
    </w:rPr>
  </w:style>
  <w:style w:type="paragraph" w:styleId="Heading9">
    <w:name w:val="heading 9"/>
    <w:aliases w:val="Appendix Heading 1"/>
    <w:basedOn w:val="Normal"/>
    <w:next w:val="BodyText"/>
    <w:link w:val="Heading9Char"/>
    <w:rsid w:val="00CA5598"/>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rsid w:val="000E266E"/>
    <w:rPr>
      <w:kern w:val="16"/>
      <w:sz w:val="18"/>
    </w:rPr>
  </w:style>
  <w:style w:type="character" w:styleId="FootnoteReference">
    <w:name w:val="footnote reference"/>
    <w:basedOn w:val="DefaultParagraphFont"/>
    <w:rsid w:val="00961DBB"/>
    <w:rPr>
      <w:rFonts w:asciiTheme="minorHAnsi" w:hAnsiTheme="minorHAnsi"/>
      <w:color w:val="auto"/>
      <w:vertAlign w:val="superscript"/>
    </w:rPr>
  </w:style>
  <w:style w:type="paragraph" w:styleId="BodyText">
    <w:name w:val="Body Text"/>
    <w:basedOn w:val="Normal"/>
    <w:link w:val="BodyTextChar"/>
    <w:qFormat/>
    <w:rsid w:val="008D5A11"/>
    <w:pPr>
      <w:spacing w:before="113" w:after="113"/>
    </w:pPr>
    <w:rPr>
      <w:rFonts w:cs="Times New Roman"/>
      <w:spacing w:val="-1"/>
    </w:rPr>
  </w:style>
  <w:style w:type="character" w:customStyle="1" w:styleId="BodyTextChar">
    <w:name w:val="Body Text Char"/>
    <w:basedOn w:val="DefaultParagraphFont"/>
    <w:link w:val="BodyText"/>
    <w:rsid w:val="000E266E"/>
    <w:rPr>
      <w:rFonts w:cs="Times New Roman"/>
      <w:spacing w:val="-1"/>
    </w:rPr>
  </w:style>
  <w:style w:type="paragraph" w:customStyle="1" w:styleId="BodyText17ptAbove">
    <w:name w:val="Body Text 17pt Above"/>
    <w:basedOn w:val="BodyText"/>
    <w:next w:val="BodyText"/>
    <w:qFormat/>
    <w:rsid w:val="00961DBB"/>
    <w:pPr>
      <w:spacing w:before="340"/>
    </w:pPr>
  </w:style>
  <w:style w:type="character" w:customStyle="1" w:styleId="Heading1Char">
    <w:name w:val="Heading 1 Char"/>
    <w:basedOn w:val="DefaultParagraphFont"/>
    <w:link w:val="Heading1"/>
    <w:rsid w:val="000E266E"/>
    <w:rPr>
      <w:rFonts w:asciiTheme="majorHAnsi" w:hAnsiTheme="majorHAnsi"/>
      <w:bCs/>
      <w:color w:val="2B3B5F" w:themeColor="text2"/>
      <w:spacing w:val="-6"/>
      <w:kern w:val="32"/>
      <w:sz w:val="40"/>
      <w:szCs w:val="32"/>
    </w:rPr>
  </w:style>
  <w:style w:type="character" w:customStyle="1" w:styleId="Heading2Char">
    <w:name w:val="Heading 2 Char"/>
    <w:basedOn w:val="DefaultParagraphFont"/>
    <w:link w:val="Heading2"/>
    <w:rsid w:val="000E266E"/>
    <w:rPr>
      <w:rFonts w:asciiTheme="majorHAnsi" w:hAnsiTheme="majorHAnsi"/>
      <w:bCs/>
      <w:iCs/>
      <w:color w:val="2B3B5F" w:themeColor="text2"/>
      <w:kern w:val="20"/>
      <w:sz w:val="32"/>
      <w:szCs w:val="28"/>
    </w:rPr>
  </w:style>
  <w:style w:type="character" w:customStyle="1" w:styleId="Heading3Char">
    <w:name w:val="Heading 3 Char"/>
    <w:basedOn w:val="DefaultParagraphFont"/>
    <w:link w:val="Heading3"/>
    <w:rsid w:val="004D6356"/>
    <w:rPr>
      <w:b/>
      <w:color w:val="2B3B5F" w:themeColor="text2"/>
      <w:sz w:val="28"/>
    </w:rPr>
  </w:style>
  <w:style w:type="character" w:customStyle="1" w:styleId="Heading4Char">
    <w:name w:val="Heading 4 Char"/>
    <w:basedOn w:val="DefaultParagraphFont"/>
    <w:link w:val="Heading4"/>
    <w:uiPriority w:val="9"/>
    <w:rsid w:val="000E266E"/>
    <w:rPr>
      <w:rFonts w:eastAsiaTheme="majorEastAsia" w:cstheme="majorBidi"/>
      <w:b/>
      <w:bCs/>
      <w:i/>
      <w:iCs/>
      <w:color w:val="2B3B5F" w:themeColor="text2"/>
      <w:sz w:val="24"/>
    </w:rPr>
  </w:style>
  <w:style w:type="character" w:customStyle="1" w:styleId="Heading5Char">
    <w:name w:val="Heading 5 Char"/>
    <w:basedOn w:val="DefaultParagraphFont"/>
    <w:link w:val="Heading5"/>
    <w:rsid w:val="000E266E"/>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rsid w:val="000E266E"/>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ppendix Title Char"/>
    <w:basedOn w:val="DefaultParagraphFont"/>
    <w:link w:val="Heading8"/>
    <w:rsid w:val="00174A2F"/>
    <w:rPr>
      <w:rFonts w:asciiTheme="majorHAnsi" w:eastAsiaTheme="majorEastAsia" w:hAnsiTheme="majorHAnsi" w:cstheme="majorBidi"/>
      <w:color w:val="2B3B5F" w:themeColor="text2"/>
      <w:sz w:val="40"/>
    </w:rPr>
  </w:style>
  <w:style w:type="character" w:customStyle="1" w:styleId="Heading9Char">
    <w:name w:val="Heading 9 Char"/>
    <w:aliases w:val="Appendix Heading 1 Char"/>
    <w:basedOn w:val="DefaultParagraphFont"/>
    <w:link w:val="Heading9"/>
    <w:rsid w:val="000E266E"/>
    <w:rPr>
      <w:rFonts w:asciiTheme="majorHAnsi" w:hAnsiTheme="majorHAnsi"/>
      <w:color w:val="2B3B5F" w:themeColor="text2"/>
      <w:sz w:val="32"/>
    </w:rPr>
  </w:style>
  <w:style w:type="paragraph" w:customStyle="1" w:styleId="AppendixHeading2">
    <w:name w:val="Appendix Heading 2"/>
    <w:basedOn w:val="Normal"/>
    <w:next w:val="BodyTex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ppendixHeading3">
    <w:name w:val="Appendix Heading 3"/>
    <w:basedOn w:val="Normal"/>
    <w:next w:val="BodyTex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BodyText"/>
    <w:rsid w:val="00961DBB"/>
    <w:pPr>
      <w:keepNext/>
      <w:spacing w:before="340" w:after="114"/>
    </w:pPr>
    <w:rPr>
      <w:b/>
      <w:bCs/>
      <w:color w:val="2B3B5F" w:themeColor="text2"/>
      <w:spacing w:val="-4"/>
    </w:rPr>
  </w:style>
  <w:style w:type="paragraph" w:styleId="Footer">
    <w:name w:val="footer"/>
    <w:basedOn w:val="Normal"/>
    <w:link w:val="FooterChar"/>
    <w:rsid w:val="00961DBB"/>
    <w:pPr>
      <w:spacing w:line="240" w:lineRule="auto"/>
    </w:pPr>
    <w:rPr>
      <w:b/>
      <w:color w:val="788184" w:themeColor="background2"/>
    </w:rPr>
  </w:style>
  <w:style w:type="character" w:customStyle="1" w:styleId="FooterChar">
    <w:name w:val="Footer Char"/>
    <w:basedOn w:val="DefaultParagraphFont"/>
    <w:link w:val="Footer"/>
    <w:rsid w:val="000E266E"/>
    <w:rPr>
      <w:b/>
      <w:color w:val="788184" w:themeColor="background2"/>
    </w:rPr>
  </w:style>
  <w:style w:type="paragraph" w:customStyle="1" w:styleId="FooterLeft">
    <w:name w:val="Footer Left"/>
    <w:basedOn w:val="Footer"/>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rsid w:val="00961DBB"/>
    <w:pPr>
      <w:framePr w:wrap="around" w:xAlign="right"/>
      <w:ind w:right="397"/>
      <w:jc w:val="right"/>
    </w:pPr>
  </w:style>
  <w:style w:type="paragraph" w:customStyle="1" w:styleId="FooterRightPageNumber">
    <w:name w:val="Footer Right Page Number"/>
    <w:basedOn w:val="Normal"/>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rsid w:val="00961DBB"/>
    <w:pPr>
      <w:framePr w:wrap="around" w:vAnchor="page" w:hAnchor="margin" w:yAlign="bottom"/>
      <w:spacing w:before="180" w:after="120"/>
      <w:ind w:right="57"/>
    </w:pPr>
  </w:style>
  <w:style w:type="paragraph" w:customStyle="1" w:styleId="FootnoteSeparator">
    <w:name w:val="Footnote Separator"/>
    <w:basedOn w:val="Normal"/>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rsid w:val="00961DBB"/>
    <w:pPr>
      <w:spacing w:line="240" w:lineRule="auto"/>
    </w:pPr>
  </w:style>
  <w:style w:type="character" w:customStyle="1" w:styleId="HeaderChar">
    <w:name w:val="Header Char"/>
    <w:basedOn w:val="DefaultParagraphFont"/>
    <w:link w:val="Header"/>
    <w:rsid w:val="000E266E"/>
  </w:style>
  <w:style w:type="paragraph" w:customStyle="1" w:styleId="HighlightText">
    <w:name w:val="Highlight Text"/>
    <w:basedOn w:val="Normal"/>
    <w:qFormat/>
    <w:rsid w:val="00961DBB"/>
    <w:pPr>
      <w:spacing w:before="120" w:after="420"/>
    </w:pPr>
    <w:rPr>
      <w:i/>
      <w:color w:val="2B3B5F" w:themeColor="text2"/>
      <w:spacing w:val="-1"/>
    </w:rPr>
  </w:style>
  <w:style w:type="paragraph" w:customStyle="1" w:styleId="Introduction">
    <w:name w:val="Introduction"/>
    <w:basedOn w:val="Normal"/>
    <w:next w:val="BodyText"/>
    <w:qFormat/>
    <w:rsid w:val="00961DBB"/>
    <w:pPr>
      <w:spacing w:after="180" w:line="360" w:lineRule="atLeast"/>
    </w:pPr>
    <w:rPr>
      <w:color w:val="2B3B5F" w:themeColor="text2"/>
      <w:spacing w:val="-2"/>
      <w:sz w:val="30"/>
    </w:rPr>
  </w:style>
  <w:style w:type="character" w:customStyle="1" w:styleId="Italics">
    <w:name w:val="Italics"/>
    <w:rsid w:val="00961DBB"/>
    <w:rPr>
      <w:i/>
    </w:rPr>
  </w:style>
  <w:style w:type="paragraph" w:styleId="ListBullet">
    <w:name w:val="List Bullet"/>
    <w:basedOn w:val="Normal"/>
    <w:unhideWhenUsed/>
    <w:qFormat/>
    <w:rsid w:val="00961DBB"/>
    <w:pPr>
      <w:keepLines/>
      <w:numPr>
        <w:numId w:val="2"/>
      </w:numPr>
      <w:spacing w:after="113"/>
    </w:pPr>
    <w:rPr>
      <w:spacing w:val="-1"/>
    </w:rPr>
  </w:style>
  <w:style w:type="paragraph" w:styleId="ListBullet2">
    <w:name w:val="List Bullet 2"/>
    <w:basedOn w:val="ListBullet"/>
    <w:unhideWhenUsed/>
    <w:qFormat/>
    <w:rsid w:val="00961DBB"/>
    <w:pPr>
      <w:numPr>
        <w:ilvl w:val="1"/>
      </w:numPr>
    </w:pPr>
  </w:style>
  <w:style w:type="paragraph" w:styleId="ListBullet3">
    <w:name w:val="List Bullet 3"/>
    <w:basedOn w:val="ListBullet2"/>
    <w:unhideWhenUsed/>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qFormat/>
    <w:rsid w:val="00961DBB"/>
    <w:pPr>
      <w:numPr>
        <w:numId w:val="3"/>
      </w:numPr>
      <w:spacing w:before="113" w:after="113"/>
    </w:pPr>
    <w:rPr>
      <w:spacing w:val="-1"/>
    </w:rPr>
  </w:style>
  <w:style w:type="paragraph" w:styleId="ListNumber2">
    <w:name w:val="List Number 2"/>
    <w:basedOn w:val="Normal"/>
    <w:qFormat/>
    <w:rsid w:val="00961DBB"/>
    <w:pPr>
      <w:numPr>
        <w:ilvl w:val="1"/>
        <w:numId w:val="3"/>
      </w:numPr>
      <w:spacing w:before="113" w:after="113"/>
    </w:pPr>
    <w:rPr>
      <w:spacing w:val="-1"/>
    </w:rPr>
  </w:style>
  <w:style w:type="paragraph" w:styleId="ListNumber3">
    <w:name w:val="List Number 3"/>
    <w:basedOn w:val="Normal"/>
    <w:qFormat/>
    <w:rsid w:val="00961DBB"/>
    <w:pPr>
      <w:numPr>
        <w:ilvl w:val="2"/>
        <w:numId w:val="3"/>
      </w:numPr>
      <w:spacing w:before="113" w:after="113"/>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pPr>
      <w:spacing w:line="240" w:lineRule="auto"/>
    </w:pPr>
    <w:rPr>
      <w:rFonts w:eastAsia="Times New Roman" w:cs="Arial"/>
      <w:lang w:eastAsia="en-AU"/>
    </w:rPr>
  </w:style>
  <w:style w:type="paragraph" w:customStyle="1" w:styleId="OverviewBodyText">
    <w:name w:val="Overview Body Text"/>
    <w:basedOn w:val="Normal"/>
    <w:rsid w:val="00512226"/>
    <w:pPr>
      <w:spacing w:after="113"/>
    </w:pPr>
  </w:style>
  <w:style w:type="paragraph" w:customStyle="1" w:styleId="OverviewHeading2">
    <w:name w:val="Overview Heading 2"/>
    <w:basedOn w:val="Normal"/>
    <w:next w:val="OverviewBodyText"/>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rsid w:val="00961DBB"/>
    <w:rPr>
      <w:color w:val="808080"/>
    </w:rPr>
  </w:style>
  <w:style w:type="paragraph" w:customStyle="1" w:styleId="PullOutBoxBodyText">
    <w:name w:val="Pull Out Box Body Text"/>
    <w:basedOn w:val="Normal"/>
    <w:qFormat/>
    <w:rsid w:val="00961DBB"/>
    <w:pPr>
      <w:spacing w:before="113" w:after="113"/>
      <w:ind w:left="227" w:right="170"/>
    </w:pPr>
    <w:rPr>
      <w:spacing w:val="-1"/>
    </w:rPr>
  </w:style>
  <w:style w:type="paragraph" w:customStyle="1" w:styleId="PullOutBoxBullet">
    <w:name w:val="Pull Out Box Bullet"/>
    <w:basedOn w:val="PullOutBoxBodyText"/>
    <w:qFormat/>
    <w:rsid w:val="00961DBB"/>
    <w:pPr>
      <w:numPr>
        <w:numId w:val="5"/>
      </w:numPr>
    </w:pPr>
  </w:style>
  <w:style w:type="paragraph" w:customStyle="1" w:styleId="PullOutBoxBullet2">
    <w:name w:val="Pull Out Box Bullet 2"/>
    <w:basedOn w:val="PullOutBoxBodyText"/>
    <w:qFormat/>
    <w:rsid w:val="00961DBB"/>
    <w:pPr>
      <w:numPr>
        <w:ilvl w:val="1"/>
        <w:numId w:val="5"/>
      </w:numPr>
    </w:pPr>
  </w:style>
  <w:style w:type="paragraph" w:customStyle="1" w:styleId="PullOutBoxBullet3">
    <w:name w:val="Pull Out Box Bullet 3"/>
    <w:basedOn w:val="PullOutBoxBodyText"/>
    <w:qFormat/>
    <w:rsid w:val="00961DBB"/>
    <w:pPr>
      <w:numPr>
        <w:ilvl w:val="2"/>
        <w:numId w:val="5"/>
      </w:numPr>
    </w:pPr>
  </w:style>
  <w:style w:type="paragraph" w:customStyle="1" w:styleId="PullOutBoxHeading">
    <w:name w:val="Pull Out Box Heading"/>
    <w:basedOn w:val="PullOutBoxBodyText"/>
    <w:qFormat/>
    <w:rsid w:val="009E446D"/>
    <w:pPr>
      <w:keepNext/>
      <w:keepLines/>
      <w:spacing w:before="114" w:after="114" w:line="360" w:lineRule="atLeast"/>
    </w:pPr>
    <w:rPr>
      <w:b/>
      <w:color w:val="2B3B5F" w:themeColor="text2"/>
      <w:sz w:val="28"/>
    </w:rPr>
  </w:style>
  <w:style w:type="paragraph" w:customStyle="1" w:styleId="PullOutBoxNumber">
    <w:name w:val="Pull Out Box Number"/>
    <w:basedOn w:val="PullOutBoxBodyText"/>
    <w:qFormat/>
    <w:rsid w:val="00961DBB"/>
    <w:pPr>
      <w:numPr>
        <w:numId w:val="6"/>
      </w:numPr>
    </w:pPr>
  </w:style>
  <w:style w:type="paragraph" w:customStyle="1" w:styleId="PullOutBoxNumber2">
    <w:name w:val="Pull Out Box Number 2"/>
    <w:basedOn w:val="PullOutBoxBodyText"/>
    <w:qFormat/>
    <w:rsid w:val="00961DBB"/>
    <w:pPr>
      <w:numPr>
        <w:ilvl w:val="1"/>
        <w:numId w:val="6"/>
      </w:numPr>
    </w:pPr>
  </w:style>
  <w:style w:type="paragraph" w:customStyle="1" w:styleId="PullOutBoxNumber3">
    <w:name w:val="Pull Out Box Number 3"/>
    <w:basedOn w:val="PullOutBoxBodyText"/>
    <w:qFormat/>
    <w:rsid w:val="00961DBB"/>
    <w:pPr>
      <w:numPr>
        <w:ilvl w:val="2"/>
        <w:numId w:val="6"/>
      </w:numPr>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qFormat/>
    <w:rsid w:val="00961DBB"/>
    <w:pPr>
      <w:tabs>
        <w:tab w:val="left" w:pos="1134"/>
      </w:tabs>
      <w:spacing w:before="240" w:after="240"/>
      <w:ind w:left="284"/>
    </w:pPr>
    <w:rPr>
      <w:i/>
      <w:iCs/>
    </w:rPr>
  </w:style>
  <w:style w:type="character" w:customStyle="1" w:styleId="QuoteChar">
    <w:name w:val="Quote Char"/>
    <w:basedOn w:val="DefaultParagraphFont"/>
    <w:link w:val="Quote"/>
    <w:rsid w:val="000E266E"/>
    <w:rPr>
      <w:i/>
      <w:iCs/>
    </w:rPr>
  </w:style>
  <w:style w:type="paragraph" w:customStyle="1" w:styleId="QuoteBullet">
    <w:name w:val="Quote Bullet"/>
    <w:basedOn w:val="Quote"/>
    <w:qFormat/>
    <w:rsid w:val="00961DBB"/>
    <w:pPr>
      <w:numPr>
        <w:numId w:val="7"/>
      </w:numPr>
    </w:pPr>
  </w:style>
  <w:style w:type="paragraph" w:customStyle="1" w:styleId="QuoteBullet2">
    <w:name w:val="Quote Bullet 2"/>
    <w:basedOn w:val="Quote"/>
    <w:qFormat/>
    <w:rsid w:val="00961DBB"/>
    <w:pPr>
      <w:numPr>
        <w:ilvl w:val="1"/>
        <w:numId w:val="7"/>
      </w:numPr>
      <w:tabs>
        <w:tab w:val="clear" w:pos="1134"/>
      </w:tabs>
    </w:pPr>
  </w:style>
  <w:style w:type="paragraph" w:customStyle="1" w:styleId="SectionHeading">
    <w:name w:val="Section Heading"/>
    <w:basedOn w:val="Normal"/>
    <w:next w:val="BodyText"/>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rsid w:val="00E45766"/>
    <w:rPr>
      <w:color w:val="751D71" w:themeColor="accent4"/>
      <w:sz w:val="40"/>
    </w:rPr>
  </w:style>
  <w:style w:type="paragraph" w:styleId="Subtitle">
    <w:name w:val="Subtitle"/>
    <w:basedOn w:val="Normal"/>
    <w:next w:val="Normal"/>
    <w:link w:val="SubtitleChar"/>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0E266E"/>
    <w:rPr>
      <w:rFonts w:asciiTheme="majorHAnsi" w:eastAsiaTheme="majorEastAsia" w:hAnsiTheme="majorHAnsi" w:cstheme="majorBidi"/>
      <w:iCs/>
      <w:spacing w:val="15"/>
    </w:rPr>
  </w:style>
  <w:style w:type="character" w:customStyle="1" w:styleId="Superscript">
    <w:name w:val="Superscript"/>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rsid w:val="00035ADE"/>
    <w:pPr>
      <w:keepLines/>
      <w:numPr>
        <w:numId w:val="8"/>
      </w:numPr>
      <w:spacing w:after="50"/>
    </w:pPr>
    <w:rPr>
      <w:color w:val="788184" w:themeColor="background2"/>
      <w:sz w:val="20"/>
    </w:rPr>
  </w:style>
  <w:style w:type="table" w:styleId="TableGrid">
    <w:name w:val="Table Grid"/>
    <w:basedOn w:val="TableNormal"/>
    <w:uiPriority w:val="59"/>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qFormat/>
    <w:rsid w:val="0048342E"/>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956D5A"/>
    <w:pPr>
      <w:jc w:val="center"/>
    </w:pPr>
    <w:rPr>
      <w:color w:val="auto"/>
    </w:rPr>
  </w:style>
  <w:style w:type="paragraph" w:customStyle="1" w:styleId="TableHeadingRight">
    <w:name w:val="Table Heading Right"/>
    <w:basedOn w:val="TableHeading"/>
    <w:qFormat/>
    <w:rsid w:val="00956D5A"/>
    <w:pPr>
      <w:jc w:val="right"/>
    </w:pPr>
  </w:style>
  <w:style w:type="paragraph" w:customStyle="1" w:styleId="Source">
    <w:name w:val="Source"/>
    <w:basedOn w:val="Normal"/>
    <w:next w:val="BodyText17ptAbove"/>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qFormat/>
    <w:rsid w:val="0048342E"/>
    <w:pPr>
      <w:spacing w:before="70" w:after="70" w:line="260" w:lineRule="atLeast"/>
      <w:ind w:left="113" w:right="113"/>
    </w:pPr>
    <w:rPr>
      <w:rFonts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9"/>
      </w:numPr>
    </w:pPr>
  </w:style>
  <w:style w:type="paragraph" w:customStyle="1" w:styleId="TableTextBullet2">
    <w:name w:val="Table Text Bullet 2"/>
    <w:basedOn w:val="TableTextBullet"/>
    <w:qFormat/>
    <w:rsid w:val="00961DBB"/>
    <w:pPr>
      <w:numPr>
        <w:ilvl w:val="1"/>
      </w:numPr>
    </w:pPr>
    <w:rPr>
      <w:bCs/>
    </w:rPr>
  </w:style>
  <w:style w:type="paragraph" w:customStyle="1" w:styleId="TableTextBullet3">
    <w:name w:val="Table Text Bullet 3"/>
    <w:basedOn w:val="TableTextBullet2"/>
    <w:qFormat/>
    <w:rsid w:val="00961DBB"/>
    <w:pPr>
      <w:numPr>
        <w:ilvl w:val="2"/>
      </w:numPr>
    </w:pPr>
    <w:rPr>
      <w:bCs w:val="0"/>
    </w:rPr>
  </w:style>
  <w:style w:type="paragraph" w:customStyle="1" w:styleId="TableTextNumber">
    <w:name w:val="Table Text Number"/>
    <w:basedOn w:val="TableText"/>
    <w:qFormat/>
    <w:rsid w:val="00961DBB"/>
    <w:pPr>
      <w:numPr>
        <w:numId w:val="10"/>
      </w:numPr>
    </w:pPr>
  </w:style>
  <w:style w:type="paragraph" w:customStyle="1" w:styleId="TableTextNumber2">
    <w:name w:val="Table Text Number 2"/>
    <w:basedOn w:val="TableTextNumber"/>
    <w:qFormat/>
    <w:rsid w:val="00961DBB"/>
    <w:pPr>
      <w:numPr>
        <w:ilvl w:val="1"/>
      </w:numPr>
      <w:tabs>
        <w:tab w:val="clear" w:pos="709"/>
        <w:tab w:val="num" w:pos="680"/>
      </w:tabs>
      <w:ind w:left="680"/>
    </w:pPr>
  </w:style>
  <w:style w:type="paragraph" w:customStyle="1" w:styleId="TableTextNumber3">
    <w:name w:val="Table Text Number 3"/>
    <w:basedOn w:val="TableTextNumber2"/>
    <w:qFormat/>
    <w:rsid w:val="00961DBB"/>
    <w:pPr>
      <w:numPr>
        <w:ilvl w:val="2"/>
      </w:numPr>
    </w:pPr>
  </w:style>
  <w:style w:type="paragraph" w:customStyle="1" w:styleId="TableTextRight">
    <w:name w:val="Table Text Right"/>
    <w:basedOn w:val="TableText"/>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rsid w:val="00195228"/>
    <w:pPr>
      <w:spacing w:after="100" w:line="240" w:lineRule="auto"/>
      <w:jc w:val="right"/>
    </w:pPr>
    <w:rPr>
      <w:rFonts w:asciiTheme="majorHAnsi" w:eastAsiaTheme="majorEastAsia" w:hAnsiTheme="majorHAnsi" w:cstheme="majorBidi"/>
      <w:color w:val="2B3B5F" w:themeColor="text2"/>
      <w:spacing w:val="-2"/>
      <w:sz w:val="50"/>
      <w:szCs w:val="50"/>
    </w:rPr>
  </w:style>
  <w:style w:type="character" w:customStyle="1" w:styleId="TitleChar">
    <w:name w:val="Title Char"/>
    <w:basedOn w:val="DefaultParagraphFont"/>
    <w:link w:val="Title"/>
    <w:rsid w:val="000E266E"/>
    <w:rPr>
      <w:rFonts w:asciiTheme="majorHAnsi" w:eastAsiaTheme="majorEastAsia" w:hAnsiTheme="majorHAnsi" w:cstheme="majorBidi"/>
      <w:color w:val="2B3B5F" w:themeColor="text2"/>
      <w:spacing w:val="-2"/>
      <w:sz w:val="50"/>
      <w:szCs w:val="50"/>
    </w:rPr>
  </w:style>
  <w:style w:type="paragraph" w:customStyle="1" w:styleId="Title2">
    <w:name w:val="Title 2"/>
    <w:basedOn w:val="Normal"/>
    <w:link w:val="Title2Char"/>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rsid w:val="000E266E"/>
    <w:rPr>
      <w:rFonts w:asciiTheme="majorHAnsi" w:hAnsiTheme="majorHAnsi"/>
      <w:color w:val="FFFFFF"/>
      <w:spacing w:val="-2"/>
      <w:sz w:val="32"/>
    </w:rPr>
  </w:style>
  <w:style w:type="paragraph" w:customStyle="1" w:styleId="Title3">
    <w:name w:val="Title 3"/>
    <w:basedOn w:val="Title2"/>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left" w:pos="454"/>
        <w:tab w:val="right" w:leader="underscore" w:pos="8165"/>
      </w:tabs>
      <w:spacing w:after="227"/>
      <w:ind w:left="454" w:right="851" w:hanging="454"/>
    </w:pPr>
    <w:rPr>
      <w:b/>
      <w:noProof/>
      <w:color w:val="2B3B5F" w:themeColor="text2"/>
    </w:rPr>
  </w:style>
  <w:style w:type="paragraph" w:styleId="TOC2">
    <w:name w:val="toc 2"/>
    <w:basedOn w:val="Normal"/>
    <w:next w:val="Normal"/>
    <w:uiPriority w:val="39"/>
    <w:rsid w:val="001B2C65"/>
    <w:pPr>
      <w:tabs>
        <w:tab w:val="left" w:pos="1021"/>
        <w:tab w:val="right" w:leader="underscore" w:pos="8165"/>
      </w:tabs>
      <w:spacing w:after="227"/>
      <w:ind w:left="1021" w:right="851" w:hanging="567"/>
    </w:pPr>
    <w:rPr>
      <w:noProof/>
      <w:szCs w:val="28"/>
    </w:rPr>
  </w:style>
  <w:style w:type="paragraph" w:styleId="TOC3">
    <w:name w:val="toc 3"/>
    <w:basedOn w:val="Normal"/>
    <w:next w:val="Normal"/>
    <w:uiPriority w:val="39"/>
    <w:rsid w:val="001B2C65"/>
    <w:pPr>
      <w:tabs>
        <w:tab w:val="left" w:pos="1758"/>
        <w:tab w:val="right" w:leader="underscore" w:pos="8165"/>
      </w:tabs>
      <w:spacing w:after="227"/>
      <w:ind w:left="1758" w:right="851" w:hanging="737"/>
    </w:pPr>
    <w:rPr>
      <w:rFonts w:eastAsiaTheme="minorEastAsia"/>
      <w:noProof/>
    </w:rPr>
  </w:style>
  <w:style w:type="paragraph" w:styleId="TOC4">
    <w:name w:val="toc 4"/>
    <w:basedOn w:val="Normal"/>
    <w:rsid w:val="006C5E72"/>
    <w:pPr>
      <w:tabs>
        <w:tab w:val="right" w:leader="underscore" w:pos="8165"/>
      </w:tabs>
      <w:spacing w:after="80"/>
      <w:ind w:right="851"/>
    </w:pPr>
    <w:rPr>
      <w:noProof/>
    </w:rPr>
  </w:style>
  <w:style w:type="paragraph" w:styleId="TOC5">
    <w:name w:val="toc 5"/>
    <w:basedOn w:val="Normal"/>
    <w:next w:val="Normal"/>
    <w:autoRedefine/>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rsid w:val="00961DBB"/>
    <w:pPr>
      <w:tabs>
        <w:tab w:val="right" w:leader="dot" w:pos="9582"/>
      </w:tabs>
      <w:spacing w:after="227"/>
      <w:ind w:right="907"/>
    </w:pPr>
    <w:rPr>
      <w:color w:val="2B3B5F" w:themeColor="text2"/>
    </w:rPr>
  </w:style>
  <w:style w:type="paragraph" w:styleId="TOCHeading">
    <w:name w:val="TOC Heading"/>
    <w:basedOn w:val="Normal"/>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rsid w:val="000E266E"/>
    <w:rPr>
      <w:b/>
    </w:rPr>
  </w:style>
  <w:style w:type="paragraph" w:customStyle="1" w:styleId="xDisclaimerText">
    <w:name w:val="xDisclaimer Text"/>
    <w:basedOn w:val="Normal"/>
    <w:rsid w:val="00961DBB"/>
    <w:pPr>
      <w:spacing w:after="57" w:line="302" w:lineRule="atLeast"/>
    </w:pPr>
    <w:rPr>
      <w:rFonts w:cs="Times New Roman"/>
    </w:rPr>
  </w:style>
  <w:style w:type="paragraph" w:customStyle="1" w:styleId="xDisclaimerText2">
    <w:name w:val="xDisclaimer Text 2"/>
    <w:basedOn w:val="xDisclaimerHeading"/>
    <w:rsid w:val="00961DBB"/>
    <w:pPr>
      <w:framePr w:wrap="around"/>
      <w:spacing w:before="0" w:after="170" w:line="302" w:lineRule="atLeast"/>
    </w:pPr>
    <w:rPr>
      <w:b w:val="0"/>
    </w:rPr>
  </w:style>
  <w:style w:type="paragraph" w:customStyle="1" w:styleId="xDisclaimertext3">
    <w:name w:val="xDisclaimer text 3"/>
    <w:basedOn w:val="xDisclaimerText"/>
    <w:rsid w:val="00961DBB"/>
    <w:pPr>
      <w:spacing w:before="170" w:after="170"/>
    </w:pPr>
  </w:style>
  <w:style w:type="paragraph" w:customStyle="1" w:styleId="xInlineShape">
    <w:name w:val="xInlineShape"/>
    <w:basedOn w:val="Normal"/>
    <w:next w:val="BodyText"/>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2000" w:lineRule="exact"/>
      <w:jc w:val="center"/>
    </w:pPr>
    <w:rPr>
      <w:caps/>
      <w:color w:val="EAEAEA"/>
      <w:spacing w:val="40"/>
      <w:sz w:val="200"/>
    </w:rPr>
  </w:style>
  <w:style w:type="paragraph" w:customStyle="1" w:styleId="xDisclaimerHeadingwithxDisclaimerText">
    <w:name w:val="xDisclaimer Heading (with xDisclaimer Text)"/>
    <w:basedOn w:val="xDisclaimerHeading"/>
    <w:link w:val="xDisclaimerHeadingwithxDisclaimerTextChar"/>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rsid w:val="000E266E"/>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rsid w:val="00FD6119"/>
    <w:pPr>
      <w:spacing w:before="240"/>
    </w:pPr>
  </w:style>
  <w:style w:type="paragraph" w:customStyle="1" w:styleId="xBackPageWebAddress">
    <w:name w:val="xBack Page Web Address"/>
    <w:basedOn w:val="Normal"/>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qFormat/>
    <w:rsid w:val="00A12C39"/>
    <w:pPr>
      <w:numPr>
        <w:numId w:val="0"/>
      </w:numPr>
    </w:pPr>
  </w:style>
  <w:style w:type="paragraph" w:styleId="TableofFigures">
    <w:name w:val="table of figures"/>
    <w:basedOn w:val="Normal"/>
    <w:next w:val="Normal"/>
    <w:rsid w:val="00D64CE2"/>
    <w:pPr>
      <w:tabs>
        <w:tab w:val="right" w:leader="underscore" w:pos="8165"/>
      </w:tabs>
      <w:spacing w:after="80"/>
      <w:ind w:right="851"/>
    </w:pPr>
  </w:style>
  <w:style w:type="paragraph" w:customStyle="1" w:styleId="SectionHeadingNoTOC">
    <w:name w:val="Section Heading No TOC"/>
    <w:basedOn w:val="SectionHeading"/>
    <w:rsid w:val="00E45766"/>
  </w:style>
  <w:style w:type="paragraph" w:customStyle="1" w:styleId="TableTextCentred">
    <w:name w:val="Table Text Centred"/>
    <w:basedOn w:val="TableText"/>
    <w:qFormat/>
    <w:rsid w:val="00AE1CC1"/>
    <w:pPr>
      <w:jc w:val="center"/>
    </w:pPr>
    <w:rPr>
      <w:rFonts w:eastAsia="Times New Roman"/>
      <w:lang w:eastAsia="en-AU"/>
    </w:rPr>
  </w:style>
  <w:style w:type="paragraph" w:customStyle="1" w:styleId="FooterRightPageNumberLS">
    <w:name w:val="Footer Right Page Number LS"/>
    <w:basedOn w:val="Normal"/>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styleId="PlainText">
    <w:name w:val="Plain Text"/>
    <w:basedOn w:val="Normal"/>
    <w:link w:val="PlainTextChar"/>
    <w:uiPriority w:val="99"/>
    <w:semiHidden/>
    <w:unhideWhenUsed/>
    <w:rsid w:val="000631D3"/>
    <w:pPr>
      <w:spacing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0631D3"/>
    <w:rPr>
      <w:rFonts w:ascii="Calibri" w:hAnsi="Calibri" w:cs="Times New Roman"/>
    </w:rPr>
  </w:style>
  <w:style w:type="character" w:styleId="FollowedHyperlink">
    <w:name w:val="FollowedHyperlink"/>
    <w:basedOn w:val="DefaultParagraphFont"/>
    <w:semiHidden/>
    <w:unhideWhenUsed/>
    <w:rsid w:val="005E7328"/>
    <w:rPr>
      <w:color w:val="000000" w:themeColor="followedHyperlink"/>
      <w:u w:val="single"/>
    </w:rPr>
  </w:style>
  <w:style w:type="paragraph" w:customStyle="1" w:styleId="Caption1">
    <w:name w:val="Caption 1"/>
    <w:basedOn w:val="Caption"/>
    <w:link w:val="Caption1Char"/>
    <w:qFormat/>
    <w:rsid w:val="006C45E6"/>
  </w:style>
  <w:style w:type="character" w:customStyle="1" w:styleId="Caption1Char">
    <w:name w:val="Caption 1 Char"/>
    <w:basedOn w:val="DefaultParagraphFont"/>
    <w:link w:val="Caption1"/>
    <w:rsid w:val="006C45E6"/>
    <w:rPr>
      <w:b/>
      <w:bCs/>
      <w:color w:val="2B3B5F" w:themeColor="text2"/>
      <w:spacing w:val="-4"/>
    </w:rPr>
  </w:style>
  <w:style w:type="paragraph" w:styleId="EndnoteText">
    <w:name w:val="endnote text"/>
    <w:basedOn w:val="Normal"/>
    <w:link w:val="EndnoteTextChar"/>
    <w:semiHidden/>
    <w:unhideWhenUsed/>
    <w:rsid w:val="00003EE0"/>
    <w:pPr>
      <w:spacing w:line="240" w:lineRule="auto"/>
    </w:pPr>
    <w:rPr>
      <w:sz w:val="20"/>
      <w:szCs w:val="20"/>
    </w:rPr>
  </w:style>
  <w:style w:type="character" w:customStyle="1" w:styleId="EndnoteTextChar">
    <w:name w:val="Endnote Text Char"/>
    <w:basedOn w:val="DefaultParagraphFont"/>
    <w:link w:val="EndnoteText"/>
    <w:semiHidden/>
    <w:rsid w:val="00003EE0"/>
    <w:rPr>
      <w:sz w:val="20"/>
      <w:szCs w:val="20"/>
    </w:rPr>
  </w:style>
  <w:style w:type="character" w:styleId="EndnoteReference">
    <w:name w:val="endnote reference"/>
    <w:basedOn w:val="DefaultParagraphFont"/>
    <w:semiHidden/>
    <w:unhideWhenUsed/>
    <w:rsid w:val="00003EE0"/>
    <w:rPr>
      <w:vertAlign w:val="superscript"/>
    </w:rPr>
  </w:style>
  <w:style w:type="paragraph" w:customStyle="1" w:styleId="Bullet1">
    <w:name w:val="Bullet 1"/>
    <w:basedOn w:val="ListBullet"/>
    <w:link w:val="Bullet1Char"/>
    <w:qFormat/>
    <w:rsid w:val="00BB5DBD"/>
    <w:pPr>
      <w:numPr>
        <w:numId w:val="12"/>
      </w:numPr>
    </w:pPr>
    <w:rPr>
      <w:rFonts w:eastAsia="Times New Roman" w:cs="Times New Roman"/>
      <w:lang w:eastAsia="en-AU"/>
    </w:rPr>
  </w:style>
  <w:style w:type="character" w:customStyle="1" w:styleId="Bullet1Char">
    <w:name w:val="Bullet 1 Char"/>
    <w:basedOn w:val="DefaultParagraphFont"/>
    <w:link w:val="Bullet1"/>
    <w:rsid w:val="00BB5DBD"/>
    <w:rPr>
      <w:rFonts w:eastAsia="Times New Roman" w:cs="Times New Roman"/>
      <w:spacing w:val="-1"/>
      <w:lang w:eastAsia="en-AU"/>
    </w:rPr>
  </w:style>
  <w:style w:type="paragraph" w:customStyle="1" w:styleId="Bullet2">
    <w:name w:val="Bullet 2"/>
    <w:basedOn w:val="ListBullet2"/>
    <w:qFormat/>
    <w:rsid w:val="00BB5DBD"/>
    <w:pPr>
      <w:numPr>
        <w:numId w:val="12"/>
      </w:numPr>
      <w:ind w:left="908" w:hanging="454"/>
    </w:pPr>
    <w:rPr>
      <w:rFonts w:eastAsia="Times New Roman" w:cs="Times New Roman"/>
      <w:lang w:eastAsia="en-AU"/>
    </w:rPr>
  </w:style>
  <w:style w:type="character" w:styleId="CommentReference">
    <w:name w:val="annotation reference"/>
    <w:basedOn w:val="DefaultParagraphFont"/>
    <w:uiPriority w:val="99"/>
    <w:semiHidden/>
    <w:unhideWhenUsed/>
    <w:rsid w:val="00D66FD3"/>
    <w:rPr>
      <w:sz w:val="16"/>
      <w:szCs w:val="16"/>
    </w:rPr>
  </w:style>
  <w:style w:type="paragraph" w:styleId="CommentText">
    <w:name w:val="annotation text"/>
    <w:basedOn w:val="Normal"/>
    <w:link w:val="CommentTextChar"/>
    <w:semiHidden/>
    <w:unhideWhenUsed/>
    <w:rsid w:val="00D66FD3"/>
    <w:pPr>
      <w:spacing w:line="240" w:lineRule="auto"/>
    </w:pPr>
    <w:rPr>
      <w:sz w:val="20"/>
      <w:szCs w:val="20"/>
    </w:rPr>
  </w:style>
  <w:style w:type="character" w:customStyle="1" w:styleId="CommentTextChar">
    <w:name w:val="Comment Text Char"/>
    <w:basedOn w:val="DefaultParagraphFont"/>
    <w:link w:val="CommentText"/>
    <w:semiHidden/>
    <w:rsid w:val="00D66FD3"/>
    <w:rPr>
      <w:sz w:val="20"/>
      <w:szCs w:val="20"/>
    </w:rPr>
  </w:style>
  <w:style w:type="paragraph" w:styleId="CommentSubject">
    <w:name w:val="annotation subject"/>
    <w:basedOn w:val="CommentText"/>
    <w:next w:val="CommentText"/>
    <w:link w:val="CommentSubjectChar"/>
    <w:semiHidden/>
    <w:unhideWhenUsed/>
    <w:rsid w:val="00D66FD3"/>
    <w:rPr>
      <w:b/>
      <w:bCs/>
    </w:rPr>
  </w:style>
  <w:style w:type="character" w:customStyle="1" w:styleId="CommentSubjectChar">
    <w:name w:val="Comment Subject Char"/>
    <w:basedOn w:val="CommentTextChar"/>
    <w:link w:val="CommentSubject"/>
    <w:semiHidden/>
    <w:rsid w:val="00D66FD3"/>
    <w:rPr>
      <w:b/>
      <w:bCs/>
      <w:sz w:val="20"/>
      <w:szCs w:val="20"/>
    </w:rPr>
  </w:style>
  <w:style w:type="paragraph" w:styleId="Revision">
    <w:name w:val="Revision"/>
    <w:hidden/>
    <w:uiPriority w:val="99"/>
    <w:semiHidden/>
    <w:rsid w:val="00D66FD3"/>
    <w:pPr>
      <w:spacing w:line="240" w:lineRule="auto"/>
    </w:pPr>
  </w:style>
  <w:style w:type="table" w:styleId="LightList-Accent1">
    <w:name w:val="Light List Accent 1"/>
    <w:basedOn w:val="TableNormal"/>
    <w:uiPriority w:val="61"/>
    <w:rsid w:val="00237E36"/>
    <w:pPr>
      <w:spacing w:line="240" w:lineRule="auto"/>
    </w:pPr>
    <w:tblPr>
      <w:tblStyleRowBandSize w:val="1"/>
      <w:tblStyleColBandSize w:val="1"/>
      <w:tblBorders>
        <w:top w:val="single" w:sz="8" w:space="0" w:color="2B3B5F" w:themeColor="accent1"/>
        <w:left w:val="single" w:sz="8" w:space="0" w:color="2B3B5F" w:themeColor="accent1"/>
        <w:bottom w:val="single" w:sz="8" w:space="0" w:color="2B3B5F" w:themeColor="accent1"/>
        <w:right w:val="single" w:sz="8" w:space="0" w:color="2B3B5F" w:themeColor="accent1"/>
      </w:tblBorders>
    </w:tblPr>
    <w:tblStylePr w:type="firstRow">
      <w:pPr>
        <w:spacing w:before="0" w:after="0" w:line="240" w:lineRule="auto"/>
      </w:pPr>
      <w:rPr>
        <w:b/>
        <w:bCs/>
        <w:color w:val="FFFFFF" w:themeColor="background1"/>
      </w:rPr>
      <w:tblPr/>
      <w:tcPr>
        <w:shd w:val="clear" w:color="auto" w:fill="2B3B5F" w:themeFill="accent1"/>
      </w:tcPr>
    </w:tblStylePr>
    <w:tblStylePr w:type="lastRow">
      <w:pPr>
        <w:spacing w:before="0" w:after="0" w:line="240" w:lineRule="auto"/>
      </w:pPr>
      <w:rPr>
        <w:b/>
        <w:bCs/>
      </w:rPr>
      <w:tblPr/>
      <w:tcPr>
        <w:tcBorders>
          <w:top w:val="double" w:sz="6" w:space="0" w:color="2B3B5F" w:themeColor="accent1"/>
          <w:left w:val="single" w:sz="8" w:space="0" w:color="2B3B5F" w:themeColor="accent1"/>
          <w:bottom w:val="single" w:sz="8" w:space="0" w:color="2B3B5F" w:themeColor="accent1"/>
          <w:right w:val="single" w:sz="8" w:space="0" w:color="2B3B5F" w:themeColor="accent1"/>
        </w:tcBorders>
      </w:tcPr>
    </w:tblStylePr>
    <w:tblStylePr w:type="firstCol">
      <w:rPr>
        <w:b/>
        <w:bCs/>
      </w:rPr>
    </w:tblStylePr>
    <w:tblStylePr w:type="lastCol">
      <w:rPr>
        <w:b/>
        <w:bCs/>
      </w:rPr>
    </w:tblStylePr>
    <w:tblStylePr w:type="band1Vert">
      <w:tblPr/>
      <w:tcPr>
        <w:tcBorders>
          <w:top w:val="single" w:sz="8" w:space="0" w:color="2B3B5F" w:themeColor="accent1"/>
          <w:left w:val="single" w:sz="8" w:space="0" w:color="2B3B5F" w:themeColor="accent1"/>
          <w:bottom w:val="single" w:sz="8" w:space="0" w:color="2B3B5F" w:themeColor="accent1"/>
          <w:right w:val="single" w:sz="8" w:space="0" w:color="2B3B5F" w:themeColor="accent1"/>
        </w:tcBorders>
      </w:tcPr>
    </w:tblStylePr>
    <w:tblStylePr w:type="band1Horz">
      <w:tblPr/>
      <w:tcPr>
        <w:tcBorders>
          <w:top w:val="single" w:sz="8" w:space="0" w:color="2B3B5F" w:themeColor="accent1"/>
          <w:left w:val="single" w:sz="8" w:space="0" w:color="2B3B5F" w:themeColor="accent1"/>
          <w:bottom w:val="single" w:sz="8" w:space="0" w:color="2B3B5F" w:themeColor="accent1"/>
          <w:right w:val="single" w:sz="8" w:space="0" w:color="2B3B5F" w:themeColor="accent1"/>
        </w:tcBorders>
      </w:tcPr>
    </w:tblStylePr>
  </w:style>
  <w:style w:type="paragraph" w:customStyle="1" w:styleId="Footnotes">
    <w:name w:val="Footnotes"/>
    <w:basedOn w:val="ListParagraph"/>
    <w:qFormat/>
    <w:rsid w:val="00723252"/>
    <w:pPr>
      <w:numPr>
        <w:numId w:val="20"/>
      </w:numPr>
      <w:tabs>
        <w:tab w:val="num" w:pos="360"/>
      </w:tabs>
      <w:spacing w:before="114" w:line="260" w:lineRule="atLeast"/>
      <w:ind w:left="720" w:firstLine="0"/>
    </w:pPr>
    <w:rPr>
      <w:sz w:val="20"/>
      <w:szCs w:val="20"/>
    </w:rPr>
  </w:style>
  <w:style w:type="table" w:customStyle="1" w:styleId="Style1">
    <w:name w:val="Style1"/>
    <w:basedOn w:val="TableNormal"/>
    <w:uiPriority w:val="99"/>
    <w:rsid w:val="00723252"/>
    <w:pPr>
      <w:spacing w:line="240" w:lineRule="auto"/>
      <w:ind w:left="57" w:right="57"/>
    </w:pPr>
    <w:rPr>
      <w:rFonts w:ascii="Calibri" w:hAnsi="Calibri"/>
    </w:rPr>
    <w:tblPr>
      <w:tblBorders>
        <w:top w:val="single" w:sz="4" w:space="0" w:color="788182"/>
        <w:left w:val="single" w:sz="4" w:space="0" w:color="788182"/>
        <w:bottom w:val="single" w:sz="4" w:space="0" w:color="788182"/>
        <w:right w:val="single" w:sz="4" w:space="0" w:color="788182"/>
        <w:insideH w:val="single" w:sz="4" w:space="0" w:color="788182"/>
        <w:insideV w:val="single" w:sz="4" w:space="0" w:color="788182"/>
      </w:tblBorders>
    </w:tblPr>
    <w:tblStylePr w:type="firstRow">
      <w:pPr>
        <w:jc w:val="left"/>
      </w:pPr>
      <w:rPr>
        <w:rFonts w:ascii="Calibri" w:hAnsi="Calibri"/>
        <w:b/>
        <w:sz w:val="22"/>
      </w:rPr>
      <w:tblPr/>
      <w:tcPr>
        <w:shd w:val="clear" w:color="auto" w:fill="D7DDE9"/>
      </w:tcPr>
    </w:tblStylePr>
  </w:style>
  <w:style w:type="paragraph" w:styleId="ListParagraph">
    <w:name w:val="List Paragraph"/>
    <w:basedOn w:val="Normal"/>
    <w:rsid w:val="00723252"/>
    <w:pPr>
      <w:ind w:left="720"/>
      <w:contextualSpacing/>
    </w:pPr>
  </w:style>
  <w:style w:type="table" w:customStyle="1" w:styleId="TableGrid1">
    <w:name w:val="Table Grid1"/>
    <w:basedOn w:val="TableNormal"/>
    <w:next w:val="TableGrid"/>
    <w:rsid w:val="00F11350"/>
    <w:pPr>
      <w:spacing w:before="70" w:after="70" w:line="260" w:lineRule="atLeast"/>
      <w:ind w:left="113" w:right="113"/>
    </w:pPr>
    <w:rPr>
      <w:rFonts w:eastAsia="Times New Roman" w:cs="Times New Roman"/>
      <w:lang w:eastAsia="en-AU"/>
    </w:rPr>
    <w:tblPr>
      <w:tblStyleRowBandSize w:val="1"/>
      <w:tblStyleColBandSize w:val="1"/>
      <w:tblBorders>
        <w:top w:val="single" w:sz="4" w:space="0" w:color="788184"/>
        <w:left w:val="single" w:sz="4" w:space="0" w:color="788184"/>
        <w:bottom w:val="single" w:sz="4" w:space="0" w:color="788184"/>
        <w:right w:val="single" w:sz="4" w:space="0" w:color="788184"/>
        <w:insideH w:val="single" w:sz="4" w:space="0" w:color="788184"/>
        <w:insideV w:val="single" w:sz="4" w:space="0" w:color="788184"/>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left"/>
      </w:pPr>
      <w:rPr>
        <w:rFonts w:ascii="Calibri" w:hAnsi="Calibri"/>
        <w:b/>
        <w:i w:val="0"/>
        <w:color w:val="auto"/>
        <w:sz w:val="22"/>
      </w:rPr>
      <w:tblPr/>
      <w:tcPr>
        <w:shd w:val="clear" w:color="auto" w:fill="D7DDE9"/>
        <w:vAlign w:val="top"/>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cPr>
    </w:tblStylePr>
    <w:tblStylePr w:type="nwCell">
      <w:pPr>
        <w:jc w:val="left"/>
      </w:pPr>
      <w:tblPr/>
      <w:tcPr>
        <w:vAlign w:val="top"/>
      </w:tcPr>
    </w:tblStylePr>
  </w:style>
  <w:style w:type="table" w:customStyle="1" w:styleId="TableAsPlaceholder1">
    <w:name w:val="Table As Placeholder1"/>
    <w:basedOn w:val="TableNormal"/>
    <w:uiPriority w:val="99"/>
    <w:qFormat/>
    <w:rsid w:val="00727F33"/>
    <w:rPr>
      <w:rFonts w:eastAsia="Times New Roman" w:cs="Arial"/>
      <w:lang w:eastAsia="en-AU"/>
    </w:rPr>
    <w:tblPr>
      <w:tblCellMar>
        <w:left w:w="0" w:type="dxa"/>
        <w:right w:w="0" w:type="dxa"/>
      </w:tblCellMar>
    </w:tblPr>
  </w:style>
  <w:style w:type="table" w:customStyle="1" w:styleId="TableAsPlaceholder2">
    <w:name w:val="Table As Placeholder2"/>
    <w:basedOn w:val="TableNormal"/>
    <w:uiPriority w:val="99"/>
    <w:qFormat/>
    <w:rsid w:val="00367A8E"/>
    <w:rPr>
      <w:rFonts w:eastAsia="Times New Roman" w:cs="Arial"/>
      <w:lang w:eastAsia="en-AU"/>
    </w:rPr>
    <w:tblPr>
      <w:tblCellMar>
        <w:left w:w="0" w:type="dxa"/>
        <w:right w:w="0" w:type="dxa"/>
      </w:tblCellMar>
    </w:tblPr>
  </w:style>
  <w:style w:type="table" w:customStyle="1" w:styleId="TableAsPlaceholder3">
    <w:name w:val="Table As Placeholder3"/>
    <w:basedOn w:val="TableNormal"/>
    <w:uiPriority w:val="99"/>
    <w:qFormat/>
    <w:rsid w:val="00367A8E"/>
    <w:rPr>
      <w:rFonts w:eastAsia="Times New Roman" w:cs="Arial"/>
      <w:lang w:eastAsia="en-AU"/>
    </w:rPr>
    <w:tblPr>
      <w:tblCellMar>
        <w:left w:w="0" w:type="dxa"/>
        <w:right w:w="0" w:type="dxa"/>
      </w:tblCellMar>
    </w:tblPr>
  </w:style>
  <w:style w:type="table" w:customStyle="1" w:styleId="TableAsPlaceholder4">
    <w:name w:val="Table As Placeholder4"/>
    <w:basedOn w:val="TableNormal"/>
    <w:uiPriority w:val="99"/>
    <w:qFormat/>
    <w:rsid w:val="00367A8E"/>
    <w:rPr>
      <w:rFonts w:eastAsia="Times New Roman" w:cs="Arial"/>
      <w:lang w:eastAsia="en-AU"/>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4839">
      <w:bodyDiv w:val="1"/>
      <w:marLeft w:val="0"/>
      <w:marRight w:val="0"/>
      <w:marTop w:val="0"/>
      <w:marBottom w:val="0"/>
      <w:divBdr>
        <w:top w:val="none" w:sz="0" w:space="0" w:color="auto"/>
        <w:left w:val="none" w:sz="0" w:space="0" w:color="auto"/>
        <w:bottom w:val="none" w:sz="0" w:space="0" w:color="auto"/>
        <w:right w:val="none" w:sz="0" w:space="0" w:color="auto"/>
      </w:divBdr>
    </w:div>
    <w:div w:id="356467595">
      <w:bodyDiv w:val="1"/>
      <w:marLeft w:val="0"/>
      <w:marRight w:val="0"/>
      <w:marTop w:val="0"/>
      <w:marBottom w:val="0"/>
      <w:divBdr>
        <w:top w:val="none" w:sz="0" w:space="0" w:color="auto"/>
        <w:left w:val="none" w:sz="0" w:space="0" w:color="auto"/>
        <w:bottom w:val="none" w:sz="0" w:space="0" w:color="auto"/>
        <w:right w:val="none" w:sz="0" w:space="0" w:color="auto"/>
      </w:divBdr>
    </w:div>
    <w:div w:id="54475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2.xml"/><Relationship Id="rId26" Type="http://schemas.openxmlformats.org/officeDocument/2006/relationships/footer" Target="footer6.xml"/><Relationship Id="rId39"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www.aph.gov.au/About_Parliament/Parliamentary_Departments/Parliamentary_Budget_Office/Reports/Information_papers" TargetMode="External"/><Relationship Id="rId34" Type="http://schemas.openxmlformats.org/officeDocument/2006/relationships/footer" Target="footer11.xml"/><Relationship Id="rId42"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7.xml"/><Relationship Id="rId25" Type="http://schemas.openxmlformats.org/officeDocument/2006/relationships/image" Target="media/image3.png"/><Relationship Id="rId33" Type="http://schemas.openxmlformats.org/officeDocument/2006/relationships/footer" Target="footer10.xml"/><Relationship Id="rId38" Type="http://schemas.openxmlformats.org/officeDocument/2006/relationships/hyperlink" Target="http://www.pbo.gov.au/"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https://www.aph.gov.au/About_Parliament/Parliamentary_Departments/Parliamentary_Budget_Office/Reports/Information_papers" TargetMode="External"/><Relationship Id="rId29" Type="http://schemas.openxmlformats.org/officeDocument/2006/relationships/footer" Target="footer8.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yperlink" Target="https://www.aph.gov.au/About_Parliament/Parliamentary_Departments/Parliamentary_Budget_Office/arrangements" TargetMode="External"/><Relationship Id="rId32" Type="http://schemas.openxmlformats.org/officeDocument/2006/relationships/header" Target="header9.xml"/><Relationship Id="rId37" Type="http://schemas.openxmlformats.org/officeDocument/2006/relationships/image" Target="media/image6.png"/><Relationship Id="rId40" Type="http://schemas.openxmlformats.org/officeDocument/2006/relationships/footer" Target="footer13.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image" Target="media/image4.jpg"/><Relationship Id="rId36" Type="http://schemas.openxmlformats.org/officeDocument/2006/relationships/hyperlink" Target="http://www.pbo.gov.au/" TargetMode="External"/><Relationship Id="rId10" Type="http://schemas.openxmlformats.org/officeDocument/2006/relationships/header" Target="header2.xml"/><Relationship Id="rId19" Type="http://schemas.openxmlformats.org/officeDocument/2006/relationships/footer" Target="footer3.xm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header" Target="header8.xml"/><Relationship Id="rId35" Type="http://schemas.openxmlformats.org/officeDocument/2006/relationships/image" Target="media/image5.png"/><Relationship Id="rId43"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PBO\Research%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5F00FF5DA3B4817A4700D926FB9F32D"/>
        <w:category>
          <w:name w:val="General"/>
          <w:gallery w:val="placeholder"/>
        </w:category>
        <w:types>
          <w:type w:val="bbPlcHdr"/>
        </w:types>
        <w:behaviors>
          <w:behavior w:val="content"/>
        </w:behaviors>
        <w:guid w:val="{D18C5055-070B-4154-AC2E-C9BC0817867F}"/>
      </w:docPartPr>
      <w:docPartBody>
        <w:p w:rsidR="00B1198E" w:rsidRDefault="00B1198E">
          <w:pPr>
            <w:pStyle w:val="35F00FF5DA3B4817A4700D926FB9F32D"/>
          </w:pPr>
          <w:r w:rsidRPr="004F7039">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98E"/>
    <w:rsid w:val="000316AD"/>
    <w:rsid w:val="001C3C22"/>
    <w:rsid w:val="00206216"/>
    <w:rsid w:val="002358E5"/>
    <w:rsid w:val="0023792F"/>
    <w:rsid w:val="003207BC"/>
    <w:rsid w:val="003768A0"/>
    <w:rsid w:val="003C2F73"/>
    <w:rsid w:val="004E745A"/>
    <w:rsid w:val="00522C5B"/>
    <w:rsid w:val="00532F3B"/>
    <w:rsid w:val="005F4F2C"/>
    <w:rsid w:val="00643E4C"/>
    <w:rsid w:val="006B3023"/>
    <w:rsid w:val="007066FF"/>
    <w:rsid w:val="00775108"/>
    <w:rsid w:val="00842FF4"/>
    <w:rsid w:val="008905B7"/>
    <w:rsid w:val="008C5056"/>
    <w:rsid w:val="00A369D5"/>
    <w:rsid w:val="00A40B48"/>
    <w:rsid w:val="00A54D87"/>
    <w:rsid w:val="00A70EAA"/>
    <w:rsid w:val="00B0050D"/>
    <w:rsid w:val="00B1198E"/>
    <w:rsid w:val="00B348A5"/>
    <w:rsid w:val="00B450AF"/>
    <w:rsid w:val="00B67008"/>
    <w:rsid w:val="00BA372B"/>
    <w:rsid w:val="00BC3AE3"/>
    <w:rsid w:val="00C246E6"/>
    <w:rsid w:val="00D6630A"/>
    <w:rsid w:val="00E40E60"/>
    <w:rsid w:val="00EA628A"/>
    <w:rsid w:val="00F2151E"/>
    <w:rsid w:val="00F913D8"/>
    <w:rsid w:val="00FC09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369D5"/>
    <w:rPr>
      <w:color w:val="808080"/>
    </w:rPr>
  </w:style>
  <w:style w:type="paragraph" w:customStyle="1" w:styleId="35F00FF5DA3B4817A4700D926FB9F32D">
    <w:name w:val="35F00FF5DA3B4817A4700D926FB9F32D"/>
  </w:style>
  <w:style w:type="paragraph" w:customStyle="1" w:styleId="9D0822CD6E5E4CCAADE17D164E75993A">
    <w:name w:val="9D0822CD6E5E4CCAADE17D164E75993A"/>
    <w:rsid w:val="00A369D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369D5"/>
    <w:rPr>
      <w:color w:val="808080"/>
    </w:rPr>
  </w:style>
  <w:style w:type="paragraph" w:customStyle="1" w:styleId="35F00FF5DA3B4817A4700D926FB9F32D">
    <w:name w:val="35F00FF5DA3B4817A4700D926FB9F32D"/>
  </w:style>
  <w:style w:type="paragraph" w:customStyle="1" w:styleId="9D0822CD6E5E4CCAADE17D164E75993A">
    <w:name w:val="9D0822CD6E5E4CCAADE17D164E75993A"/>
    <w:rsid w:val="00A36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PBO v1">
      <a:dk1>
        <a:srgbClr val="000000"/>
      </a:dk1>
      <a:lt1>
        <a:srgbClr val="FFFFFF"/>
      </a:lt1>
      <a:dk2>
        <a:srgbClr val="2B3B5F"/>
      </a:dk2>
      <a:lt2>
        <a:srgbClr val="788184"/>
      </a:lt2>
      <a:accent1>
        <a:srgbClr val="2B3B5F"/>
      </a:accent1>
      <a:accent2>
        <a:srgbClr val="95A4C6"/>
      </a:accent2>
      <a:accent3>
        <a:srgbClr val="D7DDE9"/>
      </a:accent3>
      <a:accent4>
        <a:srgbClr val="751D71"/>
      </a:accent4>
      <a:accent5>
        <a:srgbClr val="B267B3"/>
      </a:accent5>
      <a:accent6>
        <a:srgbClr val="788184"/>
      </a:accent6>
      <a:hlink>
        <a:srgbClr val="000000"/>
      </a:hlink>
      <a:folHlink>
        <a:srgbClr val="000000"/>
      </a:folHlink>
    </a:clrScheme>
    <a:fontScheme name="PBO v1">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338DD-B583-458F-9BA5-A0687B9A7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Research Report.dotm</Template>
  <TotalTime>2469</TotalTime>
  <Pages>33</Pages>
  <Words>9009</Words>
  <Characters>51352</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A Guide to PBO Costings</vt:lpstr>
    </vt:vector>
  </TitlesOfParts>
  <Company>Parliament of Australia</Company>
  <LinksUpToDate>false</LinksUpToDate>
  <CharactersWithSpaces>60241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a Parliamentary Budget Office Costing? </dc:title>
  <dc:subject>Layman's guide to understanding PBO costings</dc:subject>
  <dc:creator>Parliamentary Budget Office</dc:creator>
  <cp:keywords/>
  <cp:lastModifiedBy>Pratley, Lauren (PBO)</cp:lastModifiedBy>
  <cp:revision>201</cp:revision>
  <cp:lastPrinted>2017-11-29T23:28:00Z</cp:lastPrinted>
  <dcterms:created xsi:type="dcterms:W3CDTF">2017-11-01T22:37:00Z</dcterms:created>
  <dcterms:modified xsi:type="dcterms:W3CDTF">2017-11-29T23:58:00Z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tatus">
    <vt:lpwstr>DRAFT</vt:lpwstr>
  </property>
  <property fmtid="{D5CDD505-2E9C-101B-9397-08002B2CF9AE}" pid="3" name="xTOCH2">
    <vt:lpwstr>Y</vt:lpwstr>
  </property>
  <property fmtid="{D5CDD505-2E9C-101B-9397-08002B2CF9AE}" pid="4" name="xTOCH3">
    <vt:lpwstr>N</vt:lpwstr>
  </property>
  <property fmtid="{D5CDD505-2E9C-101B-9397-08002B2CF9AE}" pid="5" name="xTOCTable">
    <vt:lpwstr>H</vt:lpwstr>
  </property>
  <property fmtid="{D5CDD505-2E9C-101B-9397-08002B2CF9AE}" pid="6" name="xTOCFigure">
    <vt:lpwstr>H</vt:lpwstr>
  </property>
  <property fmtid="{D5CDD505-2E9C-101B-9397-08002B2CF9AE}" pid="7" name="xTOCApp">
    <vt:lpwstr>H</vt:lpwstr>
  </property>
  <property fmtid="{D5CDD505-2E9C-101B-9397-08002B2CF9AE}" pid="8" name="xNumberedBodyText">
    <vt:lpwstr>False</vt:lpwstr>
  </property>
  <property fmtid="{D5CDD505-2E9C-101B-9397-08002B2CF9AE}" pid="9" name="xCR">
    <vt:lpwstr>Heading</vt:lpwstr>
  </property>
  <property fmtid="{D5CDD505-2E9C-101B-9397-08002B2CF9AE}" pid="10" name="xHeadingsNumbered">
    <vt:lpwstr>True</vt:lpwstr>
  </property>
  <property fmtid="{D5CDD505-2E9C-101B-9397-08002B2CF9AE}" pid="11" name="xAppendixName">
    <vt:lpwstr>Appendix</vt:lpwstr>
  </property>
  <property fmtid="{D5CDD505-2E9C-101B-9397-08002B2CF9AE}" pid="12" name="_MarkAsFinal">
    <vt:bool>true</vt:bool>
  </property>
</Properties>
</file>