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11F" w:rsidRPr="00857029" w:rsidRDefault="000E711F" w:rsidP="000E711F">
      <w:pPr>
        <w:pStyle w:val="PBOheading2"/>
      </w:pPr>
      <w:r>
        <w:rPr>
          <w:noProof/>
          <w:lang w:eastAsia="en-AU"/>
        </w:rPr>
        <w:drawing>
          <wp:anchor distT="0" distB="0" distL="114300" distR="114300" simplePos="0" relativeHeight="251661312" behindDoc="1" locked="0" layoutInCell="1" allowOverlap="1" wp14:anchorId="36EE93A3" wp14:editId="79A2B7A4">
            <wp:simplePos x="0" y="0"/>
            <wp:positionH relativeFrom="column">
              <wp:posOffset>2540</wp:posOffset>
            </wp:positionH>
            <wp:positionV relativeFrom="paragraph">
              <wp:posOffset>-307431</wp:posOffset>
            </wp:positionV>
            <wp:extent cx="3132000" cy="666000"/>
            <wp:effectExtent l="0" t="0" r="0" b="1270"/>
            <wp:wrapNone/>
            <wp:docPr id="1" name="Picture 1" descr="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2000" cy="666000"/>
                    </a:xfrm>
                    <a:prstGeom prst="rect">
                      <a:avLst/>
                    </a:prstGeom>
                  </pic:spPr>
                </pic:pic>
              </a:graphicData>
            </a:graphic>
            <wp14:sizeRelH relativeFrom="page">
              <wp14:pctWidth>0</wp14:pctWidth>
            </wp14:sizeRelH>
            <wp14:sizeRelV relativeFrom="page">
              <wp14:pctHeight>0</wp14:pctHeight>
            </wp14:sizeRelV>
          </wp:anchor>
        </w:drawing>
      </w:r>
      <w:r w:rsidRPr="00857029">
        <w:t xml:space="preserve">PBO Guidance </w:t>
      </w:r>
      <w:r w:rsidR="00C975E1">
        <w:t>01</w:t>
      </w:r>
      <w:r w:rsidR="00764BB9">
        <w:t>/2018</w:t>
      </w:r>
    </w:p>
    <w:p w:rsidR="000E711F" w:rsidRDefault="003E1E19" w:rsidP="003E1E19">
      <w:pPr>
        <w:pStyle w:val="Heading1"/>
      </w:pPr>
      <w:r>
        <w:t>Allowing minor parties to opt in to the PBO’s post-election report of election commitments</w:t>
      </w:r>
    </w:p>
    <w:p w:rsidR="003E1E19" w:rsidRDefault="003E1E19" w:rsidP="003E1E19">
      <w:pPr>
        <w:pStyle w:val="BodyText"/>
      </w:pPr>
      <w:r>
        <w:t xml:space="preserve">Section 64MA of the </w:t>
      </w:r>
      <w:r w:rsidRPr="00A518E8">
        <w:rPr>
          <w:i/>
        </w:rPr>
        <w:t>Parliamentary Service Act 1999</w:t>
      </w:r>
      <w:r>
        <w:t xml:space="preserve"> requires the Parliamentary Budget Officer to release a report within 30 days of the end of the caretaker period for a general election outlining the financial impact of all the election commitments that have a material impact on the </w:t>
      </w:r>
      <w:r w:rsidR="00DA7862">
        <w:t>B</w:t>
      </w:r>
      <w:r>
        <w:t xml:space="preserve">udget for all designated </w:t>
      </w:r>
      <w:r w:rsidR="00DA7862">
        <w:t>p</w:t>
      </w:r>
      <w:r>
        <w:t xml:space="preserve">arliamentary parties – that is, parties with </w:t>
      </w:r>
      <w:r w:rsidR="00DA7862">
        <w:t>five</w:t>
      </w:r>
      <w:r>
        <w:t xml:space="preserve"> or more members.</w:t>
      </w:r>
    </w:p>
    <w:p w:rsidR="000E711F" w:rsidRDefault="003E1E19" w:rsidP="003E1E19">
      <w:pPr>
        <w:pStyle w:val="BodyText"/>
      </w:pPr>
      <w:r>
        <w:t xml:space="preserve">The </w:t>
      </w:r>
      <w:r w:rsidRPr="003E1E19">
        <w:rPr>
          <w:i/>
        </w:rPr>
        <w:t>Parliamentary Budget Office Review 2016–17 – Report of the Independent Review Panel</w:t>
      </w:r>
      <w:r>
        <w:t xml:space="preserve"> recommended that the Parliamentary Budget Office (PBO) ‘should provide parliamentary political parties with fewer than five Members or Senators the option to have the financial impact of their election commitments included in the PBO’s post-election report of election commitments’ (</w:t>
      </w:r>
      <w:r w:rsidR="00DA7862">
        <w:t>R</w:t>
      </w:r>
      <w:r>
        <w:t>ecommendation 13).</w:t>
      </w:r>
    </w:p>
    <w:p w:rsidR="003E1E19" w:rsidRDefault="00E83237" w:rsidP="003E1E19">
      <w:pPr>
        <w:pStyle w:val="BodyText"/>
      </w:pPr>
      <w:r>
        <w:t>The PBO agrees with this recommendation and, f</w:t>
      </w:r>
      <w:r w:rsidR="003E1E19">
        <w:t>ollowing the release of a consultation paper and consider</w:t>
      </w:r>
      <w:r w:rsidR="00DA7862">
        <w:t xml:space="preserve">ation of </w:t>
      </w:r>
      <w:r w:rsidR="003E1E19">
        <w:t>the submissions received, this guidance note outlines how we intend to implement the recommendation at the next general election</w:t>
      </w:r>
      <w:r>
        <w:t xml:space="preserve"> given the resources currently available to the PBO</w:t>
      </w:r>
      <w:r w:rsidR="003E1E19">
        <w:t>.</w:t>
      </w:r>
      <w:r w:rsidR="00CF7736">
        <w:t xml:space="preserve">  If any minor parties choose to opt in to the post-election report, we will release an addendum containing the financial implications of the election commitments of those minor parties as soon as possible after the release of the main report.</w:t>
      </w:r>
    </w:p>
    <w:p w:rsidR="003E1E19" w:rsidRDefault="003E1E19" w:rsidP="003E1E19">
      <w:pPr>
        <w:pStyle w:val="BodyText"/>
      </w:pPr>
      <w:r>
        <w:t>For the purposes of this guidance note, ‘minor parties’ refers to</w:t>
      </w:r>
      <w:r w:rsidRPr="003E1E19">
        <w:t xml:space="preserve"> all independent </w:t>
      </w:r>
      <w:r w:rsidR="00DA7862">
        <w:t>p</w:t>
      </w:r>
      <w:r w:rsidRPr="003E1E19">
        <w:t xml:space="preserve">arliamentarians and </w:t>
      </w:r>
      <w:r w:rsidR="00DA7862">
        <w:t>p</w:t>
      </w:r>
      <w:r w:rsidRPr="003E1E19">
        <w:t xml:space="preserve">arliamentary political parties with fewer </w:t>
      </w:r>
      <w:r w:rsidR="008811AA">
        <w:t>than five Members or Senators.</w:t>
      </w:r>
    </w:p>
    <w:p w:rsidR="003E1E19" w:rsidRDefault="003E1E19" w:rsidP="003E1E19">
      <w:pPr>
        <w:pStyle w:val="Heading2"/>
      </w:pPr>
      <w:r>
        <w:t>Notifying the PBO of a decision to opt in</w:t>
      </w:r>
    </w:p>
    <w:p w:rsidR="00E83237" w:rsidRDefault="00E83237" w:rsidP="003E1E19">
      <w:pPr>
        <w:pStyle w:val="BodyText"/>
      </w:pPr>
      <w:r>
        <w:t xml:space="preserve">The PBO notes that </w:t>
      </w:r>
      <w:r w:rsidR="003E1E19" w:rsidRPr="003E1E19">
        <w:t xml:space="preserve">sufficient notice from minor parties of their intention to opt in to the post-election report </w:t>
      </w:r>
      <w:r w:rsidR="004E06E7">
        <w:t xml:space="preserve">will be required </w:t>
      </w:r>
      <w:r w:rsidR="003E1E19" w:rsidRPr="003E1E19">
        <w:t>to allow us to plan for the production and release of the report.</w:t>
      </w:r>
      <w:r>
        <w:t xml:space="preserve">  To allow us to plan for these processes, minor </w:t>
      </w:r>
      <w:r w:rsidR="003E1E19" w:rsidRPr="003E1E19">
        <w:t xml:space="preserve">parties </w:t>
      </w:r>
      <w:r w:rsidR="00716112">
        <w:t>will</w:t>
      </w:r>
      <w:r w:rsidR="003E1E19" w:rsidRPr="003E1E19">
        <w:t xml:space="preserve"> be required to notify us of their intention to opt in to the post-election report </w:t>
      </w:r>
      <w:r w:rsidR="003E1E19">
        <w:t>no later than 14 days prior to polling day</w:t>
      </w:r>
      <w:r w:rsidR="003E1E19" w:rsidRPr="003E1E19">
        <w:t>.</w:t>
      </w:r>
    </w:p>
    <w:p w:rsidR="004E06E7" w:rsidRDefault="004E06E7" w:rsidP="003E1E19">
      <w:pPr>
        <w:pStyle w:val="BodyText"/>
      </w:pPr>
      <w:r>
        <w:t>Ideally</w:t>
      </w:r>
      <w:r w:rsidR="00DA7862">
        <w:t>,</w:t>
      </w:r>
      <w:r>
        <w:t xml:space="preserve"> parties seeking to opt in to the post-election report would submit their major polices to be costed by the PBO either before the caretaker period commences, where the requests can be on a confidential basis, or publicly during the caretaker period.  </w:t>
      </w:r>
      <w:r w:rsidR="00E83237" w:rsidRPr="003E1E19">
        <w:t xml:space="preserve">The earlier a party engages with </w:t>
      </w:r>
      <w:r w:rsidR="00E83237">
        <w:t>us</w:t>
      </w:r>
      <w:r w:rsidR="00E83237" w:rsidRPr="003E1E19">
        <w:t xml:space="preserve"> on a policy costing request, the better placed we are to incorporate it into the post-election report if it is publicly announced as an election commitment.</w:t>
      </w:r>
    </w:p>
    <w:p w:rsidR="003E1E19" w:rsidRDefault="00E83237" w:rsidP="00C975E1">
      <w:pPr>
        <w:pStyle w:val="BodyText"/>
        <w:keepLines/>
      </w:pPr>
      <w:r>
        <w:lastRenderedPageBreak/>
        <w:t>Early engagement provides the opportunity for policy specifications to be clarified</w:t>
      </w:r>
      <w:r w:rsidR="00DA7862">
        <w:t>,</w:t>
      </w:r>
      <w:r>
        <w:t xml:space="preserve"> if necessary</w:t>
      </w:r>
      <w:r w:rsidR="00DA7862">
        <w:t>,</w:t>
      </w:r>
      <w:r>
        <w:t xml:space="preserve"> to cost the election commitment.  Early engagement also gives the PBO time to develop the capability to cost </w:t>
      </w:r>
      <w:r w:rsidR="004E06E7">
        <w:t xml:space="preserve">more complex </w:t>
      </w:r>
      <w:r>
        <w:t>election commitments</w:t>
      </w:r>
      <w:r w:rsidR="004E06E7">
        <w:t>.</w:t>
      </w:r>
      <w:r>
        <w:t xml:space="preserve">  </w:t>
      </w:r>
      <w:r w:rsidR="00466779">
        <w:t xml:space="preserve">If there </w:t>
      </w:r>
      <w:r w:rsidR="00DA7862">
        <w:t xml:space="preserve">is </w:t>
      </w:r>
      <w:r w:rsidR="00466779">
        <w:t>no</w:t>
      </w:r>
      <w:r>
        <w:t xml:space="preserve"> engagement with the PBO </w:t>
      </w:r>
      <w:r w:rsidR="00466779">
        <w:t xml:space="preserve">prior to the making of election commitments, it </w:t>
      </w:r>
      <w:r w:rsidR="00422BEB">
        <w:t xml:space="preserve">may </w:t>
      </w:r>
      <w:r w:rsidR="00466779">
        <w:t xml:space="preserve">be difficult to include the costing of these commitments in the post-election report without </w:t>
      </w:r>
      <w:r w:rsidR="00422BEB">
        <w:t xml:space="preserve">substantially </w:t>
      </w:r>
      <w:r w:rsidR="00466779">
        <w:t>delaying the release of the report.</w:t>
      </w:r>
    </w:p>
    <w:p w:rsidR="00971CBE" w:rsidRDefault="00971CBE" w:rsidP="00971CBE">
      <w:pPr>
        <w:pStyle w:val="Heading2"/>
      </w:pPr>
      <w:r w:rsidRPr="00971CBE">
        <w:t>Providing the Parliamentary Budget Officer with a list of election commitments</w:t>
      </w:r>
    </w:p>
    <w:p w:rsidR="00971CBE" w:rsidRDefault="00971CBE" w:rsidP="00971CBE">
      <w:pPr>
        <w:pStyle w:val="BodyText"/>
      </w:pPr>
      <w:r>
        <w:t xml:space="preserve">Consistent with the requirements for designated </w:t>
      </w:r>
      <w:r w:rsidR="00DA7862">
        <w:t>p</w:t>
      </w:r>
      <w:r>
        <w:t xml:space="preserve">arliamentary parties, any minor party wishing to opt in to the post-election report will be required to provide a final and complete list of election commitments to the Parliamentary Budget Officer by 5pm on the day before </w:t>
      </w:r>
      <w:r w:rsidR="00475BBF">
        <w:t xml:space="preserve">election </w:t>
      </w:r>
      <w:r w:rsidR="008811AA">
        <w:t>polling day.</w:t>
      </w:r>
    </w:p>
    <w:p w:rsidR="00971CBE" w:rsidRDefault="00971CBE" w:rsidP="00971CBE">
      <w:pPr>
        <w:pStyle w:val="BodyText"/>
      </w:pPr>
      <w:r>
        <w:t xml:space="preserve">The Parliamentary Budget Officer will publicly release the list of election commitments provided by any minor parties at the same time as releasing the lists from the designated </w:t>
      </w:r>
      <w:r w:rsidR="00DA7862">
        <w:t>p</w:t>
      </w:r>
      <w:r>
        <w:t>arliamentary parties.</w:t>
      </w:r>
    </w:p>
    <w:p w:rsidR="00971CBE" w:rsidRDefault="00971CBE" w:rsidP="00971CBE">
      <w:pPr>
        <w:pStyle w:val="Heading2"/>
      </w:pPr>
      <w:r>
        <w:t>Identifying e</w:t>
      </w:r>
      <w:r w:rsidRPr="00971CBE">
        <w:t xml:space="preserve">lection commitments that have a material impact on the </w:t>
      </w:r>
      <w:r w:rsidR="00DA7862">
        <w:t>B</w:t>
      </w:r>
      <w:r w:rsidRPr="00971CBE">
        <w:t>udget</w:t>
      </w:r>
    </w:p>
    <w:p w:rsidR="00971CBE" w:rsidRDefault="00971CBE" w:rsidP="00971CBE">
      <w:pPr>
        <w:pStyle w:val="BodyText"/>
      </w:pPr>
      <w:r w:rsidRPr="00971CBE">
        <w:t xml:space="preserve">If </w:t>
      </w:r>
      <w:r w:rsidR="00422BEB">
        <w:t xml:space="preserve">a </w:t>
      </w:r>
      <w:r w:rsidRPr="00971CBE">
        <w:t xml:space="preserve">minor </w:t>
      </w:r>
      <w:r w:rsidR="00422BEB" w:rsidRPr="00971CBE">
        <w:t>part</w:t>
      </w:r>
      <w:r w:rsidR="00422BEB">
        <w:t>y</w:t>
      </w:r>
      <w:r w:rsidR="00422BEB" w:rsidRPr="00971CBE">
        <w:t xml:space="preserve"> </w:t>
      </w:r>
      <w:r>
        <w:t>opt</w:t>
      </w:r>
      <w:r w:rsidR="00422BEB">
        <w:t>s</w:t>
      </w:r>
      <w:r>
        <w:t xml:space="preserve"> in to the post-election report and </w:t>
      </w:r>
      <w:r w:rsidRPr="00971CBE">
        <w:t>provide</w:t>
      </w:r>
      <w:r w:rsidR="00422BEB">
        <w:t>s</w:t>
      </w:r>
      <w:r w:rsidRPr="00971CBE">
        <w:t xml:space="preserve"> </w:t>
      </w:r>
      <w:r>
        <w:t xml:space="preserve">the Parliamentary Budget Officer with </w:t>
      </w:r>
      <w:r w:rsidRPr="00971CBE">
        <w:t xml:space="preserve">a list of election commitments, the Parliamentary Budget Officer </w:t>
      </w:r>
      <w:r>
        <w:t>will</w:t>
      </w:r>
      <w:r w:rsidRPr="00971CBE">
        <w:t xml:space="preserve"> not make any judgements about whether the list includes all of the election commitments of that party that would have a material impact on the </w:t>
      </w:r>
      <w:r w:rsidR="00DA7862">
        <w:t>B</w:t>
      </w:r>
      <w:r w:rsidRPr="00971CBE">
        <w:t>udget.</w:t>
      </w:r>
    </w:p>
    <w:p w:rsidR="00971CBE" w:rsidRDefault="00971CBE" w:rsidP="00971CBE">
      <w:pPr>
        <w:pStyle w:val="BodyText"/>
      </w:pPr>
      <w:r>
        <w:t>The Parliamentary Budget Office</w:t>
      </w:r>
      <w:r w:rsidR="00716112">
        <w:t>r</w:t>
      </w:r>
      <w:r>
        <w:t xml:space="preserve"> will</w:t>
      </w:r>
      <w:r w:rsidR="00466779">
        <w:t>,</w:t>
      </w:r>
      <w:r>
        <w:t xml:space="preserve"> however</w:t>
      </w:r>
      <w:r w:rsidR="00466779">
        <w:t>,</w:t>
      </w:r>
      <w:r>
        <w:t xml:space="preserve"> retain the option to </w:t>
      </w:r>
      <w:r w:rsidR="00466779">
        <w:t xml:space="preserve">amend </w:t>
      </w:r>
      <w:r>
        <w:t xml:space="preserve">the list </w:t>
      </w:r>
      <w:r w:rsidR="00083775">
        <w:t xml:space="preserve">of election commitments </w:t>
      </w:r>
      <w:r>
        <w:t>if the P</w:t>
      </w:r>
      <w:r w:rsidR="00716112">
        <w:t>BO</w:t>
      </w:r>
      <w:r>
        <w:t xml:space="preserve"> is aware of a major </w:t>
      </w:r>
      <w:r w:rsidR="00716112">
        <w:t xml:space="preserve">publicly announced </w:t>
      </w:r>
      <w:r>
        <w:t xml:space="preserve">election commitment </w:t>
      </w:r>
      <w:r w:rsidR="00083775">
        <w:t>by a party that is omitted from their list</w:t>
      </w:r>
      <w:r w:rsidR="00466779">
        <w:t>, or a major election commitment on the list that was never publicly announced</w:t>
      </w:r>
      <w:r w:rsidR="00083775">
        <w:t>.</w:t>
      </w:r>
      <w:r>
        <w:t xml:space="preserve"> </w:t>
      </w:r>
      <w:r w:rsidR="00083775">
        <w:t xml:space="preserve"> In such a circumstance, the Parliamentary Budget Officer will provide the minor party with </w:t>
      </w:r>
      <w:r w:rsidR="00716112">
        <w:t xml:space="preserve">a </w:t>
      </w:r>
      <w:r w:rsidR="00083775">
        <w:t xml:space="preserve">statement explaining the reasons for </w:t>
      </w:r>
      <w:r w:rsidR="00716112">
        <w:t>any</w:t>
      </w:r>
      <w:r w:rsidR="00083775">
        <w:t xml:space="preserve"> </w:t>
      </w:r>
      <w:r w:rsidR="00466779">
        <w:t>amendments</w:t>
      </w:r>
      <w:r w:rsidR="00083775">
        <w:t>.</w:t>
      </w:r>
    </w:p>
    <w:p w:rsidR="00083775" w:rsidRDefault="00083775" w:rsidP="00083775">
      <w:pPr>
        <w:pStyle w:val="Heading2"/>
      </w:pPr>
      <w:r w:rsidRPr="00083775">
        <w:t>Interactions between election commitments</w:t>
      </w:r>
    </w:p>
    <w:p w:rsidR="005132D2" w:rsidRDefault="007A1FD9" w:rsidP="00083775">
      <w:pPr>
        <w:pStyle w:val="BodyText"/>
      </w:pPr>
      <w:r>
        <w:t>T</w:t>
      </w:r>
      <w:r w:rsidRPr="007A1FD9">
        <w:t>he PBO will endeavour to calculate, document and include the financial impact of significant interactions between electio</w:t>
      </w:r>
      <w:r>
        <w:t>n commitments for minor parties</w:t>
      </w:r>
      <w:r w:rsidR="00422BEB">
        <w:t xml:space="preserve"> in a similar manner to its treatment for major parties</w:t>
      </w:r>
      <w:r>
        <w:t>.</w:t>
      </w:r>
      <w:r w:rsidR="005132D2">
        <w:t xml:space="preserve">  </w:t>
      </w:r>
      <w:r w:rsidRPr="007A1FD9">
        <w:t>Where the</w:t>
      </w:r>
      <w:r w:rsidR="0016736A">
        <w:t xml:space="preserve"> interactions </w:t>
      </w:r>
      <w:r w:rsidR="00422BEB">
        <w:t xml:space="preserve">are expected to be significant but </w:t>
      </w:r>
      <w:r w:rsidRPr="007A1FD9">
        <w:t xml:space="preserve">cannot be confidently estimated, </w:t>
      </w:r>
      <w:r w:rsidR="005132D2">
        <w:t xml:space="preserve">this will be </w:t>
      </w:r>
      <w:r w:rsidR="00422BEB">
        <w:t xml:space="preserve">clearly </w:t>
      </w:r>
      <w:r w:rsidR="005132D2">
        <w:t>stated in the post-election report</w:t>
      </w:r>
      <w:r w:rsidR="0016017A">
        <w:t>.</w:t>
      </w:r>
    </w:p>
    <w:p w:rsidR="00083775" w:rsidRDefault="00475BBF" w:rsidP="00083775">
      <w:pPr>
        <w:pStyle w:val="BodyText"/>
      </w:pPr>
      <w:r>
        <w:t>T</w:t>
      </w:r>
      <w:r w:rsidR="007A1FD9" w:rsidRPr="007A1FD9">
        <w:t xml:space="preserve">he combined impact of </w:t>
      </w:r>
      <w:r>
        <w:t xml:space="preserve">each minor party’s </w:t>
      </w:r>
      <w:r w:rsidR="007A1FD9" w:rsidRPr="007A1FD9">
        <w:t xml:space="preserve">election commitments </w:t>
      </w:r>
      <w:r w:rsidR="005132D2">
        <w:t>will be included in the post-election report</w:t>
      </w:r>
      <w:r>
        <w:t>, including in circumstances where the finan</w:t>
      </w:r>
      <w:r w:rsidRPr="00475BBF">
        <w:t>cial impact of interactions between election commitments</w:t>
      </w:r>
      <w:r>
        <w:t xml:space="preserve"> is reported as unquantifiable</w:t>
      </w:r>
      <w:r w:rsidR="007A1FD9" w:rsidRPr="007A1FD9">
        <w:t>.</w:t>
      </w:r>
    </w:p>
    <w:p w:rsidR="005132D2" w:rsidRDefault="005132D2" w:rsidP="005132D2">
      <w:pPr>
        <w:pStyle w:val="Heading2"/>
      </w:pPr>
      <w:r>
        <w:lastRenderedPageBreak/>
        <w:t>Minor parties</w:t>
      </w:r>
      <w:r w:rsidRPr="005132D2">
        <w:t xml:space="preserve"> no longer represented in the Parliament following the election</w:t>
      </w:r>
    </w:p>
    <w:p w:rsidR="005132D2" w:rsidRDefault="008C7CBA" w:rsidP="00C975E1">
      <w:pPr>
        <w:pStyle w:val="BodyText"/>
        <w:keepLines/>
      </w:pPr>
      <w:r w:rsidRPr="008C7CBA">
        <w:t>If a minor party opts in to the post-election report and no longer has a representative in the Parliament following the election, their election commitments w</w:t>
      </w:r>
      <w:r w:rsidR="00B36EB8">
        <w:t>ill</w:t>
      </w:r>
      <w:r w:rsidRPr="008C7CBA">
        <w:t xml:space="preserve"> be excluded from the post-election report on the basis that they will no longer have an ongoing role in budget</w:t>
      </w:r>
      <w:r w:rsidR="0016017A">
        <w:noBreakHyphen/>
      </w:r>
      <w:r w:rsidRPr="008C7CBA">
        <w:t>related deliberations.</w:t>
      </w:r>
    </w:p>
    <w:p w:rsidR="00B36EB8" w:rsidRDefault="00B36EB8" w:rsidP="00B36EB8">
      <w:pPr>
        <w:pStyle w:val="Heading2"/>
      </w:pPr>
      <w:r w:rsidRPr="00B36EB8">
        <w:t xml:space="preserve">Minor parties </w:t>
      </w:r>
      <w:r>
        <w:t>newly</w:t>
      </w:r>
      <w:r w:rsidRPr="00B36EB8">
        <w:t xml:space="preserve"> represented in the Parliament following the election</w:t>
      </w:r>
    </w:p>
    <w:p w:rsidR="0030110F" w:rsidRDefault="00466779" w:rsidP="00083775">
      <w:pPr>
        <w:pStyle w:val="BodyText"/>
      </w:pPr>
      <w:r>
        <w:t xml:space="preserve">The PBO considered whether any </w:t>
      </w:r>
      <w:r w:rsidR="0030110F">
        <w:t xml:space="preserve">federally registered non-parliamentary parties should be allowed </w:t>
      </w:r>
      <w:r w:rsidR="00716112">
        <w:t>to opt in to</w:t>
      </w:r>
      <w:r w:rsidR="0030110F">
        <w:t xml:space="preserve"> the post-election report </w:t>
      </w:r>
      <w:r w:rsidR="00422BEB">
        <w:t xml:space="preserve">given that </w:t>
      </w:r>
      <w:r w:rsidR="0030110F">
        <w:t xml:space="preserve">they may ultimately win a seat at the election and have a </w:t>
      </w:r>
      <w:r w:rsidR="0030110F" w:rsidRPr="0030110F">
        <w:t>role in budget-related deliberations</w:t>
      </w:r>
      <w:r w:rsidR="0030110F">
        <w:t>.</w:t>
      </w:r>
      <w:r w:rsidR="00007507">
        <w:t xml:space="preserve">  This would allow political parties that are newly represented in the </w:t>
      </w:r>
      <w:r w:rsidR="00F7478C">
        <w:t>P</w:t>
      </w:r>
      <w:r w:rsidR="00007507">
        <w:t xml:space="preserve">arliament to have the cost of their election commitments included in the report.  </w:t>
      </w:r>
      <w:r w:rsidR="00422BEB">
        <w:t xml:space="preserve">We judged that </w:t>
      </w:r>
      <w:r w:rsidR="00007507">
        <w:t xml:space="preserve">this would likely prevent the post-election report from being prepared in </w:t>
      </w:r>
      <w:r w:rsidR="0030110F">
        <w:t xml:space="preserve">a timely </w:t>
      </w:r>
      <w:r w:rsidR="00C050CE">
        <w:t>manner</w:t>
      </w:r>
      <w:r w:rsidR="00007507">
        <w:t xml:space="preserve"> and so the option to be included in the post</w:t>
      </w:r>
      <w:r w:rsidR="0016017A">
        <w:noBreakHyphen/>
      </w:r>
      <w:bookmarkStart w:id="0" w:name="_GoBack"/>
      <w:bookmarkEnd w:id="0"/>
      <w:r w:rsidR="00007507">
        <w:t xml:space="preserve">election report will only be available for parties that have a representative </w:t>
      </w:r>
      <w:r w:rsidR="0030110F">
        <w:t>in the Parliament immediately before the election</w:t>
      </w:r>
      <w:r w:rsidR="00007507">
        <w:t>.</w:t>
      </w:r>
    </w:p>
    <w:p w:rsidR="00716112" w:rsidRDefault="00C050CE" w:rsidP="00716112">
      <w:pPr>
        <w:pStyle w:val="BodyText"/>
      </w:pPr>
      <w:r>
        <w:t xml:space="preserve">Like all </w:t>
      </w:r>
      <w:r w:rsidR="00F7478C">
        <w:t>p</w:t>
      </w:r>
      <w:r>
        <w:t xml:space="preserve">arliamentarians, </w:t>
      </w:r>
      <w:r w:rsidR="00422BEB">
        <w:t xml:space="preserve">however, </w:t>
      </w:r>
      <w:r>
        <w:t>n</w:t>
      </w:r>
      <w:r w:rsidR="0030110F">
        <w:t xml:space="preserve">ewly elected </w:t>
      </w:r>
      <w:r w:rsidR="00F7478C">
        <w:t>p</w:t>
      </w:r>
      <w:r w:rsidR="0030110F">
        <w:t xml:space="preserve">arliamentarians will </w:t>
      </w:r>
      <w:r>
        <w:t>have the option</w:t>
      </w:r>
      <w:r w:rsidR="0030110F">
        <w:t xml:space="preserve"> to </w:t>
      </w:r>
      <w:r w:rsidR="00764BB9">
        <w:t>submit policy</w:t>
      </w:r>
      <w:r>
        <w:t xml:space="preserve"> </w:t>
      </w:r>
      <w:r w:rsidR="00764BB9">
        <w:t xml:space="preserve">costing requests </w:t>
      </w:r>
      <w:r>
        <w:t xml:space="preserve">to the PBO outside of the caretaker period.  </w:t>
      </w:r>
      <w:r w:rsidR="00475BBF">
        <w:t xml:space="preserve">This </w:t>
      </w:r>
      <w:r w:rsidR="005637B5">
        <w:t>can</w:t>
      </w:r>
      <w:r w:rsidR="00475BBF">
        <w:t xml:space="preserve"> include a costing of the</w:t>
      </w:r>
      <w:r w:rsidR="00007507">
        <w:t xml:space="preserve"> full suite of their</w:t>
      </w:r>
      <w:r w:rsidR="00475BBF">
        <w:t xml:space="preserve"> publicly announced election commitments.  </w:t>
      </w:r>
      <w:r w:rsidR="00764BB9">
        <w:t xml:space="preserve">These </w:t>
      </w:r>
      <w:r w:rsidR="005637B5">
        <w:t>can</w:t>
      </w:r>
      <w:r w:rsidR="00764BB9">
        <w:t xml:space="preserve"> </w:t>
      </w:r>
      <w:r w:rsidR="00716112">
        <w:t xml:space="preserve">either </w:t>
      </w:r>
      <w:r w:rsidR="00764BB9">
        <w:t>be submitted</w:t>
      </w:r>
      <w:r>
        <w:t xml:space="preserve"> on a confidential or non-confidential basis.  Responses to these requests will be prepared as part of the PBO’s regular</w:t>
      </w:r>
      <w:r w:rsidR="00422BEB">
        <w:t xml:space="preserve"> and ongoing</w:t>
      </w:r>
      <w:r>
        <w:t xml:space="preserve"> policy costing work.</w:t>
      </w:r>
    </w:p>
    <w:p w:rsidR="00716112" w:rsidRDefault="00716112" w:rsidP="00716112">
      <w:pPr>
        <w:pStyle w:val="Heading2"/>
      </w:pPr>
      <w:r w:rsidRPr="00971CBE">
        <w:t>Timing of release of the post-election report</w:t>
      </w:r>
    </w:p>
    <w:p w:rsidR="00716112" w:rsidRDefault="00422BEB" w:rsidP="00716112">
      <w:pPr>
        <w:pStyle w:val="BodyText"/>
      </w:pPr>
      <w:r>
        <w:t xml:space="preserve">The PBO has a legislative requirement to release the post-election report relating to the financial implications of the election commitments of designated parliamentary parties within 30 days of the end of the caretaker period.  </w:t>
      </w:r>
      <w:r w:rsidR="00716112">
        <w:t xml:space="preserve">If </w:t>
      </w:r>
      <w:r>
        <w:t xml:space="preserve">any </w:t>
      </w:r>
      <w:r w:rsidR="00716112">
        <w:t xml:space="preserve">minor parties choose to opt in to the post-election report, we will release an addendum containing </w:t>
      </w:r>
      <w:r>
        <w:t xml:space="preserve">the financial implications of the </w:t>
      </w:r>
      <w:r w:rsidR="00716112">
        <w:t xml:space="preserve">election commitments </w:t>
      </w:r>
      <w:r>
        <w:t xml:space="preserve">of those minor parties </w:t>
      </w:r>
      <w:r w:rsidR="00716112">
        <w:t>as soon as possible after the release of the main report.</w:t>
      </w:r>
    </w:p>
    <w:p w:rsidR="00141551" w:rsidRPr="000E711F" w:rsidRDefault="00CC5362" w:rsidP="000E711F">
      <w:pPr>
        <w:pStyle w:val="BodyText"/>
        <w:spacing w:before="720" w:after="0"/>
      </w:pPr>
      <w:r w:rsidRPr="00CC5362">
        <w:t xml:space="preserve">Jenny Wilkinson </w:t>
      </w:r>
    </w:p>
    <w:p w:rsidR="000E711F" w:rsidRPr="000E711F" w:rsidRDefault="000E711F" w:rsidP="000E711F">
      <w:pPr>
        <w:pStyle w:val="BodyText"/>
        <w:spacing w:before="0" w:after="480"/>
      </w:pPr>
      <w:r w:rsidRPr="000E711F">
        <w:t>Parliamentary Budget Officer</w:t>
      </w:r>
    </w:p>
    <w:tbl>
      <w:tblPr>
        <w:tblStyle w:val="TableAsPlaceholder"/>
        <w:tblW w:w="0" w:type="auto"/>
        <w:tblLook w:val="04A0" w:firstRow="1" w:lastRow="0" w:firstColumn="1" w:lastColumn="0" w:noHBand="0" w:noVBand="1"/>
      </w:tblPr>
      <w:tblGrid>
        <w:gridCol w:w="2203"/>
        <w:gridCol w:w="6867"/>
      </w:tblGrid>
      <w:tr w:rsidR="000E711F" w:rsidTr="000E711F">
        <w:tc>
          <w:tcPr>
            <w:tcW w:w="2268" w:type="dxa"/>
          </w:tcPr>
          <w:p w:rsidR="000E711F" w:rsidRDefault="000E711F" w:rsidP="00A91272">
            <w:pPr>
              <w:pStyle w:val="BodyText"/>
              <w:spacing w:before="240"/>
            </w:pPr>
            <w:r>
              <w:t>Release date</w:t>
            </w:r>
          </w:p>
        </w:tc>
        <w:tc>
          <w:tcPr>
            <w:tcW w:w="7143" w:type="dxa"/>
          </w:tcPr>
          <w:p w:rsidR="000E711F" w:rsidRDefault="00C975E1" w:rsidP="00A91272">
            <w:pPr>
              <w:pStyle w:val="BodyText"/>
              <w:spacing w:before="240"/>
            </w:pPr>
            <w:r>
              <w:t>27 April 2018</w:t>
            </w:r>
          </w:p>
        </w:tc>
      </w:tr>
      <w:tr w:rsidR="000E711F" w:rsidTr="000E711F">
        <w:tc>
          <w:tcPr>
            <w:tcW w:w="2268" w:type="dxa"/>
          </w:tcPr>
          <w:p w:rsidR="000E711F" w:rsidRDefault="000E711F" w:rsidP="00A91272">
            <w:pPr>
              <w:pStyle w:val="BodyText"/>
              <w:spacing w:before="240"/>
            </w:pPr>
            <w:r>
              <w:t>Contact Officer(s)</w:t>
            </w:r>
          </w:p>
        </w:tc>
        <w:tc>
          <w:tcPr>
            <w:tcW w:w="7143" w:type="dxa"/>
          </w:tcPr>
          <w:p w:rsidR="000E711F" w:rsidRDefault="002555E9" w:rsidP="00A91272">
            <w:pPr>
              <w:pStyle w:val="BodyText"/>
              <w:spacing w:before="240"/>
            </w:pPr>
            <w:r>
              <w:t>Tim Pyne</w:t>
            </w:r>
          </w:p>
          <w:sdt>
            <w:sdtPr>
              <w:alias w:val="Position"/>
              <w:tag w:val="Position"/>
              <w:id w:val="-1024164368"/>
              <w:placeholder>
                <w:docPart w:val="4B61A9DD53C44251A747A4929B3ECAE7"/>
              </w:placeholder>
              <w:dropDownList>
                <w:listItem w:value="Choose an item."/>
                <w:listItem w:displayText="First Assistant Parliamentary Budget Officer" w:value="First Assistant Parliamentary Budget Officer"/>
                <w:listItem w:displayText="Assistant Parliamentary Budget Officer" w:value="Assistant Parliamentary Budget Officer"/>
              </w:dropDownList>
            </w:sdtPr>
            <w:sdtEndPr/>
            <w:sdtContent>
              <w:p w:rsidR="000E711F" w:rsidRDefault="002555E9" w:rsidP="000E711F">
                <w:pPr>
                  <w:pStyle w:val="BodyText"/>
                </w:pPr>
                <w:r>
                  <w:t>First Assistant Parliamentary Budget Officer</w:t>
                </w:r>
              </w:p>
            </w:sdtContent>
          </w:sdt>
          <w:sdt>
            <w:sdtPr>
              <w:alias w:val="Division"/>
              <w:tag w:val="Division"/>
              <w:id w:val="600384203"/>
              <w:placeholder>
                <w:docPart w:val="F2A7D93FF7714E9B91A0251A92F6C6D0"/>
              </w:placeholder>
              <w:dropDownList>
                <w:listItem w:value="Choose an item."/>
                <w:listItem w:displayText="Budget Analysis Division" w:value="Budget Analysis Division"/>
                <w:listItem w:displayText="Program Analysis Branch" w:value="Program Analysis Branch"/>
                <w:listItem w:displayText="Revenue Analysis Branch" w:value="Revenue Analysis Branch"/>
                <w:listItem w:displayText="Fiscal Policy Analysis Division" w:value="Fiscal Policy Analysis Division"/>
                <w:listItem w:displayText="Fiscal Policy Analysis Branch" w:value="Fiscal Policy Analysis Branch"/>
              </w:dropDownList>
            </w:sdtPr>
            <w:sdtEndPr/>
            <w:sdtContent>
              <w:p w:rsidR="000E711F" w:rsidRDefault="002555E9" w:rsidP="000E711F">
                <w:pPr>
                  <w:pStyle w:val="BodyText"/>
                </w:pPr>
                <w:r>
                  <w:t>Fiscal Policy Analysis Division</w:t>
                </w:r>
              </w:p>
            </w:sdtContent>
          </w:sdt>
          <w:p w:rsidR="000E711F" w:rsidRDefault="000E711F" w:rsidP="00903BDE">
            <w:pPr>
              <w:pStyle w:val="BodyText"/>
            </w:pPr>
            <w:r>
              <w:t>(02) 6277 95</w:t>
            </w:r>
            <w:r w:rsidR="002555E9">
              <w:t>60</w:t>
            </w:r>
          </w:p>
        </w:tc>
      </w:tr>
    </w:tbl>
    <w:p w:rsidR="000E711F" w:rsidRPr="00AD504E" w:rsidRDefault="000E711F" w:rsidP="0042031A">
      <w:pPr>
        <w:pStyle w:val="BodyText"/>
        <w:spacing w:before="0" w:after="0" w:line="240" w:lineRule="auto"/>
      </w:pPr>
    </w:p>
    <w:sectPr w:rsidR="000E711F" w:rsidRPr="00AD504E" w:rsidSect="00C975E1">
      <w:footerReference w:type="even" r:id="rId10"/>
      <w:footerReference w:type="default" r:id="rId11"/>
      <w:headerReference w:type="first" r:id="rId12"/>
      <w:pgSz w:w="11906" w:h="16838" w:code="9"/>
      <w:pgMar w:top="1134" w:right="1418" w:bottom="1134" w:left="1418" w:header="284"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E19" w:rsidRDefault="003E1E19" w:rsidP="00A20802">
      <w:pPr>
        <w:spacing w:line="240" w:lineRule="auto"/>
      </w:pPr>
      <w:r>
        <w:separator/>
      </w:r>
    </w:p>
    <w:p w:rsidR="003E1E19" w:rsidRDefault="003E1E19"/>
  </w:endnote>
  <w:endnote w:type="continuationSeparator" w:id="0">
    <w:p w:rsidR="003E1E19" w:rsidRDefault="003E1E19" w:rsidP="00A20802">
      <w:pPr>
        <w:spacing w:line="240" w:lineRule="auto"/>
      </w:pPr>
      <w:r>
        <w:continuationSeparator/>
      </w:r>
    </w:p>
    <w:p w:rsidR="003E1E19" w:rsidRDefault="003E1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22789"/>
      <w:docPartObj>
        <w:docPartGallery w:val="Page Numbers (Bottom of Page)"/>
        <w:docPartUnique/>
      </w:docPartObj>
    </w:sdtPr>
    <w:sdtEndPr/>
    <w:sdtContent>
      <w:sdt>
        <w:sdtPr>
          <w:id w:val="-1669238322"/>
          <w:docPartObj>
            <w:docPartGallery w:val="Page Numbers (Top of Page)"/>
            <w:docPartUnique/>
          </w:docPartObj>
        </w:sdtPr>
        <w:sdtEndPr/>
        <w:sdtContent>
          <w:p w:rsidR="00F7478C" w:rsidRDefault="00F7478C" w:rsidP="00951136">
            <w:pPr>
              <w:pStyle w:val="Footer"/>
              <w:jc w:val="center"/>
            </w:pPr>
            <w:r w:rsidRPr="00951136">
              <w:rPr>
                <w:sz w:val="20"/>
                <w:szCs w:val="20"/>
              </w:rPr>
              <w:t xml:space="preserve">Page </w:t>
            </w:r>
            <w:r w:rsidRPr="00951136">
              <w:rPr>
                <w:bCs/>
                <w:sz w:val="20"/>
                <w:szCs w:val="20"/>
              </w:rPr>
              <w:fldChar w:fldCharType="begin"/>
            </w:r>
            <w:r w:rsidRPr="00C975E1">
              <w:rPr>
                <w:bCs/>
                <w:sz w:val="20"/>
                <w:szCs w:val="20"/>
              </w:rPr>
              <w:instrText xml:space="preserve"> PAGE </w:instrText>
            </w:r>
            <w:r w:rsidRPr="00951136">
              <w:rPr>
                <w:bCs/>
                <w:sz w:val="20"/>
                <w:szCs w:val="20"/>
              </w:rPr>
              <w:fldChar w:fldCharType="separate"/>
            </w:r>
            <w:r w:rsidR="0016017A">
              <w:rPr>
                <w:bCs/>
                <w:noProof/>
                <w:sz w:val="20"/>
                <w:szCs w:val="20"/>
              </w:rPr>
              <w:t>2</w:t>
            </w:r>
            <w:r w:rsidRPr="00951136">
              <w:rPr>
                <w:bCs/>
                <w:sz w:val="20"/>
                <w:szCs w:val="20"/>
              </w:rPr>
              <w:fldChar w:fldCharType="end"/>
            </w:r>
            <w:r w:rsidRPr="00951136">
              <w:rPr>
                <w:sz w:val="20"/>
                <w:szCs w:val="20"/>
              </w:rPr>
              <w:t xml:space="preserve"> of </w:t>
            </w:r>
            <w:r w:rsidRPr="00951136">
              <w:rPr>
                <w:bCs/>
                <w:sz w:val="20"/>
                <w:szCs w:val="20"/>
              </w:rPr>
              <w:fldChar w:fldCharType="begin"/>
            </w:r>
            <w:r w:rsidRPr="00C975E1">
              <w:rPr>
                <w:bCs/>
                <w:sz w:val="20"/>
                <w:szCs w:val="20"/>
              </w:rPr>
              <w:instrText xml:space="preserve"> NUMPAGES  </w:instrText>
            </w:r>
            <w:r w:rsidRPr="00951136">
              <w:rPr>
                <w:bCs/>
                <w:sz w:val="20"/>
                <w:szCs w:val="20"/>
              </w:rPr>
              <w:fldChar w:fldCharType="separate"/>
            </w:r>
            <w:r w:rsidR="0016017A">
              <w:rPr>
                <w:bCs/>
                <w:noProof/>
                <w:sz w:val="20"/>
                <w:szCs w:val="20"/>
              </w:rPr>
              <w:t>3</w:t>
            </w:r>
            <w:r w:rsidRPr="00951136">
              <w:rPr>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511839"/>
      <w:docPartObj>
        <w:docPartGallery w:val="Page Numbers (Bottom of Page)"/>
        <w:docPartUnique/>
      </w:docPartObj>
    </w:sdtPr>
    <w:sdtEndPr/>
    <w:sdtContent>
      <w:sdt>
        <w:sdtPr>
          <w:id w:val="-493260575"/>
          <w:docPartObj>
            <w:docPartGallery w:val="Page Numbers (Top of Page)"/>
            <w:docPartUnique/>
          </w:docPartObj>
        </w:sdtPr>
        <w:sdtEndPr/>
        <w:sdtContent>
          <w:p w:rsidR="00DA7862" w:rsidRDefault="00DA7862" w:rsidP="00951136">
            <w:pPr>
              <w:pStyle w:val="Footer"/>
              <w:jc w:val="center"/>
            </w:pPr>
            <w:r w:rsidRPr="00951136">
              <w:rPr>
                <w:sz w:val="20"/>
                <w:szCs w:val="20"/>
              </w:rPr>
              <w:t xml:space="preserve">Page </w:t>
            </w:r>
            <w:r w:rsidRPr="00951136">
              <w:rPr>
                <w:bCs/>
                <w:sz w:val="20"/>
                <w:szCs w:val="20"/>
              </w:rPr>
              <w:fldChar w:fldCharType="begin"/>
            </w:r>
            <w:r w:rsidRPr="00C975E1">
              <w:rPr>
                <w:bCs/>
                <w:sz w:val="20"/>
                <w:szCs w:val="20"/>
              </w:rPr>
              <w:instrText xml:space="preserve"> PAGE </w:instrText>
            </w:r>
            <w:r w:rsidRPr="00951136">
              <w:rPr>
                <w:bCs/>
                <w:sz w:val="20"/>
                <w:szCs w:val="20"/>
              </w:rPr>
              <w:fldChar w:fldCharType="separate"/>
            </w:r>
            <w:r w:rsidR="00A44767">
              <w:rPr>
                <w:bCs/>
                <w:noProof/>
                <w:sz w:val="20"/>
                <w:szCs w:val="20"/>
              </w:rPr>
              <w:t>3</w:t>
            </w:r>
            <w:r w:rsidRPr="00951136">
              <w:rPr>
                <w:bCs/>
                <w:sz w:val="20"/>
                <w:szCs w:val="20"/>
              </w:rPr>
              <w:fldChar w:fldCharType="end"/>
            </w:r>
            <w:r w:rsidRPr="00951136">
              <w:rPr>
                <w:sz w:val="20"/>
                <w:szCs w:val="20"/>
              </w:rPr>
              <w:t xml:space="preserve"> of </w:t>
            </w:r>
            <w:r w:rsidRPr="00951136">
              <w:rPr>
                <w:bCs/>
                <w:sz w:val="20"/>
                <w:szCs w:val="20"/>
              </w:rPr>
              <w:fldChar w:fldCharType="begin"/>
            </w:r>
            <w:r w:rsidRPr="00C975E1">
              <w:rPr>
                <w:bCs/>
                <w:sz w:val="20"/>
                <w:szCs w:val="20"/>
              </w:rPr>
              <w:instrText xml:space="preserve"> NUMPAGES  </w:instrText>
            </w:r>
            <w:r w:rsidRPr="00951136">
              <w:rPr>
                <w:bCs/>
                <w:sz w:val="20"/>
                <w:szCs w:val="20"/>
              </w:rPr>
              <w:fldChar w:fldCharType="separate"/>
            </w:r>
            <w:r w:rsidR="00A44767">
              <w:rPr>
                <w:bCs/>
                <w:noProof/>
                <w:sz w:val="20"/>
                <w:szCs w:val="20"/>
              </w:rPr>
              <w:t>3</w:t>
            </w:r>
            <w:r w:rsidRPr="00951136">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E19" w:rsidRPr="000557A7" w:rsidRDefault="003E1E19" w:rsidP="008D5A11">
      <w:pPr>
        <w:pBdr>
          <w:top w:val="single" w:sz="4" w:space="1" w:color="auto"/>
        </w:pBdr>
        <w:spacing w:before="240" w:line="60" w:lineRule="exact"/>
        <w:rPr>
          <w:sz w:val="16"/>
          <w:szCs w:val="16"/>
        </w:rPr>
      </w:pPr>
    </w:p>
  </w:footnote>
  <w:footnote w:type="continuationSeparator" w:id="0">
    <w:p w:rsidR="003E1E19" w:rsidRDefault="003E1E19" w:rsidP="00A20802">
      <w:pPr>
        <w:spacing w:line="240" w:lineRule="auto"/>
      </w:pPr>
      <w:r>
        <w:continuationSeparator/>
      </w:r>
    </w:p>
    <w:p w:rsidR="003E1E19" w:rsidRDefault="003E1E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4E" w:rsidRDefault="00AD504E">
    <w:pPr>
      <w:pStyle w:val="Header"/>
    </w:pPr>
    <w:r>
      <w:rPr>
        <w:noProof/>
        <w:lang w:eastAsia="en-AU"/>
      </w:rPr>
      <w:drawing>
        <wp:anchor distT="0" distB="0" distL="114300" distR="114300" simplePos="0" relativeHeight="251697152" behindDoc="1" locked="0" layoutInCell="1" allowOverlap="1" wp14:anchorId="39E46D43" wp14:editId="0B4086F6">
          <wp:simplePos x="0" y="0"/>
          <wp:positionH relativeFrom="page">
            <wp:posOffset>0</wp:posOffset>
          </wp:positionH>
          <wp:positionV relativeFrom="page">
            <wp:posOffset>0</wp:posOffset>
          </wp:positionV>
          <wp:extent cx="7563600" cy="10695600"/>
          <wp:effectExtent l="0" t="0" r="0" b="0"/>
          <wp:wrapNone/>
          <wp:docPr id="2" name="Picture 2"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96128" behindDoc="1" locked="1" layoutInCell="1" allowOverlap="1" wp14:anchorId="45863E8B" wp14:editId="4A1A36A8">
              <wp:simplePos x="0" y="0"/>
              <wp:positionH relativeFrom="page">
                <wp:align>center</wp:align>
              </wp:positionH>
              <wp:positionV relativeFrom="page">
                <wp:align>center</wp:align>
              </wp:positionV>
              <wp:extent cx="7560000" cy="1796400"/>
              <wp:effectExtent l="0" t="0" r="0" b="0"/>
              <wp:wrapNone/>
              <wp:docPr id="2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04E" w:rsidRPr="0001226A" w:rsidRDefault="00AD504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FC2A5B">
                            <w:rPr>
                              <w:b/>
                              <w:bCs/>
                              <w:szCs w:val="120"/>
                              <w:lang w:val="en-US"/>
                            </w:rPr>
                            <w:t xml:space="preserve">Error! </w:t>
                          </w:r>
                          <w:proofErr w:type="gramStart"/>
                          <w:r w:rsidR="00FC2A5B">
                            <w:rPr>
                              <w:b/>
                              <w:bCs/>
                              <w:szCs w:val="120"/>
                              <w:lang w:val="en-US"/>
                            </w:rPr>
                            <w:t>Unknown document property name.</w:t>
                          </w:r>
                          <w:proofErr w:type="gramEnd"/>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0;margin-top:0;width:595.3pt;height:141.45pt;z-index:-2516203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3BtwIAAL0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" filled="f" stroked="f">
              <v:textbox>
                <w:txbxContent>
                  <w:p w:rsidR="00AD504E" w:rsidRPr="0001226A" w:rsidRDefault="00AD504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FC2A5B">
                      <w:rPr>
                        <w:b/>
                        <w:bCs/>
                        <w:szCs w:val="120"/>
                        <w:lang w:val="en-US"/>
                      </w:rPr>
                      <w:t>Error</w:t>
                    </w:r>
                    <w:proofErr w:type="gramStart"/>
                    <w:r w:rsidR="00FC2A5B">
                      <w:rPr>
                        <w:b/>
                        <w:bCs/>
                        <w:szCs w:val="120"/>
                        <w:lang w:val="en-US"/>
                      </w:rPr>
                      <w:t>! Unknown document property name.</w:t>
                    </w:r>
                    <w:proofErr w:type="gramEnd"/>
                    <w:r w:rsidRPr="0001226A">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8303A82"/>
    <w:lvl w:ilvl="0">
      <w:start w:val="1"/>
      <w:numFmt w:val="decimal"/>
      <w:lvlText w:val="%1."/>
      <w:lvlJc w:val="left"/>
      <w:pPr>
        <w:tabs>
          <w:tab w:val="num" w:pos="926"/>
        </w:tabs>
        <w:ind w:left="926" w:hanging="360"/>
      </w:pPr>
    </w:lvl>
  </w:abstractNum>
  <w:abstractNum w:abstractNumId="1">
    <w:nsid w:val="FFFFFF7F"/>
    <w:multiLevelType w:val="singleLevel"/>
    <w:tmpl w:val="4EB87814"/>
    <w:lvl w:ilvl="0">
      <w:start w:val="1"/>
      <w:numFmt w:val="decimal"/>
      <w:lvlText w:val="%1."/>
      <w:lvlJc w:val="left"/>
      <w:pPr>
        <w:tabs>
          <w:tab w:val="num" w:pos="643"/>
        </w:tabs>
        <w:ind w:left="643" w:hanging="360"/>
      </w:pPr>
    </w:lvl>
  </w:abstractNum>
  <w:abstractNum w:abstractNumId="2">
    <w:nsid w:val="FFFFFF82"/>
    <w:multiLevelType w:val="singleLevel"/>
    <w:tmpl w:val="37844A8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E30B580"/>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EFB6BBE4"/>
    <w:lvl w:ilvl="0">
      <w:start w:val="1"/>
      <w:numFmt w:val="decimal"/>
      <w:lvlText w:val="%1."/>
      <w:lvlJc w:val="left"/>
      <w:pPr>
        <w:tabs>
          <w:tab w:val="num" w:pos="360"/>
        </w:tabs>
        <w:ind w:left="360" w:hanging="360"/>
      </w:pPr>
    </w:lvl>
  </w:abstractNum>
  <w:abstractNum w:abstractNumId="5">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6">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nsid w:val="0D745448"/>
    <w:multiLevelType w:val="multilevel"/>
    <w:tmpl w:val="F92CA40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8">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9">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nsid w:val="5D0540A9"/>
    <w:multiLevelType w:val="multilevel"/>
    <w:tmpl w:val="7DA0EF20"/>
    <w:name w:val="AppendicesNumbering"/>
    <w:lvl w:ilvl="0">
      <w:start w:val="1"/>
      <w:numFmt w:val="upperLetter"/>
      <w:lvlRestart w:val="0"/>
      <w:pStyle w:val="Heading8"/>
      <w:suff w:val="space"/>
      <w:lvlText w:val="Appendix %1"/>
      <w:lvlJc w:val="left"/>
      <w:pPr>
        <w:ind w:left="0" w:firstLine="0"/>
      </w:pPr>
      <w:rPr>
        <w:rFonts w:hint="default"/>
        <w:b w:val="0"/>
        <w:i w:val="0"/>
        <w:sz w:val="4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ppendixHeading2"/>
      <w:suff w:val="nothing"/>
      <w:lvlText w:val=""/>
      <w:lvlJc w:val="left"/>
      <w:pPr>
        <w:tabs>
          <w:tab w:val="num" w:pos="0"/>
        </w:tabs>
        <w:ind w:left="0" w:firstLine="0"/>
      </w:pPr>
      <w:rPr>
        <w:rFonts w:hint="default"/>
      </w:rPr>
    </w:lvl>
    <w:lvl w:ilvl="3">
      <w:start w:val="1"/>
      <w:numFmt w:val="none"/>
      <w:lvlRestart w:val="2"/>
      <w:pStyle w:val="Appendix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4">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6">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3"/>
  </w:num>
  <w:num w:numId="2">
    <w:abstractNumId w:val="13"/>
  </w:num>
  <w:num w:numId="3">
    <w:abstractNumId w:val="13"/>
  </w:num>
  <w:num w:numId="4">
    <w:abstractNumId w:val="13"/>
  </w:num>
  <w:num w:numId="5">
    <w:abstractNumId w:val="5"/>
  </w:num>
  <w:num w:numId="6">
    <w:abstractNumId w:val="6"/>
  </w:num>
  <w:num w:numId="7">
    <w:abstractNumId w:val="3"/>
  </w:num>
  <w:num w:numId="8">
    <w:abstractNumId w:val="6"/>
  </w:num>
  <w:num w:numId="9">
    <w:abstractNumId w:val="2"/>
  </w:num>
  <w:num w:numId="10">
    <w:abstractNumId w:val="6"/>
  </w:num>
  <w:num w:numId="11">
    <w:abstractNumId w:val="4"/>
  </w:num>
  <w:num w:numId="12">
    <w:abstractNumId w:val="16"/>
  </w:num>
  <w:num w:numId="13">
    <w:abstractNumId w:val="1"/>
  </w:num>
  <w:num w:numId="14">
    <w:abstractNumId w:val="16"/>
  </w:num>
  <w:num w:numId="15">
    <w:abstractNumId w:val="0"/>
  </w:num>
  <w:num w:numId="16">
    <w:abstractNumId w:val="16"/>
  </w:num>
  <w:num w:numId="17">
    <w:abstractNumId w:val="12"/>
  </w:num>
  <w:num w:numId="18">
    <w:abstractNumId w:val="12"/>
  </w:num>
  <w:num w:numId="19">
    <w:abstractNumId w:val="12"/>
  </w:num>
  <w:num w:numId="20">
    <w:abstractNumId w:val="11"/>
  </w:num>
  <w:num w:numId="21">
    <w:abstractNumId w:val="11"/>
  </w:num>
  <w:num w:numId="22">
    <w:abstractNumId w:val="11"/>
  </w:num>
  <w:num w:numId="23">
    <w:abstractNumId w:val="15"/>
  </w:num>
  <w:num w:numId="24">
    <w:abstractNumId w:val="15"/>
  </w:num>
  <w:num w:numId="25">
    <w:abstractNumId w:val="8"/>
  </w:num>
  <w:num w:numId="26">
    <w:abstractNumId w:val="9"/>
  </w:num>
  <w:num w:numId="27">
    <w:abstractNumId w:val="9"/>
  </w:num>
  <w:num w:numId="28">
    <w:abstractNumId w:val="9"/>
  </w:num>
  <w:num w:numId="29">
    <w:abstractNumId w:val="14"/>
  </w:num>
  <w:num w:numId="30">
    <w:abstractNumId w:val="14"/>
  </w:num>
  <w:num w:numId="31">
    <w:abstractNumId w:val="14"/>
  </w:num>
  <w:num w:numId="32">
    <w:abstractNumId w:val="10"/>
  </w:num>
  <w:num w:numId="33">
    <w:abstractNumId w:val="7"/>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7"/>
  </w:num>
  <w:num w:numId="46">
    <w:abstractNumId w:val="7"/>
  </w:num>
  <w:num w:numId="47">
    <w:abstractNumId w:val="7"/>
  </w:num>
  <w:num w:numId="48">
    <w:abstractNumId w:val="7"/>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ame" w:val="Appendix"/>
    <w:docVar w:name="Disclaimer" w:val="False"/>
    <w:docVar w:name="Foreword" w:val="Fals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False"/>
    <w:docVar w:name="TOCNew" w:val="True"/>
    <w:docVar w:name="Version" w:val="Version 1"/>
  </w:docVars>
  <w:rsids>
    <w:rsidRoot w:val="003E1E19"/>
    <w:rsid w:val="0000322C"/>
    <w:rsid w:val="00003CDD"/>
    <w:rsid w:val="00007507"/>
    <w:rsid w:val="000168A7"/>
    <w:rsid w:val="000278D0"/>
    <w:rsid w:val="00027E62"/>
    <w:rsid w:val="000307C8"/>
    <w:rsid w:val="00030F73"/>
    <w:rsid w:val="00032144"/>
    <w:rsid w:val="00035ADE"/>
    <w:rsid w:val="0004224B"/>
    <w:rsid w:val="00046226"/>
    <w:rsid w:val="0005330D"/>
    <w:rsid w:val="000557A7"/>
    <w:rsid w:val="00055805"/>
    <w:rsid w:val="00056CB3"/>
    <w:rsid w:val="00067A28"/>
    <w:rsid w:val="0007260F"/>
    <w:rsid w:val="000805D5"/>
    <w:rsid w:val="0008103B"/>
    <w:rsid w:val="00083775"/>
    <w:rsid w:val="00085F97"/>
    <w:rsid w:val="00092A33"/>
    <w:rsid w:val="000A2FEC"/>
    <w:rsid w:val="000A348F"/>
    <w:rsid w:val="000B6942"/>
    <w:rsid w:val="000C09FA"/>
    <w:rsid w:val="000C37A9"/>
    <w:rsid w:val="000C6728"/>
    <w:rsid w:val="000C702E"/>
    <w:rsid w:val="000D15E9"/>
    <w:rsid w:val="000D3182"/>
    <w:rsid w:val="000D45C4"/>
    <w:rsid w:val="000E18F3"/>
    <w:rsid w:val="000E266E"/>
    <w:rsid w:val="000E711F"/>
    <w:rsid w:val="000F1515"/>
    <w:rsid w:val="000F16B5"/>
    <w:rsid w:val="000F616E"/>
    <w:rsid w:val="00110D43"/>
    <w:rsid w:val="001159EA"/>
    <w:rsid w:val="00125410"/>
    <w:rsid w:val="00130858"/>
    <w:rsid w:val="00136C26"/>
    <w:rsid w:val="0014059F"/>
    <w:rsid w:val="00141551"/>
    <w:rsid w:val="001417CE"/>
    <w:rsid w:val="0014479F"/>
    <w:rsid w:val="00154DC5"/>
    <w:rsid w:val="0016017A"/>
    <w:rsid w:val="00160C8D"/>
    <w:rsid w:val="001629C0"/>
    <w:rsid w:val="00165122"/>
    <w:rsid w:val="00165854"/>
    <w:rsid w:val="0016736A"/>
    <w:rsid w:val="00173DFD"/>
    <w:rsid w:val="00180FF9"/>
    <w:rsid w:val="00195228"/>
    <w:rsid w:val="00195696"/>
    <w:rsid w:val="00196532"/>
    <w:rsid w:val="001A1EFC"/>
    <w:rsid w:val="001A48EF"/>
    <w:rsid w:val="001A49CC"/>
    <w:rsid w:val="001A5553"/>
    <w:rsid w:val="001A716E"/>
    <w:rsid w:val="001B2C65"/>
    <w:rsid w:val="001B7058"/>
    <w:rsid w:val="001C3A4F"/>
    <w:rsid w:val="001C4121"/>
    <w:rsid w:val="001C48DE"/>
    <w:rsid w:val="001D52E3"/>
    <w:rsid w:val="001D576F"/>
    <w:rsid w:val="001D7C29"/>
    <w:rsid w:val="001E0475"/>
    <w:rsid w:val="001F5C90"/>
    <w:rsid w:val="001F767C"/>
    <w:rsid w:val="00210FCF"/>
    <w:rsid w:val="00222EFF"/>
    <w:rsid w:val="002240D5"/>
    <w:rsid w:val="002261A7"/>
    <w:rsid w:val="00226AEC"/>
    <w:rsid w:val="002545F3"/>
    <w:rsid w:val="002555E9"/>
    <w:rsid w:val="0026344F"/>
    <w:rsid w:val="00266A17"/>
    <w:rsid w:val="00270372"/>
    <w:rsid w:val="00275534"/>
    <w:rsid w:val="00277075"/>
    <w:rsid w:val="002775D2"/>
    <w:rsid w:val="00281ADD"/>
    <w:rsid w:val="00293E0D"/>
    <w:rsid w:val="00293E80"/>
    <w:rsid w:val="002973B0"/>
    <w:rsid w:val="00297C14"/>
    <w:rsid w:val="002A220F"/>
    <w:rsid w:val="002A24F1"/>
    <w:rsid w:val="002A5778"/>
    <w:rsid w:val="002B1E84"/>
    <w:rsid w:val="002B2085"/>
    <w:rsid w:val="002B3EC4"/>
    <w:rsid w:val="002C37D5"/>
    <w:rsid w:val="002D34DB"/>
    <w:rsid w:val="002D4B11"/>
    <w:rsid w:val="002E5633"/>
    <w:rsid w:val="002F1963"/>
    <w:rsid w:val="002F5B6E"/>
    <w:rsid w:val="002F61B5"/>
    <w:rsid w:val="0030110F"/>
    <w:rsid w:val="0030209B"/>
    <w:rsid w:val="003127E4"/>
    <w:rsid w:val="00313215"/>
    <w:rsid w:val="00315565"/>
    <w:rsid w:val="003174C3"/>
    <w:rsid w:val="0032557A"/>
    <w:rsid w:val="00340778"/>
    <w:rsid w:val="00344D2C"/>
    <w:rsid w:val="003458CE"/>
    <w:rsid w:val="00345A57"/>
    <w:rsid w:val="00346D90"/>
    <w:rsid w:val="00351F62"/>
    <w:rsid w:val="003601F4"/>
    <w:rsid w:val="003671E2"/>
    <w:rsid w:val="00372AE6"/>
    <w:rsid w:val="003837E1"/>
    <w:rsid w:val="0038584D"/>
    <w:rsid w:val="0039257F"/>
    <w:rsid w:val="003931DE"/>
    <w:rsid w:val="00397D1A"/>
    <w:rsid w:val="003A163C"/>
    <w:rsid w:val="003A2B4E"/>
    <w:rsid w:val="003A2FBB"/>
    <w:rsid w:val="003A3799"/>
    <w:rsid w:val="003A4913"/>
    <w:rsid w:val="003A54A9"/>
    <w:rsid w:val="003A7083"/>
    <w:rsid w:val="003B38B3"/>
    <w:rsid w:val="003B3A97"/>
    <w:rsid w:val="003B3D44"/>
    <w:rsid w:val="003C7CC2"/>
    <w:rsid w:val="003D50B6"/>
    <w:rsid w:val="003E05DF"/>
    <w:rsid w:val="003E1E19"/>
    <w:rsid w:val="003E6085"/>
    <w:rsid w:val="003E6CA3"/>
    <w:rsid w:val="003F4C96"/>
    <w:rsid w:val="00406002"/>
    <w:rsid w:val="00406AD3"/>
    <w:rsid w:val="00412E42"/>
    <w:rsid w:val="0042031A"/>
    <w:rsid w:val="00422BEB"/>
    <w:rsid w:val="00426356"/>
    <w:rsid w:val="00426929"/>
    <w:rsid w:val="00442C16"/>
    <w:rsid w:val="00446439"/>
    <w:rsid w:val="00450BDA"/>
    <w:rsid w:val="00453A3E"/>
    <w:rsid w:val="0045452F"/>
    <w:rsid w:val="0045766B"/>
    <w:rsid w:val="00466779"/>
    <w:rsid w:val="00474BB7"/>
    <w:rsid w:val="00475BBF"/>
    <w:rsid w:val="004816D7"/>
    <w:rsid w:val="0048342E"/>
    <w:rsid w:val="00487478"/>
    <w:rsid w:val="0048782D"/>
    <w:rsid w:val="00494DC1"/>
    <w:rsid w:val="004A3F56"/>
    <w:rsid w:val="004A5E21"/>
    <w:rsid w:val="004A666A"/>
    <w:rsid w:val="004B143F"/>
    <w:rsid w:val="004B49A0"/>
    <w:rsid w:val="004C6306"/>
    <w:rsid w:val="004C6F5E"/>
    <w:rsid w:val="004C7E94"/>
    <w:rsid w:val="004D7CF8"/>
    <w:rsid w:val="004D7EDA"/>
    <w:rsid w:val="004E06E7"/>
    <w:rsid w:val="004E0E49"/>
    <w:rsid w:val="004E197A"/>
    <w:rsid w:val="004E5A73"/>
    <w:rsid w:val="004E5D52"/>
    <w:rsid w:val="004F07D7"/>
    <w:rsid w:val="004F1297"/>
    <w:rsid w:val="004F16DB"/>
    <w:rsid w:val="004F4D7E"/>
    <w:rsid w:val="004F5B16"/>
    <w:rsid w:val="004F5D9D"/>
    <w:rsid w:val="004F68E5"/>
    <w:rsid w:val="004F741B"/>
    <w:rsid w:val="00503253"/>
    <w:rsid w:val="00503BB0"/>
    <w:rsid w:val="00503E03"/>
    <w:rsid w:val="00512226"/>
    <w:rsid w:val="005132D2"/>
    <w:rsid w:val="005147C6"/>
    <w:rsid w:val="005159B1"/>
    <w:rsid w:val="00522502"/>
    <w:rsid w:val="005255A1"/>
    <w:rsid w:val="0052641C"/>
    <w:rsid w:val="0053795D"/>
    <w:rsid w:val="00544522"/>
    <w:rsid w:val="005468AB"/>
    <w:rsid w:val="005501A0"/>
    <w:rsid w:val="00550831"/>
    <w:rsid w:val="00554273"/>
    <w:rsid w:val="005637B5"/>
    <w:rsid w:val="005642B6"/>
    <w:rsid w:val="00571D5E"/>
    <w:rsid w:val="005823D0"/>
    <w:rsid w:val="005A2748"/>
    <w:rsid w:val="005A443F"/>
    <w:rsid w:val="005B58D4"/>
    <w:rsid w:val="005C07B3"/>
    <w:rsid w:val="005C284E"/>
    <w:rsid w:val="005C47D4"/>
    <w:rsid w:val="005D51D0"/>
    <w:rsid w:val="005D6F83"/>
    <w:rsid w:val="005D7877"/>
    <w:rsid w:val="005D7CCF"/>
    <w:rsid w:val="005E58C4"/>
    <w:rsid w:val="005E5D8F"/>
    <w:rsid w:val="005F5A5C"/>
    <w:rsid w:val="005F5CD9"/>
    <w:rsid w:val="0061135C"/>
    <w:rsid w:val="006136DD"/>
    <w:rsid w:val="006149F0"/>
    <w:rsid w:val="006220A5"/>
    <w:rsid w:val="00624AC8"/>
    <w:rsid w:val="00633C60"/>
    <w:rsid w:val="0064126D"/>
    <w:rsid w:val="006451B8"/>
    <w:rsid w:val="00645722"/>
    <w:rsid w:val="00652432"/>
    <w:rsid w:val="00657840"/>
    <w:rsid w:val="0066003C"/>
    <w:rsid w:val="0066041E"/>
    <w:rsid w:val="00663B23"/>
    <w:rsid w:val="00673CCC"/>
    <w:rsid w:val="00675C98"/>
    <w:rsid w:val="0069026B"/>
    <w:rsid w:val="006956EA"/>
    <w:rsid w:val="006A490C"/>
    <w:rsid w:val="006B4F7D"/>
    <w:rsid w:val="006C114C"/>
    <w:rsid w:val="006C3864"/>
    <w:rsid w:val="006C5383"/>
    <w:rsid w:val="006C5E72"/>
    <w:rsid w:val="006D2AEC"/>
    <w:rsid w:val="006D4C8E"/>
    <w:rsid w:val="006E19D1"/>
    <w:rsid w:val="006E1CBB"/>
    <w:rsid w:val="006F100B"/>
    <w:rsid w:val="006F239A"/>
    <w:rsid w:val="006F2C9D"/>
    <w:rsid w:val="0070637D"/>
    <w:rsid w:val="007071DD"/>
    <w:rsid w:val="0070771F"/>
    <w:rsid w:val="00712A14"/>
    <w:rsid w:val="00716112"/>
    <w:rsid w:val="00716C04"/>
    <w:rsid w:val="00717180"/>
    <w:rsid w:val="007179D2"/>
    <w:rsid w:val="00720750"/>
    <w:rsid w:val="0072549C"/>
    <w:rsid w:val="00725A80"/>
    <w:rsid w:val="00733970"/>
    <w:rsid w:val="00754C58"/>
    <w:rsid w:val="00764BB9"/>
    <w:rsid w:val="00776E78"/>
    <w:rsid w:val="0078138A"/>
    <w:rsid w:val="00783014"/>
    <w:rsid w:val="007834DC"/>
    <w:rsid w:val="007959D8"/>
    <w:rsid w:val="0079630F"/>
    <w:rsid w:val="007A04C2"/>
    <w:rsid w:val="007A1FD9"/>
    <w:rsid w:val="007B146A"/>
    <w:rsid w:val="007C0E7C"/>
    <w:rsid w:val="007C0EAA"/>
    <w:rsid w:val="007C44B2"/>
    <w:rsid w:val="007C6496"/>
    <w:rsid w:val="007C745E"/>
    <w:rsid w:val="007E3F8C"/>
    <w:rsid w:val="007F2058"/>
    <w:rsid w:val="007F7685"/>
    <w:rsid w:val="0080011D"/>
    <w:rsid w:val="00800EA5"/>
    <w:rsid w:val="00801C01"/>
    <w:rsid w:val="008130BB"/>
    <w:rsid w:val="008237FA"/>
    <w:rsid w:val="00825D37"/>
    <w:rsid w:val="008369B0"/>
    <w:rsid w:val="00837571"/>
    <w:rsid w:val="0085732C"/>
    <w:rsid w:val="00860B45"/>
    <w:rsid w:val="00863860"/>
    <w:rsid w:val="008638B5"/>
    <w:rsid w:val="008734DB"/>
    <w:rsid w:val="0087390B"/>
    <w:rsid w:val="008745A1"/>
    <w:rsid w:val="008768E9"/>
    <w:rsid w:val="0087751B"/>
    <w:rsid w:val="008811AA"/>
    <w:rsid w:val="00890995"/>
    <w:rsid w:val="008914FB"/>
    <w:rsid w:val="00897E99"/>
    <w:rsid w:val="008A4829"/>
    <w:rsid w:val="008B2384"/>
    <w:rsid w:val="008B38D6"/>
    <w:rsid w:val="008B4802"/>
    <w:rsid w:val="008B69E3"/>
    <w:rsid w:val="008C1FD1"/>
    <w:rsid w:val="008C24A8"/>
    <w:rsid w:val="008C35EF"/>
    <w:rsid w:val="008C5996"/>
    <w:rsid w:val="008C7CBA"/>
    <w:rsid w:val="008D5A11"/>
    <w:rsid w:val="008D5E23"/>
    <w:rsid w:val="008E6D59"/>
    <w:rsid w:val="008F5D66"/>
    <w:rsid w:val="009028AA"/>
    <w:rsid w:val="00903BDE"/>
    <w:rsid w:val="00903E3F"/>
    <w:rsid w:val="009049C3"/>
    <w:rsid w:val="009057D9"/>
    <w:rsid w:val="0090774A"/>
    <w:rsid w:val="00907B84"/>
    <w:rsid w:val="00910D07"/>
    <w:rsid w:val="00914B2F"/>
    <w:rsid w:val="009150E6"/>
    <w:rsid w:val="00917F89"/>
    <w:rsid w:val="009255EE"/>
    <w:rsid w:val="00925603"/>
    <w:rsid w:val="00925F76"/>
    <w:rsid w:val="00932E89"/>
    <w:rsid w:val="0093359D"/>
    <w:rsid w:val="00933F2B"/>
    <w:rsid w:val="00942EEB"/>
    <w:rsid w:val="0094468E"/>
    <w:rsid w:val="00945261"/>
    <w:rsid w:val="009506A5"/>
    <w:rsid w:val="00951136"/>
    <w:rsid w:val="009541CC"/>
    <w:rsid w:val="00956564"/>
    <w:rsid w:val="00956D5A"/>
    <w:rsid w:val="00961B2C"/>
    <w:rsid w:val="00961DBB"/>
    <w:rsid w:val="0096618E"/>
    <w:rsid w:val="00971CBE"/>
    <w:rsid w:val="00981433"/>
    <w:rsid w:val="00985C07"/>
    <w:rsid w:val="0099379C"/>
    <w:rsid w:val="00995B4F"/>
    <w:rsid w:val="00997582"/>
    <w:rsid w:val="009A2C21"/>
    <w:rsid w:val="009A3E58"/>
    <w:rsid w:val="009A5F02"/>
    <w:rsid w:val="009A7AB1"/>
    <w:rsid w:val="009C6DAA"/>
    <w:rsid w:val="009D0E74"/>
    <w:rsid w:val="009D1A96"/>
    <w:rsid w:val="009D370B"/>
    <w:rsid w:val="009E2087"/>
    <w:rsid w:val="009E252B"/>
    <w:rsid w:val="009E3265"/>
    <w:rsid w:val="009E3353"/>
    <w:rsid w:val="009E446D"/>
    <w:rsid w:val="009E74EE"/>
    <w:rsid w:val="009E7C09"/>
    <w:rsid w:val="009F146D"/>
    <w:rsid w:val="009F4F1E"/>
    <w:rsid w:val="00A015E4"/>
    <w:rsid w:val="00A075BC"/>
    <w:rsid w:val="00A11222"/>
    <w:rsid w:val="00A12C39"/>
    <w:rsid w:val="00A134FB"/>
    <w:rsid w:val="00A15C20"/>
    <w:rsid w:val="00A20802"/>
    <w:rsid w:val="00A25B4F"/>
    <w:rsid w:val="00A442BF"/>
    <w:rsid w:val="00A44767"/>
    <w:rsid w:val="00A518E8"/>
    <w:rsid w:val="00A53716"/>
    <w:rsid w:val="00A5629E"/>
    <w:rsid w:val="00A64832"/>
    <w:rsid w:val="00A732DB"/>
    <w:rsid w:val="00A86F04"/>
    <w:rsid w:val="00A91272"/>
    <w:rsid w:val="00A946C4"/>
    <w:rsid w:val="00AC01F8"/>
    <w:rsid w:val="00AC059A"/>
    <w:rsid w:val="00AD0308"/>
    <w:rsid w:val="00AD377A"/>
    <w:rsid w:val="00AD504E"/>
    <w:rsid w:val="00AD67BB"/>
    <w:rsid w:val="00AE1CC1"/>
    <w:rsid w:val="00AE3EA4"/>
    <w:rsid w:val="00AF1B02"/>
    <w:rsid w:val="00AF41E4"/>
    <w:rsid w:val="00B06A75"/>
    <w:rsid w:val="00B06BC3"/>
    <w:rsid w:val="00B15A0F"/>
    <w:rsid w:val="00B20236"/>
    <w:rsid w:val="00B20937"/>
    <w:rsid w:val="00B220A0"/>
    <w:rsid w:val="00B22B64"/>
    <w:rsid w:val="00B22FEA"/>
    <w:rsid w:val="00B24321"/>
    <w:rsid w:val="00B30FEB"/>
    <w:rsid w:val="00B36EB8"/>
    <w:rsid w:val="00B40AA3"/>
    <w:rsid w:val="00B44478"/>
    <w:rsid w:val="00B6002C"/>
    <w:rsid w:val="00B620EE"/>
    <w:rsid w:val="00B85366"/>
    <w:rsid w:val="00B87F60"/>
    <w:rsid w:val="00B93D3D"/>
    <w:rsid w:val="00BA471F"/>
    <w:rsid w:val="00BB5013"/>
    <w:rsid w:val="00BB528E"/>
    <w:rsid w:val="00BC2600"/>
    <w:rsid w:val="00BC36F0"/>
    <w:rsid w:val="00BC4FA7"/>
    <w:rsid w:val="00BC5E30"/>
    <w:rsid w:val="00BD02C5"/>
    <w:rsid w:val="00BD068D"/>
    <w:rsid w:val="00BE0D9A"/>
    <w:rsid w:val="00BE1A50"/>
    <w:rsid w:val="00BE2F0D"/>
    <w:rsid w:val="00BF0BD5"/>
    <w:rsid w:val="00BF1EBB"/>
    <w:rsid w:val="00BF55F8"/>
    <w:rsid w:val="00C050CE"/>
    <w:rsid w:val="00C051FD"/>
    <w:rsid w:val="00C14769"/>
    <w:rsid w:val="00C1500E"/>
    <w:rsid w:val="00C20C7D"/>
    <w:rsid w:val="00C20DEF"/>
    <w:rsid w:val="00C24B25"/>
    <w:rsid w:val="00C32C2F"/>
    <w:rsid w:val="00C3738A"/>
    <w:rsid w:val="00C4315A"/>
    <w:rsid w:val="00C43F5E"/>
    <w:rsid w:val="00C44074"/>
    <w:rsid w:val="00C4651F"/>
    <w:rsid w:val="00C51D0B"/>
    <w:rsid w:val="00C52A50"/>
    <w:rsid w:val="00C642D4"/>
    <w:rsid w:val="00C730F4"/>
    <w:rsid w:val="00C80200"/>
    <w:rsid w:val="00C8270B"/>
    <w:rsid w:val="00C841A9"/>
    <w:rsid w:val="00C8728F"/>
    <w:rsid w:val="00C975E1"/>
    <w:rsid w:val="00C97FBC"/>
    <w:rsid w:val="00CA0B7E"/>
    <w:rsid w:val="00CA5598"/>
    <w:rsid w:val="00CA5EF8"/>
    <w:rsid w:val="00CB28A3"/>
    <w:rsid w:val="00CC00A0"/>
    <w:rsid w:val="00CC5362"/>
    <w:rsid w:val="00CC5455"/>
    <w:rsid w:val="00CC6C06"/>
    <w:rsid w:val="00CD5509"/>
    <w:rsid w:val="00CE1EB0"/>
    <w:rsid w:val="00CE3DF2"/>
    <w:rsid w:val="00CF0C0F"/>
    <w:rsid w:val="00CF1690"/>
    <w:rsid w:val="00CF1F2A"/>
    <w:rsid w:val="00CF5CE3"/>
    <w:rsid w:val="00CF7412"/>
    <w:rsid w:val="00CF7736"/>
    <w:rsid w:val="00D030F8"/>
    <w:rsid w:val="00D077B7"/>
    <w:rsid w:val="00D20297"/>
    <w:rsid w:val="00D21E6B"/>
    <w:rsid w:val="00D23634"/>
    <w:rsid w:val="00D34551"/>
    <w:rsid w:val="00D457D6"/>
    <w:rsid w:val="00D64CE2"/>
    <w:rsid w:val="00D7751B"/>
    <w:rsid w:val="00D815DC"/>
    <w:rsid w:val="00D822B5"/>
    <w:rsid w:val="00D83D3C"/>
    <w:rsid w:val="00D867AE"/>
    <w:rsid w:val="00D87BBB"/>
    <w:rsid w:val="00D87C87"/>
    <w:rsid w:val="00D921C4"/>
    <w:rsid w:val="00D9296A"/>
    <w:rsid w:val="00D93C23"/>
    <w:rsid w:val="00D95638"/>
    <w:rsid w:val="00D9584C"/>
    <w:rsid w:val="00DA14D9"/>
    <w:rsid w:val="00DA7862"/>
    <w:rsid w:val="00DB13AD"/>
    <w:rsid w:val="00DB23F9"/>
    <w:rsid w:val="00DB58BE"/>
    <w:rsid w:val="00DB6176"/>
    <w:rsid w:val="00DB6AA0"/>
    <w:rsid w:val="00DB7C3A"/>
    <w:rsid w:val="00DD32AB"/>
    <w:rsid w:val="00DD5BF6"/>
    <w:rsid w:val="00DE1865"/>
    <w:rsid w:val="00DE6CEF"/>
    <w:rsid w:val="00DF11C2"/>
    <w:rsid w:val="00DF4593"/>
    <w:rsid w:val="00E10D05"/>
    <w:rsid w:val="00E11B81"/>
    <w:rsid w:val="00E16ABF"/>
    <w:rsid w:val="00E2223E"/>
    <w:rsid w:val="00E22D98"/>
    <w:rsid w:val="00E24623"/>
    <w:rsid w:val="00E252E3"/>
    <w:rsid w:val="00E40505"/>
    <w:rsid w:val="00E42A41"/>
    <w:rsid w:val="00E45766"/>
    <w:rsid w:val="00E567E5"/>
    <w:rsid w:val="00E6708B"/>
    <w:rsid w:val="00E73A8C"/>
    <w:rsid w:val="00E75050"/>
    <w:rsid w:val="00E76F42"/>
    <w:rsid w:val="00E83237"/>
    <w:rsid w:val="00E915E6"/>
    <w:rsid w:val="00EA3E11"/>
    <w:rsid w:val="00EA6EB3"/>
    <w:rsid w:val="00EB4A8E"/>
    <w:rsid w:val="00EB5EF3"/>
    <w:rsid w:val="00EB695D"/>
    <w:rsid w:val="00ED39CE"/>
    <w:rsid w:val="00ED4134"/>
    <w:rsid w:val="00EE05F1"/>
    <w:rsid w:val="00EE471A"/>
    <w:rsid w:val="00EE5492"/>
    <w:rsid w:val="00F07BD5"/>
    <w:rsid w:val="00F122D6"/>
    <w:rsid w:val="00F15BF4"/>
    <w:rsid w:val="00F17940"/>
    <w:rsid w:val="00F2046C"/>
    <w:rsid w:val="00F20647"/>
    <w:rsid w:val="00F31392"/>
    <w:rsid w:val="00F348B5"/>
    <w:rsid w:val="00F3652B"/>
    <w:rsid w:val="00F377B9"/>
    <w:rsid w:val="00F45442"/>
    <w:rsid w:val="00F5145E"/>
    <w:rsid w:val="00F558EA"/>
    <w:rsid w:val="00F56D6E"/>
    <w:rsid w:val="00F613CB"/>
    <w:rsid w:val="00F61F79"/>
    <w:rsid w:val="00F656A4"/>
    <w:rsid w:val="00F6665E"/>
    <w:rsid w:val="00F7075F"/>
    <w:rsid w:val="00F71D76"/>
    <w:rsid w:val="00F7478C"/>
    <w:rsid w:val="00F8349F"/>
    <w:rsid w:val="00F83FB7"/>
    <w:rsid w:val="00F85935"/>
    <w:rsid w:val="00F85D29"/>
    <w:rsid w:val="00F969D3"/>
    <w:rsid w:val="00FA190E"/>
    <w:rsid w:val="00FA54D8"/>
    <w:rsid w:val="00FC2A5B"/>
    <w:rsid w:val="00FC4FB7"/>
    <w:rsid w:val="00FD357B"/>
    <w:rsid w:val="00FD38FC"/>
    <w:rsid w:val="00FD6119"/>
    <w:rsid w:val="00FD688E"/>
    <w:rsid w:val="00FD7C0C"/>
    <w:rsid w:val="00FE045C"/>
    <w:rsid w:val="00FE0C52"/>
    <w:rsid w:val="00FE1692"/>
    <w:rsid w:val="00FF0566"/>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foot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rsid w:val="000E266E"/>
  </w:style>
  <w:style w:type="paragraph" w:styleId="Heading1">
    <w:name w:val="heading 1"/>
    <w:basedOn w:val="Normal"/>
    <w:next w:val="BodyText"/>
    <w:link w:val="Heading1Char"/>
    <w:qFormat/>
    <w:rsid w:val="00A91272"/>
    <w:pPr>
      <w:keepNext/>
      <w:keepLines/>
      <w:numPr>
        <w:numId w:val="33"/>
      </w:numPr>
      <w:tabs>
        <w:tab w:val="right" w:pos="1418"/>
        <w:tab w:val="right" w:pos="1701"/>
        <w:tab w:val="right" w:pos="1985"/>
      </w:tabs>
      <w:spacing w:before="680" w:after="480" w:line="240" w:lineRule="auto"/>
      <w:outlineLvl w:val="0"/>
    </w:pPr>
    <w:rPr>
      <w:rFonts w:asciiTheme="majorHAnsi" w:hAnsiTheme="majorHAnsi"/>
      <w:bCs/>
      <w:color w:val="2B3B5F" w:themeColor="text2"/>
      <w:spacing w:val="-6"/>
      <w:kern w:val="32"/>
      <w:sz w:val="36"/>
      <w:szCs w:val="32"/>
    </w:rPr>
  </w:style>
  <w:style w:type="paragraph" w:styleId="Heading2">
    <w:name w:val="heading 2"/>
    <w:basedOn w:val="Normal"/>
    <w:next w:val="BodyText"/>
    <w:link w:val="Heading2Char"/>
    <w:qFormat/>
    <w:rsid w:val="000E711F"/>
    <w:pPr>
      <w:keepNext/>
      <w:keepLines/>
      <w:numPr>
        <w:ilvl w:val="1"/>
        <w:numId w:val="33"/>
      </w:numPr>
      <w:tabs>
        <w:tab w:val="left" w:pos="1418"/>
        <w:tab w:val="left" w:pos="1701"/>
        <w:tab w:val="left" w:pos="1985"/>
      </w:tabs>
      <w:spacing w:before="470" w:after="227"/>
      <w:outlineLvl w:val="1"/>
    </w:pPr>
    <w:rPr>
      <w:rFonts w:ascii="Calibri" w:hAnsi="Calibri"/>
      <w:b/>
      <w:bCs/>
      <w:iCs/>
      <w:color w:val="2B3B5F" w:themeColor="text2"/>
      <w:kern w:val="20"/>
      <w:sz w:val="26"/>
      <w:szCs w:val="28"/>
    </w:rPr>
  </w:style>
  <w:style w:type="paragraph" w:styleId="Heading3">
    <w:name w:val="heading 3"/>
    <w:basedOn w:val="Normal"/>
    <w:next w:val="BodyText"/>
    <w:link w:val="Heading3Char"/>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A91272"/>
    <w:pPr>
      <w:spacing w:before="113" w:after="113"/>
    </w:pPr>
    <w:rPr>
      <w:rFonts w:cs="Times New Roman"/>
      <w:sz w:val="24"/>
    </w:rPr>
  </w:style>
  <w:style w:type="character" w:customStyle="1" w:styleId="BodyTextChar">
    <w:name w:val="Body Text Char"/>
    <w:basedOn w:val="DefaultParagraphFont"/>
    <w:link w:val="BodyText"/>
    <w:rsid w:val="00A91272"/>
    <w:rPr>
      <w:rFonts w:cs="Times New Roman"/>
      <w:sz w:val="24"/>
    </w:rPr>
  </w:style>
  <w:style w:type="paragraph" w:customStyle="1" w:styleId="BodyText17ptAbove">
    <w:name w:val="Body Text 17pt Above"/>
    <w:basedOn w:val="BodyText"/>
    <w:next w:val="BodyText"/>
    <w:rsid w:val="00961DBB"/>
    <w:pPr>
      <w:spacing w:before="340"/>
    </w:pPr>
  </w:style>
  <w:style w:type="character" w:customStyle="1" w:styleId="Heading1Char">
    <w:name w:val="Heading 1 Char"/>
    <w:basedOn w:val="DefaultParagraphFont"/>
    <w:link w:val="Heading1"/>
    <w:rsid w:val="00A91272"/>
    <w:rPr>
      <w:rFonts w:asciiTheme="majorHAnsi" w:hAnsiTheme="majorHAnsi"/>
      <w:bCs/>
      <w:color w:val="2B3B5F" w:themeColor="text2"/>
      <w:spacing w:val="-6"/>
      <w:kern w:val="32"/>
      <w:sz w:val="36"/>
      <w:szCs w:val="32"/>
    </w:rPr>
  </w:style>
  <w:style w:type="character" w:customStyle="1" w:styleId="Heading2Char">
    <w:name w:val="Heading 2 Char"/>
    <w:basedOn w:val="DefaultParagraphFont"/>
    <w:link w:val="Heading2"/>
    <w:rsid w:val="000E711F"/>
    <w:rPr>
      <w:rFonts w:ascii="Calibri" w:hAnsi="Calibri"/>
      <w:b/>
      <w:bCs/>
      <w:iCs/>
      <w:color w:val="2B3B5F" w:themeColor="text2"/>
      <w:kern w:val="20"/>
      <w:sz w:val="26"/>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uiPriority w:val="99"/>
    <w:rsid w:val="00AD504E"/>
    <w:pPr>
      <w:spacing w:line="240" w:lineRule="auto"/>
    </w:pPr>
  </w:style>
  <w:style w:type="character" w:customStyle="1" w:styleId="FooterChar">
    <w:name w:val="Footer Char"/>
    <w:basedOn w:val="DefaultParagraphFont"/>
    <w:link w:val="Footer"/>
    <w:uiPriority w:val="99"/>
    <w:rsid w:val="00AD504E"/>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AD504E"/>
    <w:pPr>
      <w:spacing w:line="240" w:lineRule="auto"/>
    </w:pPr>
  </w:style>
  <w:style w:type="character" w:customStyle="1" w:styleId="HeaderChar">
    <w:name w:val="Header Char"/>
    <w:basedOn w:val="DefaultParagraphFont"/>
    <w:link w:val="Header"/>
    <w:rsid w:val="00AD504E"/>
  </w:style>
  <w:style w:type="paragraph" w:customStyle="1" w:styleId="HighlightText">
    <w:name w:val="Highlight Text"/>
    <w:basedOn w:val="Normal"/>
    <w:rsid w:val="00961DBB"/>
    <w:pPr>
      <w:spacing w:before="120" w:after="420"/>
    </w:pPr>
    <w:rPr>
      <w:i/>
      <w:color w:val="2B3B5F" w:themeColor="text2"/>
      <w:spacing w:val="-1"/>
    </w:rPr>
  </w:style>
  <w:style w:type="paragraph" w:customStyle="1" w:styleId="Introduction">
    <w:name w:val="Introduction"/>
    <w:basedOn w:val="Normal"/>
    <w:next w:val="BodyTex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rsid w:val="00961DBB"/>
    <w:pPr>
      <w:spacing w:before="113" w:after="113"/>
      <w:ind w:left="227" w:right="170"/>
    </w:pPr>
    <w:rPr>
      <w:spacing w:val="-1"/>
    </w:rPr>
  </w:style>
  <w:style w:type="paragraph" w:customStyle="1" w:styleId="PullOutBoxBullet">
    <w:name w:val="Pull Out Box Bullet"/>
    <w:basedOn w:val="PullOutBoxBodyText"/>
    <w:rsid w:val="00961DBB"/>
    <w:pPr>
      <w:numPr>
        <w:numId w:val="19"/>
      </w:numPr>
    </w:pPr>
  </w:style>
  <w:style w:type="paragraph" w:customStyle="1" w:styleId="PullOutBoxBullet2">
    <w:name w:val="Pull Out Box Bullet 2"/>
    <w:basedOn w:val="PullOutBoxBodyText"/>
    <w:rsid w:val="00961DBB"/>
    <w:pPr>
      <w:numPr>
        <w:ilvl w:val="1"/>
        <w:numId w:val="19"/>
      </w:numPr>
    </w:pPr>
  </w:style>
  <w:style w:type="paragraph" w:customStyle="1" w:styleId="PullOutBoxBullet3">
    <w:name w:val="Pull Out Box Bullet 3"/>
    <w:basedOn w:val="PullOutBoxBodyText"/>
    <w:rsid w:val="00961DBB"/>
    <w:pPr>
      <w:numPr>
        <w:ilvl w:val="2"/>
        <w:numId w:val="19"/>
      </w:numPr>
    </w:pPr>
  </w:style>
  <w:style w:type="paragraph" w:customStyle="1" w:styleId="PullOutBoxHeading">
    <w:name w:val="Pull Out Box Heading"/>
    <w:basedOn w:val="PullOutBoxBodyTex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rsid w:val="00961DBB"/>
    <w:pPr>
      <w:numPr>
        <w:numId w:val="22"/>
      </w:numPr>
    </w:pPr>
  </w:style>
  <w:style w:type="paragraph" w:customStyle="1" w:styleId="PullOutBoxNumber2">
    <w:name w:val="Pull Out Box Number 2"/>
    <w:basedOn w:val="PullOutBoxBodyText"/>
    <w:rsid w:val="00961DBB"/>
    <w:pPr>
      <w:numPr>
        <w:ilvl w:val="1"/>
        <w:numId w:val="22"/>
      </w:numPr>
    </w:pPr>
  </w:style>
  <w:style w:type="paragraph" w:customStyle="1" w:styleId="PullOutBoxNumber3">
    <w:name w:val="Pull Out Box Number 3"/>
    <w:basedOn w:val="PullOutBoxBodyTex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rsid w:val="00961DBB"/>
    <w:pPr>
      <w:numPr>
        <w:numId w:val="24"/>
      </w:numPr>
    </w:pPr>
  </w:style>
  <w:style w:type="paragraph" w:customStyle="1" w:styleId="QuoteBullet2">
    <w:name w:val="Quote Bullet 2"/>
    <w:basedOn w:val="Quote"/>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rsid w:val="00956D5A"/>
    <w:pPr>
      <w:jc w:val="center"/>
    </w:pPr>
    <w:rPr>
      <w:color w:val="auto"/>
    </w:rPr>
  </w:style>
  <w:style w:type="paragraph" w:customStyle="1" w:styleId="TableHeadingRight">
    <w:name w:val="Table Heading Right"/>
    <w:basedOn w:val="TableHeading"/>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rsid w:val="00961DBB"/>
    <w:pPr>
      <w:numPr>
        <w:ilvl w:val="1"/>
      </w:numPr>
    </w:pPr>
    <w:rPr>
      <w:bCs/>
    </w:rPr>
  </w:style>
  <w:style w:type="paragraph" w:customStyle="1" w:styleId="TableTextBullet3">
    <w:name w:val="Table Text Bullet 3"/>
    <w:basedOn w:val="TableTextBullet2"/>
    <w:rsid w:val="00961DBB"/>
    <w:pPr>
      <w:numPr>
        <w:ilvl w:val="2"/>
      </w:numPr>
    </w:pPr>
    <w:rPr>
      <w:bCs w:val="0"/>
    </w:rPr>
  </w:style>
  <w:style w:type="paragraph" w:customStyle="1" w:styleId="TableTextNumber">
    <w:name w:val="Table Text Number"/>
    <w:basedOn w:val="TableText"/>
    <w:rsid w:val="00961DBB"/>
    <w:pPr>
      <w:numPr>
        <w:numId w:val="31"/>
      </w:numPr>
    </w:pPr>
  </w:style>
  <w:style w:type="paragraph" w:customStyle="1" w:styleId="TableTextNumber2">
    <w:name w:val="Table Text Number 2"/>
    <w:basedOn w:val="TableTextNumber"/>
    <w:rsid w:val="00961DBB"/>
    <w:pPr>
      <w:numPr>
        <w:ilvl w:val="1"/>
      </w:numPr>
      <w:tabs>
        <w:tab w:val="clear" w:pos="709"/>
        <w:tab w:val="num" w:pos="680"/>
      </w:tabs>
      <w:ind w:left="680"/>
    </w:pPr>
  </w:style>
  <w:style w:type="paragraph" w:customStyle="1" w:styleId="TableTextNumber3">
    <w:name w:val="Table Text Number 3"/>
    <w:basedOn w:val="TableTextNumber2"/>
    <w:rsid w:val="00961DBB"/>
    <w:pPr>
      <w:numPr>
        <w:ilvl w:val="2"/>
      </w:numPr>
    </w:pPr>
  </w:style>
  <w:style w:type="paragraph" w:customStyle="1" w:styleId="TableTextRight">
    <w:name w:val="Table Text Right"/>
    <w:basedOn w:val="TableTex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rsid w:val="001B2C65"/>
    <w:pPr>
      <w:tabs>
        <w:tab w:val="right" w:leader="underscore" w:pos="8164"/>
      </w:tabs>
      <w:spacing w:after="227"/>
      <w:ind w:right="851"/>
    </w:pPr>
    <w:rPr>
      <w:b/>
      <w:noProof/>
      <w:color w:val="2B3B5F" w:themeColor="text2"/>
    </w:rPr>
  </w:style>
  <w:style w:type="paragraph" w:styleId="TOC2">
    <w:name w:val="toc 2"/>
    <w:basedOn w:val="Normal"/>
    <w:next w:val="Normal"/>
    <w:rsid w:val="001B2C65"/>
    <w:pPr>
      <w:tabs>
        <w:tab w:val="right" w:leader="underscore" w:pos="8164"/>
      </w:tabs>
      <w:spacing w:after="227"/>
      <w:ind w:left="454" w:right="851"/>
    </w:pPr>
    <w:rPr>
      <w:noProof/>
      <w:szCs w:val="28"/>
    </w:rPr>
  </w:style>
  <w:style w:type="paragraph" w:styleId="TOC3">
    <w:name w:val="toc 3"/>
    <w:basedOn w:val="Normal"/>
    <w:next w:val="Normal"/>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rsid w:val="00AE1CC1"/>
    <w:pPr>
      <w:jc w:val="center"/>
    </w:pPr>
    <w:rPr>
      <w:rFonts w:eastAsia="Times New Roman"/>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text">
    <w:name w:val="PBO text"/>
    <w:basedOn w:val="Normal"/>
    <w:rsid w:val="000E711F"/>
    <w:pPr>
      <w:spacing w:before="240" w:line="240" w:lineRule="auto"/>
    </w:pPr>
    <w:rPr>
      <w:rFonts w:ascii="Calibri" w:eastAsia="Cambria" w:hAnsi="Calibri" w:cs="Times New Roman"/>
      <w:sz w:val="24"/>
      <w:szCs w:val="20"/>
      <w:lang w:eastAsia="en-AU"/>
    </w:rPr>
  </w:style>
  <w:style w:type="paragraph" w:customStyle="1" w:styleId="PBOheading1">
    <w:name w:val="PBO heading 1"/>
    <w:basedOn w:val="Heading1"/>
    <w:next w:val="PBOtext"/>
    <w:uiPriority w:val="1"/>
    <w:rsid w:val="000E711F"/>
    <w:pPr>
      <w:keepLines w:val="0"/>
      <w:numPr>
        <w:numId w:val="0"/>
      </w:numPr>
      <w:tabs>
        <w:tab w:val="clear" w:pos="1418"/>
        <w:tab w:val="clear" w:pos="1701"/>
        <w:tab w:val="clear" w:pos="1985"/>
      </w:tabs>
    </w:pPr>
    <w:rPr>
      <w:rFonts w:ascii="Georgia" w:eastAsia="Times New Roman" w:hAnsi="Georgia" w:cs="Times New Roman"/>
      <w:color w:val="2B3B5F"/>
      <w:spacing w:val="0"/>
      <w:szCs w:val="24"/>
    </w:rPr>
  </w:style>
  <w:style w:type="paragraph" w:customStyle="1" w:styleId="PBOheading2">
    <w:name w:val="PBO heading 2"/>
    <w:basedOn w:val="PBOheading1"/>
    <w:uiPriority w:val="1"/>
    <w:rsid w:val="000E711F"/>
    <w:pPr>
      <w:spacing w:before="1200" w:after="200" w:line="288" w:lineRule="auto"/>
      <w:jc w:val="right"/>
    </w:pPr>
    <w:rPr>
      <w:rFonts w:ascii="Calibri" w:hAnsi="Calibri"/>
      <w:b/>
      <w:sz w:val="26"/>
    </w:rPr>
  </w:style>
  <w:style w:type="character" w:styleId="CommentReference">
    <w:name w:val="annotation reference"/>
    <w:basedOn w:val="DefaultParagraphFont"/>
    <w:semiHidden/>
    <w:unhideWhenUsed/>
    <w:rsid w:val="00E16ABF"/>
    <w:rPr>
      <w:sz w:val="16"/>
      <w:szCs w:val="16"/>
    </w:rPr>
  </w:style>
  <w:style w:type="paragraph" w:styleId="CommentText">
    <w:name w:val="annotation text"/>
    <w:basedOn w:val="Normal"/>
    <w:link w:val="CommentTextChar"/>
    <w:semiHidden/>
    <w:unhideWhenUsed/>
    <w:rsid w:val="00E16ABF"/>
    <w:pPr>
      <w:spacing w:line="240" w:lineRule="auto"/>
    </w:pPr>
    <w:rPr>
      <w:sz w:val="20"/>
      <w:szCs w:val="20"/>
    </w:rPr>
  </w:style>
  <w:style w:type="character" w:customStyle="1" w:styleId="CommentTextChar">
    <w:name w:val="Comment Text Char"/>
    <w:basedOn w:val="DefaultParagraphFont"/>
    <w:link w:val="CommentText"/>
    <w:semiHidden/>
    <w:rsid w:val="00E16ABF"/>
    <w:rPr>
      <w:sz w:val="20"/>
      <w:szCs w:val="20"/>
    </w:rPr>
  </w:style>
  <w:style w:type="paragraph" w:styleId="CommentSubject">
    <w:name w:val="annotation subject"/>
    <w:basedOn w:val="CommentText"/>
    <w:next w:val="CommentText"/>
    <w:link w:val="CommentSubjectChar"/>
    <w:semiHidden/>
    <w:unhideWhenUsed/>
    <w:rsid w:val="00E16ABF"/>
    <w:rPr>
      <w:b/>
      <w:bCs/>
    </w:rPr>
  </w:style>
  <w:style w:type="character" w:customStyle="1" w:styleId="CommentSubjectChar">
    <w:name w:val="Comment Subject Char"/>
    <w:basedOn w:val="CommentTextChar"/>
    <w:link w:val="CommentSubject"/>
    <w:semiHidden/>
    <w:rsid w:val="00E16ABF"/>
    <w:rPr>
      <w:b/>
      <w:bCs/>
      <w:sz w:val="20"/>
      <w:szCs w:val="20"/>
    </w:rPr>
  </w:style>
  <w:style w:type="paragraph" w:styleId="Revision">
    <w:name w:val="Revision"/>
    <w:hidden/>
    <w:uiPriority w:val="99"/>
    <w:semiHidden/>
    <w:rsid w:val="00F7478C"/>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foot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rsid w:val="000E266E"/>
  </w:style>
  <w:style w:type="paragraph" w:styleId="Heading1">
    <w:name w:val="heading 1"/>
    <w:basedOn w:val="Normal"/>
    <w:next w:val="BodyText"/>
    <w:link w:val="Heading1Char"/>
    <w:qFormat/>
    <w:rsid w:val="00A91272"/>
    <w:pPr>
      <w:keepNext/>
      <w:keepLines/>
      <w:numPr>
        <w:numId w:val="33"/>
      </w:numPr>
      <w:tabs>
        <w:tab w:val="right" w:pos="1418"/>
        <w:tab w:val="right" w:pos="1701"/>
        <w:tab w:val="right" w:pos="1985"/>
      </w:tabs>
      <w:spacing w:before="680" w:after="480" w:line="240" w:lineRule="auto"/>
      <w:outlineLvl w:val="0"/>
    </w:pPr>
    <w:rPr>
      <w:rFonts w:asciiTheme="majorHAnsi" w:hAnsiTheme="majorHAnsi"/>
      <w:bCs/>
      <w:color w:val="2B3B5F" w:themeColor="text2"/>
      <w:spacing w:val="-6"/>
      <w:kern w:val="32"/>
      <w:sz w:val="36"/>
      <w:szCs w:val="32"/>
    </w:rPr>
  </w:style>
  <w:style w:type="paragraph" w:styleId="Heading2">
    <w:name w:val="heading 2"/>
    <w:basedOn w:val="Normal"/>
    <w:next w:val="BodyText"/>
    <w:link w:val="Heading2Char"/>
    <w:qFormat/>
    <w:rsid w:val="000E711F"/>
    <w:pPr>
      <w:keepNext/>
      <w:keepLines/>
      <w:numPr>
        <w:ilvl w:val="1"/>
        <w:numId w:val="33"/>
      </w:numPr>
      <w:tabs>
        <w:tab w:val="left" w:pos="1418"/>
        <w:tab w:val="left" w:pos="1701"/>
        <w:tab w:val="left" w:pos="1985"/>
      </w:tabs>
      <w:spacing w:before="470" w:after="227"/>
      <w:outlineLvl w:val="1"/>
    </w:pPr>
    <w:rPr>
      <w:rFonts w:ascii="Calibri" w:hAnsi="Calibri"/>
      <w:b/>
      <w:bCs/>
      <w:iCs/>
      <w:color w:val="2B3B5F" w:themeColor="text2"/>
      <w:kern w:val="20"/>
      <w:sz w:val="26"/>
      <w:szCs w:val="28"/>
    </w:rPr>
  </w:style>
  <w:style w:type="paragraph" w:styleId="Heading3">
    <w:name w:val="heading 3"/>
    <w:basedOn w:val="Normal"/>
    <w:next w:val="BodyText"/>
    <w:link w:val="Heading3Char"/>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A91272"/>
    <w:pPr>
      <w:spacing w:before="113" w:after="113"/>
    </w:pPr>
    <w:rPr>
      <w:rFonts w:cs="Times New Roman"/>
      <w:sz w:val="24"/>
    </w:rPr>
  </w:style>
  <w:style w:type="character" w:customStyle="1" w:styleId="BodyTextChar">
    <w:name w:val="Body Text Char"/>
    <w:basedOn w:val="DefaultParagraphFont"/>
    <w:link w:val="BodyText"/>
    <w:rsid w:val="00A91272"/>
    <w:rPr>
      <w:rFonts w:cs="Times New Roman"/>
      <w:sz w:val="24"/>
    </w:rPr>
  </w:style>
  <w:style w:type="paragraph" w:customStyle="1" w:styleId="BodyText17ptAbove">
    <w:name w:val="Body Text 17pt Above"/>
    <w:basedOn w:val="BodyText"/>
    <w:next w:val="BodyText"/>
    <w:rsid w:val="00961DBB"/>
    <w:pPr>
      <w:spacing w:before="340"/>
    </w:pPr>
  </w:style>
  <w:style w:type="character" w:customStyle="1" w:styleId="Heading1Char">
    <w:name w:val="Heading 1 Char"/>
    <w:basedOn w:val="DefaultParagraphFont"/>
    <w:link w:val="Heading1"/>
    <w:rsid w:val="00A91272"/>
    <w:rPr>
      <w:rFonts w:asciiTheme="majorHAnsi" w:hAnsiTheme="majorHAnsi"/>
      <w:bCs/>
      <w:color w:val="2B3B5F" w:themeColor="text2"/>
      <w:spacing w:val="-6"/>
      <w:kern w:val="32"/>
      <w:sz w:val="36"/>
      <w:szCs w:val="32"/>
    </w:rPr>
  </w:style>
  <w:style w:type="character" w:customStyle="1" w:styleId="Heading2Char">
    <w:name w:val="Heading 2 Char"/>
    <w:basedOn w:val="DefaultParagraphFont"/>
    <w:link w:val="Heading2"/>
    <w:rsid w:val="000E711F"/>
    <w:rPr>
      <w:rFonts w:ascii="Calibri" w:hAnsi="Calibri"/>
      <w:b/>
      <w:bCs/>
      <w:iCs/>
      <w:color w:val="2B3B5F" w:themeColor="text2"/>
      <w:kern w:val="20"/>
      <w:sz w:val="26"/>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uiPriority w:val="99"/>
    <w:rsid w:val="00AD504E"/>
    <w:pPr>
      <w:spacing w:line="240" w:lineRule="auto"/>
    </w:pPr>
  </w:style>
  <w:style w:type="character" w:customStyle="1" w:styleId="FooterChar">
    <w:name w:val="Footer Char"/>
    <w:basedOn w:val="DefaultParagraphFont"/>
    <w:link w:val="Footer"/>
    <w:uiPriority w:val="99"/>
    <w:rsid w:val="00AD504E"/>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AD504E"/>
    <w:pPr>
      <w:spacing w:line="240" w:lineRule="auto"/>
    </w:pPr>
  </w:style>
  <w:style w:type="character" w:customStyle="1" w:styleId="HeaderChar">
    <w:name w:val="Header Char"/>
    <w:basedOn w:val="DefaultParagraphFont"/>
    <w:link w:val="Header"/>
    <w:rsid w:val="00AD504E"/>
  </w:style>
  <w:style w:type="paragraph" w:customStyle="1" w:styleId="HighlightText">
    <w:name w:val="Highlight Text"/>
    <w:basedOn w:val="Normal"/>
    <w:rsid w:val="00961DBB"/>
    <w:pPr>
      <w:spacing w:before="120" w:after="420"/>
    </w:pPr>
    <w:rPr>
      <w:i/>
      <w:color w:val="2B3B5F" w:themeColor="text2"/>
      <w:spacing w:val="-1"/>
    </w:rPr>
  </w:style>
  <w:style w:type="paragraph" w:customStyle="1" w:styleId="Introduction">
    <w:name w:val="Introduction"/>
    <w:basedOn w:val="Normal"/>
    <w:next w:val="BodyTex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rsid w:val="00961DBB"/>
    <w:pPr>
      <w:spacing w:before="113" w:after="113"/>
      <w:ind w:left="227" w:right="170"/>
    </w:pPr>
    <w:rPr>
      <w:spacing w:val="-1"/>
    </w:rPr>
  </w:style>
  <w:style w:type="paragraph" w:customStyle="1" w:styleId="PullOutBoxBullet">
    <w:name w:val="Pull Out Box Bullet"/>
    <w:basedOn w:val="PullOutBoxBodyText"/>
    <w:rsid w:val="00961DBB"/>
    <w:pPr>
      <w:numPr>
        <w:numId w:val="19"/>
      </w:numPr>
    </w:pPr>
  </w:style>
  <w:style w:type="paragraph" w:customStyle="1" w:styleId="PullOutBoxBullet2">
    <w:name w:val="Pull Out Box Bullet 2"/>
    <w:basedOn w:val="PullOutBoxBodyText"/>
    <w:rsid w:val="00961DBB"/>
    <w:pPr>
      <w:numPr>
        <w:ilvl w:val="1"/>
        <w:numId w:val="19"/>
      </w:numPr>
    </w:pPr>
  </w:style>
  <w:style w:type="paragraph" w:customStyle="1" w:styleId="PullOutBoxBullet3">
    <w:name w:val="Pull Out Box Bullet 3"/>
    <w:basedOn w:val="PullOutBoxBodyText"/>
    <w:rsid w:val="00961DBB"/>
    <w:pPr>
      <w:numPr>
        <w:ilvl w:val="2"/>
        <w:numId w:val="19"/>
      </w:numPr>
    </w:pPr>
  </w:style>
  <w:style w:type="paragraph" w:customStyle="1" w:styleId="PullOutBoxHeading">
    <w:name w:val="Pull Out Box Heading"/>
    <w:basedOn w:val="PullOutBoxBodyTex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rsid w:val="00961DBB"/>
    <w:pPr>
      <w:numPr>
        <w:numId w:val="22"/>
      </w:numPr>
    </w:pPr>
  </w:style>
  <w:style w:type="paragraph" w:customStyle="1" w:styleId="PullOutBoxNumber2">
    <w:name w:val="Pull Out Box Number 2"/>
    <w:basedOn w:val="PullOutBoxBodyText"/>
    <w:rsid w:val="00961DBB"/>
    <w:pPr>
      <w:numPr>
        <w:ilvl w:val="1"/>
        <w:numId w:val="22"/>
      </w:numPr>
    </w:pPr>
  </w:style>
  <w:style w:type="paragraph" w:customStyle="1" w:styleId="PullOutBoxNumber3">
    <w:name w:val="Pull Out Box Number 3"/>
    <w:basedOn w:val="PullOutBoxBodyTex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rsid w:val="00961DBB"/>
    <w:pPr>
      <w:numPr>
        <w:numId w:val="24"/>
      </w:numPr>
    </w:pPr>
  </w:style>
  <w:style w:type="paragraph" w:customStyle="1" w:styleId="QuoteBullet2">
    <w:name w:val="Quote Bullet 2"/>
    <w:basedOn w:val="Quote"/>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rsid w:val="00956D5A"/>
    <w:pPr>
      <w:jc w:val="center"/>
    </w:pPr>
    <w:rPr>
      <w:color w:val="auto"/>
    </w:rPr>
  </w:style>
  <w:style w:type="paragraph" w:customStyle="1" w:styleId="TableHeadingRight">
    <w:name w:val="Table Heading Right"/>
    <w:basedOn w:val="TableHeading"/>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rsid w:val="00961DBB"/>
    <w:pPr>
      <w:numPr>
        <w:ilvl w:val="1"/>
      </w:numPr>
    </w:pPr>
    <w:rPr>
      <w:bCs/>
    </w:rPr>
  </w:style>
  <w:style w:type="paragraph" w:customStyle="1" w:styleId="TableTextBullet3">
    <w:name w:val="Table Text Bullet 3"/>
    <w:basedOn w:val="TableTextBullet2"/>
    <w:rsid w:val="00961DBB"/>
    <w:pPr>
      <w:numPr>
        <w:ilvl w:val="2"/>
      </w:numPr>
    </w:pPr>
    <w:rPr>
      <w:bCs w:val="0"/>
    </w:rPr>
  </w:style>
  <w:style w:type="paragraph" w:customStyle="1" w:styleId="TableTextNumber">
    <w:name w:val="Table Text Number"/>
    <w:basedOn w:val="TableText"/>
    <w:rsid w:val="00961DBB"/>
    <w:pPr>
      <w:numPr>
        <w:numId w:val="31"/>
      </w:numPr>
    </w:pPr>
  </w:style>
  <w:style w:type="paragraph" w:customStyle="1" w:styleId="TableTextNumber2">
    <w:name w:val="Table Text Number 2"/>
    <w:basedOn w:val="TableTextNumber"/>
    <w:rsid w:val="00961DBB"/>
    <w:pPr>
      <w:numPr>
        <w:ilvl w:val="1"/>
      </w:numPr>
      <w:tabs>
        <w:tab w:val="clear" w:pos="709"/>
        <w:tab w:val="num" w:pos="680"/>
      </w:tabs>
      <w:ind w:left="680"/>
    </w:pPr>
  </w:style>
  <w:style w:type="paragraph" w:customStyle="1" w:styleId="TableTextNumber3">
    <w:name w:val="Table Text Number 3"/>
    <w:basedOn w:val="TableTextNumber2"/>
    <w:rsid w:val="00961DBB"/>
    <w:pPr>
      <w:numPr>
        <w:ilvl w:val="2"/>
      </w:numPr>
    </w:pPr>
  </w:style>
  <w:style w:type="paragraph" w:customStyle="1" w:styleId="TableTextRight">
    <w:name w:val="Table Text Right"/>
    <w:basedOn w:val="TableTex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rsid w:val="001B2C65"/>
    <w:pPr>
      <w:tabs>
        <w:tab w:val="right" w:leader="underscore" w:pos="8164"/>
      </w:tabs>
      <w:spacing w:after="227"/>
      <w:ind w:right="851"/>
    </w:pPr>
    <w:rPr>
      <w:b/>
      <w:noProof/>
      <w:color w:val="2B3B5F" w:themeColor="text2"/>
    </w:rPr>
  </w:style>
  <w:style w:type="paragraph" w:styleId="TOC2">
    <w:name w:val="toc 2"/>
    <w:basedOn w:val="Normal"/>
    <w:next w:val="Normal"/>
    <w:rsid w:val="001B2C65"/>
    <w:pPr>
      <w:tabs>
        <w:tab w:val="right" w:leader="underscore" w:pos="8164"/>
      </w:tabs>
      <w:spacing w:after="227"/>
      <w:ind w:left="454" w:right="851"/>
    </w:pPr>
    <w:rPr>
      <w:noProof/>
      <w:szCs w:val="28"/>
    </w:rPr>
  </w:style>
  <w:style w:type="paragraph" w:styleId="TOC3">
    <w:name w:val="toc 3"/>
    <w:basedOn w:val="Normal"/>
    <w:next w:val="Normal"/>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rsid w:val="00AE1CC1"/>
    <w:pPr>
      <w:jc w:val="center"/>
    </w:pPr>
    <w:rPr>
      <w:rFonts w:eastAsia="Times New Roman"/>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text">
    <w:name w:val="PBO text"/>
    <w:basedOn w:val="Normal"/>
    <w:rsid w:val="000E711F"/>
    <w:pPr>
      <w:spacing w:before="240" w:line="240" w:lineRule="auto"/>
    </w:pPr>
    <w:rPr>
      <w:rFonts w:ascii="Calibri" w:eastAsia="Cambria" w:hAnsi="Calibri" w:cs="Times New Roman"/>
      <w:sz w:val="24"/>
      <w:szCs w:val="20"/>
      <w:lang w:eastAsia="en-AU"/>
    </w:rPr>
  </w:style>
  <w:style w:type="paragraph" w:customStyle="1" w:styleId="PBOheading1">
    <w:name w:val="PBO heading 1"/>
    <w:basedOn w:val="Heading1"/>
    <w:next w:val="PBOtext"/>
    <w:uiPriority w:val="1"/>
    <w:rsid w:val="000E711F"/>
    <w:pPr>
      <w:keepLines w:val="0"/>
      <w:numPr>
        <w:numId w:val="0"/>
      </w:numPr>
      <w:tabs>
        <w:tab w:val="clear" w:pos="1418"/>
        <w:tab w:val="clear" w:pos="1701"/>
        <w:tab w:val="clear" w:pos="1985"/>
      </w:tabs>
    </w:pPr>
    <w:rPr>
      <w:rFonts w:ascii="Georgia" w:eastAsia="Times New Roman" w:hAnsi="Georgia" w:cs="Times New Roman"/>
      <w:color w:val="2B3B5F"/>
      <w:spacing w:val="0"/>
      <w:szCs w:val="24"/>
    </w:rPr>
  </w:style>
  <w:style w:type="paragraph" w:customStyle="1" w:styleId="PBOheading2">
    <w:name w:val="PBO heading 2"/>
    <w:basedOn w:val="PBOheading1"/>
    <w:uiPriority w:val="1"/>
    <w:rsid w:val="000E711F"/>
    <w:pPr>
      <w:spacing w:before="1200" w:after="200" w:line="288" w:lineRule="auto"/>
      <w:jc w:val="right"/>
    </w:pPr>
    <w:rPr>
      <w:rFonts w:ascii="Calibri" w:hAnsi="Calibri"/>
      <w:b/>
      <w:sz w:val="26"/>
    </w:rPr>
  </w:style>
  <w:style w:type="character" w:styleId="CommentReference">
    <w:name w:val="annotation reference"/>
    <w:basedOn w:val="DefaultParagraphFont"/>
    <w:semiHidden/>
    <w:unhideWhenUsed/>
    <w:rsid w:val="00E16ABF"/>
    <w:rPr>
      <w:sz w:val="16"/>
      <w:szCs w:val="16"/>
    </w:rPr>
  </w:style>
  <w:style w:type="paragraph" w:styleId="CommentText">
    <w:name w:val="annotation text"/>
    <w:basedOn w:val="Normal"/>
    <w:link w:val="CommentTextChar"/>
    <w:semiHidden/>
    <w:unhideWhenUsed/>
    <w:rsid w:val="00E16ABF"/>
    <w:pPr>
      <w:spacing w:line="240" w:lineRule="auto"/>
    </w:pPr>
    <w:rPr>
      <w:sz w:val="20"/>
      <w:szCs w:val="20"/>
    </w:rPr>
  </w:style>
  <w:style w:type="character" w:customStyle="1" w:styleId="CommentTextChar">
    <w:name w:val="Comment Text Char"/>
    <w:basedOn w:val="DefaultParagraphFont"/>
    <w:link w:val="CommentText"/>
    <w:semiHidden/>
    <w:rsid w:val="00E16ABF"/>
    <w:rPr>
      <w:sz w:val="20"/>
      <w:szCs w:val="20"/>
    </w:rPr>
  </w:style>
  <w:style w:type="paragraph" w:styleId="CommentSubject">
    <w:name w:val="annotation subject"/>
    <w:basedOn w:val="CommentText"/>
    <w:next w:val="CommentText"/>
    <w:link w:val="CommentSubjectChar"/>
    <w:semiHidden/>
    <w:unhideWhenUsed/>
    <w:rsid w:val="00E16ABF"/>
    <w:rPr>
      <w:b/>
      <w:bCs/>
    </w:rPr>
  </w:style>
  <w:style w:type="character" w:customStyle="1" w:styleId="CommentSubjectChar">
    <w:name w:val="Comment Subject Char"/>
    <w:basedOn w:val="CommentTextChar"/>
    <w:link w:val="CommentSubject"/>
    <w:semiHidden/>
    <w:rsid w:val="00E16ABF"/>
    <w:rPr>
      <w:b/>
      <w:bCs/>
      <w:sz w:val="20"/>
      <w:szCs w:val="20"/>
    </w:rPr>
  </w:style>
  <w:style w:type="paragraph" w:styleId="Revision">
    <w:name w:val="Revision"/>
    <w:hidden/>
    <w:uiPriority w:val="99"/>
    <w:semiHidden/>
    <w:rsid w:val="00F7478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2.%20Publications\PBO%20Guida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61A9DD53C44251A747A4929B3ECAE7"/>
        <w:category>
          <w:name w:val="General"/>
          <w:gallery w:val="placeholder"/>
        </w:category>
        <w:types>
          <w:type w:val="bbPlcHdr"/>
        </w:types>
        <w:behaviors>
          <w:behavior w:val="content"/>
        </w:behaviors>
        <w:guid w:val="{22D89EA7-0329-481E-A821-126A1886D634}"/>
      </w:docPartPr>
      <w:docPartBody>
        <w:p w:rsidR="0063778C" w:rsidRDefault="0063778C">
          <w:pPr>
            <w:pStyle w:val="4B61A9DD53C44251A747A4929B3ECAE7"/>
          </w:pPr>
          <w:r w:rsidRPr="00DD4A2E">
            <w:rPr>
              <w:rStyle w:val="PlaceholderText"/>
            </w:rPr>
            <w:t>Choose an item.</w:t>
          </w:r>
        </w:p>
      </w:docPartBody>
    </w:docPart>
    <w:docPart>
      <w:docPartPr>
        <w:name w:val="F2A7D93FF7714E9B91A0251A92F6C6D0"/>
        <w:category>
          <w:name w:val="General"/>
          <w:gallery w:val="placeholder"/>
        </w:category>
        <w:types>
          <w:type w:val="bbPlcHdr"/>
        </w:types>
        <w:behaviors>
          <w:behavior w:val="content"/>
        </w:behaviors>
        <w:guid w:val="{DF3ED3D4-729E-4CB3-850B-B10C45A38437}"/>
      </w:docPartPr>
      <w:docPartBody>
        <w:p w:rsidR="0063778C" w:rsidRDefault="0063778C">
          <w:pPr>
            <w:pStyle w:val="F2A7D93FF7714E9B91A0251A92F6C6D0"/>
          </w:pPr>
          <w:r w:rsidRPr="00DD4A2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78C"/>
    <w:rsid w:val="006377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4B61A9DD53C44251A747A4929B3ECAE7">
    <w:name w:val="4B61A9DD53C44251A747A4929B3ECAE7"/>
  </w:style>
  <w:style w:type="paragraph" w:customStyle="1" w:styleId="F2A7D93FF7714E9B91A0251A92F6C6D0">
    <w:name w:val="F2A7D93FF7714E9B91A0251A92F6C6D0"/>
  </w:style>
  <w:style w:type="paragraph" w:customStyle="1" w:styleId="A28E698A3F05494BB6E27B50865AF4B3">
    <w:name w:val="A28E698A3F05494BB6E27B50865AF4B3"/>
  </w:style>
  <w:style w:type="paragraph" w:customStyle="1" w:styleId="DBB2FB411C494E3B999409C49C9459B5">
    <w:name w:val="DBB2FB411C494E3B999409C49C9459B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4B61A9DD53C44251A747A4929B3ECAE7">
    <w:name w:val="4B61A9DD53C44251A747A4929B3ECAE7"/>
  </w:style>
  <w:style w:type="paragraph" w:customStyle="1" w:styleId="F2A7D93FF7714E9B91A0251A92F6C6D0">
    <w:name w:val="F2A7D93FF7714E9B91A0251A92F6C6D0"/>
  </w:style>
  <w:style w:type="paragraph" w:customStyle="1" w:styleId="A28E698A3F05494BB6E27B50865AF4B3">
    <w:name w:val="A28E698A3F05494BB6E27B50865AF4B3"/>
  </w:style>
  <w:style w:type="paragraph" w:customStyle="1" w:styleId="DBB2FB411C494E3B999409C49C9459B5">
    <w:name w:val="DBB2FB411C494E3B999409C49C945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894CA-6A02-4F26-8C92-ED35AAB93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Guidance.dotx</Template>
  <TotalTime>1254</TotalTime>
  <Pages>3</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Guidance 01/2018</dc:title>
  <dc:creator>Parliamentary Budget Office</dc:creator>
  <cp:lastModifiedBy>Moorhouse, Helen (PBO)</cp:lastModifiedBy>
  <cp:revision>29</cp:revision>
  <cp:lastPrinted>2018-04-27T03:07:00Z</cp:lastPrinted>
  <dcterms:created xsi:type="dcterms:W3CDTF">2018-04-17T03:42:00Z</dcterms:created>
  <dcterms:modified xsi:type="dcterms:W3CDTF">2018-04-27T05:34:00Z</dcterms:modified>
</cp:coreProperties>
</file>