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Pr="00C918C3" w:rsidRDefault="00214502" w:rsidP="001C60AC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8C3">
        <w:rPr>
          <w:rFonts w:ascii="Times New Roman" w:hAnsi="Times New Roman" w:cs="Times New Roman"/>
          <w:sz w:val="24"/>
          <w:szCs w:val="24"/>
        </w:rPr>
        <w:t xml:space="preserve">Senator Jacqui </w:t>
      </w:r>
      <w:proofErr w:type="spellStart"/>
      <w:r w:rsidRPr="00C918C3">
        <w:rPr>
          <w:rFonts w:ascii="Times New Roman" w:hAnsi="Times New Roman" w:cs="Times New Roman"/>
          <w:sz w:val="24"/>
          <w:szCs w:val="24"/>
        </w:rPr>
        <w:t>Lambie</w:t>
      </w:r>
      <w:proofErr w:type="spellEnd"/>
    </w:p>
    <w:p w:rsidR="00040DCE" w:rsidRPr="00C918C3" w:rsidRDefault="00214502" w:rsidP="001C60A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>Senator for Tasmania</w:t>
      </w:r>
    </w:p>
    <w:p w:rsidR="00040DCE" w:rsidRPr="00C918C3" w:rsidRDefault="00214502" w:rsidP="001C60A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>Shop 4/22 Mount Street</w:t>
      </w:r>
    </w:p>
    <w:p w:rsidR="00040DCE" w:rsidRPr="00C918C3" w:rsidRDefault="00C918C3" w:rsidP="001C60A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BURNIE</w:t>
      </w:r>
      <w:r w:rsidR="00214502" w:rsidRPr="00C918C3">
        <w:rPr>
          <w:rFonts w:ascii="Times New Roman" w:hAnsi="Times New Roman" w:cs="Times New Roman"/>
          <w:sz w:val="24"/>
          <w:szCs w:val="24"/>
        </w:rPr>
        <w:t xml:space="preserve"> </w:t>
      </w:r>
      <w:r w:rsidR="00F81BC1" w:rsidRPr="00C918C3">
        <w:rPr>
          <w:rFonts w:ascii="Times New Roman" w:hAnsi="Times New Roman" w:cs="Times New Roman"/>
          <w:sz w:val="24"/>
          <w:szCs w:val="24"/>
        </w:rPr>
        <w:t xml:space="preserve"> </w:t>
      </w:r>
      <w:r w:rsidR="00214502" w:rsidRPr="00C918C3">
        <w:rPr>
          <w:rFonts w:ascii="Times New Roman" w:hAnsi="Times New Roman" w:cs="Times New Roman"/>
          <w:sz w:val="24"/>
          <w:szCs w:val="24"/>
        </w:rPr>
        <w:t>TAS</w:t>
      </w:r>
      <w:proofErr w:type="gramEnd"/>
      <w:r w:rsidR="00214502" w:rsidRPr="00C918C3">
        <w:rPr>
          <w:rFonts w:ascii="Times New Roman" w:hAnsi="Times New Roman" w:cs="Times New Roman"/>
          <w:sz w:val="24"/>
          <w:szCs w:val="24"/>
        </w:rPr>
        <w:t xml:space="preserve">  7320</w:t>
      </w:r>
    </w:p>
    <w:p w:rsidR="00040DCE" w:rsidRPr="00C918C3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 xml:space="preserve">Dear </w:t>
      </w:r>
      <w:r w:rsidR="00214502" w:rsidRPr="00C918C3"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="00214502" w:rsidRPr="00C918C3">
        <w:rPr>
          <w:rFonts w:ascii="Times New Roman" w:hAnsi="Times New Roman" w:cs="Times New Roman"/>
          <w:sz w:val="24"/>
          <w:szCs w:val="24"/>
        </w:rPr>
        <w:t>Lambie</w:t>
      </w:r>
      <w:proofErr w:type="spellEnd"/>
    </w:p>
    <w:p w:rsidR="00040DCE" w:rsidRPr="00C918C3" w:rsidRDefault="00040DCE" w:rsidP="001C60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 xml:space="preserve">Please find attached a response to your costing request, </w:t>
      </w:r>
      <w:r w:rsidR="00C61CCF" w:rsidRPr="001C60AC">
        <w:rPr>
          <w:rFonts w:ascii="Times New Roman" w:hAnsi="Times New Roman" w:cs="Times New Roman"/>
          <w:i/>
          <w:sz w:val="24"/>
          <w:szCs w:val="24"/>
        </w:rPr>
        <w:t>Veterans’ entitlement: expanded Gold Card</w:t>
      </w:r>
      <w:r w:rsidRPr="00C918C3">
        <w:rPr>
          <w:rFonts w:ascii="Times New Roman" w:hAnsi="Times New Roman" w:cs="Times New Roman"/>
          <w:sz w:val="24"/>
          <w:szCs w:val="24"/>
        </w:rPr>
        <w:t xml:space="preserve"> (letter of </w:t>
      </w:r>
      <w:r w:rsidR="00C61CCF" w:rsidRPr="00C918C3">
        <w:rPr>
          <w:rFonts w:ascii="Times New Roman" w:hAnsi="Times New Roman" w:cs="Times New Roman"/>
          <w:sz w:val="24"/>
          <w:szCs w:val="24"/>
        </w:rPr>
        <w:t>11</w:t>
      </w:r>
      <w:r w:rsidR="004708D6" w:rsidRPr="00C918C3">
        <w:rPr>
          <w:rFonts w:ascii="Times New Roman" w:hAnsi="Times New Roman" w:cs="Times New Roman"/>
          <w:sz w:val="24"/>
          <w:szCs w:val="24"/>
        </w:rPr>
        <w:t> </w:t>
      </w:r>
      <w:r w:rsidR="00C61CCF" w:rsidRPr="00C918C3">
        <w:rPr>
          <w:rFonts w:ascii="Times New Roman" w:hAnsi="Times New Roman" w:cs="Times New Roman"/>
          <w:sz w:val="24"/>
          <w:szCs w:val="24"/>
        </w:rPr>
        <w:t>May</w:t>
      </w:r>
      <w:r w:rsidR="00C918C3">
        <w:rPr>
          <w:rFonts w:ascii="Times New Roman" w:hAnsi="Times New Roman" w:cs="Times New Roman"/>
          <w:sz w:val="24"/>
          <w:szCs w:val="24"/>
        </w:rPr>
        <w:t> </w:t>
      </w:r>
      <w:r w:rsidRPr="00C918C3">
        <w:rPr>
          <w:rFonts w:ascii="Times New Roman" w:hAnsi="Times New Roman" w:cs="Times New Roman"/>
          <w:sz w:val="24"/>
          <w:szCs w:val="24"/>
        </w:rPr>
        <w:t>2016).</w:t>
      </w:r>
    </w:p>
    <w:p w:rsidR="00040DCE" w:rsidRPr="00C918C3" w:rsidRDefault="00040DCE" w:rsidP="001C60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>The response to this request will be released on the PBO website (</w:t>
      </w:r>
      <w:hyperlink r:id="rId9" w:history="1">
        <w:r w:rsidR="00C918C3" w:rsidRPr="001D3013">
          <w:rPr>
            <w:rStyle w:val="Hyperlink"/>
            <w:rFonts w:ascii="Times New Roman" w:hAnsi="Times New Roman" w:cs="Times New Roman"/>
            <w:sz w:val="24"/>
            <w:szCs w:val="24"/>
          </w:rPr>
          <w:t>www.pbo.gov.au</w:t>
        </w:r>
      </w:hyperlink>
      <w:r w:rsidRPr="00C918C3">
        <w:rPr>
          <w:rFonts w:ascii="Times New Roman" w:hAnsi="Times New Roman" w:cs="Times New Roman"/>
          <w:sz w:val="24"/>
          <w:szCs w:val="24"/>
        </w:rPr>
        <w:t>).</w:t>
      </w:r>
    </w:p>
    <w:p w:rsidR="00040DCE" w:rsidRPr="00C918C3" w:rsidRDefault="00040DCE" w:rsidP="001C60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>If you have any queries about this costing, please do not hesitate to contact Colin</w:t>
      </w:r>
      <w:r w:rsidR="00C918C3">
        <w:rPr>
          <w:rFonts w:ascii="Times New Roman" w:hAnsi="Times New Roman" w:cs="Times New Roman"/>
          <w:sz w:val="24"/>
          <w:szCs w:val="24"/>
        </w:rPr>
        <w:t> </w:t>
      </w:r>
      <w:r w:rsidRPr="00C918C3">
        <w:rPr>
          <w:rFonts w:ascii="Times New Roman" w:hAnsi="Times New Roman" w:cs="Times New Roman"/>
          <w:sz w:val="24"/>
          <w:szCs w:val="24"/>
        </w:rPr>
        <w:t>Brown on (02) 6277 9530.</w:t>
      </w:r>
    </w:p>
    <w:p w:rsidR="00040DCE" w:rsidRPr="00C918C3" w:rsidRDefault="00040DCE" w:rsidP="001C60A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>Yours sincerely</w:t>
      </w:r>
    </w:p>
    <w:p w:rsidR="00040DCE" w:rsidRPr="00C918C3" w:rsidRDefault="00DA1C8A" w:rsidP="00DA1C8A">
      <w:pPr>
        <w:spacing w:before="960" w:line="240" w:lineRule="auto"/>
        <w:rPr>
          <w:rFonts w:ascii="Times New Roman" w:hAnsi="Times New Roman" w:cs="Times New Roman"/>
          <w:sz w:val="24"/>
          <w:szCs w:val="24"/>
        </w:rPr>
      </w:pPr>
      <w:r w:rsidRPr="00C918C3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C918C3" w:rsidRDefault="007D752B" w:rsidP="007D75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482D28" w:rsidRPr="00C918C3">
        <w:rPr>
          <w:rFonts w:ascii="Times New Roman" w:hAnsi="Times New Roman" w:cs="Times New Roman"/>
          <w:sz w:val="24"/>
          <w:szCs w:val="24"/>
        </w:rPr>
        <w:t xml:space="preserve">May </w:t>
      </w:r>
      <w:r w:rsidR="00DA1C8A" w:rsidRPr="00C918C3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40DCE" w:rsidRDefault="00040DCE" w:rsidP="00040DCE">
      <w:pPr>
        <w:pStyle w:val="BodyText"/>
      </w:pPr>
    </w:p>
    <w:p w:rsidR="00040DCE" w:rsidRPr="00040DCE" w:rsidRDefault="00040DCE" w:rsidP="00040DCE">
      <w:pPr>
        <w:pStyle w:val="BodyText"/>
        <w:sectPr w:rsidR="00040DCE" w:rsidRPr="00040DCE" w:rsidSect="0005521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Pr="00BC559C" w:rsidRDefault="008F588A" w:rsidP="00BC559C">
      <w:pPr>
        <w:pStyle w:val="Heading1"/>
      </w:pPr>
      <w:r w:rsidRPr="00BC559C">
        <w:lastRenderedPageBreak/>
        <w:t xml:space="preserve">Policy costing—during the caretaker period for </w:t>
      </w:r>
      <w:r w:rsidR="00B2046E">
        <w:t>the 2016</w:t>
      </w:r>
      <w:r w:rsidR="00C918C3">
        <w:t> </w:t>
      </w:r>
      <w:r w:rsidRPr="00BC559C">
        <w:t>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80"/>
        <w:gridCol w:w="5448"/>
      </w:tblGrid>
      <w:tr w:rsidR="008F588A" w:rsidRPr="00515A85" w:rsidTr="001C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096F3A" w:rsidP="001C60AC">
            <w:pPr>
              <w:pStyle w:val="TableHeading"/>
              <w:spacing w:line="300" w:lineRule="atLeast"/>
              <w:ind w:left="0" w:right="0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proposal</w:t>
            </w:r>
            <w:r w:rsidR="008F588A" w:rsidRPr="00515A85">
              <w:rPr>
                <w:b/>
                <w:sz w:val="22"/>
              </w:rPr>
              <w:t>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96F3A" w:rsidRPr="001C60AC" w:rsidRDefault="002605D1" w:rsidP="001C60AC">
            <w:pPr>
              <w:pStyle w:val="TableHeadingCentred"/>
              <w:spacing w:line="300" w:lineRule="atLeast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9206D0">
              <w:rPr>
                <w:b/>
                <w:sz w:val="22"/>
              </w:rPr>
              <w:t>Veterans’ entitlement: expanded Gold Card</w:t>
            </w:r>
          </w:p>
        </w:tc>
      </w:tr>
      <w:tr w:rsidR="002605D1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>Summary of proposal</w:t>
            </w:r>
            <w:r w:rsidRPr="00CB40E1">
              <w:rPr>
                <w:sz w:val="22"/>
              </w:rPr>
              <w:t>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A0B0C" w:rsidRPr="0013700B" w:rsidRDefault="002605D1" w:rsidP="001C60AC">
            <w:pPr>
              <w:pStyle w:val="TableTextCentred"/>
              <w:spacing w:line="300" w:lineRule="atLeast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3700B">
              <w:rPr>
                <w:sz w:val="22"/>
              </w:rPr>
              <w:t>Th</w:t>
            </w:r>
            <w:r w:rsidR="00CA0B0C" w:rsidRPr="0013700B">
              <w:rPr>
                <w:sz w:val="22"/>
              </w:rPr>
              <w:t>is</w:t>
            </w:r>
            <w:r w:rsidRPr="0013700B">
              <w:rPr>
                <w:sz w:val="22"/>
              </w:rPr>
              <w:t xml:space="preserve"> proposal </w:t>
            </w:r>
            <w:r w:rsidR="00CA0B0C" w:rsidRPr="0013700B">
              <w:rPr>
                <w:sz w:val="22"/>
              </w:rPr>
              <w:t>would</w:t>
            </w:r>
            <w:r w:rsidRPr="0013700B">
              <w:rPr>
                <w:sz w:val="22"/>
              </w:rPr>
              <w:t xml:space="preserve"> </w:t>
            </w:r>
            <w:r w:rsidR="005D71E7" w:rsidRPr="0013700B">
              <w:rPr>
                <w:sz w:val="22"/>
              </w:rPr>
              <w:t xml:space="preserve">amend the </w:t>
            </w:r>
            <w:r w:rsidR="005D71E7" w:rsidRPr="001C60AC">
              <w:rPr>
                <w:i/>
                <w:sz w:val="22"/>
              </w:rPr>
              <w:t>Veterans’ Entitlements Act 1986</w:t>
            </w:r>
            <w:r w:rsidR="008C5FD5">
              <w:rPr>
                <w:sz w:val="22"/>
              </w:rPr>
              <w:t xml:space="preserve"> </w:t>
            </w:r>
            <w:r w:rsidR="005D71E7" w:rsidRPr="0013700B">
              <w:rPr>
                <w:sz w:val="22"/>
              </w:rPr>
              <w:t>to provide that all veterans</w:t>
            </w:r>
            <w:r w:rsidR="008C5FD5">
              <w:rPr>
                <w:sz w:val="22"/>
              </w:rPr>
              <w:t xml:space="preserve"> </w:t>
            </w:r>
            <w:r w:rsidR="005D71E7" w:rsidRPr="0013700B">
              <w:rPr>
                <w:sz w:val="22"/>
              </w:rPr>
              <w:t xml:space="preserve">who have served in </w:t>
            </w:r>
            <w:r w:rsidR="007C65AE">
              <w:rPr>
                <w:sz w:val="22"/>
              </w:rPr>
              <w:t>‘</w:t>
            </w:r>
            <w:r w:rsidR="005D71E7" w:rsidRPr="0013700B">
              <w:rPr>
                <w:sz w:val="22"/>
              </w:rPr>
              <w:t>war or war-like operations</w:t>
            </w:r>
            <w:r w:rsidR="007C65AE">
              <w:rPr>
                <w:sz w:val="22"/>
              </w:rPr>
              <w:t>’</w:t>
            </w:r>
            <w:r w:rsidR="005D71E7" w:rsidRPr="0013700B">
              <w:rPr>
                <w:sz w:val="22"/>
              </w:rPr>
              <w:t xml:space="preserve"> are eligible for medical treatment, regardless of whether the condition or injury was caused by war or contracted during war or war-like operations.</w:t>
            </w:r>
          </w:p>
          <w:p w:rsidR="002605D1" w:rsidRPr="0035044C" w:rsidRDefault="002605D1" w:rsidP="001C60AC">
            <w:pPr>
              <w:pStyle w:val="TableTextCentred"/>
              <w:spacing w:line="300" w:lineRule="atLeast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00B">
              <w:rPr>
                <w:sz w:val="22"/>
              </w:rPr>
              <w:t>The proposal would have effect from 1 July 2016.</w:t>
            </w:r>
          </w:p>
        </w:tc>
      </w:tr>
      <w:tr w:rsidR="002605D1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Person/party requesting costing: 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5338F6" w:rsidP="001C60AC">
            <w:pPr>
              <w:pStyle w:val="TableTextCentred"/>
              <w:spacing w:line="300" w:lineRule="atLeas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Senator Jacqui </w:t>
            </w:r>
            <w:proofErr w:type="spellStart"/>
            <w:r>
              <w:rPr>
                <w:sz w:val="22"/>
              </w:rPr>
              <w:t>Lambie</w:t>
            </w:r>
            <w:proofErr w:type="spellEnd"/>
          </w:p>
        </w:tc>
      </w:tr>
      <w:tr w:rsidR="002605D1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 w:rsidRPr="00CB40E1">
              <w:rPr>
                <w:sz w:val="22"/>
              </w:rPr>
              <w:t xml:space="preserve">Date </w:t>
            </w:r>
            <w:r>
              <w:rPr>
                <w:sz w:val="22"/>
              </w:rPr>
              <w:t>costing re</w:t>
            </w:r>
            <w:r w:rsidRPr="00CB40E1">
              <w:rPr>
                <w:sz w:val="22"/>
              </w:rPr>
              <w:t xml:space="preserve">quest </w:t>
            </w:r>
            <w:r>
              <w:rPr>
                <w:sz w:val="22"/>
              </w:rPr>
              <w:t>received</w:t>
            </w:r>
            <w:r w:rsidRPr="00CB40E1">
              <w:rPr>
                <w:sz w:val="22"/>
              </w:rPr>
              <w:t>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5338F6" w:rsidP="001C60AC">
            <w:pPr>
              <w:pStyle w:val="TableTextCentred"/>
              <w:spacing w:line="300" w:lineRule="atLeast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 May 2016</w:t>
            </w:r>
          </w:p>
        </w:tc>
      </w:tr>
      <w:tr w:rsidR="002605D1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>Date costing completed: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5338F6" w:rsidRDefault="005338F6" w:rsidP="001C60AC">
            <w:pPr>
              <w:pStyle w:val="TableTextCentred"/>
              <w:spacing w:line="300" w:lineRule="atLeas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lightGray"/>
              </w:rPr>
            </w:pPr>
            <w:r w:rsidRPr="00CA0B0C">
              <w:rPr>
                <w:sz w:val="22"/>
              </w:rPr>
              <w:t>1</w:t>
            </w:r>
            <w:r w:rsidR="0050214B">
              <w:rPr>
                <w:sz w:val="22"/>
              </w:rPr>
              <w:t>7</w:t>
            </w:r>
            <w:r w:rsidRPr="00CA0B0C">
              <w:rPr>
                <w:sz w:val="22"/>
              </w:rPr>
              <w:t xml:space="preserve"> May 2016</w:t>
            </w:r>
          </w:p>
        </w:tc>
      </w:tr>
      <w:tr w:rsidR="002605D1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>Date of public release of policy</w:t>
            </w:r>
            <w:r w:rsidRPr="00CB40E1">
              <w:rPr>
                <w:sz w:val="22"/>
              </w:rPr>
              <w:t>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5338F6" w:rsidP="001C60AC">
            <w:pPr>
              <w:pStyle w:val="TableTextCentred"/>
              <w:spacing w:line="300" w:lineRule="atLeast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 November 2015</w:t>
            </w:r>
            <w:r w:rsidR="005D71E7">
              <w:rPr>
                <w:sz w:val="22"/>
              </w:rPr>
              <w:t xml:space="preserve"> </w:t>
            </w:r>
          </w:p>
        </w:tc>
      </w:tr>
      <w:tr w:rsidR="002605D1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Additional information </w:t>
            </w:r>
            <w:r w:rsidR="004E71B9">
              <w:rPr>
                <w:sz w:val="22"/>
              </w:rPr>
              <w:t>re</w:t>
            </w:r>
            <w:r w:rsidR="00C9331A">
              <w:rPr>
                <w:sz w:val="22"/>
              </w:rPr>
              <w:t>quested</w:t>
            </w:r>
            <w:r>
              <w:rPr>
                <w:sz w:val="22"/>
              </w:rPr>
              <w:t xml:space="preserve"> (including date):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2605D1" w:rsidRPr="00395ABC" w:rsidRDefault="0035044C" w:rsidP="001C60AC">
            <w:pPr>
              <w:pStyle w:val="TableTextCentred"/>
              <w:spacing w:line="300" w:lineRule="atLeas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 1</w:t>
            </w:r>
            <w:r w:rsidR="001B480D">
              <w:rPr>
                <w:sz w:val="22"/>
              </w:rPr>
              <w:t>2</w:t>
            </w:r>
            <w:r>
              <w:rPr>
                <w:sz w:val="22"/>
              </w:rPr>
              <w:t xml:space="preserve"> May 2016</w:t>
            </w:r>
            <w:r w:rsidR="006B3916">
              <w:rPr>
                <w:sz w:val="22"/>
              </w:rPr>
              <w:t>,</w:t>
            </w:r>
            <w:r>
              <w:rPr>
                <w:sz w:val="22"/>
              </w:rPr>
              <w:t xml:space="preserve"> the Parliamentary Budget Office (PBO) sought clarification </w:t>
            </w:r>
            <w:r w:rsidR="001B480D">
              <w:rPr>
                <w:sz w:val="22"/>
              </w:rPr>
              <w:t xml:space="preserve">about which </w:t>
            </w:r>
            <w:r w:rsidR="00395ABC">
              <w:rPr>
                <w:sz w:val="22"/>
              </w:rPr>
              <w:t xml:space="preserve">veterans </w:t>
            </w:r>
            <w:r w:rsidR="001B480D">
              <w:rPr>
                <w:sz w:val="22"/>
              </w:rPr>
              <w:t xml:space="preserve">would be eligible </w:t>
            </w:r>
            <w:r w:rsidR="00BE186E">
              <w:rPr>
                <w:sz w:val="22"/>
              </w:rPr>
              <w:t xml:space="preserve">for </w:t>
            </w:r>
            <w:r w:rsidR="00CA0B0C">
              <w:rPr>
                <w:sz w:val="22"/>
              </w:rPr>
              <w:t xml:space="preserve">the </w:t>
            </w:r>
            <w:r w:rsidR="00BE186E">
              <w:rPr>
                <w:sz w:val="22"/>
              </w:rPr>
              <w:t xml:space="preserve">Gold Card under this proposal </w:t>
            </w:r>
            <w:r w:rsidR="00395ABC">
              <w:rPr>
                <w:sz w:val="22"/>
              </w:rPr>
              <w:t xml:space="preserve">and whether retrospective treatment costs outlined in the </w:t>
            </w:r>
            <w:r w:rsidR="00395ABC" w:rsidRPr="001C60AC">
              <w:rPr>
                <w:sz w:val="22"/>
              </w:rPr>
              <w:t>Veterans’ Entitlements Amendment (Expanded Gold Card Access)</w:t>
            </w:r>
            <w:r w:rsidR="001B480D" w:rsidRPr="001C60AC">
              <w:rPr>
                <w:sz w:val="22"/>
              </w:rPr>
              <w:t xml:space="preserve"> </w:t>
            </w:r>
            <w:r w:rsidR="00395ABC" w:rsidRPr="001C60AC">
              <w:rPr>
                <w:sz w:val="22"/>
              </w:rPr>
              <w:t>Bill</w:t>
            </w:r>
            <w:r w:rsidR="0023727E" w:rsidRPr="001C60AC">
              <w:rPr>
                <w:sz w:val="22"/>
              </w:rPr>
              <w:t> </w:t>
            </w:r>
            <w:r w:rsidR="00395ABC" w:rsidRPr="001C60AC">
              <w:rPr>
                <w:sz w:val="22"/>
              </w:rPr>
              <w:t>2015</w:t>
            </w:r>
            <w:r w:rsidR="00395ABC" w:rsidRPr="00375D97">
              <w:rPr>
                <w:sz w:val="22"/>
              </w:rPr>
              <w:t xml:space="preserve"> </w:t>
            </w:r>
            <w:r w:rsidR="001B480D">
              <w:rPr>
                <w:sz w:val="22"/>
              </w:rPr>
              <w:t>would be reimbursed under the proposal</w:t>
            </w:r>
            <w:r w:rsidR="00395ABC">
              <w:rPr>
                <w:sz w:val="22"/>
              </w:rPr>
              <w:t>.</w:t>
            </w:r>
          </w:p>
        </w:tc>
      </w:tr>
      <w:tr w:rsidR="002605D1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Additional information </w:t>
            </w:r>
            <w:r w:rsidR="00C9331A">
              <w:rPr>
                <w:sz w:val="22"/>
              </w:rPr>
              <w:t>received</w:t>
            </w:r>
            <w:r>
              <w:rPr>
                <w:sz w:val="22"/>
              </w:rPr>
              <w:t xml:space="preserve"> (including date):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395ABC" w:rsidP="001C60AC">
            <w:pPr>
              <w:pStyle w:val="TableTextCentred"/>
              <w:spacing w:line="300" w:lineRule="atLeast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On </w:t>
            </w:r>
            <w:r w:rsidR="001B480D">
              <w:rPr>
                <w:sz w:val="22"/>
              </w:rPr>
              <w:t xml:space="preserve">12 </w:t>
            </w:r>
            <w:r>
              <w:rPr>
                <w:sz w:val="22"/>
              </w:rPr>
              <w:t>May 2016</w:t>
            </w:r>
            <w:r w:rsidR="006B3916">
              <w:rPr>
                <w:sz w:val="22"/>
              </w:rPr>
              <w:t>,</w:t>
            </w:r>
            <w:r>
              <w:rPr>
                <w:sz w:val="22"/>
              </w:rPr>
              <w:t xml:space="preserve"> the office of Senator </w:t>
            </w:r>
            <w:proofErr w:type="spellStart"/>
            <w:r>
              <w:rPr>
                <w:sz w:val="22"/>
              </w:rPr>
              <w:t>Lambie</w:t>
            </w:r>
            <w:proofErr w:type="spellEnd"/>
            <w:r>
              <w:rPr>
                <w:sz w:val="22"/>
              </w:rPr>
              <w:t xml:space="preserve"> </w:t>
            </w:r>
            <w:r w:rsidR="00BE186E">
              <w:rPr>
                <w:sz w:val="22"/>
              </w:rPr>
              <w:t xml:space="preserve">clarified </w:t>
            </w:r>
            <w:r>
              <w:rPr>
                <w:sz w:val="22"/>
              </w:rPr>
              <w:t xml:space="preserve">that </w:t>
            </w:r>
            <w:r w:rsidR="00006929">
              <w:rPr>
                <w:sz w:val="22"/>
              </w:rPr>
              <w:t xml:space="preserve">all </w:t>
            </w:r>
            <w:r w:rsidR="001B480D">
              <w:rPr>
                <w:sz w:val="22"/>
              </w:rPr>
              <w:t xml:space="preserve">veterans </w:t>
            </w:r>
            <w:r w:rsidR="00BE186E">
              <w:rPr>
                <w:sz w:val="22"/>
              </w:rPr>
              <w:t>who</w:t>
            </w:r>
            <w:r w:rsidR="001B480D">
              <w:rPr>
                <w:sz w:val="22"/>
              </w:rPr>
              <w:t xml:space="preserve"> have </w:t>
            </w:r>
            <w:r>
              <w:rPr>
                <w:sz w:val="22"/>
              </w:rPr>
              <w:t xml:space="preserve">‘qualifying service’ </w:t>
            </w:r>
            <w:r w:rsidR="001B480D">
              <w:rPr>
                <w:sz w:val="22"/>
              </w:rPr>
              <w:t xml:space="preserve">would be </w:t>
            </w:r>
            <w:r w:rsidR="00BE186E">
              <w:rPr>
                <w:sz w:val="22"/>
              </w:rPr>
              <w:t xml:space="preserve">eligible </w:t>
            </w:r>
            <w:r w:rsidR="001B480D">
              <w:rPr>
                <w:sz w:val="22"/>
              </w:rPr>
              <w:t xml:space="preserve">for the Gold Card </w:t>
            </w:r>
            <w:r>
              <w:rPr>
                <w:sz w:val="22"/>
              </w:rPr>
              <w:t xml:space="preserve">and that retrospective treatment costs </w:t>
            </w:r>
            <w:r w:rsidR="001B480D">
              <w:rPr>
                <w:sz w:val="22"/>
              </w:rPr>
              <w:t xml:space="preserve">would </w:t>
            </w:r>
            <w:r>
              <w:rPr>
                <w:sz w:val="22"/>
              </w:rPr>
              <w:t xml:space="preserve">not be </w:t>
            </w:r>
            <w:r w:rsidR="001B480D">
              <w:rPr>
                <w:sz w:val="22"/>
              </w:rPr>
              <w:t>reimbursed under the proposal</w:t>
            </w:r>
            <w:r>
              <w:rPr>
                <w:sz w:val="22"/>
              </w:rPr>
              <w:t>.</w:t>
            </w:r>
          </w:p>
        </w:tc>
      </w:tr>
      <w:tr w:rsidR="002605D1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CB40E1" w:rsidRDefault="002605D1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>Agencies from which information was obtained: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605D1" w:rsidRPr="00055212" w:rsidRDefault="005338F6" w:rsidP="001C60AC">
            <w:pPr>
              <w:spacing w:before="70" w:after="7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3700B">
              <w:rPr>
                <w:sz w:val="22"/>
              </w:rPr>
              <w:t>Department of Veterans’ Affairs (DVA)</w:t>
            </w:r>
          </w:p>
        </w:tc>
      </w:tr>
      <w:tr w:rsidR="00055212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55212" w:rsidRPr="00055212" w:rsidRDefault="00C918C3" w:rsidP="001C60AC">
            <w:pPr>
              <w:pStyle w:val="TableText"/>
              <w:spacing w:line="300" w:lineRule="atLeast"/>
              <w:ind w:left="0" w:right="0"/>
              <w:rPr>
                <w:sz w:val="22"/>
              </w:rPr>
            </w:pPr>
            <w:r>
              <w:rPr>
                <w:sz w:val="22"/>
              </w:rPr>
              <w:t>Expiry date for the costing:</w:t>
            </w:r>
          </w:p>
        </w:tc>
        <w:tc>
          <w:tcPr>
            <w:tcW w:w="31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55212" w:rsidRPr="00055212" w:rsidRDefault="00055212" w:rsidP="001C60AC">
            <w:pPr>
              <w:pStyle w:val="BodyText"/>
              <w:spacing w:before="70" w:after="7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55212">
              <w:rPr>
                <w:sz w:val="22"/>
              </w:rPr>
              <w:t xml:space="preserve">This costing advice is valid until release of the </w:t>
            </w:r>
            <w:r w:rsidRPr="00055212">
              <w:rPr>
                <w:i/>
                <w:sz w:val="22"/>
              </w:rPr>
              <w:t>Pre</w:t>
            </w:r>
            <w:r w:rsidR="00C9331A">
              <w:rPr>
                <w:i/>
                <w:sz w:val="22"/>
              </w:rPr>
              <w:noBreakHyphen/>
            </w:r>
            <w:r w:rsidRPr="00055212">
              <w:rPr>
                <w:i/>
                <w:sz w:val="22"/>
              </w:rPr>
              <w:t>election Economic and Fiscal Outlook</w:t>
            </w:r>
            <w:r w:rsidRPr="00055212">
              <w:rPr>
                <w:sz w:val="22"/>
              </w:rPr>
              <w:t xml:space="preserve"> report.</w:t>
            </w:r>
          </w:p>
        </w:tc>
      </w:tr>
    </w:tbl>
    <w:p w:rsidR="0055581F" w:rsidRDefault="008030EC" w:rsidP="00C918C3">
      <w:pPr>
        <w:pStyle w:val="Heading2"/>
      </w:pPr>
      <w:r>
        <w:lastRenderedPageBreak/>
        <w:t>Costing overview</w:t>
      </w:r>
    </w:p>
    <w:p w:rsidR="005338F6" w:rsidRDefault="005338F6" w:rsidP="001C60AC">
      <w:pPr>
        <w:keepLines/>
      </w:pPr>
      <w:r>
        <w:t xml:space="preserve">Access to </w:t>
      </w:r>
      <w:r w:rsidR="00BE186E">
        <w:t xml:space="preserve">the </w:t>
      </w:r>
      <w:r>
        <w:t>Gold Card is currently determined by the nature of</w:t>
      </w:r>
      <w:r w:rsidR="004708D6">
        <w:t xml:space="preserve"> defence</w:t>
      </w:r>
      <w:r>
        <w:t xml:space="preserve"> service and incapacity of a veteran</w:t>
      </w:r>
      <w:r w:rsidR="00481867">
        <w:t xml:space="preserve"> on a case</w:t>
      </w:r>
      <w:r w:rsidR="0023727E">
        <w:t>-</w:t>
      </w:r>
      <w:r w:rsidR="00481867">
        <w:t>by</w:t>
      </w:r>
      <w:r w:rsidR="0023727E">
        <w:t>-</w:t>
      </w:r>
      <w:r w:rsidR="00481867">
        <w:t>case basis</w:t>
      </w:r>
      <w:r>
        <w:t>.  Th</w:t>
      </w:r>
      <w:r w:rsidR="00481867">
        <w:t>e</w:t>
      </w:r>
      <w:r>
        <w:t xml:space="preserve"> proposal </w:t>
      </w:r>
      <w:r w:rsidR="005D71E7">
        <w:t xml:space="preserve">would </w:t>
      </w:r>
      <w:r w:rsidR="004708D6">
        <w:t>expand</w:t>
      </w:r>
      <w:r>
        <w:t xml:space="preserve"> access to </w:t>
      </w:r>
      <w:r w:rsidR="00BE186E">
        <w:t xml:space="preserve">the </w:t>
      </w:r>
      <w:r>
        <w:t>Gold Card</w:t>
      </w:r>
      <w:r w:rsidRPr="00686479">
        <w:t xml:space="preserve"> under the </w:t>
      </w:r>
      <w:r w:rsidRPr="00686479">
        <w:rPr>
          <w:i/>
        </w:rPr>
        <w:t>Veterans’ Entitlement Act</w:t>
      </w:r>
      <w:r>
        <w:rPr>
          <w:i/>
        </w:rPr>
        <w:t> </w:t>
      </w:r>
      <w:r w:rsidRPr="00686479">
        <w:rPr>
          <w:i/>
        </w:rPr>
        <w:t>1986</w:t>
      </w:r>
      <w:r>
        <w:t xml:space="preserve"> to all veterans who have served in </w:t>
      </w:r>
      <w:r w:rsidR="004708D6">
        <w:t>‘</w:t>
      </w:r>
      <w:r>
        <w:t>war or war</w:t>
      </w:r>
      <w:r w:rsidR="00BE186E">
        <w:noBreakHyphen/>
      </w:r>
      <w:r>
        <w:t>like operation</w:t>
      </w:r>
      <w:r w:rsidR="004708D6">
        <w:t>s’</w:t>
      </w:r>
      <w:r w:rsidRPr="00395ABC">
        <w:t xml:space="preserve"> which</w:t>
      </w:r>
      <w:r w:rsidR="00303E23">
        <w:t>,</w:t>
      </w:r>
      <w:r w:rsidRPr="00395ABC">
        <w:t xml:space="preserve"> for the purpose of this costi</w:t>
      </w:r>
      <w:r w:rsidR="00395ABC">
        <w:t>ng</w:t>
      </w:r>
      <w:r w:rsidR="00303E23">
        <w:t>,</w:t>
      </w:r>
      <w:r w:rsidR="00395ABC">
        <w:t xml:space="preserve"> is defined as veterans with ‘</w:t>
      </w:r>
      <w:r w:rsidRPr="00395ABC">
        <w:t>qualifying service</w:t>
      </w:r>
      <w:r w:rsidR="00395ABC">
        <w:t>’.</w:t>
      </w:r>
    </w:p>
    <w:p w:rsidR="00BE00B8" w:rsidRDefault="008030EC" w:rsidP="00F81BC1">
      <w:r w:rsidRPr="005338F6">
        <w:t xml:space="preserve">This proposal </w:t>
      </w:r>
      <w:r w:rsidR="00303E23">
        <w:t xml:space="preserve">would be </w:t>
      </w:r>
      <w:r w:rsidRPr="005338F6">
        <w:t>expected to decrease the underlying cash balance by $</w:t>
      </w:r>
      <w:r w:rsidR="00BE00B8">
        <w:t>3,609</w:t>
      </w:r>
      <w:r w:rsidR="00BE00B8" w:rsidRPr="005338F6">
        <w:t> </w:t>
      </w:r>
      <w:r w:rsidR="005338F6" w:rsidRPr="005338F6">
        <w:t>million</w:t>
      </w:r>
      <w:r w:rsidRPr="005338F6">
        <w:t xml:space="preserve"> and decrease the fiscal balance </w:t>
      </w:r>
      <w:r w:rsidRPr="00BF39BE">
        <w:t>by $</w:t>
      </w:r>
      <w:r w:rsidR="00BE00B8">
        <w:t>3,681</w:t>
      </w:r>
      <w:r w:rsidRPr="00BF39BE">
        <w:t> </w:t>
      </w:r>
      <w:r w:rsidR="005338F6" w:rsidRPr="00BF39BE">
        <w:t>million</w:t>
      </w:r>
      <w:r w:rsidRPr="005338F6">
        <w:t xml:space="preserve"> over the </w:t>
      </w:r>
      <w:r w:rsidR="005338F6" w:rsidRPr="005338F6">
        <w:t>2016</w:t>
      </w:r>
      <w:r w:rsidRPr="005338F6">
        <w:t>–1</w:t>
      </w:r>
      <w:r w:rsidR="005338F6" w:rsidRPr="005338F6">
        <w:t>7</w:t>
      </w:r>
      <w:r w:rsidRPr="005338F6">
        <w:t xml:space="preserve"> Budget forward estimates period.  Th</w:t>
      </w:r>
      <w:r w:rsidR="00CA0B0C">
        <w:t xml:space="preserve">e decrease in fiscal balance </w:t>
      </w:r>
      <w:r w:rsidRPr="005338F6">
        <w:t>reflects a</w:t>
      </w:r>
      <w:r w:rsidR="005338F6" w:rsidRPr="005338F6">
        <w:t>n</w:t>
      </w:r>
      <w:r w:rsidRPr="005338F6">
        <w:t xml:space="preserve"> increase</w:t>
      </w:r>
      <w:r w:rsidR="005338F6" w:rsidRPr="005338F6">
        <w:t xml:space="preserve"> in administered </w:t>
      </w:r>
      <w:r w:rsidR="005338F6" w:rsidRPr="00BF39BE">
        <w:t>expenses</w:t>
      </w:r>
      <w:r w:rsidRPr="00BF39BE">
        <w:t xml:space="preserve"> of </w:t>
      </w:r>
      <w:r w:rsidR="005338F6" w:rsidRPr="00BF39BE">
        <w:t>$</w:t>
      </w:r>
      <w:r w:rsidR="00BE00B8" w:rsidRPr="00F81BC1">
        <w:t>3,590 </w:t>
      </w:r>
      <w:r w:rsidR="005338F6" w:rsidRPr="00F81BC1">
        <w:t>m</w:t>
      </w:r>
      <w:r w:rsidR="005338F6" w:rsidRPr="00BF39BE">
        <w:t>illion and</w:t>
      </w:r>
      <w:r w:rsidR="004708D6">
        <w:t xml:space="preserve"> an increase</w:t>
      </w:r>
      <w:r w:rsidR="005338F6" w:rsidRPr="00BF39BE">
        <w:t xml:space="preserve"> in departmental expenses of $</w:t>
      </w:r>
      <w:r w:rsidR="00BE00B8" w:rsidRPr="00F81BC1">
        <w:t>91</w:t>
      </w:r>
      <w:r w:rsidR="005338F6" w:rsidRPr="00BF39BE">
        <w:t> million</w:t>
      </w:r>
      <w:r w:rsidR="005338F6" w:rsidRPr="005338F6">
        <w:t>.</w:t>
      </w:r>
      <w:r w:rsidR="002E7C74">
        <w:t xml:space="preserve"> </w:t>
      </w:r>
      <w:r w:rsidR="002E7C74" w:rsidRPr="003A18CB">
        <w:t xml:space="preserve"> A breakdown of the financial implications for the period 2016</w:t>
      </w:r>
      <w:r w:rsidR="007C65AE" w:rsidRPr="005338F6">
        <w:t>–</w:t>
      </w:r>
      <w:r w:rsidR="002E7C74" w:rsidRPr="003A18CB">
        <w:t>17 to 2019</w:t>
      </w:r>
      <w:r w:rsidR="007C65AE" w:rsidRPr="005338F6">
        <w:t>–</w:t>
      </w:r>
      <w:r w:rsidR="002E7C74" w:rsidRPr="003A18CB">
        <w:t xml:space="preserve">20 is included at </w:t>
      </w:r>
      <w:r w:rsidR="002E7C74" w:rsidRPr="003A18CB">
        <w:rPr>
          <w:u w:val="single"/>
        </w:rPr>
        <w:t>Attachment A</w:t>
      </w:r>
      <w:r w:rsidR="002E7C74" w:rsidRPr="003A18CB">
        <w:t>.</w:t>
      </w:r>
    </w:p>
    <w:p w:rsidR="0013700B" w:rsidRDefault="005338F6" w:rsidP="00F81BC1">
      <w:r w:rsidRPr="00F64707">
        <w:t>This proposal w</w:t>
      </w:r>
      <w:r>
        <w:t>ould</w:t>
      </w:r>
      <w:r w:rsidRPr="00F64707">
        <w:t xml:space="preserve"> have an ongoing impact that extends beyond the forward estimates period</w:t>
      </w:r>
      <w:r>
        <w:t xml:space="preserve"> similar to that estimated in 201</w:t>
      </w:r>
      <w:r w:rsidR="002E7C74">
        <w:t>9</w:t>
      </w:r>
      <w:r w:rsidR="007C65AE" w:rsidRPr="005338F6">
        <w:t>–</w:t>
      </w:r>
      <w:r w:rsidR="002E7C74">
        <w:t>20</w:t>
      </w:r>
      <w:r>
        <w:t>,</w:t>
      </w:r>
      <w:r w:rsidR="00303E23">
        <w:t xml:space="preserve"> over time </w:t>
      </w:r>
      <w:r>
        <w:t xml:space="preserve">reducing in line with the </w:t>
      </w:r>
      <w:r w:rsidR="005D71E7">
        <w:t xml:space="preserve">expected </w:t>
      </w:r>
      <w:r>
        <w:t>decline in the total veteran population</w:t>
      </w:r>
      <w:r w:rsidR="002E7C74">
        <w:t>.</w:t>
      </w:r>
      <w:r w:rsidR="00F81BC1">
        <w:t xml:space="preserve"> </w:t>
      </w:r>
    </w:p>
    <w:p w:rsidR="00240FC8" w:rsidRPr="00240FC8" w:rsidRDefault="008D3909" w:rsidP="00F81BC1">
      <w:r w:rsidRPr="00240FC8">
        <w:t>The underlying cash balance</w:t>
      </w:r>
      <w:r w:rsidR="00C6355A">
        <w:t xml:space="preserve"> </w:t>
      </w:r>
      <w:r w:rsidR="00481867">
        <w:t>implications</w:t>
      </w:r>
      <w:r w:rsidRPr="00240FC8">
        <w:t xml:space="preserve"> of this proposal differ</w:t>
      </w:r>
      <w:r w:rsidR="003A18CB">
        <w:t xml:space="preserve"> from the</w:t>
      </w:r>
      <w:r w:rsidRPr="00240FC8">
        <w:t xml:space="preserve"> fisca</w:t>
      </w:r>
      <w:r w:rsidR="00240FC8" w:rsidRPr="00240FC8">
        <w:t xml:space="preserve">l balance </w:t>
      </w:r>
      <w:r w:rsidR="00481867">
        <w:t>implications</w:t>
      </w:r>
      <w:r w:rsidR="00240FC8" w:rsidRPr="00240FC8">
        <w:t xml:space="preserve"> because there is a small delay between the </w:t>
      </w:r>
      <w:r w:rsidR="00481867">
        <w:t xml:space="preserve">recognition of </w:t>
      </w:r>
      <w:r w:rsidR="00240FC8" w:rsidRPr="00240FC8">
        <w:t xml:space="preserve">medical treatment </w:t>
      </w:r>
      <w:r w:rsidR="00481867">
        <w:t xml:space="preserve">expenses </w:t>
      </w:r>
      <w:r w:rsidR="00240FC8" w:rsidRPr="00240FC8">
        <w:t xml:space="preserve">incurred by DVA and the payment </w:t>
      </w:r>
      <w:r w:rsidR="00481867">
        <w:t>of these expenses</w:t>
      </w:r>
      <w:r w:rsidR="00240FC8">
        <w:t>.</w:t>
      </w:r>
    </w:p>
    <w:p w:rsidR="00481867" w:rsidRPr="00F64707" w:rsidRDefault="00481867" w:rsidP="00481867">
      <w:r>
        <w:t xml:space="preserve">A table of the average increase in </w:t>
      </w:r>
      <w:r w:rsidR="005C4958">
        <w:t xml:space="preserve">Commonwealth </w:t>
      </w:r>
      <w:r>
        <w:t xml:space="preserve">administered expenditure per eligible veteran </w:t>
      </w:r>
      <w:r w:rsidRPr="003A18CB">
        <w:t>fo</w:t>
      </w:r>
      <w:r>
        <w:t>r the period 2016</w:t>
      </w:r>
      <w:r w:rsidR="007C65AE" w:rsidRPr="005338F6">
        <w:t>–</w:t>
      </w:r>
      <w:r>
        <w:t>17 to 2019</w:t>
      </w:r>
      <w:r w:rsidR="007C65AE" w:rsidRPr="005338F6">
        <w:t>–</w:t>
      </w:r>
      <w:r>
        <w:t xml:space="preserve">20 </w:t>
      </w:r>
      <w:r w:rsidR="00303E23">
        <w:t xml:space="preserve">under this proposal </w:t>
      </w:r>
      <w:r>
        <w:t xml:space="preserve">is included at </w:t>
      </w:r>
      <w:r w:rsidRPr="003A18CB">
        <w:rPr>
          <w:u w:val="single"/>
        </w:rPr>
        <w:t>Attachment B</w:t>
      </w:r>
      <w:r>
        <w:t>.</w:t>
      </w:r>
      <w:r w:rsidR="005C4958">
        <w:t xml:space="preserve">  These amounts do</w:t>
      </w:r>
      <w:r w:rsidR="005C4958" w:rsidRPr="005C4958">
        <w:t xml:space="preserve"> not </w:t>
      </w:r>
      <w:r w:rsidR="008C5FD5">
        <w:t xml:space="preserve">necessarily </w:t>
      </w:r>
      <w:r w:rsidR="005C4958" w:rsidRPr="005C4958">
        <w:t>r</w:t>
      </w:r>
      <w:r w:rsidR="005C4958">
        <w:t>epresent</w:t>
      </w:r>
      <w:r w:rsidR="005C4958" w:rsidRPr="005C4958">
        <w:t xml:space="preserve"> the averag</w:t>
      </w:r>
      <w:r w:rsidR="005C4958">
        <w:t>e saving to an eligible veteran</w:t>
      </w:r>
      <w:r w:rsidR="004711DB">
        <w:t>’</w:t>
      </w:r>
      <w:r w:rsidR="005C4958">
        <w:t>s healthcare spending</w:t>
      </w:r>
      <w:r w:rsidR="008C5FD5">
        <w:t>.</w:t>
      </w:r>
      <w:r w:rsidR="005C4958">
        <w:t xml:space="preserve"> </w:t>
      </w:r>
    </w:p>
    <w:p w:rsidR="002E7C74" w:rsidRDefault="005338F6" w:rsidP="00F81BC1">
      <w:r w:rsidRPr="005338F6">
        <w:t>This costin</w:t>
      </w:r>
      <w:r>
        <w:t>g is considered to be of medium</w:t>
      </w:r>
      <w:r w:rsidRPr="005338F6">
        <w:t xml:space="preserve"> reliability</w:t>
      </w:r>
      <w:r w:rsidR="00481867">
        <w:t xml:space="preserve">. </w:t>
      </w:r>
      <w:r w:rsidRPr="005338F6">
        <w:t xml:space="preserve"> </w:t>
      </w:r>
      <w:r w:rsidR="00481867" w:rsidRPr="00834A71">
        <w:t>The</w:t>
      </w:r>
      <w:r w:rsidR="002F2ED7" w:rsidRPr="00834A71">
        <w:t xml:space="preserve"> costing </w:t>
      </w:r>
      <w:r w:rsidR="00834A71">
        <w:t xml:space="preserve">would be sensitive to changes in </w:t>
      </w:r>
      <w:r w:rsidR="005D71E7">
        <w:t xml:space="preserve">the </w:t>
      </w:r>
      <w:r w:rsidR="00B21F24">
        <w:t xml:space="preserve">eligible </w:t>
      </w:r>
      <w:r w:rsidR="00481867">
        <w:t xml:space="preserve">population </w:t>
      </w:r>
      <w:r w:rsidRPr="005338F6">
        <w:t xml:space="preserve">and </w:t>
      </w:r>
      <w:r w:rsidR="00481867">
        <w:t>the level of future Gold Card claims</w:t>
      </w:r>
      <w:r w:rsidRPr="005338F6">
        <w:t>.</w:t>
      </w:r>
      <w:r w:rsidR="004708D6" w:rsidRPr="004708D6">
        <w:t xml:space="preserve"> </w:t>
      </w:r>
    </w:p>
    <w:p w:rsidR="004708D6" w:rsidRPr="005E3562" w:rsidRDefault="004708D6" w:rsidP="004708D6">
      <w:pPr>
        <w:pStyle w:val="Captionheading"/>
        <w:rPr>
          <w:vertAlign w:val="superscript"/>
        </w:rPr>
      </w:pPr>
      <w:r w:rsidRPr="00FC5643">
        <w:t xml:space="preserve">Table </w:t>
      </w:r>
      <w:r>
        <w:t>1</w:t>
      </w:r>
      <w:r w:rsidRPr="00FC5643">
        <w:t xml:space="preserve">: </w:t>
      </w:r>
      <w:r>
        <w:t>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</w:p>
    <w:tbl>
      <w:tblPr>
        <w:tblStyle w:val="TableGrid"/>
        <w:tblW w:w="500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52"/>
        <w:gridCol w:w="1135"/>
        <w:gridCol w:w="1136"/>
        <w:gridCol w:w="1136"/>
        <w:gridCol w:w="1136"/>
        <w:gridCol w:w="1135"/>
      </w:tblGrid>
      <w:tr w:rsidR="0042470B" w:rsidRPr="00500F2D" w:rsidTr="001C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708D6" w:rsidRPr="001C60AC" w:rsidRDefault="00500F2D" w:rsidP="004708D6">
            <w:pPr>
              <w:pStyle w:val="TableText"/>
              <w:keepNext/>
              <w:keepLines/>
              <w:rPr>
                <w:sz w:val="22"/>
              </w:rPr>
            </w:pPr>
            <w:r w:rsidRPr="001C60AC">
              <w:rPr>
                <w:sz w:val="22"/>
              </w:rPr>
              <w:t>($m)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708D6" w:rsidRPr="001C60AC" w:rsidRDefault="004708D6" w:rsidP="004708D6">
            <w:pPr>
              <w:keepNext/>
              <w:keepLines/>
              <w:spacing w:before="70" w:after="70" w:line="26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708D6" w:rsidRPr="001C60AC" w:rsidRDefault="004708D6" w:rsidP="004708D6">
            <w:pPr>
              <w:keepNext/>
              <w:keepLines/>
              <w:spacing w:before="70" w:after="70" w:line="26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206D0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708D6" w:rsidRPr="001C60AC" w:rsidRDefault="004708D6" w:rsidP="004708D6">
            <w:pPr>
              <w:keepNext/>
              <w:keepLines/>
              <w:spacing w:before="70" w:after="70" w:line="26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206D0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708D6" w:rsidRPr="001C60AC" w:rsidRDefault="004708D6" w:rsidP="004708D6">
            <w:pPr>
              <w:keepNext/>
              <w:keepLines/>
              <w:spacing w:before="70" w:after="70" w:line="26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206D0">
              <w:t>2019–20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708D6" w:rsidRPr="001C60AC" w:rsidRDefault="004708D6" w:rsidP="004708D6">
            <w:pPr>
              <w:keepNext/>
              <w:keepLines/>
              <w:spacing w:before="70" w:after="70" w:line="26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206D0">
              <w:t>Total</w:t>
            </w:r>
          </w:p>
        </w:tc>
      </w:tr>
      <w:tr w:rsidR="0042470B" w:rsidRPr="00500F2D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4708D6" w:rsidRPr="001C60AC" w:rsidRDefault="004708D6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Underlying cash balance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-892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-933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-902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-872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-3,609 </w:t>
            </w:r>
          </w:p>
        </w:tc>
      </w:tr>
      <w:tr w:rsidR="0042470B" w:rsidRPr="00500F2D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4708D6" w:rsidRPr="001C60AC" w:rsidRDefault="004708D6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Fiscal balance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-974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-933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-902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Cs/>
                <w:color w:val="000000"/>
                <w:sz w:val="22"/>
              </w:rPr>
              <w:t xml:space="preserve">-872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4708D6" w:rsidRPr="001C60AC" w:rsidRDefault="004708D6" w:rsidP="004708D6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-3,681 </w:t>
            </w:r>
          </w:p>
        </w:tc>
      </w:tr>
      <w:tr w:rsidR="004708D6" w:rsidRPr="00500F2D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nil"/>
              <w:bottom w:val="nil"/>
              <w:right w:val="nil"/>
            </w:tcBorders>
            <w:shd w:val="clear" w:color="auto" w:fill="auto"/>
            <w:vAlign w:val="top"/>
          </w:tcPr>
          <w:p w:rsidR="0042470B" w:rsidRPr="00CA5D42" w:rsidRDefault="0042470B" w:rsidP="001C60AC">
            <w:pPr>
              <w:pStyle w:val="Footnoteheading"/>
              <w:ind w:left="0" w:right="0"/>
            </w:pPr>
            <w:r w:rsidRPr="00CA5D42">
              <w:t>Footnote:</w:t>
            </w:r>
          </w:p>
          <w:p w:rsidR="004708D6" w:rsidRPr="00500F2D" w:rsidRDefault="004708D6" w:rsidP="001C60AC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right="0" w:hanging="284"/>
              <w:jc w:val="left"/>
              <w:rPr>
                <w:szCs w:val="20"/>
              </w:rPr>
            </w:pPr>
            <w:r w:rsidRPr="00500F2D">
              <w:rPr>
                <w:szCs w:val="20"/>
              </w:rPr>
              <w:t>A negative number for the underlying cash balance indicates an increase in</w:t>
            </w:r>
            <w:r w:rsidR="002E7C74" w:rsidRPr="00500F2D">
              <w:rPr>
                <w:szCs w:val="20"/>
              </w:rPr>
              <w:t xml:space="preserve"> payments in</w:t>
            </w:r>
            <w:r w:rsidRPr="00500F2D">
              <w:rPr>
                <w:szCs w:val="20"/>
              </w:rPr>
              <w:t xml:space="preserve"> cash terms.</w:t>
            </w:r>
            <w:r w:rsidR="00B21F24" w:rsidRPr="00500F2D">
              <w:rPr>
                <w:szCs w:val="20"/>
              </w:rPr>
              <w:t xml:space="preserve">  </w:t>
            </w:r>
            <w:r w:rsidR="00500F2D" w:rsidRPr="00500F2D">
              <w:rPr>
                <w:szCs w:val="20"/>
              </w:rPr>
              <w:t xml:space="preserve">A negative number for the fiscal balance indicates an increase in expenses in accrual terms.  </w:t>
            </w:r>
            <w:r w:rsidR="00B21F24" w:rsidRPr="00500F2D">
              <w:rPr>
                <w:szCs w:val="20"/>
              </w:rPr>
              <w:t>Totals may not add due to rounding.</w:t>
            </w:r>
          </w:p>
        </w:tc>
      </w:tr>
    </w:tbl>
    <w:p w:rsidR="008D3909" w:rsidRDefault="005E3562" w:rsidP="005E3562">
      <w:pPr>
        <w:pStyle w:val="Heading2"/>
      </w:pPr>
      <w:r>
        <w:t>Key assumptions</w:t>
      </w:r>
    </w:p>
    <w:p w:rsidR="00B22E79" w:rsidRDefault="00240FC8" w:rsidP="00F81BC1">
      <w:pPr>
        <w:pStyle w:val="BodyText"/>
        <w:rPr>
          <w:noProof/>
        </w:rPr>
      </w:pPr>
      <w:r w:rsidRPr="00395ABC">
        <w:t xml:space="preserve">It </w:t>
      </w:r>
      <w:r w:rsidR="00122815">
        <w:t xml:space="preserve">is </w:t>
      </w:r>
      <w:r w:rsidRPr="00395ABC">
        <w:t>assumed</w:t>
      </w:r>
      <w:r w:rsidR="003A241E">
        <w:t xml:space="preserve"> that</w:t>
      </w:r>
      <w:r w:rsidR="00BE00B8">
        <w:t xml:space="preserve"> </w:t>
      </w:r>
      <w:r w:rsidR="00327378">
        <w:rPr>
          <w:noProof/>
        </w:rPr>
        <w:t>veterans</w:t>
      </w:r>
      <w:r w:rsidR="00BE00B8">
        <w:rPr>
          <w:noProof/>
        </w:rPr>
        <w:t xml:space="preserve"> who became eligible under this proposal</w:t>
      </w:r>
      <w:r w:rsidR="00327378">
        <w:rPr>
          <w:noProof/>
        </w:rPr>
        <w:t xml:space="preserve"> </w:t>
      </w:r>
      <w:r w:rsidR="003A241E">
        <w:rPr>
          <w:noProof/>
        </w:rPr>
        <w:t>would have the same level of healthcare expenditure as existing Gold Card holders.</w:t>
      </w:r>
    </w:p>
    <w:p w:rsidR="005E3562" w:rsidRDefault="005E3562" w:rsidP="005E3562">
      <w:pPr>
        <w:pStyle w:val="Heading2"/>
      </w:pPr>
      <w:r>
        <w:lastRenderedPageBreak/>
        <w:t>Methodology</w:t>
      </w:r>
    </w:p>
    <w:p w:rsidR="00B34E74" w:rsidRDefault="00D90A64" w:rsidP="00356B9E">
      <w:r>
        <w:t>The</w:t>
      </w:r>
      <w:r w:rsidR="003E2F83">
        <w:t xml:space="preserve"> administered</w:t>
      </w:r>
      <w:r>
        <w:t xml:space="preserve"> financial implication</w:t>
      </w:r>
      <w:r w:rsidR="003E2F83">
        <w:t>s</w:t>
      </w:r>
      <w:r>
        <w:t xml:space="preserve"> </w:t>
      </w:r>
      <w:r w:rsidR="003E2F83">
        <w:t>of expanding access to</w:t>
      </w:r>
      <w:r w:rsidR="00356B9E">
        <w:t xml:space="preserve"> </w:t>
      </w:r>
      <w:r w:rsidR="00B34E74">
        <w:t xml:space="preserve">the </w:t>
      </w:r>
      <w:r w:rsidR="00356B9E">
        <w:t>Gold Card</w:t>
      </w:r>
      <w:r w:rsidR="003E2F83">
        <w:t xml:space="preserve"> under this proposal</w:t>
      </w:r>
      <w:r w:rsidR="00356B9E">
        <w:t xml:space="preserve"> w</w:t>
      </w:r>
      <w:r w:rsidR="003E2F83">
        <w:t>ere</w:t>
      </w:r>
      <w:r w:rsidR="00356B9E">
        <w:t xml:space="preserve"> </w:t>
      </w:r>
      <w:r w:rsidR="00B34E74">
        <w:t xml:space="preserve">calculated </w:t>
      </w:r>
      <w:r w:rsidR="00356B9E">
        <w:t xml:space="preserve">by multiplying the estimated increase in </w:t>
      </w:r>
      <w:r w:rsidR="00B21F24">
        <w:t xml:space="preserve">the number of </w:t>
      </w:r>
      <w:r w:rsidR="00356B9E">
        <w:t>Gold Card holders by the average cost per Gold Card</w:t>
      </w:r>
      <w:r w:rsidR="002E7C74">
        <w:t>.</w:t>
      </w:r>
      <w:r w:rsidR="00F25A61">
        <w:t xml:space="preserve">  </w:t>
      </w:r>
      <w:r w:rsidR="008C5FD5">
        <w:t>The increase in the number of Gold Card holders was calculated by subtracting the</w:t>
      </w:r>
      <w:r w:rsidR="003F2E19">
        <w:t xml:space="preserve"> expected </w:t>
      </w:r>
      <w:r w:rsidR="008C5FD5">
        <w:t xml:space="preserve">number of Gold Card holders with ‘qualifying service’ </w:t>
      </w:r>
      <w:r w:rsidR="003F2E19">
        <w:t xml:space="preserve">under current policy settings </w:t>
      </w:r>
      <w:r w:rsidR="008C5FD5">
        <w:t>from the total number of veterans with ‘qualifying service’</w:t>
      </w:r>
      <w:r w:rsidR="003F2E19">
        <w:t xml:space="preserve"> who would be expected to be entitled to a Gold Card under this proposal</w:t>
      </w:r>
      <w:r w:rsidR="008C5FD5">
        <w:t>.</w:t>
      </w:r>
    </w:p>
    <w:p w:rsidR="00B34E74" w:rsidRDefault="00356B9E" w:rsidP="00356B9E">
      <w:r w:rsidRPr="00686479">
        <w:t>This increase in expenditure is partially offset by savings t</w:t>
      </w:r>
      <w:r w:rsidR="00B34E74">
        <w:t xml:space="preserve">hat arise due to veterans no longer claiming benefits under current arrangements.  These benefits are </w:t>
      </w:r>
      <w:r>
        <w:t>Medicare</w:t>
      </w:r>
      <w:r w:rsidR="003F2E19">
        <w:t xml:space="preserve"> benefits</w:t>
      </w:r>
      <w:r w:rsidR="00B34E74">
        <w:t xml:space="preserve">, </w:t>
      </w:r>
      <w:r>
        <w:t>Pharmaceutical Benefits Scheme (</w:t>
      </w:r>
      <w:r w:rsidRPr="00686479">
        <w:t>PBS</w:t>
      </w:r>
      <w:r>
        <w:t>)</w:t>
      </w:r>
      <w:r w:rsidR="00B34E74">
        <w:t xml:space="preserve"> </w:t>
      </w:r>
      <w:r w:rsidR="003F2E19">
        <w:t>benefits</w:t>
      </w:r>
      <w:r w:rsidR="004711DB">
        <w:t>,</w:t>
      </w:r>
      <w:r w:rsidR="003F2E19">
        <w:t xml:space="preserve"> </w:t>
      </w:r>
      <w:r w:rsidR="00B34E74">
        <w:t>and benefits provided to current White Card holders</w:t>
      </w:r>
      <w:r w:rsidR="00B21F24">
        <w:t xml:space="preserve"> who become eligible for a Gold Card under this proposal</w:t>
      </w:r>
      <w:r w:rsidR="00B34E74">
        <w:t xml:space="preserve">.  </w:t>
      </w:r>
    </w:p>
    <w:p w:rsidR="00D90A64" w:rsidRDefault="003E2F83" w:rsidP="00356B9E">
      <w:r>
        <w:t xml:space="preserve">DVA advised that there would be </w:t>
      </w:r>
      <w:r w:rsidR="00B34E74">
        <w:t>no</w:t>
      </w:r>
      <w:r>
        <w:t xml:space="preserve"> offsetting savings from reduced legal proceedings</w:t>
      </w:r>
      <w:r w:rsidR="00B21F24">
        <w:t xml:space="preserve"> associated with Gold Card claims</w:t>
      </w:r>
      <w:r w:rsidR="00B34E74">
        <w:t xml:space="preserve"> as a result of this proposal</w:t>
      </w:r>
      <w:r>
        <w:t>.</w:t>
      </w:r>
    </w:p>
    <w:p w:rsidR="003E2F83" w:rsidRDefault="003E2F83" w:rsidP="00356B9E">
      <w:r>
        <w:t xml:space="preserve">Departmental financial implications were </w:t>
      </w:r>
      <w:r w:rsidR="00B21F24">
        <w:t>calculated</w:t>
      </w:r>
      <w:r>
        <w:t xml:space="preserve"> by multiplying the</w:t>
      </w:r>
      <w:r w:rsidRPr="003E2F83">
        <w:t xml:space="preserve"> </w:t>
      </w:r>
      <w:r>
        <w:t>estimated increase in</w:t>
      </w:r>
      <w:r w:rsidR="00B21F24">
        <w:t xml:space="preserve"> the number of</w:t>
      </w:r>
      <w:r>
        <w:t xml:space="preserve"> Gold Card holders by the current average departmental costs to DVA of administering </w:t>
      </w:r>
      <w:r w:rsidR="00B34E74">
        <w:t xml:space="preserve">the </w:t>
      </w:r>
      <w:r>
        <w:t>Gold Card.  This increase is partially offset by a reduction in the costs of administering current White Card holders who become eligible for a Gold Card under this proposal.</w:t>
      </w:r>
    </w:p>
    <w:p w:rsidR="00F81BC1" w:rsidRDefault="00F81BC1" w:rsidP="00356B9E">
      <w:r>
        <w:t>Administered financial implications have been rounded to the nearest $10 million</w:t>
      </w:r>
      <w:r w:rsidR="00B21F24">
        <w:t>.</w:t>
      </w:r>
      <w:r>
        <w:t xml:space="preserve"> </w:t>
      </w:r>
      <w:r w:rsidR="00B21F24">
        <w:t xml:space="preserve"> D</w:t>
      </w:r>
      <w:r>
        <w:t>epartmental financial implications have been rounded to the nearest $1 million</w:t>
      </w:r>
      <w:r w:rsidR="000A750E">
        <w:t>.</w:t>
      </w:r>
      <w:r>
        <w:t xml:space="preserve"> </w:t>
      </w:r>
      <w:r w:rsidR="004711DB">
        <w:t xml:space="preserve"> </w:t>
      </w:r>
    </w:p>
    <w:p w:rsidR="005E3562" w:rsidRDefault="005E3562" w:rsidP="00356B9E">
      <w:pPr>
        <w:pStyle w:val="Heading2"/>
        <w:numPr>
          <w:ilvl w:val="0"/>
          <w:numId w:val="0"/>
        </w:numPr>
      </w:pPr>
      <w:r>
        <w:t>Data sources</w:t>
      </w:r>
    </w:p>
    <w:p w:rsidR="005E3562" w:rsidRDefault="0035044C" w:rsidP="005E3562">
      <w:pPr>
        <w:pStyle w:val="BodyText"/>
      </w:pPr>
      <w:r w:rsidRPr="000A146C">
        <w:t>D</w:t>
      </w:r>
      <w:r w:rsidR="00B029B0" w:rsidRPr="000A146C">
        <w:t xml:space="preserve">VA provided the </w:t>
      </w:r>
      <w:r w:rsidR="000A146C" w:rsidRPr="000A146C">
        <w:t xml:space="preserve">number of veterans with </w:t>
      </w:r>
      <w:r w:rsidR="002359A3">
        <w:t>‘</w:t>
      </w:r>
      <w:r w:rsidR="000A146C" w:rsidRPr="000A146C">
        <w:t>qualifying service</w:t>
      </w:r>
      <w:r w:rsidR="002359A3">
        <w:t>’</w:t>
      </w:r>
      <w:r w:rsidR="000A146C" w:rsidRPr="000A146C">
        <w:t xml:space="preserve"> and the average cost per Gold</w:t>
      </w:r>
      <w:r w:rsidR="00500F2D">
        <w:t> </w:t>
      </w:r>
      <w:r w:rsidR="00122815">
        <w:t>C</w:t>
      </w:r>
      <w:r w:rsidR="000A146C" w:rsidRPr="000A146C">
        <w:t>ard.</w:t>
      </w:r>
    </w:p>
    <w:p w:rsidR="009D292E" w:rsidRPr="000A146C" w:rsidRDefault="002359A3" w:rsidP="005E3562">
      <w:pPr>
        <w:pStyle w:val="BodyText"/>
      </w:pPr>
      <w:r>
        <w:t>Average Medicare</w:t>
      </w:r>
      <w:r w:rsidR="009D292E">
        <w:t xml:space="preserve"> </w:t>
      </w:r>
      <w:r>
        <w:t xml:space="preserve">and PBS costs were derived from </w:t>
      </w:r>
      <w:r w:rsidR="009D292E" w:rsidRPr="00A34653">
        <w:t>Central Budget Management System</w:t>
      </w:r>
      <w:r>
        <w:t xml:space="preserve"> data</w:t>
      </w:r>
      <w:r w:rsidR="009D292E" w:rsidRPr="00A34653">
        <w:t xml:space="preserve"> provided by the Department of Finance</w:t>
      </w:r>
      <w:r w:rsidR="008C5FD5">
        <w:t xml:space="preserve"> and population projections provided by the Treasury</w:t>
      </w:r>
      <w:r>
        <w:t>.</w:t>
      </w:r>
    </w:p>
    <w:p w:rsidR="00216784" w:rsidRDefault="00216784" w:rsidP="00F81BC1">
      <w:pPr>
        <w:pStyle w:val="Bullet3"/>
        <w:numPr>
          <w:ilvl w:val="0"/>
          <w:numId w:val="0"/>
        </w:numPr>
        <w:ind w:left="851"/>
        <w:rPr>
          <w:highlight w:val="yellow"/>
        </w:rPr>
      </w:pPr>
    </w:p>
    <w:p w:rsidR="00CA5D42" w:rsidRDefault="00CA5D42" w:rsidP="00F81BC1">
      <w:pPr>
        <w:pStyle w:val="Bullet3"/>
        <w:numPr>
          <w:ilvl w:val="0"/>
          <w:numId w:val="0"/>
        </w:numPr>
        <w:ind w:left="851"/>
        <w:rPr>
          <w:highlight w:val="yellow"/>
        </w:rPr>
        <w:sectPr w:rsidR="00CA5D42" w:rsidSect="00055212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3A241E" w:rsidRDefault="001A02D1" w:rsidP="00F81BC1">
      <w:pPr>
        <w:pStyle w:val="Heading1"/>
        <w:spacing w:after="0"/>
      </w:pPr>
      <w:r>
        <w:lastRenderedPageBreak/>
        <w:t>Attachment A:</w:t>
      </w:r>
      <w:r w:rsidR="00FA0840">
        <w:t xml:space="preserve"> </w:t>
      </w:r>
    </w:p>
    <w:p w:rsidR="001A02D1" w:rsidRDefault="00BA06BE" w:rsidP="00F81BC1">
      <w:pPr>
        <w:pStyle w:val="Heading1"/>
        <w:spacing w:before="100" w:beforeAutospacing="1"/>
      </w:pPr>
      <w:r w:rsidRPr="00BA06BE">
        <w:t>Veterans’ entitlement: expanded Gold</w:t>
      </w:r>
      <w:r w:rsidR="00AF0686">
        <w:t xml:space="preserve"> </w:t>
      </w:r>
      <w:r w:rsidRPr="00BA06BE">
        <w:t>Card</w:t>
      </w:r>
      <w:r w:rsidR="002359A3">
        <w:t xml:space="preserve"> – </w:t>
      </w:r>
      <w:r w:rsidR="00C918C3">
        <w:t>f</w:t>
      </w:r>
      <w:r w:rsidR="002359A3">
        <w:t>inancial</w:t>
      </w:r>
      <w:r w:rsidR="00C918C3">
        <w:t> i</w:t>
      </w:r>
      <w:r w:rsidR="002359A3">
        <w:t>mplications</w:t>
      </w:r>
    </w:p>
    <w:p w:rsidR="002359A3" w:rsidRPr="006B3916" w:rsidRDefault="002359A3" w:rsidP="00F81BC1">
      <w:pPr>
        <w:pStyle w:val="BodyText"/>
      </w:pPr>
      <w:r>
        <w:t xml:space="preserve">The following tables give a </w:t>
      </w:r>
      <w:r w:rsidRPr="003A18CB">
        <w:t>breakdown of the financial implications for the period 2016</w:t>
      </w:r>
      <w:r w:rsidR="004711DB" w:rsidRPr="005338F6">
        <w:t>–</w:t>
      </w:r>
      <w:r w:rsidRPr="003A18CB">
        <w:t>17 to 2019</w:t>
      </w:r>
      <w:r w:rsidR="004711DB" w:rsidRPr="005338F6">
        <w:t>–</w:t>
      </w:r>
      <w:r w:rsidRPr="003A18CB">
        <w:t>20</w:t>
      </w:r>
      <w:r>
        <w:t>.</w:t>
      </w:r>
    </w:p>
    <w:p w:rsidR="005C623C" w:rsidRPr="00DB44F0" w:rsidRDefault="005C623C" w:rsidP="005C623C">
      <w:pPr>
        <w:pStyle w:val="Captionheading"/>
      </w:pPr>
      <w:r w:rsidRPr="00FC5643">
        <w:t xml:space="preserve">Table </w:t>
      </w:r>
      <w:r w:rsidR="00BA06BE">
        <w:t>A1</w:t>
      </w:r>
      <w:r w:rsidRPr="00FC5643">
        <w:t xml:space="preserve">: </w:t>
      </w:r>
      <w:r w:rsidR="00BA06BE">
        <w:t xml:space="preserve">Underlying </w:t>
      </w:r>
      <w:r w:rsidR="00C918C3">
        <w:t>c</w:t>
      </w:r>
      <w:r w:rsidR="00BA06BE">
        <w:t xml:space="preserve">ash </w:t>
      </w:r>
      <w:proofErr w:type="gramStart"/>
      <w:r w:rsidR="00C918C3">
        <w:t>b</w:t>
      </w:r>
      <w:r w:rsidR="00BA06BE">
        <w:t>alance</w:t>
      </w:r>
      <w:r w:rsidR="009D292E" w:rsidRPr="002B14B9">
        <w:rPr>
          <w:vertAlign w:val="superscript"/>
        </w:rPr>
        <w:t>(</w:t>
      </w:r>
      <w:proofErr w:type="gramEnd"/>
      <w:r w:rsidR="009D292E" w:rsidRPr="002B14B9">
        <w:rPr>
          <w:vertAlign w:val="superscript"/>
        </w:rPr>
        <w:t>a)</w:t>
      </w:r>
    </w:p>
    <w:tbl>
      <w:tblPr>
        <w:tblStyle w:val="TableGrid"/>
        <w:tblW w:w="501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64"/>
        <w:gridCol w:w="1136"/>
        <w:gridCol w:w="1136"/>
        <w:gridCol w:w="1136"/>
        <w:gridCol w:w="1136"/>
        <w:gridCol w:w="1131"/>
      </w:tblGrid>
      <w:tr w:rsidR="00C918C3" w:rsidRPr="00500F2D" w:rsidTr="001C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rPr>
                <w:b/>
                <w:sz w:val="22"/>
              </w:rPr>
            </w:pPr>
            <w:r w:rsidRPr="001C60AC">
              <w:rPr>
                <w:sz w:val="22"/>
              </w:rPr>
              <w:t>($m)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2016–17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2017–18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2018–19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2019–20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 w:rsidRPr="001C60AC">
              <w:rPr>
                <w:sz w:val="22"/>
              </w:rPr>
              <w:t>Total to 2019</w:t>
            </w:r>
            <w:r w:rsidR="004711DB" w:rsidRPr="001C60AC">
              <w:rPr>
                <w:sz w:val="22"/>
              </w:rPr>
              <w:t>–</w:t>
            </w:r>
            <w:r w:rsidRPr="001C60AC">
              <w:rPr>
                <w:sz w:val="22"/>
              </w:rPr>
              <w:t>20</w:t>
            </w:r>
            <w:r w:rsidRPr="001C60AC">
              <w:rPr>
                <w:sz w:val="22"/>
                <w:vertAlign w:val="superscript"/>
              </w:rPr>
              <w:t>(b)</w:t>
            </w:r>
          </w:p>
        </w:tc>
      </w:tr>
      <w:tr w:rsidR="00C918C3" w:rsidRPr="00500F2D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 w:rsidP="00B2046E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Department of Health - administered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60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60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60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60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240 </w:t>
            </w:r>
          </w:p>
        </w:tc>
      </w:tr>
      <w:tr w:rsidR="00C918C3" w:rsidRPr="00500F2D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Department of Veterans</w:t>
            </w:r>
            <w:r w:rsidR="004711DB" w:rsidRPr="001C60AC">
              <w:rPr>
                <w:sz w:val="22"/>
              </w:rPr>
              <w:t>’</w:t>
            </w:r>
            <w:r w:rsidR="00500F2D">
              <w:rPr>
                <w:sz w:val="22"/>
              </w:rPr>
              <w:t> </w:t>
            </w:r>
            <w:r w:rsidRPr="001C60AC">
              <w:rPr>
                <w:sz w:val="22"/>
              </w:rPr>
              <w:t>Affairs - administered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-930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-970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-940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-910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-3,760 </w:t>
            </w:r>
          </w:p>
        </w:tc>
      </w:tr>
      <w:tr w:rsidR="00C918C3" w:rsidRPr="00500F2D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Department of Veterans</w:t>
            </w:r>
            <w:r w:rsidR="004711DB" w:rsidRPr="001C60AC">
              <w:rPr>
                <w:sz w:val="22"/>
              </w:rPr>
              <w:t>’</w:t>
            </w:r>
            <w:r w:rsidR="00500F2D">
              <w:rPr>
                <w:sz w:val="22"/>
              </w:rPr>
              <w:t> </w:t>
            </w:r>
            <w:r w:rsidRPr="001C60AC">
              <w:rPr>
                <w:sz w:val="22"/>
              </w:rPr>
              <w:t>Affairs - departmental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-22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-23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-22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-22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-89 </w:t>
            </w:r>
          </w:p>
        </w:tc>
      </w:tr>
      <w:tr w:rsidR="00C918C3" w:rsidRPr="00500F2D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 w:rsidP="00B2046E">
            <w:pPr>
              <w:pStyle w:val="TableTextCentred"/>
              <w:keepNext/>
              <w:keepLines/>
              <w:jc w:val="left"/>
              <w:rPr>
                <w:b/>
                <w:sz w:val="22"/>
              </w:rPr>
            </w:pPr>
            <w:r w:rsidRPr="001C60AC">
              <w:rPr>
                <w:b/>
                <w:sz w:val="22"/>
              </w:rPr>
              <w:t>Total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-892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-933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-902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-872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-3,609 </w:t>
            </w:r>
          </w:p>
        </w:tc>
      </w:tr>
    </w:tbl>
    <w:p w:rsidR="00BF39BE" w:rsidRPr="00CA5D42" w:rsidRDefault="00BF39BE" w:rsidP="00BF39BE">
      <w:pPr>
        <w:pStyle w:val="Footnoteheading"/>
      </w:pPr>
      <w:r w:rsidRPr="00CA5D42">
        <w:t>Footnote</w:t>
      </w:r>
      <w:r>
        <w:t>s</w:t>
      </w:r>
      <w:r w:rsidRPr="00CA5D42">
        <w:t>:</w:t>
      </w:r>
    </w:p>
    <w:p w:rsidR="00BF39BE" w:rsidRDefault="00BF39BE" w:rsidP="00F81BC1">
      <w:pPr>
        <w:pStyle w:val="Footnotes"/>
        <w:contextualSpacing w:val="0"/>
      </w:pPr>
      <w:r w:rsidRPr="00BF39BE">
        <w:t>A positive sign indicates a</w:t>
      </w:r>
      <w:r w:rsidRPr="00216784">
        <w:t xml:space="preserve"> decrease in outlays.</w:t>
      </w:r>
      <w:r w:rsidRPr="004708D6">
        <w:t xml:space="preserve"> </w:t>
      </w:r>
      <w:r w:rsidR="00500F2D">
        <w:t xml:space="preserve"> </w:t>
      </w:r>
      <w:r w:rsidRPr="002B14B9">
        <w:t xml:space="preserve">A </w:t>
      </w:r>
      <w:r>
        <w:t>negative</w:t>
      </w:r>
      <w:r w:rsidRPr="002B14B9">
        <w:t xml:space="preserve"> sign indicates a</w:t>
      </w:r>
      <w:r>
        <w:t xml:space="preserve">n increase </w:t>
      </w:r>
      <w:r w:rsidRPr="002B14B9">
        <w:t>in outlays</w:t>
      </w:r>
      <w:r>
        <w:t>.</w:t>
      </w:r>
    </w:p>
    <w:p w:rsidR="00BF39BE" w:rsidRPr="00216784" w:rsidRDefault="00BF39BE" w:rsidP="00F81BC1">
      <w:pPr>
        <w:pStyle w:val="Footnotes"/>
        <w:contextualSpacing w:val="0"/>
      </w:pPr>
      <w:r w:rsidRPr="00BF39BE">
        <w:t xml:space="preserve">Totals may not add due to rounding. </w:t>
      </w:r>
    </w:p>
    <w:p w:rsidR="00BA06BE" w:rsidRPr="00DB44F0" w:rsidRDefault="00BA06BE" w:rsidP="00BA06BE">
      <w:pPr>
        <w:pStyle w:val="Captionheading"/>
      </w:pPr>
      <w:r w:rsidRPr="00FC5643">
        <w:t xml:space="preserve">Table </w:t>
      </w:r>
      <w:r w:rsidR="0035044C">
        <w:t>A2</w:t>
      </w:r>
      <w:r w:rsidRPr="00FC5643">
        <w:t xml:space="preserve">: </w:t>
      </w:r>
      <w:r w:rsidR="0035044C">
        <w:t>Fiscal</w:t>
      </w:r>
      <w:r>
        <w:t xml:space="preserve"> </w:t>
      </w:r>
      <w:proofErr w:type="gramStart"/>
      <w:r w:rsidR="00C918C3">
        <w:t>b</w:t>
      </w:r>
      <w:r>
        <w:t>alance</w:t>
      </w:r>
      <w:r w:rsidR="009D292E" w:rsidRPr="002B14B9">
        <w:rPr>
          <w:vertAlign w:val="superscript"/>
        </w:rPr>
        <w:t>(</w:t>
      </w:r>
      <w:proofErr w:type="gramEnd"/>
      <w:r w:rsidR="009D292E" w:rsidRPr="002B14B9">
        <w:rPr>
          <w:vertAlign w:val="superscript"/>
        </w:rPr>
        <w:t>a)</w:t>
      </w:r>
    </w:p>
    <w:tbl>
      <w:tblPr>
        <w:tblStyle w:val="TableGrid"/>
        <w:tblW w:w="501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64"/>
        <w:gridCol w:w="1136"/>
        <w:gridCol w:w="1136"/>
        <w:gridCol w:w="1136"/>
        <w:gridCol w:w="1136"/>
        <w:gridCol w:w="1131"/>
      </w:tblGrid>
      <w:tr w:rsidR="00C918C3" w:rsidRPr="00500F2D" w:rsidTr="001C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rPr>
                <w:b/>
                <w:sz w:val="22"/>
              </w:rPr>
            </w:pPr>
            <w:r w:rsidRPr="001C60AC">
              <w:rPr>
                <w:sz w:val="22"/>
              </w:rPr>
              <w:t>($m)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2016–17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2017–18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2018–19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2019–20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918C3" w:rsidRPr="001C60AC" w:rsidRDefault="00C918C3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 xml:space="preserve">Total to </w:t>
            </w:r>
            <w:r w:rsidRPr="001C60AC">
              <w:rPr>
                <w:sz w:val="22"/>
              </w:rPr>
              <w:br/>
              <w:t>2019</w:t>
            </w:r>
            <w:r w:rsidR="004711DB" w:rsidRPr="001C60AC">
              <w:rPr>
                <w:sz w:val="22"/>
              </w:rPr>
              <w:t>–</w:t>
            </w:r>
            <w:r w:rsidRPr="001C60AC">
              <w:rPr>
                <w:sz w:val="22"/>
              </w:rPr>
              <w:t>20</w:t>
            </w:r>
            <w:r w:rsidRPr="001C60AC">
              <w:rPr>
                <w:sz w:val="22"/>
                <w:vertAlign w:val="superscript"/>
              </w:rPr>
              <w:t>(b)</w:t>
            </w:r>
          </w:p>
        </w:tc>
      </w:tr>
      <w:tr w:rsidR="00C918C3" w:rsidRPr="00500F2D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 w:rsidP="00B2046E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Department of Health - administered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70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60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60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60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250 </w:t>
            </w:r>
          </w:p>
        </w:tc>
      </w:tr>
      <w:tr w:rsidR="00C918C3" w:rsidRPr="00500F2D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Department of Veterans</w:t>
            </w:r>
            <w:r w:rsidR="004711DB" w:rsidRPr="001C60AC">
              <w:rPr>
                <w:sz w:val="22"/>
              </w:rPr>
              <w:t>’</w:t>
            </w:r>
            <w:r w:rsidR="00500F2D">
              <w:rPr>
                <w:sz w:val="22"/>
              </w:rPr>
              <w:t> </w:t>
            </w:r>
            <w:r w:rsidRPr="001C60AC">
              <w:rPr>
                <w:sz w:val="22"/>
              </w:rPr>
              <w:t>Affairs - administered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-1,020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-970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-940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-910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-3,840 </w:t>
            </w:r>
          </w:p>
        </w:tc>
      </w:tr>
      <w:tr w:rsidR="00C918C3" w:rsidRPr="00500F2D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Department of Veterans</w:t>
            </w:r>
            <w:r w:rsidR="004711DB" w:rsidRPr="001C60AC">
              <w:rPr>
                <w:sz w:val="22"/>
              </w:rPr>
              <w:t>’</w:t>
            </w:r>
            <w:r w:rsidR="00500F2D">
              <w:rPr>
                <w:sz w:val="22"/>
              </w:rPr>
              <w:t> </w:t>
            </w:r>
            <w:r w:rsidRPr="001C60AC">
              <w:rPr>
                <w:sz w:val="22"/>
              </w:rPr>
              <w:t>Affairs - departmental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-24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-23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-22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-22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-91 </w:t>
            </w:r>
          </w:p>
        </w:tc>
      </w:tr>
      <w:tr w:rsidR="00C918C3" w:rsidRPr="00500F2D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 w:rsidP="00B2046E">
            <w:pPr>
              <w:pStyle w:val="TableTextCentred"/>
              <w:keepNext/>
              <w:keepLines/>
              <w:jc w:val="left"/>
              <w:rPr>
                <w:b/>
                <w:sz w:val="22"/>
              </w:rPr>
            </w:pPr>
            <w:r w:rsidRPr="001C60AC">
              <w:rPr>
                <w:b/>
                <w:sz w:val="22"/>
              </w:rPr>
              <w:t>Total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-974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-933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-902 </w:t>
            </w:r>
          </w:p>
        </w:tc>
        <w:tc>
          <w:tcPr>
            <w:tcW w:w="68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-872 </w:t>
            </w:r>
          </w:p>
        </w:tc>
        <w:tc>
          <w:tcPr>
            <w:tcW w:w="67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2046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b/>
                <w:bCs/>
                <w:color w:val="000000"/>
                <w:sz w:val="22"/>
              </w:rPr>
              <w:t xml:space="preserve">-3,681 </w:t>
            </w:r>
          </w:p>
        </w:tc>
      </w:tr>
    </w:tbl>
    <w:p w:rsidR="00BF39BE" w:rsidRPr="00CA5D42" w:rsidRDefault="00BF39BE" w:rsidP="00BF39BE">
      <w:pPr>
        <w:pStyle w:val="Footnoteheading"/>
      </w:pPr>
      <w:r w:rsidRPr="00CA5D42">
        <w:t>Footnote</w:t>
      </w:r>
      <w:r>
        <w:t>s</w:t>
      </w:r>
      <w:r w:rsidRPr="00CA5D42">
        <w:t>:</w:t>
      </w:r>
    </w:p>
    <w:p w:rsidR="00BF39BE" w:rsidRDefault="00BF39BE" w:rsidP="001C60AC">
      <w:pPr>
        <w:pStyle w:val="Footnotes"/>
        <w:numPr>
          <w:ilvl w:val="0"/>
          <w:numId w:val="11"/>
        </w:numPr>
        <w:ind w:left="284" w:hanging="284"/>
        <w:contextualSpacing w:val="0"/>
      </w:pPr>
      <w:r w:rsidRPr="002B14B9">
        <w:t xml:space="preserve">A positive sign indicates a decrease in </w:t>
      </w:r>
      <w:r>
        <w:t>expenses</w:t>
      </w:r>
      <w:r w:rsidRPr="002B14B9">
        <w:t xml:space="preserve">. </w:t>
      </w:r>
      <w:r w:rsidR="00500F2D">
        <w:t xml:space="preserve"> </w:t>
      </w:r>
      <w:r w:rsidRPr="002B14B9">
        <w:t xml:space="preserve">A </w:t>
      </w:r>
      <w:r>
        <w:t>negative</w:t>
      </w:r>
      <w:r w:rsidRPr="002B14B9">
        <w:t xml:space="preserve"> sign indicates a</w:t>
      </w:r>
      <w:r>
        <w:t xml:space="preserve">n increase </w:t>
      </w:r>
      <w:r w:rsidRPr="002B14B9">
        <w:t xml:space="preserve">in </w:t>
      </w:r>
      <w:r>
        <w:t>expenses.</w:t>
      </w:r>
    </w:p>
    <w:p w:rsidR="003B22A4" w:rsidRDefault="003A241E">
      <w:pPr>
        <w:pStyle w:val="Footnotes"/>
        <w:numPr>
          <w:ilvl w:val="0"/>
          <w:numId w:val="11"/>
        </w:numPr>
        <w:ind w:left="284" w:hanging="284"/>
        <w:contextualSpacing w:val="0"/>
        <w:sectPr w:rsidR="003B22A4" w:rsidSect="00055212">
          <w:headerReference w:type="first" r:id="rId16"/>
          <w:footerReference w:type="first" r:id="rId17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  <w:r w:rsidRPr="00BF39BE">
        <w:t>Totals may not add due to rounding.</w:t>
      </w:r>
    </w:p>
    <w:p w:rsidR="005C623C" w:rsidRDefault="00AF0686" w:rsidP="00BA06BE">
      <w:pPr>
        <w:pStyle w:val="Heading1"/>
        <w:numPr>
          <w:ilvl w:val="0"/>
          <w:numId w:val="0"/>
        </w:numPr>
      </w:pPr>
      <w:r>
        <w:lastRenderedPageBreak/>
        <w:t>Attachment B:</w:t>
      </w:r>
      <w:r w:rsidR="00FA0840">
        <w:t xml:space="preserve"> </w:t>
      </w:r>
      <w:r>
        <w:br/>
      </w:r>
      <w:r w:rsidR="0035044C">
        <w:t xml:space="preserve">Average increased </w:t>
      </w:r>
      <w:r w:rsidR="003A241E">
        <w:t xml:space="preserve">Commonwealth </w:t>
      </w:r>
      <w:r w:rsidR="00C918C3">
        <w:t>expenditure per eligible </w:t>
      </w:r>
      <w:r w:rsidR="0035044C">
        <w:t>veteran</w:t>
      </w:r>
    </w:p>
    <w:p w:rsidR="00F52474" w:rsidRPr="00DB44F0" w:rsidRDefault="00F52474" w:rsidP="00F52474">
      <w:pPr>
        <w:pStyle w:val="Captionheading"/>
      </w:pPr>
      <w:r w:rsidRPr="00FC5643">
        <w:t xml:space="preserve">Table </w:t>
      </w:r>
      <w:r w:rsidR="009D292E">
        <w:t>B1</w:t>
      </w:r>
      <w:r w:rsidR="009D292E" w:rsidRPr="00FC5643">
        <w:t xml:space="preserve">: </w:t>
      </w:r>
      <w:r w:rsidR="009D292E">
        <w:t xml:space="preserve">Average increased </w:t>
      </w:r>
      <w:r w:rsidR="003A241E">
        <w:t xml:space="preserve">Commonwealth </w:t>
      </w:r>
      <w:r w:rsidR="009D292E">
        <w:t>expenditure per veteran with ‘qualifying</w:t>
      </w:r>
      <w:r w:rsidR="00C918C3">
        <w:t> </w:t>
      </w:r>
      <w:proofErr w:type="gramStart"/>
      <w:r w:rsidR="009D292E">
        <w:t>service’</w:t>
      </w:r>
      <w:r w:rsidR="009D292E" w:rsidRPr="00F81BC1">
        <w:rPr>
          <w:vertAlign w:val="superscript"/>
        </w:rPr>
        <w:t>(</w:t>
      </w:r>
      <w:proofErr w:type="gramEnd"/>
      <w:r w:rsidR="009D292E" w:rsidRPr="00F81BC1">
        <w:rPr>
          <w:vertAlign w:val="superscript"/>
        </w:rPr>
        <w:t>a)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62"/>
        <w:gridCol w:w="1415"/>
        <w:gridCol w:w="1415"/>
        <w:gridCol w:w="1415"/>
        <w:gridCol w:w="1415"/>
      </w:tblGrid>
      <w:tr w:rsidR="00C918C3" w:rsidRPr="00F52474" w:rsidTr="001C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918C3" w:rsidRPr="001C60AC" w:rsidRDefault="00C918C3" w:rsidP="009D292E">
            <w:pPr>
              <w:pStyle w:val="TableHeading"/>
              <w:rPr>
                <w:b/>
                <w:sz w:val="22"/>
              </w:rPr>
            </w:pPr>
            <w:r w:rsidRPr="001C60AC">
              <w:rPr>
                <w:sz w:val="22"/>
              </w:rPr>
              <w:t>($ per veteran)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918C3" w:rsidRPr="001C60AC" w:rsidRDefault="00C918C3" w:rsidP="009D292E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2016–17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918C3" w:rsidRPr="001C60AC" w:rsidRDefault="00C918C3" w:rsidP="009D292E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2017–18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918C3" w:rsidRPr="001C60AC" w:rsidRDefault="00C918C3" w:rsidP="009D292E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2018–19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C918C3" w:rsidRPr="001C60AC" w:rsidRDefault="00C918C3" w:rsidP="009D292E">
            <w:pPr>
              <w:pStyle w:val="TableHeading"/>
              <w:ind w:left="0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C60AC">
              <w:rPr>
                <w:sz w:val="22"/>
              </w:rPr>
              <w:t>2019–20</w:t>
            </w:r>
          </w:p>
        </w:tc>
      </w:tr>
      <w:tr w:rsidR="00C918C3" w:rsidTr="001C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 w:rsidP="009D292E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>Veteran with a White Card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108AF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18,500 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9D292E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18,500 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108AF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18,500 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108AF">
            <w:pPr>
              <w:pStyle w:val="TableTextCentred"/>
              <w:keepNext/>
              <w:keepLines/>
              <w:ind w:left="0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18,500 </w:t>
            </w:r>
          </w:p>
        </w:tc>
      </w:tr>
      <w:tr w:rsidR="00C918C3" w:rsidTr="001C60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918C3" w:rsidRPr="001C60AC" w:rsidRDefault="00C918C3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C60AC">
              <w:rPr>
                <w:sz w:val="22"/>
              </w:rPr>
              <w:t xml:space="preserve">Veteran with no </w:t>
            </w:r>
            <w:r w:rsidR="004711DB" w:rsidRPr="001C60AC">
              <w:rPr>
                <w:sz w:val="22"/>
              </w:rPr>
              <w:t>c</w:t>
            </w:r>
            <w:r w:rsidRPr="001C60AC">
              <w:rPr>
                <w:sz w:val="22"/>
              </w:rPr>
              <w:t>ard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B108AF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>21,000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9D292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21,000 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9D292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21,000 </w:t>
            </w:r>
          </w:p>
        </w:tc>
        <w:tc>
          <w:tcPr>
            <w:tcW w:w="85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C918C3" w:rsidRPr="00500F2D" w:rsidRDefault="00C918C3" w:rsidP="009D292E">
            <w:pPr>
              <w:pStyle w:val="TableTextCentred"/>
              <w:keepNext/>
              <w:keepLines/>
              <w:ind w:left="0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60AC">
              <w:rPr>
                <w:i/>
                <w:iCs/>
                <w:color w:val="000000"/>
                <w:sz w:val="22"/>
              </w:rPr>
              <w:t xml:space="preserve"> 21,000 </w:t>
            </w:r>
          </w:p>
        </w:tc>
      </w:tr>
    </w:tbl>
    <w:p w:rsidR="00F52474" w:rsidRPr="00CA5D42" w:rsidRDefault="00DB44F0" w:rsidP="00CA5D42">
      <w:pPr>
        <w:pStyle w:val="Footnoteheading"/>
      </w:pPr>
      <w:r w:rsidRPr="00CA5D42">
        <w:t>Footnote:</w:t>
      </w:r>
    </w:p>
    <w:p w:rsidR="00CA5D42" w:rsidRDefault="00BF39BE" w:rsidP="001C60AC">
      <w:pPr>
        <w:pStyle w:val="Footnotes"/>
        <w:numPr>
          <w:ilvl w:val="0"/>
          <w:numId w:val="12"/>
        </w:numPr>
        <w:ind w:left="284" w:hanging="284"/>
        <w:contextualSpacing w:val="0"/>
      </w:pPr>
      <w:r w:rsidRPr="00BF39BE">
        <w:t>This amount represents the average increased expenses incurred by the government</w:t>
      </w:r>
      <w:r w:rsidR="005C4958">
        <w:t xml:space="preserve"> </w:t>
      </w:r>
      <w:r w:rsidR="00303E23">
        <w:t xml:space="preserve">under this proposal </w:t>
      </w:r>
      <w:r w:rsidR="005C4958">
        <w:t>and not the</w:t>
      </w:r>
      <w:r w:rsidR="005C4958" w:rsidRPr="005C4958">
        <w:t xml:space="preserve"> averag</w:t>
      </w:r>
      <w:r w:rsidR="005C4958">
        <w:t>e saving to an eligible veteran</w:t>
      </w:r>
      <w:r w:rsidR="002D2071">
        <w:t>’</w:t>
      </w:r>
      <w:r w:rsidR="005C4958">
        <w:t>s healthcare spending which would be expected to be less than these amounts</w:t>
      </w:r>
      <w:r w:rsidR="005C4958" w:rsidRPr="005C4958">
        <w:t>.</w:t>
      </w:r>
    </w:p>
    <w:sectPr w:rsidR="00CA5D42" w:rsidSect="00055212"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16" w:rsidRDefault="006B3916" w:rsidP="008F588A">
      <w:pPr>
        <w:spacing w:line="240" w:lineRule="auto"/>
      </w:pPr>
      <w:r>
        <w:separator/>
      </w:r>
    </w:p>
  </w:endnote>
  <w:endnote w:type="continuationSeparator" w:id="0">
    <w:p w:rsidR="006B3916" w:rsidRDefault="006B391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16" w:rsidRPr="00055212" w:rsidRDefault="00055212" w:rsidP="006370EB">
    <w:pPr>
      <w:pStyle w:val="Footer"/>
      <w:spacing w:before="0"/>
      <w:jc w:val="right"/>
      <w:rPr>
        <w:b/>
        <w:sz w:val="20"/>
        <w:szCs w:val="20"/>
      </w:rPr>
    </w:pPr>
    <w:r w:rsidRPr="00055212">
      <w:rPr>
        <w:b/>
        <w:color w:val="788184"/>
        <w:sz w:val="20"/>
        <w:szCs w:val="20"/>
      </w:rPr>
      <w:t xml:space="preserve">Page </w:t>
    </w:r>
    <w:r w:rsidRPr="00055212">
      <w:rPr>
        <w:b/>
        <w:color w:val="788184"/>
        <w:sz w:val="20"/>
        <w:szCs w:val="20"/>
      </w:rPr>
      <w:fldChar w:fldCharType="begin"/>
    </w:r>
    <w:r w:rsidRPr="00055212">
      <w:rPr>
        <w:b/>
        <w:color w:val="788184"/>
        <w:sz w:val="20"/>
        <w:szCs w:val="20"/>
      </w:rPr>
      <w:instrText xml:space="preserve"> PAGE  \* Arabic  \* MERGEFORMAT </w:instrText>
    </w:r>
    <w:r w:rsidRPr="00055212">
      <w:rPr>
        <w:b/>
        <w:color w:val="788184"/>
        <w:sz w:val="20"/>
        <w:szCs w:val="20"/>
      </w:rPr>
      <w:fldChar w:fldCharType="separate"/>
    </w:r>
    <w:r w:rsidR="00A46B24">
      <w:rPr>
        <w:b/>
        <w:noProof/>
        <w:color w:val="788184"/>
        <w:sz w:val="20"/>
        <w:szCs w:val="20"/>
      </w:rPr>
      <w:t>4</w:t>
    </w:r>
    <w:r w:rsidRPr="00055212">
      <w:rPr>
        <w:b/>
        <w:color w:val="788184"/>
        <w:sz w:val="20"/>
        <w:szCs w:val="20"/>
      </w:rPr>
      <w:fldChar w:fldCharType="end"/>
    </w:r>
    <w:r w:rsidRPr="00055212">
      <w:rPr>
        <w:b/>
        <w:color w:val="788184"/>
        <w:sz w:val="20"/>
        <w:szCs w:val="20"/>
      </w:rPr>
      <w:t xml:space="preserve"> of </w:t>
    </w:r>
    <w:r w:rsidRPr="00055212">
      <w:rPr>
        <w:b/>
        <w:color w:val="788184"/>
        <w:sz w:val="20"/>
        <w:szCs w:val="20"/>
      </w:rPr>
      <w:fldChar w:fldCharType="begin"/>
    </w:r>
    <w:r w:rsidRPr="00055212">
      <w:rPr>
        <w:b/>
        <w:color w:val="788184"/>
        <w:sz w:val="20"/>
        <w:szCs w:val="20"/>
      </w:rPr>
      <w:instrText xml:space="preserve"> NUMPAGES  \* Arabic  \* MERGEFORMAT </w:instrText>
    </w:r>
    <w:r w:rsidRPr="00055212">
      <w:rPr>
        <w:b/>
        <w:color w:val="788184"/>
        <w:sz w:val="20"/>
        <w:szCs w:val="20"/>
      </w:rPr>
      <w:fldChar w:fldCharType="separate"/>
    </w:r>
    <w:r w:rsidR="00A46B24">
      <w:rPr>
        <w:b/>
        <w:noProof/>
        <w:color w:val="788184"/>
        <w:sz w:val="20"/>
        <w:szCs w:val="20"/>
      </w:rPr>
      <w:t>6</w:t>
    </w:r>
    <w:r w:rsidRPr="00055212">
      <w:rPr>
        <w:b/>
        <w:color w:val="78818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11" w:type="dxa"/>
      <w:tblLook w:val="04A0" w:firstRow="1" w:lastRow="0" w:firstColumn="1" w:lastColumn="0" w:noHBand="0" w:noVBand="1"/>
    </w:tblPr>
    <w:tblGrid>
      <w:gridCol w:w="8311"/>
    </w:tblGrid>
    <w:tr w:rsidR="006B3916" w:rsidRPr="008F588A" w:rsidTr="000552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311" w:type="dxa"/>
          <w:shd w:val="clear" w:color="auto" w:fill="auto"/>
        </w:tcPr>
        <w:p w:rsidR="00055212" w:rsidRDefault="006B3916" w:rsidP="00055212">
          <w:pPr>
            <w:pStyle w:val="PBOfooter"/>
            <w:spacing w:before="120"/>
            <w:rPr>
              <w:b w:val="0"/>
            </w:rPr>
          </w:pPr>
          <w:r w:rsidRPr="00040DCE">
            <w:rPr>
              <w:b w:val="0"/>
            </w:rPr>
            <w:t>Parliamentary Budget Office   PO Box 6010   Parliam</w:t>
          </w:r>
          <w:r w:rsidR="00055212">
            <w:rPr>
              <w:b w:val="0"/>
            </w:rPr>
            <w:t>ent House   Canberra ACT 2600</w:t>
          </w:r>
        </w:p>
        <w:p w:rsidR="006B3916" w:rsidRPr="00040DCE" w:rsidRDefault="006B3916" w:rsidP="00055212">
          <w:pPr>
            <w:pStyle w:val="PBOfooter"/>
            <w:spacing w:before="120"/>
            <w:rPr>
              <w:b w:val="0"/>
            </w:rPr>
          </w:pPr>
          <w:r w:rsidRPr="00040DCE">
            <w:rPr>
              <w:b w:val="0"/>
            </w:rPr>
            <w:t>Tel: 02 6277 9500</w:t>
          </w:r>
          <w:r w:rsidR="00055212">
            <w:rPr>
              <w:b w:val="0"/>
            </w:rPr>
            <w:t xml:space="preserve">   Web: www.pbo.gov.au</w:t>
          </w:r>
        </w:p>
      </w:tc>
    </w:tr>
  </w:tbl>
  <w:p w:rsidR="006B3916" w:rsidRPr="00CB40E1" w:rsidRDefault="006B3916" w:rsidP="00055212">
    <w:pPr>
      <w:pStyle w:val="Footer"/>
      <w:spacing w:before="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16" w:rsidRPr="00055212" w:rsidRDefault="00055212" w:rsidP="0091113E">
    <w:pPr>
      <w:pStyle w:val="Footer"/>
      <w:spacing w:before="0"/>
      <w:jc w:val="right"/>
      <w:rPr>
        <w:b/>
        <w:sz w:val="20"/>
        <w:szCs w:val="20"/>
      </w:rPr>
    </w:pPr>
    <w:r w:rsidRPr="00055212">
      <w:rPr>
        <w:b/>
        <w:color w:val="788184"/>
        <w:sz w:val="20"/>
        <w:szCs w:val="20"/>
      </w:rPr>
      <w:t xml:space="preserve">Page </w:t>
    </w:r>
    <w:r w:rsidRPr="00055212">
      <w:rPr>
        <w:b/>
        <w:color w:val="788184"/>
        <w:sz w:val="20"/>
        <w:szCs w:val="20"/>
      </w:rPr>
      <w:fldChar w:fldCharType="begin"/>
    </w:r>
    <w:r w:rsidRPr="00055212">
      <w:rPr>
        <w:b/>
        <w:color w:val="788184"/>
        <w:sz w:val="20"/>
        <w:szCs w:val="20"/>
      </w:rPr>
      <w:instrText xml:space="preserve"> PAGE  \* Arabic  \* MERGEFORMAT </w:instrText>
    </w:r>
    <w:r w:rsidRPr="00055212">
      <w:rPr>
        <w:b/>
        <w:color w:val="788184"/>
        <w:sz w:val="20"/>
        <w:szCs w:val="20"/>
      </w:rPr>
      <w:fldChar w:fldCharType="separate"/>
    </w:r>
    <w:r w:rsidR="00A46B24">
      <w:rPr>
        <w:b/>
        <w:noProof/>
        <w:color w:val="788184"/>
        <w:sz w:val="20"/>
        <w:szCs w:val="20"/>
      </w:rPr>
      <w:t>2</w:t>
    </w:r>
    <w:r w:rsidRPr="00055212">
      <w:rPr>
        <w:b/>
        <w:color w:val="788184"/>
        <w:sz w:val="20"/>
        <w:szCs w:val="20"/>
      </w:rPr>
      <w:fldChar w:fldCharType="end"/>
    </w:r>
    <w:r w:rsidRPr="00055212">
      <w:rPr>
        <w:b/>
        <w:color w:val="788184"/>
        <w:sz w:val="20"/>
        <w:szCs w:val="20"/>
      </w:rPr>
      <w:t xml:space="preserve"> of </w:t>
    </w:r>
    <w:r w:rsidRPr="00055212">
      <w:rPr>
        <w:b/>
        <w:color w:val="788184"/>
        <w:sz w:val="20"/>
        <w:szCs w:val="20"/>
      </w:rPr>
      <w:fldChar w:fldCharType="begin"/>
    </w:r>
    <w:r w:rsidRPr="00055212">
      <w:rPr>
        <w:b/>
        <w:color w:val="788184"/>
        <w:sz w:val="20"/>
        <w:szCs w:val="20"/>
      </w:rPr>
      <w:instrText xml:space="preserve"> NUMPAGES  \* Arabic  \* MERGEFORMAT </w:instrText>
    </w:r>
    <w:r w:rsidRPr="00055212">
      <w:rPr>
        <w:b/>
        <w:color w:val="788184"/>
        <w:sz w:val="20"/>
        <w:szCs w:val="20"/>
      </w:rPr>
      <w:fldChar w:fldCharType="separate"/>
    </w:r>
    <w:r w:rsidR="00A46B24">
      <w:rPr>
        <w:b/>
        <w:noProof/>
        <w:color w:val="788184"/>
        <w:sz w:val="20"/>
        <w:szCs w:val="20"/>
      </w:rPr>
      <w:t>6</w:t>
    </w:r>
    <w:r w:rsidRPr="00055212">
      <w:rPr>
        <w:b/>
        <w:color w:val="788184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2" w:rsidRPr="00055212" w:rsidRDefault="00055212" w:rsidP="006370EB">
    <w:pPr>
      <w:pStyle w:val="Footer"/>
      <w:spacing w:before="0"/>
      <w:jc w:val="right"/>
      <w:rPr>
        <w:b/>
        <w:sz w:val="20"/>
        <w:szCs w:val="20"/>
      </w:rPr>
    </w:pPr>
    <w:r w:rsidRPr="00055212">
      <w:rPr>
        <w:b/>
        <w:color w:val="788184"/>
        <w:sz w:val="20"/>
        <w:szCs w:val="20"/>
      </w:rPr>
      <w:t xml:space="preserve">Page </w:t>
    </w:r>
    <w:r w:rsidRPr="00055212">
      <w:rPr>
        <w:b/>
        <w:color w:val="788184"/>
        <w:sz w:val="20"/>
        <w:szCs w:val="20"/>
      </w:rPr>
      <w:fldChar w:fldCharType="begin"/>
    </w:r>
    <w:r w:rsidRPr="00055212">
      <w:rPr>
        <w:b/>
        <w:color w:val="788184"/>
        <w:sz w:val="20"/>
        <w:szCs w:val="20"/>
      </w:rPr>
      <w:instrText xml:space="preserve"> PAGE  \* Arabic  \* MERGEFORMAT </w:instrText>
    </w:r>
    <w:r w:rsidRPr="00055212">
      <w:rPr>
        <w:b/>
        <w:color w:val="788184"/>
        <w:sz w:val="20"/>
        <w:szCs w:val="20"/>
      </w:rPr>
      <w:fldChar w:fldCharType="separate"/>
    </w:r>
    <w:r w:rsidR="00A46B24">
      <w:rPr>
        <w:b/>
        <w:noProof/>
        <w:color w:val="788184"/>
        <w:sz w:val="20"/>
        <w:szCs w:val="20"/>
      </w:rPr>
      <w:t>6</w:t>
    </w:r>
    <w:r w:rsidRPr="00055212">
      <w:rPr>
        <w:b/>
        <w:color w:val="788184"/>
        <w:sz w:val="20"/>
        <w:szCs w:val="20"/>
      </w:rPr>
      <w:fldChar w:fldCharType="end"/>
    </w:r>
    <w:r w:rsidRPr="00055212">
      <w:rPr>
        <w:b/>
        <w:color w:val="788184"/>
        <w:sz w:val="20"/>
        <w:szCs w:val="20"/>
      </w:rPr>
      <w:t xml:space="preserve"> of </w:t>
    </w:r>
    <w:r w:rsidRPr="00055212">
      <w:rPr>
        <w:b/>
        <w:color w:val="788184"/>
        <w:sz w:val="20"/>
        <w:szCs w:val="20"/>
      </w:rPr>
      <w:fldChar w:fldCharType="begin"/>
    </w:r>
    <w:r w:rsidRPr="00055212">
      <w:rPr>
        <w:b/>
        <w:color w:val="788184"/>
        <w:sz w:val="20"/>
        <w:szCs w:val="20"/>
      </w:rPr>
      <w:instrText xml:space="preserve"> NUMPAGES  \* Arabic  \* MERGEFORMAT </w:instrText>
    </w:r>
    <w:r w:rsidRPr="00055212">
      <w:rPr>
        <w:b/>
        <w:color w:val="788184"/>
        <w:sz w:val="20"/>
        <w:szCs w:val="20"/>
      </w:rPr>
      <w:fldChar w:fldCharType="separate"/>
    </w:r>
    <w:r w:rsidR="00A46B24">
      <w:rPr>
        <w:b/>
        <w:noProof/>
        <w:color w:val="788184"/>
        <w:sz w:val="20"/>
        <w:szCs w:val="20"/>
      </w:rPr>
      <w:t>6</w:t>
    </w:r>
    <w:r w:rsidRPr="00055212">
      <w:rPr>
        <w:b/>
        <w:color w:val="78818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16" w:rsidRDefault="006B3916" w:rsidP="008F588A">
      <w:pPr>
        <w:spacing w:line="240" w:lineRule="auto"/>
      </w:pPr>
      <w:r>
        <w:separator/>
      </w:r>
    </w:p>
  </w:footnote>
  <w:footnote w:type="continuationSeparator" w:id="0">
    <w:p w:rsidR="006B3916" w:rsidRDefault="006B391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12" w:rsidRPr="00055212" w:rsidRDefault="006B3916" w:rsidP="00CB40E1">
    <w:pPr>
      <w:pStyle w:val="Header"/>
      <w:spacing w:before="360" w:after="280"/>
      <w:rPr>
        <w:b/>
        <w:color w:val="788184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D5B135" wp14:editId="27FBFD92">
              <wp:simplePos x="0" y="0"/>
              <wp:positionH relativeFrom="column">
                <wp:posOffset>2265825</wp:posOffset>
              </wp:positionH>
              <wp:positionV relativeFrom="paragraph">
                <wp:posOffset>-97790</wp:posOffset>
              </wp:positionV>
              <wp:extent cx="3013710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916" w:rsidRDefault="006B3916" w:rsidP="00DA1C8A">
                          <w:pPr>
                            <w:spacing w:before="0"/>
                            <w:ind w:right="-113"/>
                            <w:jc w:val="right"/>
                          </w:pPr>
                          <w:r w:rsidRPr="0092572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Sensitive—until publicly released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8.4pt;margin-top:-7.7pt;width:237.3pt;height: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" filled="f" stroked="f" strokeweight=".5pt">
              <v:textbox>
                <w:txbxContent>
                  <w:p w:rsidR="006B3916" w:rsidRDefault="006B3916" w:rsidP="00DA1C8A">
                    <w:pPr>
                      <w:spacing w:before="0"/>
                      <w:ind w:right="-113"/>
                      <w:jc w:val="right"/>
                    </w:pPr>
                    <w:r w:rsidRPr="0092572B">
                      <w:rPr>
                        <w:b/>
                        <w:color w:val="FF0000"/>
                        <w:sz w:val="28"/>
                        <w:szCs w:val="28"/>
                      </w:rPr>
                      <w:t>Sensitive—until publicly released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16" w:rsidRDefault="006B3916" w:rsidP="00CB40E1">
    <w:pPr>
      <w:pStyle w:val="Header"/>
    </w:pPr>
    <w:r>
      <w:rPr>
        <w:noProof/>
        <w:lang w:eastAsia="en-AU"/>
      </w:rPr>
      <w:drawing>
        <wp:inline distT="0" distB="0" distL="0" distR="0" wp14:anchorId="4948898E" wp14:editId="7ED1EAB1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916" w:rsidRPr="00DA1C8A" w:rsidRDefault="006B3916" w:rsidP="00C918C3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16" w:rsidRDefault="00055212" w:rsidP="00CB40E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A5F33" wp14:editId="7352D202">
              <wp:simplePos x="0" y="0"/>
              <wp:positionH relativeFrom="column">
                <wp:posOffset>2267095</wp:posOffset>
              </wp:positionH>
              <wp:positionV relativeFrom="paragraph">
                <wp:posOffset>-93345</wp:posOffset>
              </wp:positionV>
              <wp:extent cx="3013710" cy="406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916" w:rsidRDefault="006B3916" w:rsidP="00DA1C8A">
                          <w:pPr>
                            <w:spacing w:before="0"/>
                            <w:ind w:right="-113"/>
                            <w:jc w:val="right"/>
                          </w:pPr>
                          <w:r w:rsidRPr="0092572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Sensitive—until publicly released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8.5pt;margin-top:-7.35pt;width:237.3pt;height: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" filled="f" stroked="f" strokeweight=".5pt">
              <v:textbox>
                <w:txbxContent>
                  <w:p w:rsidR="006B3916" w:rsidRDefault="006B3916" w:rsidP="00DA1C8A">
                    <w:pPr>
                      <w:spacing w:before="0"/>
                      <w:ind w:right="-113"/>
                      <w:jc w:val="right"/>
                    </w:pPr>
                    <w:r w:rsidRPr="0092572B">
                      <w:rPr>
                        <w:b/>
                        <w:color w:val="FF0000"/>
                        <w:sz w:val="28"/>
                        <w:szCs w:val="28"/>
                      </w:rPr>
                      <w:t>Sensitive—until publicly released</w:t>
                    </w:r>
                  </w:p>
                </w:txbxContent>
              </v:textbox>
            </v:shape>
          </w:pict>
        </mc:Fallback>
      </mc:AlternateContent>
    </w:r>
    <w:r w:rsidR="006B3916">
      <w:rPr>
        <w:noProof/>
        <w:lang w:eastAsia="en-AU"/>
      </w:rPr>
      <w:drawing>
        <wp:inline distT="0" distB="0" distL="0" distR="0" wp14:anchorId="4B4F968E" wp14:editId="474F9AC7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16" w:rsidRPr="006370EB" w:rsidRDefault="006370EB" w:rsidP="006370EB">
    <w:pPr>
      <w:pStyle w:val="Header"/>
      <w:spacing w:before="360" w:after="280"/>
      <w:rPr>
        <w:b/>
        <w:color w:val="788184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575E6B" wp14:editId="58CE0BC8">
              <wp:simplePos x="0" y="0"/>
              <wp:positionH relativeFrom="column">
                <wp:posOffset>2265825</wp:posOffset>
              </wp:positionH>
              <wp:positionV relativeFrom="paragraph">
                <wp:posOffset>-97790</wp:posOffset>
              </wp:positionV>
              <wp:extent cx="3013710" cy="406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70EB" w:rsidRDefault="006370EB" w:rsidP="006370EB">
                          <w:pPr>
                            <w:spacing w:before="0"/>
                            <w:ind w:right="-113"/>
                            <w:jc w:val="right"/>
                          </w:pPr>
                          <w:r w:rsidRPr="0092572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Sensitive—until publicly released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8.4pt;margin-top:-7.7pt;width:237.3pt;height: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" filled="f" stroked="f" strokeweight=".5pt">
              <v:textbox>
                <w:txbxContent>
                  <w:p w:rsidR="006370EB" w:rsidRDefault="006370EB" w:rsidP="006370EB">
                    <w:pPr>
                      <w:spacing w:before="0"/>
                      <w:ind w:right="-113"/>
                      <w:jc w:val="right"/>
                    </w:pPr>
                    <w:r w:rsidRPr="0092572B">
                      <w:rPr>
                        <w:b/>
                        <w:color w:val="FF0000"/>
                        <w:sz w:val="28"/>
                        <w:szCs w:val="28"/>
                      </w:rPr>
                      <w:t>Sensitive—until publicly released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84C3E46"/>
    <w:multiLevelType w:val="hybridMultilevel"/>
    <w:tmpl w:val="AE044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19DE2101"/>
    <w:multiLevelType w:val="hybridMultilevel"/>
    <w:tmpl w:val="E858007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2A1E7EAD"/>
    <w:multiLevelType w:val="hybridMultilevel"/>
    <w:tmpl w:val="499899E6"/>
    <w:lvl w:ilvl="0" w:tplc="C5946D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4A666362"/>
    <w:multiLevelType w:val="hybridMultilevel"/>
    <w:tmpl w:val="543AAAEE"/>
    <w:lvl w:ilvl="0" w:tplc="84C2A1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8A"/>
    <w:rsid w:val="00006929"/>
    <w:rsid w:val="00040DCE"/>
    <w:rsid w:val="00055212"/>
    <w:rsid w:val="00096F3A"/>
    <w:rsid w:val="000A146C"/>
    <w:rsid w:val="000A750E"/>
    <w:rsid w:val="000F276A"/>
    <w:rsid w:val="001025BC"/>
    <w:rsid w:val="00122815"/>
    <w:rsid w:val="0013700B"/>
    <w:rsid w:val="0014239B"/>
    <w:rsid w:val="00181747"/>
    <w:rsid w:val="001A02D1"/>
    <w:rsid w:val="001B480D"/>
    <w:rsid w:val="001C60AC"/>
    <w:rsid w:val="001E0786"/>
    <w:rsid w:val="00214502"/>
    <w:rsid w:val="00216784"/>
    <w:rsid w:val="00233034"/>
    <w:rsid w:val="002359A3"/>
    <w:rsid w:val="0023727E"/>
    <w:rsid w:val="00240FC8"/>
    <w:rsid w:val="002504BF"/>
    <w:rsid w:val="002605D1"/>
    <w:rsid w:val="00284CC5"/>
    <w:rsid w:val="002D2071"/>
    <w:rsid w:val="002E7C74"/>
    <w:rsid w:val="002F2ED7"/>
    <w:rsid w:val="00303E23"/>
    <w:rsid w:val="00326DE2"/>
    <w:rsid w:val="00327378"/>
    <w:rsid w:val="0035044C"/>
    <w:rsid w:val="00356B9E"/>
    <w:rsid w:val="00375D97"/>
    <w:rsid w:val="00395ABC"/>
    <w:rsid w:val="003A18CB"/>
    <w:rsid w:val="003A241E"/>
    <w:rsid w:val="003B22A4"/>
    <w:rsid w:val="003E2F83"/>
    <w:rsid w:val="003F2E19"/>
    <w:rsid w:val="0042470B"/>
    <w:rsid w:val="004708D6"/>
    <w:rsid w:val="004711DB"/>
    <w:rsid w:val="00481867"/>
    <w:rsid w:val="00482D28"/>
    <w:rsid w:val="004C283B"/>
    <w:rsid w:val="004E71B9"/>
    <w:rsid w:val="00500F2D"/>
    <w:rsid w:val="0050214B"/>
    <w:rsid w:val="00515A85"/>
    <w:rsid w:val="005338F6"/>
    <w:rsid w:val="0055581F"/>
    <w:rsid w:val="00570154"/>
    <w:rsid w:val="005C4958"/>
    <w:rsid w:val="005C623C"/>
    <w:rsid w:val="005D71E7"/>
    <w:rsid w:val="005E3562"/>
    <w:rsid w:val="005F7DE0"/>
    <w:rsid w:val="006027C4"/>
    <w:rsid w:val="006370EB"/>
    <w:rsid w:val="00640346"/>
    <w:rsid w:val="00660385"/>
    <w:rsid w:val="006B3916"/>
    <w:rsid w:val="007202A8"/>
    <w:rsid w:val="007B029A"/>
    <w:rsid w:val="007C65AE"/>
    <w:rsid w:val="007D4425"/>
    <w:rsid w:val="007D752B"/>
    <w:rsid w:val="008030EC"/>
    <w:rsid w:val="00834A71"/>
    <w:rsid w:val="008C5FD5"/>
    <w:rsid w:val="008D3909"/>
    <w:rsid w:val="008F24C4"/>
    <w:rsid w:val="008F588A"/>
    <w:rsid w:val="00902D2D"/>
    <w:rsid w:val="0091113E"/>
    <w:rsid w:val="009206D0"/>
    <w:rsid w:val="009224D5"/>
    <w:rsid w:val="009632D9"/>
    <w:rsid w:val="009963ED"/>
    <w:rsid w:val="009B2A28"/>
    <w:rsid w:val="009D292E"/>
    <w:rsid w:val="00A41BD3"/>
    <w:rsid w:val="00A46B24"/>
    <w:rsid w:val="00AE7810"/>
    <w:rsid w:val="00AF0686"/>
    <w:rsid w:val="00B029B0"/>
    <w:rsid w:val="00B06055"/>
    <w:rsid w:val="00B108AF"/>
    <w:rsid w:val="00B2046E"/>
    <w:rsid w:val="00B21F24"/>
    <w:rsid w:val="00B22E79"/>
    <w:rsid w:val="00B34E74"/>
    <w:rsid w:val="00B747A7"/>
    <w:rsid w:val="00BA06BE"/>
    <w:rsid w:val="00BC559C"/>
    <w:rsid w:val="00BE00B8"/>
    <w:rsid w:val="00BE186E"/>
    <w:rsid w:val="00BF39BE"/>
    <w:rsid w:val="00C527E6"/>
    <w:rsid w:val="00C61AA3"/>
    <w:rsid w:val="00C61CCF"/>
    <w:rsid w:val="00C6355A"/>
    <w:rsid w:val="00C918C3"/>
    <w:rsid w:val="00C9331A"/>
    <w:rsid w:val="00CA0B0C"/>
    <w:rsid w:val="00CA5D42"/>
    <w:rsid w:val="00CB40E1"/>
    <w:rsid w:val="00CF6DB6"/>
    <w:rsid w:val="00D134CA"/>
    <w:rsid w:val="00D90A64"/>
    <w:rsid w:val="00DA1C8A"/>
    <w:rsid w:val="00DB44F0"/>
    <w:rsid w:val="00DD109E"/>
    <w:rsid w:val="00E12103"/>
    <w:rsid w:val="00E15AAE"/>
    <w:rsid w:val="00F25A61"/>
    <w:rsid w:val="00F52474"/>
    <w:rsid w:val="00F5669E"/>
    <w:rsid w:val="00F81BC1"/>
    <w:rsid w:val="00F954CF"/>
    <w:rsid w:val="00FA0840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0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918C3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Heading"/>
    <w:qFormat/>
    <w:rsid w:val="00DA1C8A"/>
    <w:pPr>
      <w:jc w:val="center"/>
    </w:p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PBOfooter">
    <w:name w:val="PBO footer"/>
    <w:basedOn w:val="Footer"/>
    <w:qFormat/>
    <w:rsid w:val="00040DCE"/>
    <w:pPr>
      <w:ind w:right="-618" w:hanging="709"/>
      <w:jc w:val="center"/>
    </w:pPr>
    <w:rPr>
      <w:rFonts w:ascii="Arial" w:hAnsi="Arial" w:cs="Arial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E3562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E3562"/>
    <w:rPr>
      <w:b/>
      <w:bCs/>
      <w:color w:val="1F497D" w:themeColor="text2"/>
      <w:spacing w:val="-4"/>
    </w:rPr>
  </w:style>
  <w:style w:type="paragraph" w:customStyle="1" w:styleId="Bullet1">
    <w:name w:val="Bullet 1"/>
    <w:basedOn w:val="TableTextBullet1"/>
    <w:link w:val="Bullet1Char"/>
    <w:qFormat/>
    <w:rsid w:val="001A02D1"/>
    <w:pPr>
      <w:ind w:left="624" w:hanging="170"/>
    </w:pPr>
  </w:style>
  <w:style w:type="paragraph" w:customStyle="1" w:styleId="Bullet2">
    <w:name w:val="Bullet 2"/>
    <w:basedOn w:val="TableTextBullet2"/>
    <w:link w:val="Bullet2Char"/>
    <w:qFormat/>
    <w:rsid w:val="00DD109E"/>
    <w:pPr>
      <w:ind w:left="568"/>
    </w:p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1A02D1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1A02D1"/>
    <w:pPr>
      <w:ind w:left="851"/>
    </w:p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DD109E"/>
    <w:rPr>
      <w:rFonts w:cs="Times New Roman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918C3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1A02D1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CA5D42"/>
    <w:pPr>
      <w:numPr>
        <w:numId w:val="6"/>
      </w:numPr>
      <w:spacing w:before="0"/>
      <w:ind w:left="284" w:hanging="284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qFormat/>
    <w:rsid w:val="00CA5D42"/>
    <w:pPr>
      <w:spacing w:before="0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CA5D42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A5D42"/>
    <w:rPr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8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8F6"/>
    <w:pPr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8F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8F6"/>
    <w:rPr>
      <w:vertAlign w:val="superscript"/>
    </w:rPr>
  </w:style>
  <w:style w:type="paragraph" w:styleId="Revision">
    <w:name w:val="Revision"/>
    <w:hidden/>
    <w:uiPriority w:val="99"/>
    <w:semiHidden/>
    <w:rsid w:val="00395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0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918C3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Heading"/>
    <w:qFormat/>
    <w:rsid w:val="00DA1C8A"/>
    <w:pPr>
      <w:jc w:val="center"/>
    </w:p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PBOfooter">
    <w:name w:val="PBO footer"/>
    <w:basedOn w:val="Footer"/>
    <w:qFormat/>
    <w:rsid w:val="00040DCE"/>
    <w:pPr>
      <w:ind w:right="-618" w:hanging="709"/>
      <w:jc w:val="center"/>
    </w:pPr>
    <w:rPr>
      <w:rFonts w:ascii="Arial" w:hAnsi="Arial" w:cs="Arial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E3562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E3562"/>
    <w:rPr>
      <w:b/>
      <w:bCs/>
      <w:color w:val="1F497D" w:themeColor="text2"/>
      <w:spacing w:val="-4"/>
    </w:rPr>
  </w:style>
  <w:style w:type="paragraph" w:customStyle="1" w:styleId="Bullet1">
    <w:name w:val="Bullet 1"/>
    <w:basedOn w:val="TableTextBullet1"/>
    <w:link w:val="Bullet1Char"/>
    <w:qFormat/>
    <w:rsid w:val="001A02D1"/>
    <w:pPr>
      <w:ind w:left="624" w:hanging="170"/>
    </w:pPr>
  </w:style>
  <w:style w:type="paragraph" w:customStyle="1" w:styleId="Bullet2">
    <w:name w:val="Bullet 2"/>
    <w:basedOn w:val="TableTextBullet2"/>
    <w:link w:val="Bullet2Char"/>
    <w:qFormat/>
    <w:rsid w:val="00DD109E"/>
    <w:pPr>
      <w:ind w:left="568"/>
    </w:p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1A02D1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1A02D1"/>
    <w:pPr>
      <w:ind w:left="851"/>
    </w:p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DD109E"/>
    <w:rPr>
      <w:rFonts w:cs="Times New Roman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918C3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1A02D1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CA5D42"/>
    <w:pPr>
      <w:numPr>
        <w:numId w:val="6"/>
      </w:numPr>
      <w:spacing w:before="0"/>
      <w:ind w:left="284" w:hanging="284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qFormat/>
    <w:rsid w:val="00CA5D42"/>
    <w:pPr>
      <w:spacing w:before="0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CA5D42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A5D42"/>
    <w:rPr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8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8F6"/>
    <w:pPr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8F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8F6"/>
    <w:rPr>
      <w:vertAlign w:val="superscript"/>
    </w:rPr>
  </w:style>
  <w:style w:type="paragraph" w:styleId="Revision">
    <w:name w:val="Revision"/>
    <w:hidden/>
    <w:uiPriority w:val="99"/>
    <w:semiHidden/>
    <w:rsid w:val="00395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bo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BA8D-40E7-4B45-82B2-7013A910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1183</Words>
  <Characters>6838</Characters>
  <Application>Microsoft Office Word</Application>
  <DocSecurity>0</DocSecurity>
  <Lines>683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PBO@pbo.gov.au</dc:creator>
  <cp:lastModifiedBy>Milligan, Louise (PBO)</cp:lastModifiedBy>
  <cp:revision>47</cp:revision>
  <cp:lastPrinted>2016-05-17T04:09:00Z</cp:lastPrinted>
  <dcterms:created xsi:type="dcterms:W3CDTF">2016-05-12T05:50:00Z</dcterms:created>
  <dcterms:modified xsi:type="dcterms:W3CDTF">2016-05-17T04:22:00Z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