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E96C2C" w:rsidP="00C17112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040DCE" w:rsidRPr="00002D5D" w:rsidRDefault="00E96C2C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E96C2C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proofErr w:type="gramStart"/>
      <w:r w:rsidR="00443F98" w:rsidRPr="00443F98">
        <w:rPr>
          <w:i/>
        </w:rPr>
        <w:t>Living</w:t>
      </w:r>
      <w:proofErr w:type="gramEnd"/>
      <w:r w:rsidR="00443F98" w:rsidRPr="00443F98">
        <w:rPr>
          <w:i/>
        </w:rPr>
        <w:t xml:space="preserve"> with Global Warming: Climate Adaptation</w:t>
      </w:r>
      <w:r w:rsidR="00443F98" w:rsidRPr="00443F98">
        <w:t xml:space="preserve"> </w:t>
      </w:r>
      <w:r w:rsidRPr="00002D5D">
        <w:t xml:space="preserve">(letter of </w:t>
      </w:r>
      <w:r w:rsidR="00443F98">
        <w:t>27 June</w:t>
      </w:r>
      <w:r w:rsidRPr="00002D5D">
        <w:t xml:space="preserve"> 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443F98" w:rsidP="00C17112">
      <w:pPr>
        <w:spacing w:before="12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420" w:type="dxa"/>
        <w:tblLayout w:type="fixed"/>
        <w:tblLook w:val="04A0" w:firstRow="1" w:lastRow="0" w:firstColumn="1" w:lastColumn="0" w:noHBand="0" w:noVBand="1"/>
      </w:tblPr>
      <w:tblGrid>
        <w:gridCol w:w="3085"/>
        <w:gridCol w:w="5335"/>
      </w:tblGrid>
      <w:tr w:rsidR="0029517C" w:rsidRPr="002B03E7" w:rsidTr="009A3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</w:tcPr>
          <w:p w:rsidR="004D5525" w:rsidRPr="002B03E7" w:rsidRDefault="004D5525" w:rsidP="004D5525">
            <w:pPr>
              <w:pStyle w:val="BodyText"/>
              <w:rPr>
                <w:sz w:val="22"/>
              </w:rPr>
            </w:pPr>
            <w:r w:rsidRPr="002B03E7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2B03E7" w:rsidRDefault="00443F98" w:rsidP="004D5525">
            <w:pPr>
              <w:pStyle w:val="BodyText"/>
              <w:rPr>
                <w:sz w:val="22"/>
              </w:rPr>
            </w:pPr>
            <w:r w:rsidRPr="002B03E7">
              <w:rPr>
                <w:sz w:val="22"/>
              </w:rPr>
              <w:t>Living with Global Warming: Climate Adaptation</w:t>
            </w:r>
          </w:p>
        </w:tc>
      </w:tr>
      <w:tr w:rsidR="0029517C" w:rsidTr="009A37EE">
        <w:tc>
          <w:tcPr>
            <w:tcW w:w="3085" w:type="dxa"/>
          </w:tcPr>
          <w:p w:rsidR="004D5525" w:rsidRPr="000B07D9" w:rsidRDefault="004D5525" w:rsidP="004D5525">
            <w:pPr>
              <w:pStyle w:val="BodyText"/>
            </w:pPr>
            <w:r w:rsidRPr="000B07D9">
              <w:t>Summary of proposal:</w:t>
            </w:r>
          </w:p>
        </w:tc>
        <w:tc>
          <w:tcPr>
            <w:tcW w:w="5335" w:type="dxa"/>
          </w:tcPr>
          <w:p w:rsidR="000B07D9" w:rsidRDefault="00EB566C" w:rsidP="000B07D9">
            <w:r w:rsidRPr="00EB566C">
              <w:t xml:space="preserve">The proposal is comprised of </w:t>
            </w:r>
            <w:r>
              <w:t>the following</w:t>
            </w:r>
            <w:r w:rsidR="00BE58DD">
              <w:t xml:space="preserve"> three</w:t>
            </w:r>
            <w:r>
              <w:t xml:space="preserve"> </w:t>
            </w:r>
            <w:r w:rsidRPr="00EB566C">
              <w:t>components</w:t>
            </w:r>
            <w:r>
              <w:t>:</w:t>
            </w:r>
          </w:p>
          <w:p w:rsidR="00EB566C" w:rsidRPr="00EB566C" w:rsidRDefault="00EB566C" w:rsidP="000B07D9">
            <w:pPr>
              <w:rPr>
                <w:u w:val="single"/>
              </w:rPr>
            </w:pPr>
            <w:r>
              <w:rPr>
                <w:u w:val="single"/>
              </w:rPr>
              <w:t>Component 1:</w:t>
            </w:r>
          </w:p>
          <w:p w:rsidR="000B07D9" w:rsidRDefault="00D56365" w:rsidP="000B07D9">
            <w:pPr>
              <w:pStyle w:val="Bullet1"/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0B07D9" w:rsidRPr="000B07D9">
              <w:rPr>
                <w:rFonts w:eastAsiaTheme="minorHAnsi"/>
              </w:rPr>
              <w:t>rovide $10 million per year for five years to the National Climate Change Adaptation Research Facility</w:t>
            </w:r>
            <w:r w:rsidR="00EB566C">
              <w:rPr>
                <w:rFonts w:eastAsiaTheme="minorHAnsi"/>
              </w:rPr>
              <w:t>.</w:t>
            </w:r>
          </w:p>
          <w:p w:rsidR="00EB566C" w:rsidRPr="000B07D9" w:rsidRDefault="00EB566C" w:rsidP="00EB566C">
            <w:r>
              <w:rPr>
                <w:u w:val="single"/>
              </w:rPr>
              <w:t>Component 2:</w:t>
            </w:r>
          </w:p>
          <w:p w:rsidR="0042710B" w:rsidRDefault="00D56365" w:rsidP="000B07D9">
            <w:pPr>
              <w:pStyle w:val="Bullet1"/>
              <w:rPr>
                <w:rFonts w:eastAsiaTheme="minorHAnsi"/>
              </w:rPr>
            </w:pPr>
            <w:r>
              <w:rPr>
                <w:rFonts w:eastAsiaTheme="minorHAnsi"/>
              </w:rPr>
              <w:t>E</w:t>
            </w:r>
            <w:r w:rsidR="000B07D9" w:rsidRPr="000B07D9">
              <w:rPr>
                <w:rFonts w:eastAsiaTheme="minorHAnsi"/>
              </w:rPr>
              <w:t xml:space="preserve">stablish a new National Partnership Agreement with the state and territory governments for climate adaptation and disaster preparedness.  </w:t>
            </w:r>
            <w:r w:rsidR="0042710B">
              <w:rPr>
                <w:rFonts w:eastAsiaTheme="minorHAnsi"/>
              </w:rPr>
              <w:t>Grants for specific purposes</w:t>
            </w:r>
            <w:r w:rsidR="00D82489">
              <w:rPr>
                <w:rFonts w:eastAsiaTheme="minorHAnsi"/>
              </w:rPr>
              <w:t xml:space="preserve">, indexed at the </w:t>
            </w:r>
            <w:r w:rsidR="00D82489" w:rsidRPr="000B07D9">
              <w:rPr>
                <w:rFonts w:eastAsiaTheme="minorHAnsi"/>
              </w:rPr>
              <w:t>CPI</w:t>
            </w:r>
            <w:r w:rsidR="00D82489">
              <w:rPr>
                <w:rFonts w:eastAsiaTheme="minorHAnsi"/>
              </w:rPr>
              <w:t>,</w:t>
            </w:r>
            <w:r w:rsidR="0042710B">
              <w:rPr>
                <w:rFonts w:eastAsiaTheme="minorHAnsi"/>
              </w:rPr>
              <w:t xml:space="preserve"> would be</w:t>
            </w:r>
            <w:r>
              <w:rPr>
                <w:rFonts w:eastAsiaTheme="minorHAnsi"/>
              </w:rPr>
              <w:t xml:space="preserve"> for:</w:t>
            </w:r>
          </w:p>
          <w:p w:rsidR="000B07D9" w:rsidRPr="000B07D9" w:rsidRDefault="000B07D9" w:rsidP="000B07D9">
            <w:pPr>
              <w:pStyle w:val="Bullet2"/>
              <w:rPr>
                <w:rFonts w:eastAsiaTheme="minorHAnsi"/>
              </w:rPr>
            </w:pPr>
            <w:r w:rsidRPr="000B07D9">
              <w:rPr>
                <w:rFonts w:eastAsiaTheme="minorHAnsi"/>
                <w:i/>
              </w:rPr>
              <w:t>Backing our emergency workers</w:t>
            </w:r>
            <w:r w:rsidRPr="000B07D9">
              <w:rPr>
                <w:rFonts w:eastAsiaTheme="minorHAnsi"/>
              </w:rPr>
              <w:t xml:space="preserve"> </w:t>
            </w:r>
            <w:r w:rsidR="00D56365">
              <w:rPr>
                <w:rFonts w:eastAsiaTheme="minorHAnsi"/>
              </w:rPr>
              <w:t>for firefighting and emergency services resources</w:t>
            </w:r>
            <w:r w:rsidRPr="000B07D9">
              <w:rPr>
                <w:rFonts w:eastAsiaTheme="minorHAnsi"/>
              </w:rPr>
              <w:t>.</w:t>
            </w:r>
          </w:p>
          <w:p w:rsidR="00D56365" w:rsidRDefault="000B07D9" w:rsidP="000B07D9">
            <w:pPr>
              <w:pStyle w:val="Bullet2"/>
              <w:rPr>
                <w:rFonts w:eastAsiaTheme="minorHAnsi"/>
              </w:rPr>
            </w:pPr>
            <w:r w:rsidRPr="000B07D9">
              <w:rPr>
                <w:rFonts w:eastAsiaTheme="minorHAnsi"/>
                <w:i/>
              </w:rPr>
              <w:t>Preparing for extreme weather</w:t>
            </w:r>
            <w:r w:rsidRPr="000B07D9">
              <w:rPr>
                <w:rFonts w:eastAsiaTheme="minorHAnsi"/>
              </w:rPr>
              <w:t xml:space="preserve"> </w:t>
            </w:r>
            <w:r w:rsidR="00D56365">
              <w:rPr>
                <w:rFonts w:eastAsiaTheme="minorHAnsi"/>
              </w:rPr>
              <w:t>for climate</w:t>
            </w:r>
            <w:r w:rsidR="00D56365">
              <w:rPr>
                <w:rFonts w:eastAsiaTheme="minorHAnsi"/>
              </w:rPr>
              <w:noBreakHyphen/>
              <w:t>related disaster preparedness measures for both physical infrastructure and social and community resilience.</w:t>
            </w:r>
          </w:p>
          <w:p w:rsidR="00EB566C" w:rsidRPr="000B07D9" w:rsidRDefault="00EB566C" w:rsidP="00EB566C">
            <w:r>
              <w:rPr>
                <w:u w:val="single"/>
              </w:rPr>
              <w:t>Component 3:</w:t>
            </w:r>
          </w:p>
          <w:p w:rsidR="000B07D9" w:rsidRPr="000B07D9" w:rsidRDefault="00D56365" w:rsidP="002F0749">
            <w:pPr>
              <w:pStyle w:val="Bullet1"/>
              <w:rPr>
                <w:rFonts w:eastAsiaTheme="minorHAnsi"/>
              </w:rPr>
            </w:pPr>
            <w:r>
              <w:rPr>
                <w:rFonts w:eastAsiaTheme="minorHAnsi"/>
              </w:rPr>
              <w:t>E</w:t>
            </w:r>
            <w:r w:rsidR="000B07D9" w:rsidRPr="000B07D9">
              <w:rPr>
                <w:rFonts w:eastAsiaTheme="minorHAnsi"/>
              </w:rPr>
              <w:t>stablish a national coordinating body</w:t>
            </w:r>
            <w:r w:rsidR="000B07D9" w:rsidRPr="00DC2E19">
              <w:rPr>
                <w:rFonts w:eastAsiaTheme="minorHAnsi"/>
              </w:rPr>
              <w:t>, the Office of Climate Adaptation and Sea Level Rise,</w:t>
            </w:r>
            <w:r w:rsidR="000B07D9" w:rsidRPr="000B07D9">
              <w:rPr>
                <w:rFonts w:eastAsiaTheme="minorHAnsi"/>
              </w:rPr>
              <w:t xml:space="preserve"> funded at</w:t>
            </w:r>
            <w:r w:rsidR="00CD7BE8">
              <w:rPr>
                <w:rFonts w:eastAsiaTheme="minorHAnsi"/>
              </w:rPr>
              <w:t xml:space="preserve"> $5 million per year, indexed </w:t>
            </w:r>
            <w:r w:rsidR="000F627C">
              <w:rPr>
                <w:rFonts w:eastAsiaTheme="minorHAnsi"/>
              </w:rPr>
              <w:t xml:space="preserve">at </w:t>
            </w:r>
            <w:r w:rsidR="00732529">
              <w:rPr>
                <w:rFonts w:eastAsiaTheme="minorHAnsi"/>
              </w:rPr>
              <w:t xml:space="preserve">the </w:t>
            </w:r>
            <w:r w:rsidR="000B07D9" w:rsidRPr="000B07D9">
              <w:rPr>
                <w:rFonts w:eastAsiaTheme="minorHAnsi"/>
              </w:rPr>
              <w:t>CPI.</w:t>
            </w:r>
          </w:p>
          <w:p w:rsidR="000B07D9" w:rsidRDefault="000B07D9" w:rsidP="0009371F">
            <w:r w:rsidRPr="000B07D9">
              <w:t>The proposal would have effect from 1 September 2016</w:t>
            </w:r>
            <w:r w:rsidR="00931B9C">
              <w:t xml:space="preserve"> and would be in place </w:t>
            </w:r>
            <w:r w:rsidR="006A3DB0">
              <w:t>until 30 June 2026</w:t>
            </w:r>
            <w:r w:rsidR="00EB566C">
              <w:t>.</w:t>
            </w:r>
          </w:p>
          <w:p w:rsidR="00EB566C" w:rsidRPr="00EB566C" w:rsidRDefault="00EB566C" w:rsidP="00EB566C">
            <w:pPr>
              <w:keepLines/>
              <w:spacing w:before="0" w:after="113"/>
              <w:rPr>
                <w:rFonts w:cs="Times New Roman"/>
                <w:spacing w:val="-1"/>
                <w:lang w:eastAsia="en-AU"/>
              </w:rPr>
            </w:pPr>
            <w:r w:rsidRPr="00EB566C">
              <w:rPr>
                <w:rFonts w:cs="Times New Roman"/>
                <w:spacing w:val="-1"/>
                <w:lang w:eastAsia="en-AU"/>
              </w:rPr>
              <w:t>The detailed funding profile to 2025</w:t>
            </w:r>
            <w:r w:rsidRPr="00EB566C">
              <w:rPr>
                <w:rFonts w:cs="Times New Roman"/>
                <w:spacing w:val="-1"/>
                <w:lang w:eastAsia="en-AU"/>
              </w:rPr>
              <w:noBreakHyphen/>
              <w:t xml:space="preserve">26 of the proposal is set out at </w:t>
            </w:r>
            <w:r w:rsidRPr="00EB566C">
              <w:rPr>
                <w:rFonts w:cs="Times New Roman"/>
                <w:spacing w:val="-1"/>
                <w:u w:val="single"/>
                <w:lang w:eastAsia="en-AU"/>
              </w:rPr>
              <w:t>Attachment A.</w:t>
            </w:r>
          </w:p>
          <w:p w:rsidR="004D5525" w:rsidRPr="000B07D9" w:rsidRDefault="000B07D9" w:rsidP="0009371F">
            <w:r w:rsidRPr="000B07D9">
              <w:t>Departmental costs would be met from within the capped funding amounts.</w:t>
            </w:r>
          </w:p>
        </w:tc>
      </w:tr>
      <w:tr w:rsidR="0029517C" w:rsidTr="009A37EE">
        <w:tc>
          <w:tcPr>
            <w:tcW w:w="308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0B07D9" w:rsidP="004D5525">
            <w:pPr>
              <w:pStyle w:val="BodyText"/>
            </w:pPr>
            <w:r w:rsidRPr="000B07D9">
              <w:t>Senator Richard Di Natale, Australian Greens</w:t>
            </w:r>
          </w:p>
        </w:tc>
      </w:tr>
      <w:tr w:rsidR="0029517C" w:rsidTr="009A37EE">
        <w:tc>
          <w:tcPr>
            <w:tcW w:w="3085" w:type="dxa"/>
          </w:tcPr>
          <w:p w:rsidR="00492487" w:rsidRDefault="00492487" w:rsidP="00FE6D60">
            <w:pPr>
              <w:pStyle w:val="BodyText"/>
              <w:keepNext/>
              <w:keepLines/>
            </w:pPr>
            <w:r>
              <w:lastRenderedPageBreak/>
              <w:t>Date of public release of policy:</w:t>
            </w:r>
          </w:p>
        </w:tc>
        <w:tc>
          <w:tcPr>
            <w:tcW w:w="5335" w:type="dxa"/>
          </w:tcPr>
          <w:p w:rsidR="0029517C" w:rsidRDefault="00732529" w:rsidP="00FE6D60">
            <w:pPr>
              <w:pStyle w:val="BodyText"/>
              <w:keepNext/>
              <w:keepLines/>
            </w:pPr>
            <w:r>
              <w:t xml:space="preserve">1 </w:t>
            </w:r>
            <w:r w:rsidR="00492487">
              <w:t>June 2016</w:t>
            </w:r>
          </w:p>
          <w:p w:rsidR="006160BA" w:rsidRPr="00C17112" w:rsidRDefault="00F9053D" w:rsidP="00FE6D60">
            <w:pPr>
              <w:pStyle w:val="BodyText"/>
              <w:keepNext/>
              <w:keepLines/>
            </w:pPr>
            <w:hyperlink r:id="rId13" w:history="1">
              <w:r w:rsidR="00477DD6" w:rsidRPr="00B428B2">
                <w:rPr>
                  <w:rStyle w:val="Hyperlink"/>
                </w:rPr>
                <w:t>http://greens.org.au/sites/greens.org.au/files/Living%20with%20Global%20Warming_final_.pdf</w:t>
              </w:r>
            </w:hyperlink>
          </w:p>
        </w:tc>
      </w:tr>
      <w:tr w:rsidR="0029517C" w:rsidTr="009A37EE">
        <w:tc>
          <w:tcPr>
            <w:tcW w:w="3085" w:type="dxa"/>
          </w:tcPr>
          <w:p w:rsidR="00492487" w:rsidRDefault="00492487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92487" w:rsidRDefault="00492487" w:rsidP="004D5525">
            <w:pPr>
              <w:pStyle w:val="BodyText"/>
            </w:pPr>
            <w:r>
              <w:t>27 June 2016</w:t>
            </w:r>
          </w:p>
        </w:tc>
      </w:tr>
      <w:tr w:rsidR="0029517C" w:rsidTr="009A37EE">
        <w:tc>
          <w:tcPr>
            <w:tcW w:w="3085" w:type="dxa"/>
          </w:tcPr>
          <w:p w:rsidR="00492487" w:rsidRDefault="00492487" w:rsidP="004D5525">
            <w:pPr>
              <w:pStyle w:val="BodyText"/>
            </w:pPr>
            <w:r>
              <w:t>Date costing completed</w:t>
            </w:r>
            <w:r w:rsidR="00226539">
              <w:t>:</w:t>
            </w:r>
          </w:p>
        </w:tc>
        <w:tc>
          <w:tcPr>
            <w:tcW w:w="5335" w:type="dxa"/>
          </w:tcPr>
          <w:p w:rsidR="00492487" w:rsidRPr="00C17112" w:rsidRDefault="00FF4443" w:rsidP="00443F98">
            <w:pPr>
              <w:pStyle w:val="BodyText"/>
            </w:pPr>
            <w:r>
              <w:t>29</w:t>
            </w:r>
            <w:r w:rsidR="00492487">
              <w:t xml:space="preserve"> June 2016</w:t>
            </w:r>
          </w:p>
        </w:tc>
      </w:tr>
      <w:tr w:rsidR="0029517C" w:rsidTr="009A37EE">
        <w:tblPrEx>
          <w:tblLook w:val="0480" w:firstRow="0" w:lastRow="0" w:firstColumn="1" w:lastColumn="0" w:noHBand="0" w:noVBand="1"/>
        </w:tblPrEx>
        <w:tc>
          <w:tcPr>
            <w:tcW w:w="3085" w:type="dxa"/>
          </w:tcPr>
          <w:p w:rsidR="0029517C" w:rsidRDefault="0029517C" w:rsidP="0067197C">
            <w:pPr>
              <w:pStyle w:val="BodyText"/>
            </w:pPr>
            <w:r>
              <w:t>Additional information received (including date):</w:t>
            </w:r>
          </w:p>
        </w:tc>
        <w:tc>
          <w:tcPr>
            <w:tcW w:w="5335" w:type="dxa"/>
          </w:tcPr>
          <w:p w:rsidR="00EB566C" w:rsidRPr="00C17112" w:rsidRDefault="0029517C" w:rsidP="00950FE6">
            <w:pPr>
              <w:pStyle w:val="BodyText"/>
              <w:rPr>
                <w:highlight w:val="yellow"/>
              </w:rPr>
            </w:pPr>
            <w:r>
              <w:t xml:space="preserve">On 28 June 2016, the </w:t>
            </w:r>
            <w:r w:rsidR="00157753">
              <w:t>O</w:t>
            </w:r>
            <w:r>
              <w:t>ffice</w:t>
            </w:r>
            <w:r w:rsidR="00157753">
              <w:t xml:space="preserve"> of Senator Richard Di Natale</w:t>
            </w:r>
            <w:r>
              <w:t xml:space="preserve"> </w:t>
            </w:r>
            <w:r w:rsidR="00EB566C">
              <w:t xml:space="preserve">(the office) </w:t>
            </w:r>
            <w:r w:rsidR="005808B1">
              <w:t xml:space="preserve">advised that </w:t>
            </w:r>
            <w:r w:rsidR="0086412D" w:rsidRPr="0086412D">
              <w:t>departmental costs would be met from within the capped funding amounts</w:t>
            </w:r>
            <w:r w:rsidR="0086412D">
              <w:t>.</w:t>
            </w:r>
          </w:p>
        </w:tc>
      </w:tr>
      <w:tr w:rsidR="0029517C" w:rsidTr="009A37EE">
        <w:tblPrEx>
          <w:tblLook w:val="0480" w:firstRow="0" w:lastRow="0" w:firstColumn="1" w:lastColumn="0" w:noHBand="0" w:noVBand="1"/>
        </w:tblPrEx>
        <w:tc>
          <w:tcPr>
            <w:tcW w:w="3085" w:type="dxa"/>
          </w:tcPr>
          <w:p w:rsidR="00492487" w:rsidRPr="00220BE5" w:rsidRDefault="00492487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92487" w:rsidRPr="00220BE5" w:rsidRDefault="00492487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0B07D9" w:rsidRPr="004C3F93" w:rsidRDefault="000B07D9" w:rsidP="00FF4443">
      <w:r w:rsidRPr="004C3F93">
        <w:t>This proposal</w:t>
      </w:r>
      <w:r>
        <w:t xml:space="preserve"> would be</w:t>
      </w:r>
      <w:r w:rsidRPr="004C3F93">
        <w:t xml:space="preserve"> expected to decrease both the</w:t>
      </w:r>
      <w:r w:rsidR="002171D3">
        <w:t xml:space="preserve"> fiscal and</w:t>
      </w:r>
      <w:r w:rsidRPr="004C3F93">
        <w:t xml:space="preserve"> underlying cash balances by</w:t>
      </w:r>
      <w:r>
        <w:t xml:space="preserve"> </w:t>
      </w:r>
      <w:r w:rsidRPr="004C3F93">
        <w:t>$</w:t>
      </w:r>
      <w:r w:rsidR="00522090">
        <w:t>37</w:t>
      </w:r>
      <w:r w:rsidR="00FF4443">
        <w:t>7</w:t>
      </w:r>
      <w:r>
        <w:t>.</w:t>
      </w:r>
      <w:r w:rsidR="00FF4443">
        <w:t>5</w:t>
      </w:r>
      <w:r>
        <w:t> </w:t>
      </w:r>
      <w:r w:rsidRPr="004C3F93">
        <w:t xml:space="preserve">million over the </w:t>
      </w:r>
      <w:r>
        <w:t>2016-17</w:t>
      </w:r>
      <w:r w:rsidRPr="004C3F93">
        <w:t xml:space="preserve"> Budget forward estimates period</w:t>
      </w:r>
      <w:r>
        <w:t>.  This reflects</w:t>
      </w:r>
      <w:r w:rsidRPr="004C3F93">
        <w:t xml:space="preserve"> an increase in </w:t>
      </w:r>
      <w:r>
        <w:t xml:space="preserve">administered </w:t>
      </w:r>
      <w:r w:rsidRPr="004C3F93">
        <w:t>expenses</w:t>
      </w:r>
      <w:r w:rsidR="00522090">
        <w:t xml:space="preserve"> of $35</w:t>
      </w:r>
      <w:r w:rsidR="00FF4443">
        <w:t>6</w:t>
      </w:r>
      <w:r>
        <w:t>.</w:t>
      </w:r>
      <w:r w:rsidR="00FF4443">
        <w:t>5</w:t>
      </w:r>
      <w:r>
        <w:t xml:space="preserve"> million and an increase in departmental expenditure of $21.0 million over this period.</w:t>
      </w:r>
    </w:p>
    <w:p w:rsidR="000B07D9" w:rsidRDefault="000B07D9" w:rsidP="000B07D9">
      <w:r w:rsidRPr="003D53A7">
        <w:t xml:space="preserve">The </w:t>
      </w:r>
      <w:r w:rsidR="007974D3">
        <w:t xml:space="preserve">impact of the </w:t>
      </w:r>
      <w:r w:rsidRPr="003D53A7">
        <w:t>proposal</w:t>
      </w:r>
      <w:r>
        <w:t xml:space="preserve"> </w:t>
      </w:r>
      <w:r w:rsidR="007974D3">
        <w:t xml:space="preserve">increases significantly </w:t>
      </w:r>
      <w:r>
        <w:t>beyond the 2016</w:t>
      </w:r>
      <w:r w:rsidR="007974D3">
        <w:noBreakHyphen/>
      </w:r>
      <w:r>
        <w:t>17</w:t>
      </w:r>
      <w:r w:rsidR="007974D3">
        <w:t> </w:t>
      </w:r>
      <w:r>
        <w:t>Budget forward estimates</w:t>
      </w:r>
      <w:r w:rsidR="004C0B64">
        <w:t xml:space="preserve"> period</w:t>
      </w:r>
      <w:r w:rsidR="00E62625">
        <w:t xml:space="preserve">, with funding </w:t>
      </w:r>
      <w:r w:rsidR="00DC2E19">
        <w:t xml:space="preserve">then </w:t>
      </w:r>
      <w:r w:rsidR="00E62625">
        <w:t>ceasing after 10 years</w:t>
      </w:r>
      <w:r>
        <w:t xml:space="preserve">.  A breakdown of the estimated impact </w:t>
      </w:r>
      <w:r w:rsidR="007974D3">
        <w:t>to 2026</w:t>
      </w:r>
      <w:r w:rsidR="007974D3">
        <w:noBreakHyphen/>
        <w:t xml:space="preserve">27 </w:t>
      </w:r>
      <w:r>
        <w:t xml:space="preserve">is provided at </w:t>
      </w:r>
      <w:r w:rsidRPr="00313441">
        <w:rPr>
          <w:u w:val="single"/>
        </w:rPr>
        <w:t xml:space="preserve">Attachment </w:t>
      </w:r>
      <w:r w:rsidR="00D56365">
        <w:rPr>
          <w:u w:val="single"/>
        </w:rPr>
        <w:t>B</w:t>
      </w:r>
      <w:r>
        <w:t>.</w:t>
      </w:r>
    </w:p>
    <w:p w:rsidR="000B07D9" w:rsidRDefault="000B07D9" w:rsidP="000B07D9">
      <w:pPr>
        <w:rPr>
          <w:lang w:eastAsia="en-AU"/>
        </w:rPr>
      </w:pPr>
      <w:r w:rsidRPr="004C3F93">
        <w:rPr>
          <w:lang w:eastAsia="en-AU"/>
        </w:rPr>
        <w:t>This costing is considered to be of high reliability as it is based on specified capped amounts</w:t>
      </w:r>
      <w:r>
        <w:rPr>
          <w:lang w:eastAsia="en-AU"/>
        </w:rPr>
        <w:t>.</w:t>
      </w:r>
      <w:r w:rsidR="007974D3">
        <w:rPr>
          <w:lang w:eastAsia="en-AU"/>
        </w:rPr>
        <w:t xml:space="preserve">  However, no analysis has been undertaken to determine the adequacy of the prescribed funding amounts to achieve the objective of the proposal.</w:t>
      </w:r>
    </w:p>
    <w:p w:rsidR="005E3562" w:rsidRPr="00FC6579" w:rsidRDefault="005E3562" w:rsidP="001B763D">
      <w:pPr>
        <w:pStyle w:val="Captionheading"/>
        <w:keepNext w:val="0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5808B1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037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B73AC8" w:rsidRDefault="00CA5D42" w:rsidP="001B763D">
            <w:pPr>
              <w:pStyle w:val="TableText"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B763D">
            <w:pPr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B763D">
            <w:pPr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B763D">
            <w:pPr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B73AC8" w:rsidRDefault="00CA5D42" w:rsidP="001B763D">
            <w:pPr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037B12" w:rsidRDefault="00CA5D42" w:rsidP="001B763D">
            <w:pPr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037B12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FF4443" w:rsidRPr="00B73AC8" w:rsidTr="00037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FF4443" w:rsidRPr="00B73AC8" w:rsidRDefault="00FF4443" w:rsidP="001B763D">
            <w:pPr>
              <w:pStyle w:val="TableTextCentred"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-80.0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-91.6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-97.3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-108.6</w:t>
            </w:r>
          </w:p>
        </w:tc>
        <w:tc>
          <w:tcPr>
            <w:tcW w:w="681" w:type="pct"/>
          </w:tcPr>
          <w:p w:rsidR="00FF4443" w:rsidRPr="00037B12" w:rsidRDefault="00FF4443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 w:val="0"/>
              </w:rPr>
            </w:pPr>
            <w:r w:rsidRPr="00037B12">
              <w:rPr>
                <w:b/>
                <w:i w:val="0"/>
              </w:rPr>
              <w:t>-377.5</w:t>
            </w:r>
          </w:p>
        </w:tc>
      </w:tr>
      <w:tr w:rsidR="00FF4443" w:rsidRPr="00B73AC8" w:rsidTr="00037B1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FF4443" w:rsidRPr="00B73AC8" w:rsidRDefault="00FF4443" w:rsidP="001B763D">
            <w:pPr>
              <w:pStyle w:val="TableTextCentred"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-80.0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-91.6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-97.3</w:t>
            </w:r>
          </w:p>
        </w:tc>
        <w:tc>
          <w:tcPr>
            <w:tcW w:w="682" w:type="pct"/>
          </w:tcPr>
          <w:p w:rsidR="00FF4443" w:rsidRPr="00FF4443" w:rsidRDefault="00FF4443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FF4443">
              <w:rPr>
                <w:i w:val="0"/>
              </w:rPr>
              <w:t>-108.6</w:t>
            </w:r>
          </w:p>
        </w:tc>
        <w:tc>
          <w:tcPr>
            <w:tcW w:w="681" w:type="pct"/>
          </w:tcPr>
          <w:p w:rsidR="00FF4443" w:rsidRPr="00037B12" w:rsidRDefault="00FF4443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037B12">
              <w:rPr>
                <w:b/>
                <w:i w:val="0"/>
              </w:rPr>
              <w:t>-377.5</w:t>
            </w:r>
          </w:p>
        </w:tc>
      </w:tr>
    </w:tbl>
    <w:p w:rsidR="009D4063" w:rsidRDefault="000B07D9" w:rsidP="001B763D">
      <w:pPr>
        <w:pStyle w:val="Footnotes"/>
        <w:ind w:left="284" w:hanging="284"/>
      </w:pPr>
      <w:r w:rsidRPr="000B07D9">
        <w:t xml:space="preserve">A negative number </w:t>
      </w:r>
      <w:r w:rsidR="00617A93">
        <w:t>indicates a decrease in the relevant budget balance.</w:t>
      </w:r>
    </w:p>
    <w:p w:rsidR="005808B1" w:rsidRDefault="005808B1" w:rsidP="001B763D">
      <w:pPr>
        <w:pStyle w:val="Footnotes"/>
        <w:ind w:left="284" w:hanging="284"/>
      </w:pPr>
      <w:r>
        <w:t>Figures may not sum to totals due to rounding.</w:t>
      </w:r>
    </w:p>
    <w:p w:rsidR="005E3562" w:rsidRPr="00FC6579" w:rsidRDefault="005E3562" w:rsidP="001B763D">
      <w:pPr>
        <w:pStyle w:val="Heading2"/>
        <w:numPr>
          <w:ilvl w:val="0"/>
          <w:numId w:val="0"/>
        </w:numPr>
      </w:pPr>
      <w:r w:rsidRPr="00FC6579">
        <w:lastRenderedPageBreak/>
        <w:t>Methodology</w:t>
      </w:r>
    </w:p>
    <w:p w:rsidR="000B07D9" w:rsidRDefault="000B07D9" w:rsidP="001B763D">
      <w:pPr>
        <w:keepNext/>
        <w:keepLines/>
      </w:pPr>
      <w:r>
        <w:t xml:space="preserve">The total impact of the proposal reflects the capped funding amounts as </w:t>
      </w:r>
      <w:r w:rsidR="00996656">
        <w:t xml:space="preserve">set out </w:t>
      </w:r>
      <w:r>
        <w:t>in the request</w:t>
      </w:r>
      <w:r w:rsidR="007974D3">
        <w:t>,</w:t>
      </w:r>
      <w:r>
        <w:t xml:space="preserve"> indexed by CPI</w:t>
      </w:r>
      <w:r w:rsidR="00CC38F8">
        <w:t xml:space="preserve"> </w:t>
      </w:r>
      <w:r w:rsidR="00996656">
        <w:t>where specified.</w:t>
      </w:r>
    </w:p>
    <w:p w:rsidR="000B07D9" w:rsidRDefault="007974D3" w:rsidP="001B763D">
      <w:pPr>
        <w:keepNext/>
        <w:keepLines/>
      </w:pPr>
      <w:r>
        <w:t>The request specified that</w:t>
      </w:r>
      <w:r w:rsidR="000B07D9">
        <w:t xml:space="preserve"> departmental expenditure estimates </w:t>
      </w:r>
      <w:r>
        <w:t>would be</w:t>
      </w:r>
      <w:r w:rsidR="000B07D9">
        <w:t xml:space="preserve"> accommodated within the capped funding amounts.  </w:t>
      </w:r>
      <w:r>
        <w:t>Departmental</w:t>
      </w:r>
      <w:r w:rsidR="000B07D9">
        <w:t xml:space="preserve"> estimates </w:t>
      </w:r>
      <w:r>
        <w:t>we</w:t>
      </w:r>
      <w:r w:rsidR="000B07D9">
        <w:t xml:space="preserve">re based on like programs and </w:t>
      </w:r>
      <w:r>
        <w:t xml:space="preserve">the </w:t>
      </w:r>
      <w:r w:rsidR="000B07D9">
        <w:t xml:space="preserve">estimates account for the net effect of indexation parameters and the efficiency dividend, in accordance with the Department of Finance’s costing practices.  It has been assumed that funding the </w:t>
      </w:r>
      <w:r w:rsidR="000B07D9" w:rsidRPr="009A37EE">
        <w:rPr>
          <w:i/>
        </w:rPr>
        <w:t>National Climate Change Adaptation Research Facility</w:t>
      </w:r>
      <w:r w:rsidR="000B07D9">
        <w:t xml:space="preserve"> would involve payments to a known entity and would not be administratively burdensome.</w:t>
      </w:r>
    </w:p>
    <w:p w:rsidR="005E3562" w:rsidRPr="00002D5D" w:rsidRDefault="000B07D9" w:rsidP="000B07D9">
      <w:r>
        <w:t>Administered expenditure estimates for each component of the proposal are the remainder of the capped funding amounts after allowing for estimated departmental expenditure.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0B07D9" w:rsidRDefault="000B07D9" w:rsidP="000B07D9">
      <w:pPr>
        <w:pStyle w:val="Bullet1"/>
        <w:numPr>
          <w:ilvl w:val="0"/>
          <w:numId w:val="0"/>
        </w:numPr>
        <w:spacing w:after="120"/>
        <w:ind w:left="284" w:hanging="284"/>
      </w:pPr>
      <w:r>
        <w:t>Department of Finance provided indexation and efficiency dividend parameters.</w:t>
      </w:r>
    </w:p>
    <w:p w:rsidR="00E40B8B" w:rsidRDefault="00E40B8B" w:rsidP="00E40B8B">
      <w:pPr>
        <w:pStyle w:val="Footnotes"/>
        <w:numPr>
          <w:ilvl w:val="0"/>
          <w:numId w:val="0"/>
        </w:numPr>
      </w:pPr>
    </w:p>
    <w:p w:rsidR="00507897" w:rsidRPr="00002D5D" w:rsidRDefault="00507897" w:rsidP="00FC6579">
      <w:pPr>
        <w:pStyle w:val="Footnotes"/>
        <w:rPr>
          <w:highlight w:val="yellow"/>
        </w:rPr>
        <w:sectPr w:rsidR="00507897" w:rsidRPr="00002D5D" w:rsidSect="00002D5D"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493FD5" w:rsidRDefault="00493FD5" w:rsidP="00493FD5">
      <w:pPr>
        <w:pStyle w:val="Heading1"/>
      </w:pPr>
      <w:r w:rsidRPr="00493FD5">
        <w:lastRenderedPageBreak/>
        <w:t xml:space="preserve">Attachment </w:t>
      </w:r>
      <w:r w:rsidR="00F7208B">
        <w:t>A</w:t>
      </w:r>
      <w:r w:rsidRPr="00493FD5">
        <w:t>: Living with Global Warming: Climate Adaptation—</w:t>
      </w:r>
      <w:r w:rsidR="000E7FA0">
        <w:t xml:space="preserve">specified </w:t>
      </w:r>
      <w:r>
        <w:t>funding profile to 2025-26</w:t>
      </w:r>
    </w:p>
    <w:p w:rsidR="00493FD5" w:rsidRPr="00B51249" w:rsidRDefault="00493FD5" w:rsidP="00493FD5">
      <w:pPr>
        <w:pStyle w:val="Captionheading"/>
        <w:spacing w:before="240"/>
      </w:pPr>
      <w:r w:rsidRPr="00617B23">
        <w:t xml:space="preserve">Table </w:t>
      </w:r>
      <w:r>
        <w:t>A1</w:t>
      </w:r>
      <w:r w:rsidRPr="00617B23">
        <w:t>:</w:t>
      </w:r>
      <w:r>
        <w:t xml:space="preserve"> </w:t>
      </w:r>
      <w:r w:rsidRPr="00493FD5">
        <w:t>Living with Global Warming: Climate Adaptation—</w:t>
      </w:r>
      <w:r w:rsidR="000E7FA0">
        <w:t xml:space="preserve">specified </w:t>
      </w:r>
      <w:r w:rsidRPr="00493FD5">
        <w:t>funding profile to 2025-26</w:t>
      </w:r>
      <w:r w:rsidR="000F627C" w:rsidRPr="000F627C">
        <w:rPr>
          <w:vertAlign w:val="superscript"/>
        </w:rPr>
        <w:t xml:space="preserve"> </w:t>
      </w:r>
      <w:r w:rsidR="00C47BC3" w:rsidRPr="00965770">
        <w:rPr>
          <w:color w:val="000000"/>
          <w:vertAlign w:val="superscript"/>
        </w:rPr>
        <w:t>(a)</w:t>
      </w:r>
    </w:p>
    <w:tbl>
      <w:tblPr>
        <w:tblStyle w:val="TableGrid"/>
        <w:tblW w:w="5311" w:type="pct"/>
        <w:tblInd w:w="-421" w:type="dxa"/>
        <w:tblLook w:val="0680" w:firstRow="0" w:lastRow="0" w:firstColumn="1" w:lastColumn="0" w:noHBand="1" w:noVBand="1"/>
      </w:tblPr>
      <w:tblGrid>
        <w:gridCol w:w="2980"/>
        <w:gridCol w:w="914"/>
        <w:gridCol w:w="917"/>
        <w:gridCol w:w="917"/>
        <w:gridCol w:w="917"/>
        <w:gridCol w:w="914"/>
        <w:gridCol w:w="917"/>
        <w:gridCol w:w="917"/>
        <w:gridCol w:w="917"/>
        <w:gridCol w:w="914"/>
        <w:gridCol w:w="917"/>
        <w:gridCol w:w="917"/>
        <w:gridCol w:w="917"/>
        <w:gridCol w:w="911"/>
      </w:tblGrid>
      <w:tr w:rsidR="009F61E5" w:rsidRPr="00AB55AE" w:rsidTr="009F61E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9F61E5" w:rsidRPr="00AB55AE" w:rsidRDefault="009F61E5" w:rsidP="001B763D">
            <w:pPr>
              <w:spacing w:before="70" w:after="70" w:line="240" w:lineRule="auto"/>
              <w:ind w:left="57" w:right="57"/>
              <w:rPr>
                <w:b/>
              </w:rPr>
            </w:pPr>
            <w:r>
              <w:rPr>
                <w:b/>
              </w:rPr>
              <w:t>($m)</w:t>
            </w:r>
          </w:p>
        </w:tc>
        <w:tc>
          <w:tcPr>
            <w:tcW w:w="307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2016-17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2017-18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2018-19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2019-20</w:t>
            </w:r>
          </w:p>
        </w:tc>
        <w:tc>
          <w:tcPr>
            <w:tcW w:w="307" w:type="pct"/>
            <w:shd w:val="clear" w:color="auto" w:fill="D7DDE9"/>
          </w:tcPr>
          <w:p w:rsidR="009F61E5" w:rsidRPr="00191B35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2019-20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2020-21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2021-22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2022-23</w:t>
            </w:r>
          </w:p>
        </w:tc>
        <w:tc>
          <w:tcPr>
            <w:tcW w:w="307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2023-24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2024-25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2025-26</w:t>
            </w:r>
          </w:p>
        </w:tc>
        <w:tc>
          <w:tcPr>
            <w:tcW w:w="308" w:type="pct"/>
            <w:shd w:val="clear" w:color="auto" w:fill="D7DDE9"/>
          </w:tcPr>
          <w:p w:rsidR="009F61E5" w:rsidRPr="002455C0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06" w:type="pct"/>
            <w:shd w:val="clear" w:color="auto" w:fill="D7DDE9"/>
          </w:tcPr>
          <w:p w:rsidR="009F61E5" w:rsidRPr="00191B35" w:rsidRDefault="009F61E5" w:rsidP="001B763D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202</w:t>
            </w:r>
            <w:r>
              <w:rPr>
                <w:b/>
              </w:rPr>
              <w:t>6-27</w:t>
            </w:r>
          </w:p>
        </w:tc>
      </w:tr>
      <w:tr w:rsidR="00997ED8" w:rsidTr="009F61E5">
        <w:trPr>
          <w:cantSplit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997ED8" w:rsidRPr="00A65EA3" w:rsidRDefault="00997ED8" w:rsidP="001B763D">
            <w:pPr>
              <w:spacing w:before="70" w:after="70" w:line="240" w:lineRule="auto"/>
              <w:ind w:left="57" w:right="57"/>
            </w:pPr>
            <w:r w:rsidRPr="006079AB">
              <w:t xml:space="preserve">National Climate Change Adaptation </w:t>
            </w:r>
            <w:r>
              <w:t xml:space="preserve">Research </w:t>
            </w:r>
            <w:r w:rsidRPr="006079AB">
              <w:t>Facility</w:t>
            </w:r>
          </w:p>
        </w:tc>
        <w:tc>
          <w:tcPr>
            <w:tcW w:w="307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DD5">
              <w:t>10</w:t>
            </w:r>
            <w:r>
              <w:t>.0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DD5">
              <w:t>10</w:t>
            </w:r>
            <w:r>
              <w:t>.0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DD5">
              <w:t>10</w:t>
            </w:r>
            <w:r>
              <w:t>.0</w:t>
            </w:r>
          </w:p>
        </w:tc>
        <w:tc>
          <w:tcPr>
            <w:tcW w:w="307" w:type="pct"/>
          </w:tcPr>
          <w:p w:rsidR="00997ED8" w:rsidRPr="00F152F9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152F9">
              <w:rPr>
                <w:b/>
              </w:rPr>
              <w:t>30</w:t>
            </w:r>
            <w:r>
              <w:t>.</w:t>
            </w:r>
            <w:r w:rsidRPr="00D13B96">
              <w:rPr>
                <w:b/>
              </w:rPr>
              <w:t>0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DD5">
              <w:t>10</w:t>
            </w:r>
            <w:r>
              <w:t>.0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DD5">
              <w:t>10</w:t>
            </w:r>
            <w:r>
              <w:t>.0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7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997ED8" w:rsidRPr="00091DD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997ED8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997ED8" w:rsidRPr="009A37E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997ED8" w:rsidRPr="009F61E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61E5">
              <w:rPr>
                <w:b/>
                <w:bCs/>
              </w:rPr>
              <w:t>50</w:t>
            </w:r>
            <w:r>
              <w:t>.</w:t>
            </w:r>
            <w:r w:rsidRPr="00D13B96">
              <w:rPr>
                <w:b/>
              </w:rPr>
              <w:t>0</w:t>
            </w:r>
          </w:p>
        </w:tc>
      </w:tr>
      <w:tr w:rsidR="00997ED8" w:rsidTr="009F61E5">
        <w:trPr>
          <w:cantSplit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997ED8" w:rsidRPr="002455C0" w:rsidRDefault="00997ED8" w:rsidP="001B763D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7F5947">
              <w:rPr>
                <w:bCs/>
                <w:color w:val="000000"/>
              </w:rPr>
              <w:t>National Partnership Agreement</w:t>
            </w:r>
            <w:r>
              <w:rPr>
                <w:bCs/>
                <w:color w:val="000000"/>
              </w:rPr>
              <w:t xml:space="preserve">: </w:t>
            </w:r>
            <w:r w:rsidRPr="002455C0">
              <w:rPr>
                <w:bCs/>
                <w:color w:val="000000"/>
              </w:rPr>
              <w:t>Backing our emergency workers</w:t>
            </w:r>
            <w:r w:rsidRPr="00965770">
              <w:rPr>
                <w:bCs/>
                <w:color w:val="000000"/>
                <w:vertAlign w:val="superscript"/>
              </w:rPr>
              <w:t>(</w:t>
            </w:r>
            <w:r>
              <w:rPr>
                <w:bCs/>
                <w:color w:val="000000"/>
                <w:vertAlign w:val="superscript"/>
              </w:rPr>
              <w:t>b</w:t>
            </w:r>
            <w:r w:rsidRPr="00965770">
              <w:rPr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307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25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25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30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40</w:t>
            </w:r>
            <w:r>
              <w:t>.0</w:t>
            </w:r>
          </w:p>
        </w:tc>
        <w:tc>
          <w:tcPr>
            <w:tcW w:w="307" w:type="pct"/>
          </w:tcPr>
          <w:p w:rsidR="00997ED8" w:rsidRPr="00F152F9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152F9">
              <w:rPr>
                <w:b/>
              </w:rPr>
              <w:t>120</w:t>
            </w:r>
            <w:r>
              <w:rPr>
                <w:b/>
              </w:rP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50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80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100</w:t>
            </w:r>
            <w:r>
              <w:t>.0</w:t>
            </w:r>
          </w:p>
        </w:tc>
        <w:tc>
          <w:tcPr>
            <w:tcW w:w="307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140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170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200</w:t>
            </w:r>
            <w:r>
              <w:t>.0</w:t>
            </w:r>
          </w:p>
        </w:tc>
        <w:tc>
          <w:tcPr>
            <w:tcW w:w="308" w:type="pct"/>
          </w:tcPr>
          <w:p w:rsidR="00997ED8" w:rsidRPr="009A37E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997ED8" w:rsidRPr="009F61E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61E5">
              <w:rPr>
                <w:b/>
              </w:rPr>
              <w:t>860</w:t>
            </w:r>
            <w:r>
              <w:rPr>
                <w:b/>
              </w:rPr>
              <w:t>.0</w:t>
            </w:r>
          </w:p>
        </w:tc>
      </w:tr>
      <w:tr w:rsidR="00997ED8" w:rsidTr="009F61E5">
        <w:trPr>
          <w:cantSplit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997ED8" w:rsidRPr="002455C0" w:rsidRDefault="00997ED8" w:rsidP="001B763D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7F5947">
              <w:rPr>
                <w:bCs/>
                <w:color w:val="000000"/>
              </w:rPr>
              <w:t>National Partnership Agreement</w:t>
            </w:r>
            <w:r>
              <w:rPr>
                <w:bCs/>
                <w:color w:val="000000"/>
              </w:rPr>
              <w:t>:</w:t>
            </w:r>
            <w:r w:rsidRPr="007F5947">
              <w:rPr>
                <w:bCs/>
                <w:color w:val="000000"/>
              </w:rPr>
              <w:t xml:space="preserve"> </w:t>
            </w:r>
            <w:r w:rsidRPr="002455C0">
              <w:rPr>
                <w:bCs/>
                <w:color w:val="000000"/>
              </w:rPr>
              <w:t>Preparing for extreme weather</w:t>
            </w:r>
            <w:r w:rsidRPr="00965770">
              <w:rPr>
                <w:bCs/>
                <w:color w:val="000000"/>
                <w:vertAlign w:val="superscript"/>
              </w:rPr>
              <w:t>(</w:t>
            </w:r>
            <w:r>
              <w:rPr>
                <w:bCs/>
                <w:color w:val="000000"/>
                <w:vertAlign w:val="superscript"/>
              </w:rPr>
              <w:t>b</w:t>
            </w:r>
            <w:r w:rsidRPr="00965770">
              <w:rPr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307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50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50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50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50</w:t>
            </w:r>
            <w:r>
              <w:t>.0</w:t>
            </w:r>
          </w:p>
        </w:tc>
        <w:tc>
          <w:tcPr>
            <w:tcW w:w="307" w:type="pct"/>
          </w:tcPr>
          <w:p w:rsidR="00997ED8" w:rsidRPr="00F152F9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152F9">
              <w:rPr>
                <w:b/>
              </w:rPr>
              <w:t>200</w:t>
            </w:r>
            <w:r>
              <w:rPr>
                <w:b/>
              </w:rP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50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100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100</w:t>
            </w:r>
            <w:r>
              <w:t>.0</w:t>
            </w:r>
          </w:p>
        </w:tc>
        <w:tc>
          <w:tcPr>
            <w:tcW w:w="307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120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150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44AA">
              <w:t>200</w:t>
            </w:r>
            <w:r>
              <w:t>.0</w:t>
            </w:r>
          </w:p>
        </w:tc>
        <w:tc>
          <w:tcPr>
            <w:tcW w:w="308" w:type="pct"/>
          </w:tcPr>
          <w:p w:rsidR="00997ED8" w:rsidRPr="009A37E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997ED8" w:rsidRPr="009F61E5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F61E5">
              <w:rPr>
                <w:b/>
              </w:rPr>
              <w:t>920</w:t>
            </w:r>
            <w:r>
              <w:rPr>
                <w:b/>
              </w:rPr>
              <w:t>.0</w:t>
            </w:r>
          </w:p>
        </w:tc>
      </w:tr>
      <w:tr w:rsidR="00997ED8" w:rsidTr="009F61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997ED8" w:rsidRPr="00A65EA3" w:rsidRDefault="00997ED8" w:rsidP="001B763D">
            <w:pPr>
              <w:spacing w:before="70" w:after="70" w:line="240" w:lineRule="auto"/>
              <w:ind w:left="57" w:right="57"/>
            </w:pPr>
            <w:r>
              <w:t xml:space="preserve">Establish the </w:t>
            </w:r>
            <w:r w:rsidRPr="00DC2E19">
              <w:t>Office of Climate Adaptation and Sea Level Rise</w:t>
            </w:r>
            <w:r w:rsidRPr="00965770">
              <w:rPr>
                <w:bCs/>
                <w:color w:val="000000"/>
                <w:vertAlign w:val="superscript"/>
              </w:rPr>
              <w:t>(</w:t>
            </w:r>
            <w:r>
              <w:rPr>
                <w:bCs/>
                <w:color w:val="000000"/>
                <w:vertAlign w:val="superscript"/>
              </w:rPr>
              <w:t>b</w:t>
            </w:r>
            <w:r w:rsidRPr="00965770">
              <w:rPr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307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7" w:type="pct"/>
          </w:tcPr>
          <w:p w:rsidR="00997ED8" w:rsidRPr="00F152F9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152F9">
              <w:rPr>
                <w:b/>
              </w:rPr>
              <w:t>20</w:t>
            </w:r>
            <w:r>
              <w:rPr>
                <w:b/>
              </w:rP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7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F644AA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44AA">
              <w:t>5</w:t>
            </w:r>
            <w:r>
              <w:t>.0</w:t>
            </w:r>
          </w:p>
        </w:tc>
        <w:tc>
          <w:tcPr>
            <w:tcW w:w="308" w:type="pct"/>
          </w:tcPr>
          <w:p w:rsidR="00997ED8" w:rsidRPr="009A37EE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997ED8" w:rsidRPr="009F61E5" w:rsidRDefault="00997ED8" w:rsidP="001B763D">
            <w:pPr>
              <w:pStyle w:val="TableTextRigh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F61E5">
              <w:rPr>
                <w:b/>
              </w:rPr>
              <w:t>50</w:t>
            </w:r>
            <w:r>
              <w:rPr>
                <w:b/>
              </w:rPr>
              <w:t>.0</w:t>
            </w:r>
          </w:p>
        </w:tc>
      </w:tr>
      <w:tr w:rsidR="00997ED8" w:rsidRPr="00AB55AE" w:rsidTr="009F61E5">
        <w:trPr>
          <w:cantSplit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997ED8" w:rsidRPr="00AB55AE" w:rsidRDefault="00997ED8" w:rsidP="001B763D">
            <w:pPr>
              <w:spacing w:before="70" w:after="70" w:line="240" w:lineRule="auto"/>
              <w:ind w:left="57" w:right="57"/>
              <w:rPr>
                <w:b/>
              </w:rPr>
            </w:pPr>
            <w:r w:rsidRPr="006079AB">
              <w:rPr>
                <w:b/>
              </w:rPr>
              <w:t>Total</w:t>
            </w:r>
          </w:p>
        </w:tc>
        <w:tc>
          <w:tcPr>
            <w:tcW w:w="307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80.0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90.0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95.0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105.0</w:t>
            </w:r>
          </w:p>
        </w:tc>
        <w:tc>
          <w:tcPr>
            <w:tcW w:w="307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370.0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115.0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195.0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205.0</w:t>
            </w:r>
          </w:p>
        </w:tc>
        <w:tc>
          <w:tcPr>
            <w:tcW w:w="307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265.0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325.0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405.0</w:t>
            </w:r>
          </w:p>
        </w:tc>
        <w:tc>
          <w:tcPr>
            <w:tcW w:w="308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A35D7E">
              <w:rPr>
                <w:i w:val="0"/>
              </w:rPr>
              <w:t>-</w:t>
            </w:r>
          </w:p>
        </w:tc>
        <w:tc>
          <w:tcPr>
            <w:tcW w:w="306" w:type="pct"/>
            <w:shd w:val="clear" w:color="auto" w:fill="D7DDE9"/>
          </w:tcPr>
          <w:p w:rsidR="00997ED8" w:rsidRPr="00A35D7E" w:rsidRDefault="00997ED8" w:rsidP="001B763D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A35D7E">
              <w:rPr>
                <w:b/>
                <w:i w:val="0"/>
              </w:rPr>
              <w:t>1,880.0</w:t>
            </w:r>
          </w:p>
        </w:tc>
      </w:tr>
    </w:tbl>
    <w:p w:rsidR="00C47BC3" w:rsidRDefault="00C47BC3" w:rsidP="00646B7F">
      <w:pPr>
        <w:pStyle w:val="Footnotes"/>
        <w:numPr>
          <w:ilvl w:val="0"/>
          <w:numId w:val="20"/>
        </w:numPr>
        <w:ind w:left="284" w:hanging="284"/>
      </w:pPr>
      <w:r>
        <w:t xml:space="preserve">A positive number indicates an increase in </w:t>
      </w:r>
      <w:r w:rsidR="000E7FA0">
        <w:t>funding</w:t>
      </w:r>
      <w:r>
        <w:t>.</w:t>
      </w:r>
    </w:p>
    <w:p w:rsidR="0014500E" w:rsidRDefault="000E7FA0" w:rsidP="00646B7F">
      <w:pPr>
        <w:pStyle w:val="Footnotes"/>
        <w:numPr>
          <w:ilvl w:val="0"/>
          <w:numId w:val="20"/>
        </w:numPr>
        <w:ind w:left="284" w:hanging="284"/>
      </w:pPr>
      <w:r>
        <w:t>2016-17 values shown, values used in the costing are i</w:t>
      </w:r>
      <w:r w:rsidR="00646B7F" w:rsidRPr="00646B7F">
        <w:t xml:space="preserve">ndexed </w:t>
      </w:r>
      <w:r>
        <w:t>by growth in</w:t>
      </w:r>
      <w:r w:rsidRPr="00646B7F">
        <w:t xml:space="preserve"> </w:t>
      </w:r>
      <w:r w:rsidR="00646B7F" w:rsidRPr="00646B7F">
        <w:t xml:space="preserve">the </w:t>
      </w:r>
      <w:r w:rsidR="00A120FD">
        <w:t>CPI</w:t>
      </w:r>
      <w:r w:rsidR="00965770">
        <w:t>, as specified</w:t>
      </w:r>
      <w:r w:rsidR="00A120FD">
        <w:t>.</w:t>
      </w:r>
    </w:p>
    <w:p w:rsidR="00493FD5" w:rsidRPr="00A120FD" w:rsidRDefault="00A120FD" w:rsidP="00A120FD">
      <w:p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>-</w:t>
      </w:r>
      <w:r w:rsidRPr="001F1084">
        <w:rPr>
          <w:sz w:val="20"/>
          <w:szCs w:val="20"/>
        </w:rPr>
        <w:tab/>
        <w:t>Indicates nil.</w:t>
      </w:r>
      <w:r w:rsidR="00493FD5">
        <w:br w:type="page"/>
      </w:r>
    </w:p>
    <w:p w:rsidR="00060F22" w:rsidRDefault="00493FD5" w:rsidP="00493FD5">
      <w:pPr>
        <w:pStyle w:val="Heading1"/>
      </w:pPr>
      <w:r w:rsidRPr="00493FD5">
        <w:lastRenderedPageBreak/>
        <w:t>Attachment B: Living with Global Warming: Climate Adaptation—financial implications</w:t>
      </w:r>
    </w:p>
    <w:p w:rsidR="00B51249" w:rsidRPr="00B51249" w:rsidRDefault="00B51249" w:rsidP="002F0749">
      <w:pPr>
        <w:pStyle w:val="Captionheading"/>
        <w:spacing w:before="240"/>
      </w:pPr>
      <w:r w:rsidRPr="00617B23">
        <w:t xml:space="preserve">Table </w:t>
      </w:r>
      <w:r w:rsidR="00E62625">
        <w:t>B</w:t>
      </w:r>
      <w:r>
        <w:t>1</w:t>
      </w:r>
      <w:r w:rsidRPr="00617B23">
        <w:t>:</w:t>
      </w:r>
      <w:r>
        <w:t xml:space="preserve"> </w:t>
      </w:r>
      <w:r w:rsidR="005A5D3D" w:rsidRPr="005A5D3D">
        <w:t xml:space="preserve">Combined impact of all components—Financial </w:t>
      </w:r>
      <w:proofErr w:type="gramStart"/>
      <w:r w:rsidR="005A5D3D" w:rsidRPr="005A5D3D">
        <w:t>implications</w:t>
      </w:r>
      <w:r w:rsidRPr="00617B23">
        <w:rPr>
          <w:vertAlign w:val="superscript"/>
        </w:rPr>
        <w:t>(</w:t>
      </w:r>
      <w:proofErr w:type="gramEnd"/>
      <w:r w:rsidRPr="00617B23">
        <w:rPr>
          <w:vertAlign w:val="superscript"/>
        </w:rPr>
        <w:t>a)(b)</w:t>
      </w:r>
    </w:p>
    <w:tbl>
      <w:tblPr>
        <w:tblStyle w:val="TableGrid"/>
        <w:tblW w:w="5311" w:type="pct"/>
        <w:tblInd w:w="-421" w:type="dxa"/>
        <w:tblLook w:val="0680" w:firstRow="0" w:lastRow="0" w:firstColumn="1" w:lastColumn="0" w:noHBand="1" w:noVBand="1"/>
      </w:tblPr>
      <w:tblGrid>
        <w:gridCol w:w="2980"/>
        <w:gridCol w:w="914"/>
        <w:gridCol w:w="917"/>
        <w:gridCol w:w="917"/>
        <w:gridCol w:w="917"/>
        <w:gridCol w:w="914"/>
        <w:gridCol w:w="917"/>
        <w:gridCol w:w="917"/>
        <w:gridCol w:w="917"/>
        <w:gridCol w:w="914"/>
        <w:gridCol w:w="917"/>
        <w:gridCol w:w="917"/>
        <w:gridCol w:w="917"/>
        <w:gridCol w:w="911"/>
      </w:tblGrid>
      <w:tr w:rsidR="00E62625" w:rsidRPr="00AB55AE" w:rsidTr="005A5D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6461B2" w:rsidRPr="00AB55AE" w:rsidRDefault="006461B2" w:rsidP="0063473E">
            <w:pPr>
              <w:spacing w:before="70" w:after="70" w:line="240" w:lineRule="auto"/>
              <w:ind w:left="57" w:right="57"/>
              <w:rPr>
                <w:b/>
              </w:rPr>
            </w:pPr>
            <w:r>
              <w:rPr>
                <w:b/>
              </w:rPr>
              <w:t>($m)</w:t>
            </w:r>
          </w:p>
        </w:tc>
        <w:tc>
          <w:tcPr>
            <w:tcW w:w="307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2016-17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2017-18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2018-19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2019-20</w:t>
            </w:r>
          </w:p>
        </w:tc>
        <w:tc>
          <w:tcPr>
            <w:tcW w:w="307" w:type="pct"/>
            <w:shd w:val="clear" w:color="auto" w:fill="D7DDE9"/>
          </w:tcPr>
          <w:p w:rsidR="006461B2" w:rsidRPr="00191B35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2019-20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2020-21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2021-22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2022-23</w:t>
            </w:r>
          </w:p>
        </w:tc>
        <w:tc>
          <w:tcPr>
            <w:tcW w:w="307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2023-24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2024-25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2025-26</w:t>
            </w:r>
          </w:p>
        </w:tc>
        <w:tc>
          <w:tcPr>
            <w:tcW w:w="308" w:type="pct"/>
            <w:shd w:val="clear" w:color="auto" w:fill="D7DDE9"/>
          </w:tcPr>
          <w:p w:rsidR="006461B2" w:rsidRPr="002455C0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06" w:type="pct"/>
            <w:shd w:val="clear" w:color="auto" w:fill="D7DDE9"/>
          </w:tcPr>
          <w:p w:rsidR="006461B2" w:rsidRPr="00191B35" w:rsidRDefault="006461B2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202</w:t>
            </w:r>
            <w:r w:rsidR="00AA1618">
              <w:rPr>
                <w:b/>
              </w:rPr>
              <w:t>6-27</w:t>
            </w:r>
          </w:p>
        </w:tc>
      </w:tr>
      <w:tr w:rsidR="006461B2" w:rsidTr="002F074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6461B2" w:rsidRPr="00191B35" w:rsidRDefault="005A5D3D" w:rsidP="0063473E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 w:rsidRPr="005A5D3D">
              <w:rPr>
                <w:b/>
                <w:i w:val="0"/>
              </w:rPr>
              <w:t>Impact on fiscal and underlying cash balances</w:t>
            </w:r>
          </w:p>
        </w:tc>
      </w:tr>
      <w:tr w:rsidR="00427327" w:rsidTr="005A5D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427327" w:rsidRPr="00A65EA3" w:rsidRDefault="00427327" w:rsidP="0063473E">
            <w:pPr>
              <w:spacing w:before="70" w:after="70" w:line="240" w:lineRule="auto"/>
              <w:ind w:left="57" w:right="57"/>
            </w:pPr>
            <w:r>
              <w:t>Administered</w:t>
            </w:r>
          </w:p>
        </w:tc>
        <w:tc>
          <w:tcPr>
            <w:tcW w:w="307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-74.9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-86.4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-92.0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-103.2</w:t>
            </w:r>
          </w:p>
        </w:tc>
        <w:tc>
          <w:tcPr>
            <w:tcW w:w="307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-356.5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-114.5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-189.9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-202.4</w:t>
            </w:r>
          </w:p>
        </w:tc>
        <w:tc>
          <w:tcPr>
            <w:tcW w:w="307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-259.9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-319.9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-399.9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-1,843.0</w:t>
            </w:r>
          </w:p>
        </w:tc>
      </w:tr>
      <w:tr w:rsidR="00427327" w:rsidTr="005A5D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427327" w:rsidRPr="002455C0" w:rsidRDefault="00427327" w:rsidP="0063473E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>
              <w:rPr>
                <w:bCs/>
                <w:color w:val="000000"/>
              </w:rPr>
              <w:t>Departmental</w:t>
            </w:r>
          </w:p>
        </w:tc>
        <w:tc>
          <w:tcPr>
            <w:tcW w:w="307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-5.1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-5.2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-5.3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-5.4</w:t>
            </w:r>
          </w:p>
        </w:tc>
        <w:tc>
          <w:tcPr>
            <w:tcW w:w="307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-21.0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-5.6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-5.7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-5.8</w:t>
            </w:r>
          </w:p>
        </w:tc>
        <w:tc>
          <w:tcPr>
            <w:tcW w:w="307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-6.0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-6.1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-6.3</w:t>
            </w:r>
          </w:p>
        </w:tc>
        <w:tc>
          <w:tcPr>
            <w:tcW w:w="308" w:type="pct"/>
          </w:tcPr>
          <w:p w:rsidR="00427327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-56.5</w:t>
            </w:r>
          </w:p>
        </w:tc>
      </w:tr>
      <w:tr w:rsidR="00427327" w:rsidRPr="00AB55AE" w:rsidTr="002C16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427327" w:rsidRPr="00AB55AE" w:rsidRDefault="00427327" w:rsidP="0063473E">
            <w:pPr>
              <w:spacing w:before="70" w:after="70" w:line="240" w:lineRule="auto"/>
              <w:ind w:left="57" w:right="57"/>
              <w:rPr>
                <w:b/>
              </w:rPr>
            </w:pPr>
            <w:r w:rsidRPr="006079AB">
              <w:rPr>
                <w:b/>
              </w:rPr>
              <w:t>Total</w:t>
            </w:r>
          </w:p>
        </w:tc>
        <w:tc>
          <w:tcPr>
            <w:tcW w:w="307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-80.0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-91.6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-97.3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-108.6</w:t>
            </w:r>
          </w:p>
        </w:tc>
        <w:tc>
          <w:tcPr>
            <w:tcW w:w="307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-377.5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-120.1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-195.6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-208.2</w:t>
            </w:r>
          </w:p>
        </w:tc>
        <w:tc>
          <w:tcPr>
            <w:tcW w:w="307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-265.9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-326.0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-406.2</w:t>
            </w:r>
          </w:p>
        </w:tc>
        <w:tc>
          <w:tcPr>
            <w:tcW w:w="308" w:type="pct"/>
            <w:shd w:val="clear" w:color="auto" w:fill="D7DDE9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</w:t>
            </w:r>
          </w:p>
        </w:tc>
        <w:tc>
          <w:tcPr>
            <w:tcW w:w="306" w:type="pct"/>
            <w:shd w:val="clear" w:color="auto" w:fill="D7DDE9"/>
          </w:tcPr>
          <w:p w:rsidR="00427327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-1,899.5</w:t>
            </w:r>
          </w:p>
        </w:tc>
      </w:tr>
    </w:tbl>
    <w:p w:rsidR="002478F8" w:rsidRDefault="00405614" w:rsidP="009A37EE">
      <w:pPr>
        <w:pStyle w:val="Footnotes"/>
        <w:numPr>
          <w:ilvl w:val="0"/>
          <w:numId w:val="19"/>
        </w:numPr>
        <w:ind w:left="284" w:hanging="284"/>
      </w:pPr>
      <w:r w:rsidRPr="00405614">
        <w:t xml:space="preserve">A negative number indicates a decrease in revenue or an increase in expenses in </w:t>
      </w:r>
      <w:r w:rsidR="00C47BC3">
        <w:t xml:space="preserve">both </w:t>
      </w:r>
      <w:r w:rsidRPr="00405614">
        <w:t>accrual and cash terms</w:t>
      </w:r>
      <w:r w:rsidR="00291934">
        <w:t>.</w:t>
      </w:r>
    </w:p>
    <w:p w:rsidR="00485374" w:rsidRDefault="0026542F" w:rsidP="009A37EE">
      <w:pPr>
        <w:pStyle w:val="Footnotes"/>
        <w:ind w:left="284" w:hanging="284"/>
      </w:pPr>
      <w:r w:rsidRPr="0026542F">
        <w:t>Figures may not sum to totals due to rounding</w:t>
      </w:r>
      <w:r w:rsidR="003955A0" w:rsidRPr="003955A0">
        <w:t>.</w:t>
      </w:r>
    </w:p>
    <w:p w:rsidR="00427327" w:rsidRDefault="00617A93" w:rsidP="00427327">
      <w:pPr>
        <w:pStyle w:val="Footnotes"/>
        <w:numPr>
          <w:ilvl w:val="0"/>
          <w:numId w:val="0"/>
        </w:numPr>
        <w:ind w:left="284" w:hanging="284"/>
      </w:pPr>
      <w:r>
        <w:t>-</w:t>
      </w:r>
      <w:r>
        <w:tab/>
        <w:t>Indicates nil.</w:t>
      </w:r>
    </w:p>
    <w:p w:rsidR="001F1084" w:rsidRDefault="001F1084">
      <w:pPr>
        <w:spacing w:before="0" w:after="200" w:line="276" w:lineRule="auto"/>
        <w:rPr>
          <w:b/>
          <w:bCs/>
          <w:color w:val="1F497D" w:themeColor="text2"/>
          <w:spacing w:val="-4"/>
        </w:rPr>
      </w:pPr>
      <w:r>
        <w:rPr>
          <w:b/>
          <w:bCs/>
          <w:color w:val="1F497D" w:themeColor="text2"/>
          <w:spacing w:val="-4"/>
        </w:rPr>
        <w:br w:type="page"/>
      </w:r>
    </w:p>
    <w:p w:rsidR="00427327" w:rsidRPr="00427327" w:rsidRDefault="00427327" w:rsidP="00427327">
      <w:pPr>
        <w:keepNext/>
        <w:spacing w:before="240"/>
        <w:rPr>
          <w:b/>
          <w:bCs/>
          <w:color w:val="1F497D" w:themeColor="text2"/>
          <w:spacing w:val="-4"/>
        </w:rPr>
      </w:pPr>
      <w:r w:rsidRPr="00427327">
        <w:rPr>
          <w:b/>
          <w:bCs/>
          <w:color w:val="1F497D" w:themeColor="text2"/>
          <w:spacing w:val="-4"/>
        </w:rPr>
        <w:lastRenderedPageBreak/>
        <w:t>Table B</w:t>
      </w:r>
      <w:r w:rsidR="00F7208B">
        <w:rPr>
          <w:b/>
          <w:bCs/>
          <w:color w:val="1F497D" w:themeColor="text2"/>
          <w:spacing w:val="-4"/>
        </w:rPr>
        <w:t>2</w:t>
      </w:r>
      <w:r w:rsidRPr="00427327">
        <w:rPr>
          <w:b/>
          <w:bCs/>
          <w:color w:val="1F497D" w:themeColor="text2"/>
          <w:spacing w:val="-4"/>
        </w:rPr>
        <w:t xml:space="preserve">: Component </w:t>
      </w:r>
      <w:r w:rsidR="00F7208B">
        <w:rPr>
          <w:b/>
          <w:bCs/>
          <w:color w:val="1F497D" w:themeColor="text2"/>
          <w:spacing w:val="-4"/>
        </w:rPr>
        <w:t>1</w:t>
      </w:r>
      <w:r w:rsidRPr="00427327">
        <w:rPr>
          <w:b/>
          <w:bCs/>
          <w:color w:val="1F497D" w:themeColor="text2"/>
          <w:spacing w:val="-4"/>
        </w:rPr>
        <w:t xml:space="preserve">: National Climate Change Adaptation Research Facility—Financial </w:t>
      </w:r>
      <w:proofErr w:type="gramStart"/>
      <w:r w:rsidRPr="00427327">
        <w:rPr>
          <w:b/>
          <w:bCs/>
          <w:color w:val="1F497D" w:themeColor="text2"/>
          <w:spacing w:val="-4"/>
        </w:rPr>
        <w:t>implications</w:t>
      </w:r>
      <w:r w:rsidRPr="00427327">
        <w:rPr>
          <w:b/>
          <w:bCs/>
          <w:color w:val="1F497D" w:themeColor="text2"/>
          <w:spacing w:val="-4"/>
          <w:vertAlign w:val="superscript"/>
        </w:rPr>
        <w:t>(</w:t>
      </w:r>
      <w:proofErr w:type="gramEnd"/>
      <w:r w:rsidRPr="00427327">
        <w:rPr>
          <w:b/>
          <w:bCs/>
          <w:color w:val="1F497D" w:themeColor="text2"/>
          <w:spacing w:val="-4"/>
          <w:vertAlign w:val="superscript"/>
        </w:rPr>
        <w:t>a)(b)</w:t>
      </w:r>
    </w:p>
    <w:tbl>
      <w:tblPr>
        <w:tblStyle w:val="TableGrid"/>
        <w:tblW w:w="5311" w:type="pct"/>
        <w:tblInd w:w="-421" w:type="dxa"/>
        <w:tblLook w:val="0680" w:firstRow="0" w:lastRow="0" w:firstColumn="1" w:lastColumn="0" w:noHBand="1" w:noVBand="1"/>
      </w:tblPr>
      <w:tblGrid>
        <w:gridCol w:w="2980"/>
        <w:gridCol w:w="914"/>
        <w:gridCol w:w="917"/>
        <w:gridCol w:w="917"/>
        <w:gridCol w:w="917"/>
        <w:gridCol w:w="914"/>
        <w:gridCol w:w="917"/>
        <w:gridCol w:w="917"/>
        <w:gridCol w:w="917"/>
        <w:gridCol w:w="914"/>
        <w:gridCol w:w="917"/>
        <w:gridCol w:w="917"/>
        <w:gridCol w:w="917"/>
        <w:gridCol w:w="911"/>
      </w:tblGrid>
      <w:tr w:rsidR="00746747" w:rsidRPr="00AB55AE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746747" w:rsidRPr="00AB55AE" w:rsidRDefault="00746747" w:rsidP="0063473E">
            <w:pPr>
              <w:spacing w:before="70" w:after="70" w:line="240" w:lineRule="auto"/>
              <w:ind w:left="57" w:right="57"/>
              <w:rPr>
                <w:b/>
              </w:rPr>
            </w:pPr>
            <w:r>
              <w:rPr>
                <w:b/>
              </w:rPr>
              <w:t>($m)</w:t>
            </w:r>
          </w:p>
        </w:tc>
        <w:tc>
          <w:tcPr>
            <w:tcW w:w="307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2016-17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2017-18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2018-19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2019-20</w:t>
            </w:r>
          </w:p>
        </w:tc>
        <w:tc>
          <w:tcPr>
            <w:tcW w:w="307" w:type="pct"/>
            <w:shd w:val="clear" w:color="auto" w:fill="D7DDE9"/>
          </w:tcPr>
          <w:p w:rsidR="00746747" w:rsidRPr="00191B35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2019-20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2020-21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2021-22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2022-23</w:t>
            </w:r>
          </w:p>
        </w:tc>
        <w:tc>
          <w:tcPr>
            <w:tcW w:w="307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2023-24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2024-25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2025-26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06" w:type="pct"/>
            <w:shd w:val="clear" w:color="auto" w:fill="D7DDE9"/>
          </w:tcPr>
          <w:p w:rsidR="00746747" w:rsidRPr="00191B35" w:rsidRDefault="00746747" w:rsidP="0063473E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202</w:t>
            </w:r>
            <w:r>
              <w:rPr>
                <w:b/>
              </w:rPr>
              <w:t>6-27</w:t>
            </w:r>
          </w:p>
        </w:tc>
      </w:tr>
      <w:tr w:rsidR="00746747" w:rsidRPr="00AB55AE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7DDE9"/>
          </w:tcPr>
          <w:p w:rsidR="00746747" w:rsidRPr="00191B35" w:rsidRDefault="00746747" w:rsidP="0063473E">
            <w:pPr>
              <w:spacing w:before="70" w:after="70" w:line="240" w:lineRule="auto"/>
              <w:ind w:left="57" w:right="57"/>
              <w:rPr>
                <w:b/>
              </w:rPr>
            </w:pPr>
            <w:r w:rsidRPr="00427327">
              <w:rPr>
                <w:b/>
              </w:rPr>
              <w:t>Impact on fiscal and underlying cash balances</w:t>
            </w:r>
          </w:p>
        </w:tc>
      </w:tr>
      <w:tr w:rsidR="00746747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746747" w:rsidRPr="00191B35" w:rsidRDefault="00746747" w:rsidP="0063473E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Administered</w:t>
            </w:r>
          </w:p>
        </w:tc>
      </w:tr>
      <w:tr w:rsidR="00291934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291934" w:rsidRPr="00A65EA3" w:rsidRDefault="00291934" w:rsidP="0063473E">
            <w:pPr>
              <w:spacing w:before="70" w:after="70" w:line="240" w:lineRule="auto"/>
              <w:ind w:left="57" w:right="57"/>
            </w:pPr>
            <w:r w:rsidRPr="00F867C4">
              <w:t>National Climate Change Adaptation Research Facility</w:t>
            </w:r>
          </w:p>
        </w:tc>
        <w:tc>
          <w:tcPr>
            <w:tcW w:w="307" w:type="pct"/>
          </w:tcPr>
          <w:p w:rsidR="00291934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-10.0</w:t>
            </w:r>
          </w:p>
        </w:tc>
        <w:tc>
          <w:tcPr>
            <w:tcW w:w="308" w:type="pct"/>
          </w:tcPr>
          <w:p w:rsid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-10.0</w:t>
            </w:r>
          </w:p>
        </w:tc>
        <w:tc>
          <w:tcPr>
            <w:tcW w:w="308" w:type="pct"/>
          </w:tcPr>
          <w:p w:rsid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-10.0</w:t>
            </w:r>
          </w:p>
        </w:tc>
        <w:tc>
          <w:tcPr>
            <w:tcW w:w="307" w:type="pct"/>
          </w:tcPr>
          <w:p w:rsid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-30.0</w:t>
            </w:r>
          </w:p>
        </w:tc>
        <w:tc>
          <w:tcPr>
            <w:tcW w:w="308" w:type="pct"/>
          </w:tcPr>
          <w:p w:rsid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-10.0</w:t>
            </w:r>
          </w:p>
        </w:tc>
        <w:tc>
          <w:tcPr>
            <w:tcW w:w="308" w:type="pct"/>
          </w:tcPr>
          <w:p w:rsid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-10.0</w:t>
            </w:r>
          </w:p>
        </w:tc>
        <w:tc>
          <w:tcPr>
            <w:tcW w:w="308" w:type="pct"/>
          </w:tcPr>
          <w:p w:rsidR="00291934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7" w:type="pct"/>
          </w:tcPr>
          <w:p w:rsidR="00291934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291934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291934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8" w:type="pct"/>
          </w:tcPr>
          <w:p w:rsidR="00291934" w:rsidRPr="000E517F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291934" w:rsidRPr="00427327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867C4">
              <w:rPr>
                <w:b/>
              </w:rPr>
              <w:t>-50.0</w:t>
            </w:r>
          </w:p>
        </w:tc>
      </w:tr>
      <w:tr w:rsidR="00291934" w:rsidRPr="00AB55AE" w:rsidTr="00F7476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291934" w:rsidRPr="00AB55AE" w:rsidRDefault="00291934" w:rsidP="0063473E">
            <w:pPr>
              <w:spacing w:before="70" w:after="70" w:line="240" w:lineRule="auto"/>
              <w:ind w:left="57" w:right="57"/>
              <w:rPr>
                <w:b/>
              </w:rPr>
            </w:pPr>
            <w:r w:rsidRPr="006079AB">
              <w:rPr>
                <w:b/>
              </w:rPr>
              <w:t>Total</w:t>
            </w:r>
          </w:p>
        </w:tc>
        <w:tc>
          <w:tcPr>
            <w:tcW w:w="307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>
              <w:rPr>
                <w:b/>
                <w:i w:val="0"/>
              </w:rPr>
              <w:t>-</w:t>
            </w:r>
            <w:r w:rsidRPr="007261EC">
              <w:rPr>
                <w:b/>
                <w:i w:val="0"/>
              </w:rPr>
              <w:t xml:space="preserve"> </w:t>
            </w:r>
          </w:p>
        </w:tc>
        <w:tc>
          <w:tcPr>
            <w:tcW w:w="308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/>
                <w:sz w:val="24"/>
                <w:szCs w:val="24"/>
              </w:rPr>
            </w:pPr>
            <w:r w:rsidRPr="007261EC">
              <w:rPr>
                <w:b/>
                <w:i w:val="0"/>
                <w:color w:val="000000"/>
              </w:rPr>
              <w:t>-10.0</w:t>
            </w:r>
          </w:p>
        </w:tc>
        <w:tc>
          <w:tcPr>
            <w:tcW w:w="308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/>
                <w:sz w:val="24"/>
                <w:szCs w:val="24"/>
              </w:rPr>
            </w:pPr>
            <w:r w:rsidRPr="007261EC">
              <w:rPr>
                <w:b/>
                <w:i w:val="0"/>
                <w:color w:val="000000"/>
              </w:rPr>
              <w:t>-10.0</w:t>
            </w:r>
          </w:p>
        </w:tc>
        <w:tc>
          <w:tcPr>
            <w:tcW w:w="308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/>
                <w:sz w:val="24"/>
                <w:szCs w:val="24"/>
              </w:rPr>
            </w:pPr>
            <w:r w:rsidRPr="007261EC">
              <w:rPr>
                <w:b/>
                <w:i w:val="0"/>
                <w:color w:val="000000"/>
              </w:rPr>
              <w:t>-10.0</w:t>
            </w:r>
          </w:p>
        </w:tc>
        <w:tc>
          <w:tcPr>
            <w:tcW w:w="307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color w:val="000000"/>
                <w:sz w:val="24"/>
                <w:szCs w:val="24"/>
              </w:rPr>
            </w:pPr>
            <w:r w:rsidRPr="007261EC">
              <w:rPr>
                <w:b/>
                <w:bCs/>
                <w:i w:val="0"/>
                <w:color w:val="000000"/>
              </w:rPr>
              <w:t>-30.0</w:t>
            </w:r>
          </w:p>
        </w:tc>
        <w:tc>
          <w:tcPr>
            <w:tcW w:w="308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/>
                <w:sz w:val="24"/>
                <w:szCs w:val="24"/>
              </w:rPr>
            </w:pPr>
            <w:r w:rsidRPr="007261EC">
              <w:rPr>
                <w:b/>
                <w:i w:val="0"/>
                <w:color w:val="000000"/>
              </w:rPr>
              <w:t>-10.0</w:t>
            </w:r>
          </w:p>
        </w:tc>
        <w:tc>
          <w:tcPr>
            <w:tcW w:w="308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/>
                <w:sz w:val="24"/>
                <w:szCs w:val="24"/>
              </w:rPr>
            </w:pPr>
            <w:r w:rsidRPr="007261EC">
              <w:rPr>
                <w:b/>
                <w:i w:val="0"/>
                <w:color w:val="000000"/>
              </w:rPr>
              <w:t>-10.0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291934" w:rsidRP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 xml:space="preserve">- </w:t>
            </w:r>
          </w:p>
        </w:tc>
        <w:tc>
          <w:tcPr>
            <w:tcW w:w="307" w:type="pct"/>
            <w:shd w:val="clear" w:color="auto" w:fill="D7DDE9"/>
            <w:vAlign w:val="top"/>
          </w:tcPr>
          <w:p w:rsidR="00291934" w:rsidRP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 xml:space="preserve">- 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291934" w:rsidRP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 xml:space="preserve">- 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291934" w:rsidRP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 xml:space="preserve">- </w:t>
            </w:r>
          </w:p>
        </w:tc>
        <w:tc>
          <w:tcPr>
            <w:tcW w:w="308" w:type="pct"/>
            <w:shd w:val="clear" w:color="auto" w:fill="D7DDE9"/>
            <w:vAlign w:val="top"/>
          </w:tcPr>
          <w:p w:rsidR="00291934" w:rsidRPr="00291934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 xml:space="preserve">- </w:t>
            </w:r>
          </w:p>
        </w:tc>
        <w:tc>
          <w:tcPr>
            <w:tcW w:w="306" w:type="pct"/>
            <w:shd w:val="clear" w:color="auto" w:fill="D7DDE9"/>
          </w:tcPr>
          <w:p w:rsidR="00291934" w:rsidRPr="007261EC" w:rsidRDefault="00291934" w:rsidP="0063473E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7261EC">
              <w:rPr>
                <w:b/>
                <w:i w:val="0"/>
              </w:rPr>
              <w:t>-50.0</w:t>
            </w:r>
          </w:p>
        </w:tc>
      </w:tr>
    </w:tbl>
    <w:p w:rsidR="00746747" w:rsidRDefault="001F1084" w:rsidP="00746747">
      <w:pPr>
        <w:numPr>
          <w:ilvl w:val="0"/>
          <w:numId w:val="8"/>
        </w:num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 xml:space="preserve">A negative number indicates a decrease in revenue or an increase in expenses in </w:t>
      </w:r>
      <w:r w:rsidR="00C47BC3">
        <w:rPr>
          <w:sz w:val="20"/>
          <w:szCs w:val="20"/>
        </w:rPr>
        <w:t xml:space="preserve">both </w:t>
      </w:r>
      <w:r w:rsidRPr="001F1084">
        <w:rPr>
          <w:sz w:val="20"/>
          <w:szCs w:val="20"/>
        </w:rPr>
        <w:t>accrual and cash terms</w:t>
      </w:r>
      <w:r w:rsidR="00746747">
        <w:rPr>
          <w:sz w:val="20"/>
          <w:szCs w:val="20"/>
        </w:rPr>
        <w:t>.</w:t>
      </w:r>
    </w:p>
    <w:p w:rsidR="001F1084" w:rsidRPr="001F1084" w:rsidRDefault="001F1084" w:rsidP="00746747">
      <w:pPr>
        <w:numPr>
          <w:ilvl w:val="0"/>
          <w:numId w:val="8"/>
        </w:num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>Figures may not sum to totals due to rounding.</w:t>
      </w:r>
    </w:p>
    <w:p w:rsidR="00746747" w:rsidRDefault="001F1084" w:rsidP="001F1084">
      <w:p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>-</w:t>
      </w:r>
      <w:r w:rsidRPr="001F1084">
        <w:rPr>
          <w:sz w:val="20"/>
          <w:szCs w:val="20"/>
        </w:rPr>
        <w:tab/>
        <w:t>Indicates nil.</w:t>
      </w:r>
    </w:p>
    <w:p w:rsidR="00746747" w:rsidRDefault="00746747">
      <w:pPr>
        <w:spacing w:before="0"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F1084" w:rsidRPr="001F1084" w:rsidRDefault="001F1084" w:rsidP="001F1084">
      <w:pPr>
        <w:spacing w:before="113" w:after="0" w:line="260" w:lineRule="atLeast"/>
        <w:ind w:left="284" w:hanging="284"/>
        <w:rPr>
          <w:sz w:val="20"/>
          <w:szCs w:val="20"/>
        </w:rPr>
      </w:pPr>
    </w:p>
    <w:p w:rsidR="00746747" w:rsidRPr="00427327" w:rsidRDefault="00746747" w:rsidP="00746747">
      <w:pPr>
        <w:keepNext/>
        <w:spacing w:before="240"/>
        <w:rPr>
          <w:b/>
          <w:bCs/>
          <w:color w:val="1F497D" w:themeColor="text2"/>
          <w:spacing w:val="-4"/>
        </w:rPr>
      </w:pPr>
      <w:r w:rsidRPr="00427327">
        <w:rPr>
          <w:b/>
          <w:bCs/>
          <w:color w:val="1F497D" w:themeColor="text2"/>
          <w:spacing w:val="-4"/>
        </w:rPr>
        <w:t>Table B</w:t>
      </w:r>
      <w:r w:rsidR="00F7208B">
        <w:rPr>
          <w:b/>
          <w:bCs/>
          <w:color w:val="1F497D" w:themeColor="text2"/>
          <w:spacing w:val="-4"/>
        </w:rPr>
        <w:t>3</w:t>
      </w:r>
      <w:r w:rsidRPr="00427327">
        <w:rPr>
          <w:b/>
          <w:bCs/>
          <w:color w:val="1F497D" w:themeColor="text2"/>
          <w:spacing w:val="-4"/>
        </w:rPr>
        <w:t xml:space="preserve">: </w:t>
      </w:r>
      <w:r w:rsidR="00F7208B">
        <w:rPr>
          <w:b/>
          <w:bCs/>
          <w:color w:val="1F497D" w:themeColor="text2"/>
          <w:spacing w:val="-4"/>
        </w:rPr>
        <w:t>Component 2</w:t>
      </w:r>
      <w:r w:rsidRPr="00427327">
        <w:rPr>
          <w:b/>
          <w:bCs/>
          <w:color w:val="1F497D" w:themeColor="text2"/>
          <w:spacing w:val="-4"/>
        </w:rPr>
        <w:t xml:space="preserve">: </w:t>
      </w:r>
      <w:r w:rsidRPr="00746747">
        <w:rPr>
          <w:b/>
          <w:bCs/>
          <w:color w:val="1F497D" w:themeColor="text2"/>
          <w:spacing w:val="-4"/>
        </w:rPr>
        <w:t>National Partnership Agreement</w:t>
      </w:r>
      <w:r w:rsidRPr="00427327">
        <w:rPr>
          <w:b/>
          <w:bCs/>
          <w:color w:val="1F497D" w:themeColor="text2"/>
          <w:spacing w:val="-4"/>
        </w:rPr>
        <w:t xml:space="preserve">—Financial </w:t>
      </w:r>
      <w:proofErr w:type="gramStart"/>
      <w:r w:rsidRPr="00427327">
        <w:rPr>
          <w:b/>
          <w:bCs/>
          <w:color w:val="1F497D" w:themeColor="text2"/>
          <w:spacing w:val="-4"/>
        </w:rPr>
        <w:t>implications</w:t>
      </w:r>
      <w:r w:rsidRPr="00427327">
        <w:rPr>
          <w:b/>
          <w:bCs/>
          <w:color w:val="1F497D" w:themeColor="text2"/>
          <w:spacing w:val="-4"/>
          <w:vertAlign w:val="superscript"/>
        </w:rPr>
        <w:t>(</w:t>
      </w:r>
      <w:proofErr w:type="gramEnd"/>
      <w:r w:rsidRPr="00427327">
        <w:rPr>
          <w:b/>
          <w:bCs/>
          <w:color w:val="1F497D" w:themeColor="text2"/>
          <w:spacing w:val="-4"/>
          <w:vertAlign w:val="superscript"/>
        </w:rPr>
        <w:t>a)(b)</w:t>
      </w:r>
    </w:p>
    <w:tbl>
      <w:tblPr>
        <w:tblStyle w:val="TableGrid"/>
        <w:tblW w:w="5311" w:type="pct"/>
        <w:tblInd w:w="-421" w:type="dxa"/>
        <w:tblLook w:val="0680" w:firstRow="0" w:lastRow="0" w:firstColumn="1" w:lastColumn="0" w:noHBand="1" w:noVBand="1"/>
      </w:tblPr>
      <w:tblGrid>
        <w:gridCol w:w="2980"/>
        <w:gridCol w:w="914"/>
        <w:gridCol w:w="917"/>
        <w:gridCol w:w="917"/>
        <w:gridCol w:w="917"/>
        <w:gridCol w:w="914"/>
        <w:gridCol w:w="917"/>
        <w:gridCol w:w="917"/>
        <w:gridCol w:w="917"/>
        <w:gridCol w:w="914"/>
        <w:gridCol w:w="917"/>
        <w:gridCol w:w="917"/>
        <w:gridCol w:w="917"/>
        <w:gridCol w:w="911"/>
      </w:tblGrid>
      <w:tr w:rsidR="00746747" w:rsidRPr="00AB55AE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746747" w:rsidRPr="00AB55AE" w:rsidRDefault="00746747" w:rsidP="005B4D37">
            <w:pPr>
              <w:spacing w:before="70" w:after="70" w:line="240" w:lineRule="auto"/>
              <w:ind w:left="57" w:right="57"/>
              <w:rPr>
                <w:b/>
              </w:rPr>
            </w:pPr>
            <w:r>
              <w:rPr>
                <w:b/>
              </w:rPr>
              <w:t>($m)</w:t>
            </w:r>
          </w:p>
        </w:tc>
        <w:tc>
          <w:tcPr>
            <w:tcW w:w="307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2016-17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2017-18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2018-19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2019-20</w:t>
            </w:r>
          </w:p>
        </w:tc>
        <w:tc>
          <w:tcPr>
            <w:tcW w:w="307" w:type="pct"/>
            <w:shd w:val="clear" w:color="auto" w:fill="D7DDE9"/>
          </w:tcPr>
          <w:p w:rsidR="00746747" w:rsidRPr="00191B35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2019-20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2020-21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2021-22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2022-23</w:t>
            </w:r>
          </w:p>
        </w:tc>
        <w:tc>
          <w:tcPr>
            <w:tcW w:w="307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2023-24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2024-25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2025-26</w:t>
            </w:r>
          </w:p>
        </w:tc>
        <w:tc>
          <w:tcPr>
            <w:tcW w:w="308" w:type="pct"/>
            <w:shd w:val="clear" w:color="auto" w:fill="D7DDE9"/>
          </w:tcPr>
          <w:p w:rsidR="00746747" w:rsidRPr="002455C0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06" w:type="pct"/>
            <w:shd w:val="clear" w:color="auto" w:fill="D7DDE9"/>
          </w:tcPr>
          <w:p w:rsidR="00746747" w:rsidRPr="00191B35" w:rsidRDefault="00746747" w:rsidP="005B4D37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202</w:t>
            </w:r>
            <w:r>
              <w:rPr>
                <w:b/>
              </w:rPr>
              <w:t>6-27</w:t>
            </w:r>
          </w:p>
        </w:tc>
      </w:tr>
      <w:tr w:rsidR="00746747" w:rsidRPr="00AB55AE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7DDE9"/>
          </w:tcPr>
          <w:p w:rsidR="00746747" w:rsidRPr="00191B35" w:rsidRDefault="00746747" w:rsidP="005B4D37">
            <w:pPr>
              <w:spacing w:before="70" w:after="70" w:line="240" w:lineRule="auto"/>
              <w:ind w:left="57" w:right="57"/>
              <w:rPr>
                <w:b/>
              </w:rPr>
            </w:pPr>
            <w:r w:rsidRPr="00427327">
              <w:rPr>
                <w:b/>
              </w:rPr>
              <w:t>Impact on fiscal and underlying cash balances</w:t>
            </w:r>
          </w:p>
        </w:tc>
      </w:tr>
      <w:tr w:rsidR="00746747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746747" w:rsidRPr="00191B35" w:rsidRDefault="00746747" w:rsidP="005B4D37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Administered</w:t>
            </w:r>
          </w:p>
        </w:tc>
      </w:tr>
      <w:tr w:rsidR="00291934" w:rsidTr="0029193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291934" w:rsidRPr="002455C0" w:rsidRDefault="00291934" w:rsidP="005B4D37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2455C0">
              <w:rPr>
                <w:bCs/>
                <w:color w:val="000000"/>
              </w:rPr>
              <w:t>Backing our emergency workers</w:t>
            </w:r>
          </w:p>
        </w:tc>
        <w:tc>
          <w:tcPr>
            <w:tcW w:w="307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-25.0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-25.5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-30.0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-40.0</w:t>
            </w:r>
          </w:p>
        </w:tc>
        <w:tc>
          <w:tcPr>
            <w:tcW w:w="307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-120.4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-50.0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-80.0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-100.0</w:t>
            </w:r>
          </w:p>
        </w:tc>
        <w:tc>
          <w:tcPr>
            <w:tcW w:w="307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-140.0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-169.9</w:t>
            </w:r>
          </w:p>
        </w:tc>
        <w:tc>
          <w:tcPr>
            <w:tcW w:w="308" w:type="pct"/>
          </w:tcPr>
          <w:p w:rsidR="00291934" w:rsidRPr="0028794E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-199.9</w:t>
            </w:r>
          </w:p>
        </w:tc>
        <w:tc>
          <w:tcPr>
            <w:tcW w:w="308" w:type="pct"/>
          </w:tcPr>
          <w:p w:rsidR="00291934" w:rsidRPr="000E517F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7F">
              <w:t>-</w:t>
            </w:r>
          </w:p>
        </w:tc>
        <w:tc>
          <w:tcPr>
            <w:tcW w:w="306" w:type="pct"/>
          </w:tcPr>
          <w:p w:rsidR="00291934" w:rsidRPr="00291934" w:rsidRDefault="00291934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934">
              <w:rPr>
                <w:b/>
              </w:rPr>
              <w:t>-860.1</w:t>
            </w:r>
          </w:p>
        </w:tc>
      </w:tr>
      <w:tr w:rsidR="00E55EC1" w:rsidTr="0029193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E55EC1" w:rsidRPr="002455C0" w:rsidRDefault="00E55EC1" w:rsidP="005B4D37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2455C0">
              <w:rPr>
                <w:bCs/>
                <w:color w:val="000000"/>
              </w:rPr>
              <w:t>Preparing for extreme weather</w:t>
            </w:r>
          </w:p>
        </w:tc>
        <w:tc>
          <w:tcPr>
            <w:tcW w:w="307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-50.0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-50.9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-52.0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-53.2</w:t>
            </w:r>
          </w:p>
        </w:tc>
        <w:tc>
          <w:tcPr>
            <w:tcW w:w="307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-206.1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-54.6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-100.0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-102.5</w:t>
            </w:r>
          </w:p>
        </w:tc>
        <w:tc>
          <w:tcPr>
            <w:tcW w:w="307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-120.0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-149.9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-199.9</w:t>
            </w:r>
          </w:p>
        </w:tc>
        <w:tc>
          <w:tcPr>
            <w:tcW w:w="308" w:type="pct"/>
          </w:tcPr>
          <w:p w:rsidR="00E55EC1" w:rsidRPr="000E517F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7F">
              <w:t>-</w:t>
            </w:r>
          </w:p>
        </w:tc>
        <w:tc>
          <w:tcPr>
            <w:tcW w:w="306" w:type="pct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934">
              <w:rPr>
                <w:b/>
              </w:rPr>
              <w:t>-932.9</w:t>
            </w:r>
          </w:p>
        </w:tc>
      </w:tr>
      <w:tr w:rsidR="00E55EC1" w:rsidTr="0029193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E55EC1" w:rsidRPr="00746747" w:rsidRDefault="00E55EC1" w:rsidP="005B4D37">
            <w:pPr>
              <w:spacing w:before="70" w:after="70" w:line="240" w:lineRule="auto"/>
              <w:ind w:left="57" w:right="57"/>
              <w:rPr>
                <w:b/>
              </w:rPr>
            </w:pPr>
            <w:r w:rsidRPr="00746747">
              <w:rPr>
                <w:b/>
              </w:rPr>
              <w:t xml:space="preserve">Total - </w:t>
            </w:r>
            <w:r>
              <w:rPr>
                <w:b/>
              </w:rPr>
              <w:t>Administered</w:t>
            </w:r>
          </w:p>
        </w:tc>
        <w:tc>
          <w:tcPr>
            <w:tcW w:w="307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-74.9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-86.4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-92.0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-103.2</w:t>
            </w:r>
          </w:p>
        </w:tc>
        <w:tc>
          <w:tcPr>
            <w:tcW w:w="307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-356.5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-114.5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-189.9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-202.4</w:t>
            </w:r>
          </w:p>
        </w:tc>
        <w:tc>
          <w:tcPr>
            <w:tcW w:w="307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-259.9</w:t>
            </w:r>
          </w:p>
        </w:tc>
        <w:tc>
          <w:tcPr>
            <w:tcW w:w="308" w:type="pct"/>
          </w:tcPr>
          <w:p w:rsidR="00E55EC1" w:rsidRPr="0028794E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-319.9</w:t>
            </w:r>
          </w:p>
        </w:tc>
        <w:tc>
          <w:tcPr>
            <w:tcW w:w="308" w:type="pct"/>
          </w:tcPr>
          <w:p w:rsidR="00E55EC1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94E">
              <w:t>-399.9</w:t>
            </w:r>
          </w:p>
        </w:tc>
        <w:tc>
          <w:tcPr>
            <w:tcW w:w="308" w:type="pct"/>
          </w:tcPr>
          <w:p w:rsidR="00E55EC1" w:rsidRPr="000E517F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7F">
              <w:t>-</w:t>
            </w:r>
          </w:p>
        </w:tc>
        <w:tc>
          <w:tcPr>
            <w:tcW w:w="306" w:type="pct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934">
              <w:rPr>
                <w:b/>
              </w:rPr>
              <w:t>-1</w:t>
            </w:r>
            <w:r w:rsidR="00935496">
              <w:rPr>
                <w:b/>
              </w:rPr>
              <w:t>,</w:t>
            </w:r>
            <w:r w:rsidRPr="00291934">
              <w:rPr>
                <w:b/>
              </w:rPr>
              <w:t>793.0</w:t>
            </w:r>
          </w:p>
        </w:tc>
      </w:tr>
      <w:tr w:rsidR="00746747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746747" w:rsidRPr="00191B35" w:rsidRDefault="007A061F" w:rsidP="005B4D37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Departmental</w:t>
            </w:r>
          </w:p>
        </w:tc>
      </w:tr>
      <w:tr w:rsidR="00E55EC1" w:rsidTr="0029193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E55EC1" w:rsidRPr="002455C0" w:rsidRDefault="00E55EC1" w:rsidP="005B4D37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2455C0">
              <w:rPr>
                <w:bCs/>
                <w:color w:val="000000"/>
              </w:rPr>
              <w:t>Backing our emergency workers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-0.2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E517F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7F">
              <w:t>-</w:t>
            </w:r>
          </w:p>
        </w:tc>
        <w:tc>
          <w:tcPr>
            <w:tcW w:w="306" w:type="pct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934">
              <w:rPr>
                <w:b/>
              </w:rPr>
              <w:t>-0.5</w:t>
            </w:r>
          </w:p>
        </w:tc>
      </w:tr>
      <w:tr w:rsidR="00E55EC1" w:rsidTr="0029193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E55EC1" w:rsidRPr="002455C0" w:rsidRDefault="00E55EC1" w:rsidP="005B4D37">
            <w:pPr>
              <w:spacing w:before="70" w:after="70" w:line="240" w:lineRule="auto"/>
              <w:ind w:left="57" w:right="57"/>
              <w:rPr>
                <w:color w:val="000000"/>
              </w:rPr>
            </w:pPr>
            <w:r w:rsidRPr="002455C0">
              <w:rPr>
                <w:bCs/>
                <w:color w:val="000000"/>
              </w:rPr>
              <w:t>Preparing for extreme weather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-0.2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E517F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7F">
              <w:t>-</w:t>
            </w:r>
          </w:p>
        </w:tc>
        <w:tc>
          <w:tcPr>
            <w:tcW w:w="306" w:type="pct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934">
              <w:rPr>
                <w:b/>
              </w:rPr>
              <w:t>-0.5</w:t>
            </w:r>
          </w:p>
        </w:tc>
      </w:tr>
      <w:tr w:rsidR="00E55EC1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E55EC1" w:rsidRPr="00746747" w:rsidRDefault="00E55EC1" w:rsidP="005B4D37">
            <w:pPr>
              <w:spacing w:before="70" w:after="70" w:line="240" w:lineRule="auto"/>
              <w:ind w:left="57" w:right="57"/>
              <w:rPr>
                <w:b/>
              </w:rPr>
            </w:pPr>
            <w:r w:rsidRPr="00746747">
              <w:rPr>
                <w:b/>
              </w:rPr>
              <w:t xml:space="preserve">Total - </w:t>
            </w:r>
            <w:r>
              <w:rPr>
                <w:b/>
              </w:rPr>
              <w:t>Departmental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-0.4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7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A3ECD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3ECD">
              <w:t>-0.1</w:t>
            </w:r>
          </w:p>
        </w:tc>
        <w:tc>
          <w:tcPr>
            <w:tcW w:w="308" w:type="pct"/>
          </w:tcPr>
          <w:p w:rsidR="00E55EC1" w:rsidRPr="000E517F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17F">
              <w:t>-</w:t>
            </w:r>
          </w:p>
        </w:tc>
        <w:tc>
          <w:tcPr>
            <w:tcW w:w="306" w:type="pct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1934">
              <w:rPr>
                <w:b/>
              </w:rPr>
              <w:t>-1.0</w:t>
            </w:r>
          </w:p>
        </w:tc>
      </w:tr>
      <w:tr w:rsidR="00E55EC1" w:rsidRPr="00AB55AE" w:rsidTr="0029193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E55EC1" w:rsidRPr="00AB55AE" w:rsidRDefault="00E55EC1" w:rsidP="005B4D37">
            <w:pPr>
              <w:spacing w:before="70" w:after="70" w:line="240" w:lineRule="auto"/>
              <w:ind w:left="57" w:right="57"/>
              <w:rPr>
                <w:b/>
              </w:rPr>
            </w:pPr>
            <w:r w:rsidRPr="006079AB">
              <w:rPr>
                <w:b/>
              </w:rPr>
              <w:t>Total</w:t>
            </w:r>
          </w:p>
        </w:tc>
        <w:tc>
          <w:tcPr>
            <w:tcW w:w="307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-75.0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-76.5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-82.1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-93.3</w:t>
            </w:r>
          </w:p>
        </w:tc>
        <w:tc>
          <w:tcPr>
            <w:tcW w:w="307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-326.9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-104.6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-180.0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-202.5</w:t>
            </w:r>
          </w:p>
        </w:tc>
        <w:tc>
          <w:tcPr>
            <w:tcW w:w="307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-260.0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-320.0</w:t>
            </w:r>
          </w:p>
        </w:tc>
        <w:tc>
          <w:tcPr>
            <w:tcW w:w="308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-400.0</w:t>
            </w:r>
          </w:p>
        </w:tc>
        <w:tc>
          <w:tcPr>
            <w:tcW w:w="308" w:type="pct"/>
            <w:shd w:val="clear" w:color="auto" w:fill="D7DDE9"/>
          </w:tcPr>
          <w:p w:rsidR="00E55EC1" w:rsidRPr="00E55EC1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55EC1">
              <w:rPr>
                <w:b/>
              </w:rPr>
              <w:t>-</w:t>
            </w:r>
          </w:p>
        </w:tc>
        <w:tc>
          <w:tcPr>
            <w:tcW w:w="306" w:type="pct"/>
            <w:shd w:val="clear" w:color="auto" w:fill="D7DDE9"/>
          </w:tcPr>
          <w:p w:rsidR="00E55EC1" w:rsidRPr="00291934" w:rsidRDefault="00E55EC1" w:rsidP="005B4D37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291934">
              <w:rPr>
                <w:b/>
                <w:i w:val="0"/>
              </w:rPr>
              <w:t>-1</w:t>
            </w:r>
            <w:r w:rsidR="00935496">
              <w:rPr>
                <w:b/>
                <w:i w:val="0"/>
              </w:rPr>
              <w:t>,</w:t>
            </w:r>
            <w:r w:rsidRPr="00291934">
              <w:rPr>
                <w:b/>
                <w:i w:val="0"/>
              </w:rPr>
              <w:t>794.0</w:t>
            </w:r>
          </w:p>
        </w:tc>
      </w:tr>
    </w:tbl>
    <w:p w:rsidR="00746747" w:rsidRPr="00746747" w:rsidRDefault="00746747" w:rsidP="00746747">
      <w:pPr>
        <w:pStyle w:val="Footnotes"/>
        <w:numPr>
          <w:ilvl w:val="0"/>
          <w:numId w:val="21"/>
        </w:numPr>
        <w:ind w:left="284" w:hanging="284"/>
      </w:pPr>
      <w:r w:rsidRPr="00746747">
        <w:t xml:space="preserve">A negative number indicates a decrease in revenue or an increase in expenses in </w:t>
      </w:r>
      <w:r w:rsidR="00C47BC3">
        <w:t xml:space="preserve">both </w:t>
      </w:r>
      <w:r w:rsidRPr="00746747">
        <w:t>accrual and cash terms.</w:t>
      </w:r>
    </w:p>
    <w:p w:rsidR="00746747" w:rsidRPr="001F1084" w:rsidRDefault="00746747" w:rsidP="00746747">
      <w:pPr>
        <w:numPr>
          <w:ilvl w:val="0"/>
          <w:numId w:val="8"/>
        </w:num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>Figures may not sum to totals due to rounding.</w:t>
      </w:r>
    </w:p>
    <w:p w:rsidR="00746747" w:rsidRDefault="00291934" w:rsidP="00746747">
      <w:pPr>
        <w:spacing w:before="113" w:after="0" w:line="260" w:lineRule="atLeast"/>
        <w:ind w:left="284" w:hanging="284"/>
        <w:rPr>
          <w:sz w:val="20"/>
          <w:szCs w:val="20"/>
        </w:rPr>
      </w:pPr>
      <w:r>
        <w:rPr>
          <w:sz w:val="20"/>
          <w:szCs w:val="20"/>
        </w:rPr>
        <w:t>..</w:t>
      </w:r>
      <w:r w:rsidR="00746747" w:rsidRPr="001F1084">
        <w:rPr>
          <w:sz w:val="20"/>
          <w:szCs w:val="20"/>
        </w:rPr>
        <w:tab/>
      </w:r>
      <w:r w:rsidRPr="00291934">
        <w:rPr>
          <w:sz w:val="20"/>
          <w:szCs w:val="20"/>
        </w:rPr>
        <w:t>Not zero but rounded to zero</w:t>
      </w:r>
      <w:r w:rsidR="00746747" w:rsidRPr="001F1084">
        <w:rPr>
          <w:sz w:val="20"/>
          <w:szCs w:val="20"/>
        </w:rPr>
        <w:t>.</w:t>
      </w:r>
    </w:p>
    <w:p w:rsidR="00291934" w:rsidRDefault="00291934" w:rsidP="00746747">
      <w:pPr>
        <w:spacing w:before="113" w:after="0" w:line="260" w:lineRule="atLeast"/>
        <w:ind w:left="284" w:hanging="284"/>
        <w:rPr>
          <w:sz w:val="20"/>
          <w:szCs w:val="20"/>
        </w:rPr>
      </w:pPr>
      <w:r w:rsidRPr="00291934">
        <w:rPr>
          <w:sz w:val="20"/>
          <w:szCs w:val="20"/>
        </w:rPr>
        <w:t>-</w:t>
      </w:r>
      <w:r w:rsidRPr="00291934">
        <w:rPr>
          <w:sz w:val="20"/>
          <w:szCs w:val="20"/>
        </w:rPr>
        <w:tab/>
        <w:t>Indicates nil.</w:t>
      </w:r>
    </w:p>
    <w:p w:rsidR="00427327" w:rsidRDefault="00427327">
      <w:pPr>
        <w:spacing w:before="0" w:after="200" w:line="276" w:lineRule="auto"/>
        <w:rPr>
          <w:sz w:val="20"/>
          <w:szCs w:val="20"/>
        </w:rPr>
      </w:pPr>
      <w:r>
        <w:br w:type="page"/>
      </w:r>
    </w:p>
    <w:p w:rsidR="00F7208B" w:rsidRPr="00427327" w:rsidRDefault="00F7208B" w:rsidP="00F7208B">
      <w:pPr>
        <w:keepNext/>
        <w:spacing w:before="240"/>
        <w:rPr>
          <w:b/>
          <w:bCs/>
          <w:color w:val="1F497D" w:themeColor="text2"/>
          <w:spacing w:val="-4"/>
        </w:rPr>
      </w:pPr>
      <w:r w:rsidRPr="00427327">
        <w:rPr>
          <w:b/>
          <w:bCs/>
          <w:color w:val="1F497D" w:themeColor="text2"/>
          <w:spacing w:val="-4"/>
        </w:rPr>
        <w:lastRenderedPageBreak/>
        <w:t>Table B</w:t>
      </w:r>
      <w:r>
        <w:rPr>
          <w:b/>
          <w:bCs/>
          <w:color w:val="1F497D" w:themeColor="text2"/>
          <w:spacing w:val="-4"/>
        </w:rPr>
        <w:t>4</w:t>
      </w:r>
      <w:r w:rsidRPr="00427327">
        <w:rPr>
          <w:b/>
          <w:bCs/>
          <w:color w:val="1F497D" w:themeColor="text2"/>
          <w:spacing w:val="-4"/>
        </w:rPr>
        <w:t xml:space="preserve">: Component </w:t>
      </w:r>
      <w:r>
        <w:rPr>
          <w:b/>
          <w:bCs/>
          <w:color w:val="1F497D" w:themeColor="text2"/>
          <w:spacing w:val="-4"/>
        </w:rPr>
        <w:t>3</w:t>
      </w:r>
      <w:r w:rsidRPr="00427327">
        <w:rPr>
          <w:b/>
          <w:bCs/>
          <w:color w:val="1F497D" w:themeColor="text2"/>
          <w:spacing w:val="-4"/>
        </w:rPr>
        <w:t xml:space="preserve">: </w:t>
      </w:r>
      <w:r w:rsidR="00935496" w:rsidRPr="00935496">
        <w:rPr>
          <w:b/>
          <w:bCs/>
          <w:color w:val="1F497D" w:themeColor="text2"/>
          <w:spacing w:val="-4"/>
        </w:rPr>
        <w:t xml:space="preserve">Establish the </w:t>
      </w:r>
      <w:r w:rsidR="00935496" w:rsidRPr="00DC2E19">
        <w:rPr>
          <w:b/>
          <w:bCs/>
          <w:color w:val="1F497D" w:themeColor="text2"/>
          <w:spacing w:val="-4"/>
        </w:rPr>
        <w:t>Office of Climate Adaptation and Sea Level Rise</w:t>
      </w:r>
      <w:r w:rsidR="00935496" w:rsidRPr="00935496" w:rsidDel="00935496">
        <w:rPr>
          <w:b/>
          <w:bCs/>
          <w:color w:val="1F497D" w:themeColor="text2"/>
          <w:spacing w:val="-4"/>
        </w:rPr>
        <w:t xml:space="preserve"> </w:t>
      </w:r>
      <w:r w:rsidRPr="00427327">
        <w:rPr>
          <w:b/>
          <w:bCs/>
          <w:color w:val="1F497D" w:themeColor="text2"/>
          <w:spacing w:val="-4"/>
        </w:rPr>
        <w:t xml:space="preserve">—Financial </w:t>
      </w:r>
      <w:proofErr w:type="gramStart"/>
      <w:r w:rsidRPr="00427327">
        <w:rPr>
          <w:b/>
          <w:bCs/>
          <w:color w:val="1F497D" w:themeColor="text2"/>
          <w:spacing w:val="-4"/>
        </w:rPr>
        <w:t>implications</w:t>
      </w:r>
      <w:r w:rsidRPr="00427327">
        <w:rPr>
          <w:b/>
          <w:bCs/>
          <w:color w:val="1F497D" w:themeColor="text2"/>
          <w:spacing w:val="-4"/>
          <w:vertAlign w:val="superscript"/>
        </w:rPr>
        <w:t>(</w:t>
      </w:r>
      <w:proofErr w:type="gramEnd"/>
      <w:r w:rsidRPr="00427327">
        <w:rPr>
          <w:b/>
          <w:bCs/>
          <w:color w:val="1F497D" w:themeColor="text2"/>
          <w:spacing w:val="-4"/>
          <w:vertAlign w:val="superscript"/>
        </w:rPr>
        <w:t>a)(b)</w:t>
      </w:r>
    </w:p>
    <w:tbl>
      <w:tblPr>
        <w:tblStyle w:val="TableGrid"/>
        <w:tblW w:w="5311" w:type="pct"/>
        <w:tblInd w:w="-421" w:type="dxa"/>
        <w:tblLook w:val="0680" w:firstRow="0" w:lastRow="0" w:firstColumn="1" w:lastColumn="0" w:noHBand="1" w:noVBand="1"/>
      </w:tblPr>
      <w:tblGrid>
        <w:gridCol w:w="2980"/>
        <w:gridCol w:w="914"/>
        <w:gridCol w:w="917"/>
        <w:gridCol w:w="917"/>
        <w:gridCol w:w="917"/>
        <w:gridCol w:w="914"/>
        <w:gridCol w:w="917"/>
        <w:gridCol w:w="917"/>
        <w:gridCol w:w="917"/>
        <w:gridCol w:w="914"/>
        <w:gridCol w:w="917"/>
        <w:gridCol w:w="917"/>
        <w:gridCol w:w="917"/>
        <w:gridCol w:w="911"/>
      </w:tblGrid>
      <w:tr w:rsidR="00F7208B" w:rsidRPr="00AB55AE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F7208B" w:rsidRPr="00AB55AE" w:rsidRDefault="00F7208B" w:rsidP="0038481F">
            <w:pPr>
              <w:spacing w:before="70" w:after="70" w:line="240" w:lineRule="auto"/>
              <w:ind w:left="57" w:right="57"/>
              <w:rPr>
                <w:b/>
              </w:rPr>
            </w:pPr>
            <w:r>
              <w:rPr>
                <w:b/>
              </w:rPr>
              <w:t>($m)</w:t>
            </w:r>
          </w:p>
        </w:tc>
        <w:tc>
          <w:tcPr>
            <w:tcW w:w="307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2016-17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2017-18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2018-19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2019-20</w:t>
            </w:r>
          </w:p>
        </w:tc>
        <w:tc>
          <w:tcPr>
            <w:tcW w:w="307" w:type="pct"/>
            <w:shd w:val="clear" w:color="auto" w:fill="D7DDE9"/>
          </w:tcPr>
          <w:p w:rsidR="00F7208B" w:rsidRPr="00191B35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2019-20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2020-21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2021-22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2022-23</w:t>
            </w:r>
          </w:p>
        </w:tc>
        <w:tc>
          <w:tcPr>
            <w:tcW w:w="307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2023-24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2024-25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5C0">
              <w:t>2025-26</w:t>
            </w:r>
          </w:p>
        </w:tc>
        <w:tc>
          <w:tcPr>
            <w:tcW w:w="308" w:type="pct"/>
            <w:shd w:val="clear" w:color="auto" w:fill="D7DDE9"/>
          </w:tcPr>
          <w:p w:rsidR="00F7208B" w:rsidRPr="002455C0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06" w:type="pct"/>
            <w:shd w:val="clear" w:color="auto" w:fill="D7DDE9"/>
          </w:tcPr>
          <w:p w:rsidR="00F7208B" w:rsidRPr="00191B35" w:rsidRDefault="00F7208B" w:rsidP="0038481F">
            <w:pPr>
              <w:spacing w:before="70" w:after="7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B35">
              <w:rPr>
                <w:b/>
              </w:rPr>
              <w:t>Total to 202</w:t>
            </w:r>
            <w:r>
              <w:rPr>
                <w:b/>
              </w:rPr>
              <w:t>6-27</w:t>
            </w:r>
          </w:p>
        </w:tc>
      </w:tr>
      <w:tr w:rsidR="00F7208B" w:rsidRPr="00AB55AE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7DDE9"/>
          </w:tcPr>
          <w:p w:rsidR="00F7208B" w:rsidRPr="00191B35" w:rsidRDefault="00F7208B" w:rsidP="0038481F">
            <w:pPr>
              <w:spacing w:before="70" w:after="70" w:line="240" w:lineRule="auto"/>
              <w:ind w:left="57" w:right="57"/>
              <w:rPr>
                <w:b/>
              </w:rPr>
            </w:pPr>
            <w:r w:rsidRPr="00427327">
              <w:rPr>
                <w:b/>
              </w:rPr>
              <w:t>Impact on fiscal and underlying cash balances</w:t>
            </w:r>
          </w:p>
        </w:tc>
      </w:tr>
      <w:tr w:rsidR="00F7208B" w:rsidTr="00C85BB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F7208B" w:rsidRPr="00191B35" w:rsidRDefault="00F7208B" w:rsidP="0038481F">
            <w:pPr>
              <w:pStyle w:val="TableTextRight"/>
              <w:spacing w:line="240" w:lineRule="auto"/>
              <w:ind w:left="57" w:right="57"/>
              <w:jc w:val="left"/>
              <w:rPr>
                <w:b/>
                <w:i w:val="0"/>
              </w:rPr>
            </w:pPr>
            <w:r>
              <w:rPr>
                <w:b/>
                <w:i w:val="0"/>
              </w:rPr>
              <w:t>Departmental</w:t>
            </w:r>
          </w:p>
        </w:tc>
      </w:tr>
      <w:tr w:rsidR="00F7208B" w:rsidTr="00F720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</w:tcPr>
          <w:p w:rsidR="00F7208B" w:rsidRPr="00A65EA3" w:rsidRDefault="00935496" w:rsidP="0038481F">
            <w:pPr>
              <w:spacing w:before="70" w:after="70" w:line="240" w:lineRule="auto"/>
              <w:ind w:left="57" w:right="57"/>
            </w:pPr>
            <w:r w:rsidRPr="00935496">
              <w:t xml:space="preserve">Establish the </w:t>
            </w:r>
            <w:r w:rsidRPr="00DC2E19">
              <w:t>Office of Climate Adaptation and Sea Level Rise</w:t>
            </w:r>
          </w:p>
        </w:tc>
        <w:tc>
          <w:tcPr>
            <w:tcW w:w="307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-5.0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-5.1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-5.2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-5.3</w:t>
            </w:r>
          </w:p>
        </w:tc>
        <w:tc>
          <w:tcPr>
            <w:tcW w:w="307" w:type="pct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7208B">
              <w:rPr>
                <w:b/>
              </w:rPr>
              <w:t>-20.6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-5.5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-5.6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-5.7</w:t>
            </w:r>
          </w:p>
        </w:tc>
        <w:tc>
          <w:tcPr>
            <w:tcW w:w="307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-5.9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-6.0</w:t>
            </w:r>
          </w:p>
        </w:tc>
        <w:tc>
          <w:tcPr>
            <w:tcW w:w="308" w:type="pct"/>
          </w:tcPr>
          <w:p w:rsidR="00F7208B" w:rsidRPr="00A525E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25EB">
              <w:t>-6.2</w:t>
            </w:r>
          </w:p>
        </w:tc>
        <w:tc>
          <w:tcPr>
            <w:tcW w:w="308" w:type="pct"/>
          </w:tcPr>
          <w:p w:rsidR="00F7208B" w:rsidRPr="000E517F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06" w:type="pct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7208B">
              <w:rPr>
                <w:b/>
              </w:rPr>
              <w:t>-55.5</w:t>
            </w:r>
          </w:p>
        </w:tc>
      </w:tr>
      <w:tr w:rsidR="00F7208B" w:rsidRPr="00AB55AE" w:rsidTr="00F720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D7DDE9"/>
          </w:tcPr>
          <w:p w:rsidR="00F7208B" w:rsidRPr="00AB55AE" w:rsidRDefault="00F7208B" w:rsidP="0038481F">
            <w:pPr>
              <w:spacing w:before="70" w:after="70" w:line="240" w:lineRule="auto"/>
              <w:ind w:left="57" w:right="57"/>
              <w:rPr>
                <w:b/>
              </w:rPr>
            </w:pPr>
            <w:r w:rsidRPr="006079AB">
              <w:rPr>
                <w:b/>
              </w:rPr>
              <w:t>Total</w:t>
            </w:r>
          </w:p>
        </w:tc>
        <w:tc>
          <w:tcPr>
            <w:tcW w:w="307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-5.0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-5.1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-5.2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-5.3</w:t>
            </w:r>
          </w:p>
        </w:tc>
        <w:tc>
          <w:tcPr>
            <w:tcW w:w="307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-20.6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-5.5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-5.6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-5.7</w:t>
            </w:r>
          </w:p>
        </w:tc>
        <w:tc>
          <w:tcPr>
            <w:tcW w:w="307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-5.9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-6.0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-6.2</w:t>
            </w:r>
          </w:p>
        </w:tc>
        <w:tc>
          <w:tcPr>
            <w:tcW w:w="308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 xml:space="preserve">- </w:t>
            </w:r>
          </w:p>
        </w:tc>
        <w:tc>
          <w:tcPr>
            <w:tcW w:w="306" w:type="pct"/>
            <w:shd w:val="clear" w:color="auto" w:fill="D7DDE9"/>
          </w:tcPr>
          <w:p w:rsidR="00F7208B" w:rsidRPr="00F7208B" w:rsidRDefault="00F7208B" w:rsidP="0038481F">
            <w:pPr>
              <w:pStyle w:val="TableTextRigh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F7208B">
              <w:rPr>
                <w:b/>
                <w:i w:val="0"/>
              </w:rPr>
              <w:t>-55.5</w:t>
            </w:r>
          </w:p>
        </w:tc>
      </w:tr>
    </w:tbl>
    <w:p w:rsidR="00F7208B" w:rsidRPr="00F7208B" w:rsidRDefault="00F7208B" w:rsidP="00F7208B">
      <w:pPr>
        <w:pStyle w:val="Footnotes"/>
        <w:numPr>
          <w:ilvl w:val="0"/>
          <w:numId w:val="22"/>
        </w:numPr>
        <w:ind w:left="284" w:hanging="284"/>
      </w:pPr>
      <w:r w:rsidRPr="00F7208B">
        <w:t xml:space="preserve">A negative number indicates a decrease in revenue or an increase in expenses in </w:t>
      </w:r>
      <w:r w:rsidR="00536057">
        <w:t xml:space="preserve">both </w:t>
      </w:r>
      <w:r w:rsidRPr="00F7208B">
        <w:t>accrual and cash terms.</w:t>
      </w:r>
    </w:p>
    <w:p w:rsidR="00F7208B" w:rsidRPr="001F1084" w:rsidRDefault="00F7208B" w:rsidP="00F7208B">
      <w:pPr>
        <w:numPr>
          <w:ilvl w:val="0"/>
          <w:numId w:val="8"/>
        </w:num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>Figures may not sum to totals due to rounding.</w:t>
      </w:r>
    </w:p>
    <w:p w:rsidR="00427327" w:rsidRPr="00E40AB4" w:rsidRDefault="00F7208B" w:rsidP="00E40AB4">
      <w:pPr>
        <w:spacing w:before="113" w:after="0" w:line="260" w:lineRule="atLeast"/>
        <w:ind w:left="284" w:hanging="284"/>
        <w:rPr>
          <w:sz w:val="20"/>
          <w:szCs w:val="20"/>
        </w:rPr>
      </w:pPr>
      <w:r w:rsidRPr="001F1084">
        <w:rPr>
          <w:sz w:val="20"/>
          <w:szCs w:val="20"/>
        </w:rPr>
        <w:t>-</w:t>
      </w:r>
      <w:r w:rsidRPr="001F1084">
        <w:rPr>
          <w:sz w:val="20"/>
          <w:szCs w:val="20"/>
        </w:rPr>
        <w:tab/>
        <w:t>Indicates nil.</w:t>
      </w:r>
    </w:p>
    <w:sectPr w:rsidR="00427327" w:rsidRPr="00E40AB4" w:rsidSect="00CA12A0">
      <w:headerReference w:type="first" r:id="rId16"/>
      <w:footerReference w:type="first" r:id="rId17"/>
      <w:pgSz w:w="16839" w:h="11907" w:orient="landscape" w:code="9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7C" w:rsidRDefault="0067197C" w:rsidP="008F588A">
      <w:pPr>
        <w:spacing w:line="240" w:lineRule="auto"/>
      </w:pPr>
      <w:r>
        <w:separator/>
      </w:r>
    </w:p>
    <w:p w:rsidR="0067197C" w:rsidRDefault="0067197C"/>
  </w:endnote>
  <w:endnote w:type="continuationSeparator" w:id="0">
    <w:p w:rsidR="0067197C" w:rsidRDefault="0067197C" w:rsidP="008F588A">
      <w:pPr>
        <w:spacing w:line="240" w:lineRule="auto"/>
      </w:pPr>
      <w:r>
        <w:continuationSeparator/>
      </w:r>
    </w:p>
    <w:p w:rsidR="0067197C" w:rsidRDefault="00671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Pr="00C24267" w:rsidRDefault="0067197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F9053D">
      <w:rPr>
        <w:noProof/>
      </w:rPr>
      <w:t>9</w:t>
    </w:r>
    <w:r w:rsidRPr="00C24267">
      <w:fldChar w:fldCharType="end"/>
    </w:r>
    <w:r w:rsidRPr="00C24267">
      <w:t xml:space="preserve"> of </w:t>
    </w:r>
    <w:fldSimple w:instr=" NUMPAGES  \* Arabic  \* MERGEFORMAT ">
      <w:r w:rsidR="00F9053D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Pr="00C24267" w:rsidRDefault="0067197C" w:rsidP="00C24267">
    <w:pPr>
      <w:pStyle w:val="Letterfooter"/>
    </w:pPr>
    <w:r w:rsidRPr="00C24267">
      <w:t>Parliamentary Budget Office   PO Box 6010   Parliament House   Canberra ACT 2600</w:t>
    </w:r>
  </w:p>
  <w:p w:rsidR="0067197C" w:rsidRPr="00C24267" w:rsidRDefault="0067197C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Pr="00C24267" w:rsidRDefault="0067197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F9053D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F9053D">
        <w:rPr>
          <w:noProof/>
        </w:rPr>
        <w:t>9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Pr="00C24267" w:rsidRDefault="0067197C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F9053D">
      <w:rPr>
        <w:noProof/>
      </w:rPr>
      <w:t>5</w:t>
    </w:r>
    <w:r w:rsidRPr="00C24267">
      <w:fldChar w:fldCharType="end"/>
    </w:r>
    <w:r w:rsidRPr="00C24267">
      <w:t xml:space="preserve"> of </w:t>
    </w:r>
    <w:fldSimple w:instr=" NUMPAGES  \* Arabic  \* MERGEFORMAT ">
      <w:r w:rsidR="00F9053D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7C" w:rsidRDefault="0067197C" w:rsidP="008F588A">
      <w:pPr>
        <w:spacing w:line="240" w:lineRule="auto"/>
      </w:pPr>
      <w:r>
        <w:separator/>
      </w:r>
    </w:p>
    <w:p w:rsidR="0067197C" w:rsidRDefault="0067197C"/>
  </w:footnote>
  <w:footnote w:type="continuationSeparator" w:id="0">
    <w:p w:rsidR="0067197C" w:rsidRDefault="0067197C" w:rsidP="008F588A">
      <w:pPr>
        <w:spacing w:line="240" w:lineRule="auto"/>
      </w:pPr>
      <w:r>
        <w:continuationSeparator/>
      </w:r>
    </w:p>
    <w:p w:rsidR="0067197C" w:rsidRDefault="006719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Default="0067197C" w:rsidP="00CB40E1">
    <w:pPr>
      <w:pStyle w:val="Header"/>
    </w:pPr>
    <w:r>
      <w:rPr>
        <w:noProof/>
        <w:lang w:eastAsia="en-AU"/>
      </w:rPr>
      <w:drawing>
        <wp:inline distT="0" distB="0" distL="0" distR="0" wp14:anchorId="778EDF67" wp14:editId="3F1D7CF6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197C" w:rsidRPr="00DA1C8A" w:rsidRDefault="0067197C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Pr="002B03E7" w:rsidRDefault="002B03E7" w:rsidP="002B03E7">
    <w:pPr>
      <w:pStyle w:val="Header"/>
    </w:pPr>
    <w:r>
      <w:rPr>
        <w:noProof/>
        <w:lang w:eastAsia="en-AU"/>
      </w:rPr>
      <w:drawing>
        <wp:inline distT="0" distB="0" distL="0" distR="0" wp14:anchorId="691272D8" wp14:editId="03CCBDE3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7C" w:rsidRPr="001B763D" w:rsidRDefault="0067197C" w:rsidP="001B76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E45E35"/>
    <w:multiLevelType w:val="hybridMultilevel"/>
    <w:tmpl w:val="AD10DD16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080122"/>
    <w:multiLevelType w:val="hybridMultilevel"/>
    <w:tmpl w:val="28548164"/>
    <w:lvl w:ilvl="0" w:tplc="E2C078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8"/>
  </w:num>
  <w:num w:numId="18">
    <w:abstractNumId w:val="9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2C"/>
    <w:rsid w:val="00002D5D"/>
    <w:rsid w:val="00015FB2"/>
    <w:rsid w:val="00037B12"/>
    <w:rsid w:val="00040DCE"/>
    <w:rsid w:val="00044479"/>
    <w:rsid w:val="00060F22"/>
    <w:rsid w:val="00075D8F"/>
    <w:rsid w:val="0009371F"/>
    <w:rsid w:val="00096F3A"/>
    <w:rsid w:val="000B07D9"/>
    <w:rsid w:val="000C1A75"/>
    <w:rsid w:val="000D54AE"/>
    <w:rsid w:val="000E7FA0"/>
    <w:rsid w:val="000F627C"/>
    <w:rsid w:val="00115578"/>
    <w:rsid w:val="001278D0"/>
    <w:rsid w:val="0014239B"/>
    <w:rsid w:val="0014500E"/>
    <w:rsid w:val="00157753"/>
    <w:rsid w:val="00191B35"/>
    <w:rsid w:val="001A02D1"/>
    <w:rsid w:val="001B763D"/>
    <w:rsid w:val="001F1084"/>
    <w:rsid w:val="002171D3"/>
    <w:rsid w:val="00220BE5"/>
    <w:rsid w:val="00225560"/>
    <w:rsid w:val="00226539"/>
    <w:rsid w:val="00235FDD"/>
    <w:rsid w:val="00241CF9"/>
    <w:rsid w:val="002422A3"/>
    <w:rsid w:val="002478F8"/>
    <w:rsid w:val="0026542F"/>
    <w:rsid w:val="00276388"/>
    <w:rsid w:val="00291934"/>
    <w:rsid w:val="0029517C"/>
    <w:rsid w:val="0029529F"/>
    <w:rsid w:val="002B03E7"/>
    <w:rsid w:val="002F0749"/>
    <w:rsid w:val="002F34FC"/>
    <w:rsid w:val="00315E34"/>
    <w:rsid w:val="00326DE2"/>
    <w:rsid w:val="00363DF9"/>
    <w:rsid w:val="0038481F"/>
    <w:rsid w:val="003955A0"/>
    <w:rsid w:val="003B6604"/>
    <w:rsid w:val="003D7744"/>
    <w:rsid w:val="003E4F5F"/>
    <w:rsid w:val="003F6164"/>
    <w:rsid w:val="003F73CA"/>
    <w:rsid w:val="00405614"/>
    <w:rsid w:val="00410A2C"/>
    <w:rsid w:val="004237F3"/>
    <w:rsid w:val="0042710B"/>
    <w:rsid w:val="00427327"/>
    <w:rsid w:val="00434627"/>
    <w:rsid w:val="00440E32"/>
    <w:rsid w:val="00442203"/>
    <w:rsid w:val="00443F98"/>
    <w:rsid w:val="00461597"/>
    <w:rsid w:val="004678CD"/>
    <w:rsid w:val="0047184E"/>
    <w:rsid w:val="00477DD6"/>
    <w:rsid w:val="00485374"/>
    <w:rsid w:val="00492487"/>
    <w:rsid w:val="00493FD5"/>
    <w:rsid w:val="004A1F1A"/>
    <w:rsid w:val="004C0B64"/>
    <w:rsid w:val="004C283B"/>
    <w:rsid w:val="004D13ED"/>
    <w:rsid w:val="004D5525"/>
    <w:rsid w:val="004F7BBA"/>
    <w:rsid w:val="005035DA"/>
    <w:rsid w:val="00506C0C"/>
    <w:rsid w:val="00507897"/>
    <w:rsid w:val="00515A85"/>
    <w:rsid w:val="00520955"/>
    <w:rsid w:val="00522090"/>
    <w:rsid w:val="00536057"/>
    <w:rsid w:val="00545F24"/>
    <w:rsid w:val="0055581F"/>
    <w:rsid w:val="0056229A"/>
    <w:rsid w:val="00570154"/>
    <w:rsid w:val="00570249"/>
    <w:rsid w:val="00570B5A"/>
    <w:rsid w:val="00576ED9"/>
    <w:rsid w:val="005808B1"/>
    <w:rsid w:val="00587422"/>
    <w:rsid w:val="005A5D3D"/>
    <w:rsid w:val="005B1A4A"/>
    <w:rsid w:val="005B4D37"/>
    <w:rsid w:val="005B7B75"/>
    <w:rsid w:val="005C6967"/>
    <w:rsid w:val="005E3562"/>
    <w:rsid w:val="005F7DE0"/>
    <w:rsid w:val="006079AB"/>
    <w:rsid w:val="006160BA"/>
    <w:rsid w:val="00617A93"/>
    <w:rsid w:val="0063473E"/>
    <w:rsid w:val="00640346"/>
    <w:rsid w:val="006461B2"/>
    <w:rsid w:val="00646B7F"/>
    <w:rsid w:val="00650166"/>
    <w:rsid w:val="00660385"/>
    <w:rsid w:val="00662E65"/>
    <w:rsid w:val="0066665A"/>
    <w:rsid w:val="0067197C"/>
    <w:rsid w:val="00686FEB"/>
    <w:rsid w:val="00692DD8"/>
    <w:rsid w:val="006A3DB0"/>
    <w:rsid w:val="006A71CC"/>
    <w:rsid w:val="006E0280"/>
    <w:rsid w:val="006F0CE9"/>
    <w:rsid w:val="007166A4"/>
    <w:rsid w:val="007202A8"/>
    <w:rsid w:val="007229A9"/>
    <w:rsid w:val="007240D1"/>
    <w:rsid w:val="007261EC"/>
    <w:rsid w:val="00732529"/>
    <w:rsid w:val="00746747"/>
    <w:rsid w:val="00784169"/>
    <w:rsid w:val="007974D3"/>
    <w:rsid w:val="007A061F"/>
    <w:rsid w:val="007B029A"/>
    <w:rsid w:val="007D33AA"/>
    <w:rsid w:val="007D3577"/>
    <w:rsid w:val="007E4BB6"/>
    <w:rsid w:val="007F5947"/>
    <w:rsid w:val="007F7BCF"/>
    <w:rsid w:val="008030EC"/>
    <w:rsid w:val="00811D6D"/>
    <w:rsid w:val="00817E8E"/>
    <w:rsid w:val="00841C3A"/>
    <w:rsid w:val="00844776"/>
    <w:rsid w:val="0086412D"/>
    <w:rsid w:val="008743CB"/>
    <w:rsid w:val="008850D9"/>
    <w:rsid w:val="008A4578"/>
    <w:rsid w:val="008C03C3"/>
    <w:rsid w:val="008D3909"/>
    <w:rsid w:val="008D6ECA"/>
    <w:rsid w:val="008F533E"/>
    <w:rsid w:val="008F588A"/>
    <w:rsid w:val="00902D2D"/>
    <w:rsid w:val="00915804"/>
    <w:rsid w:val="00931B9C"/>
    <w:rsid w:val="00935496"/>
    <w:rsid w:val="00950FE6"/>
    <w:rsid w:val="00957285"/>
    <w:rsid w:val="009573AF"/>
    <w:rsid w:val="00965770"/>
    <w:rsid w:val="00977D7B"/>
    <w:rsid w:val="009963ED"/>
    <w:rsid w:val="00996656"/>
    <w:rsid w:val="00997ED8"/>
    <w:rsid w:val="009A37EE"/>
    <w:rsid w:val="009D4063"/>
    <w:rsid w:val="009E38DB"/>
    <w:rsid w:val="009F61E5"/>
    <w:rsid w:val="00A120FD"/>
    <w:rsid w:val="00A32CDD"/>
    <w:rsid w:val="00A35D7E"/>
    <w:rsid w:val="00A41BD3"/>
    <w:rsid w:val="00A449C2"/>
    <w:rsid w:val="00A65EA3"/>
    <w:rsid w:val="00A664BF"/>
    <w:rsid w:val="00AA1618"/>
    <w:rsid w:val="00AA3D6F"/>
    <w:rsid w:val="00AB55AE"/>
    <w:rsid w:val="00AB6F7D"/>
    <w:rsid w:val="00AC7878"/>
    <w:rsid w:val="00AD493E"/>
    <w:rsid w:val="00AE30B5"/>
    <w:rsid w:val="00AE5755"/>
    <w:rsid w:val="00AE7ABC"/>
    <w:rsid w:val="00B06055"/>
    <w:rsid w:val="00B32C1F"/>
    <w:rsid w:val="00B44D8A"/>
    <w:rsid w:val="00B51249"/>
    <w:rsid w:val="00B56E07"/>
    <w:rsid w:val="00B73AC8"/>
    <w:rsid w:val="00B747A7"/>
    <w:rsid w:val="00B80F18"/>
    <w:rsid w:val="00BA2BBF"/>
    <w:rsid w:val="00BC559C"/>
    <w:rsid w:val="00BE58DD"/>
    <w:rsid w:val="00C17112"/>
    <w:rsid w:val="00C24267"/>
    <w:rsid w:val="00C47BC3"/>
    <w:rsid w:val="00CA12A0"/>
    <w:rsid w:val="00CA5D42"/>
    <w:rsid w:val="00CB40E1"/>
    <w:rsid w:val="00CC38F8"/>
    <w:rsid w:val="00CC737F"/>
    <w:rsid w:val="00CD7BE8"/>
    <w:rsid w:val="00CF6DB6"/>
    <w:rsid w:val="00D024E5"/>
    <w:rsid w:val="00D134CA"/>
    <w:rsid w:val="00D13B96"/>
    <w:rsid w:val="00D52D5F"/>
    <w:rsid w:val="00D56365"/>
    <w:rsid w:val="00D82489"/>
    <w:rsid w:val="00D949A3"/>
    <w:rsid w:val="00DA1C8A"/>
    <w:rsid w:val="00DA3B55"/>
    <w:rsid w:val="00DB44F0"/>
    <w:rsid w:val="00DC2E19"/>
    <w:rsid w:val="00DD109E"/>
    <w:rsid w:val="00DD3E18"/>
    <w:rsid w:val="00E12103"/>
    <w:rsid w:val="00E154D1"/>
    <w:rsid w:val="00E15AAE"/>
    <w:rsid w:val="00E21184"/>
    <w:rsid w:val="00E40AB4"/>
    <w:rsid w:val="00E40B8B"/>
    <w:rsid w:val="00E55EC1"/>
    <w:rsid w:val="00E5742E"/>
    <w:rsid w:val="00E62625"/>
    <w:rsid w:val="00E9382C"/>
    <w:rsid w:val="00E96C2C"/>
    <w:rsid w:val="00EA265F"/>
    <w:rsid w:val="00EA5685"/>
    <w:rsid w:val="00EB566C"/>
    <w:rsid w:val="00EC7AFD"/>
    <w:rsid w:val="00ED43FF"/>
    <w:rsid w:val="00EE6600"/>
    <w:rsid w:val="00EF1D6A"/>
    <w:rsid w:val="00EF2E51"/>
    <w:rsid w:val="00F152F9"/>
    <w:rsid w:val="00F21865"/>
    <w:rsid w:val="00F31E24"/>
    <w:rsid w:val="00F4535C"/>
    <w:rsid w:val="00F52474"/>
    <w:rsid w:val="00F5529D"/>
    <w:rsid w:val="00F5669E"/>
    <w:rsid w:val="00F7208B"/>
    <w:rsid w:val="00F75D33"/>
    <w:rsid w:val="00F867C4"/>
    <w:rsid w:val="00F9053D"/>
    <w:rsid w:val="00F954CF"/>
    <w:rsid w:val="00F97DFF"/>
    <w:rsid w:val="00FB24C1"/>
    <w:rsid w:val="00FC6579"/>
    <w:rsid w:val="00FD3FB3"/>
    <w:rsid w:val="00FD46BA"/>
    <w:rsid w:val="00FE1053"/>
    <w:rsid w:val="00FE6904"/>
    <w:rsid w:val="00FE6D60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7208B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2B03E7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2B03E7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2B03E7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2B03E7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7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395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5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D8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5A5D3D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427327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7208B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2B03E7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2B03E7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2B03E7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2B03E7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7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395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5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D8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5A5D3D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427327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s.org.au/sites/greens.org.au/files/Living%20with%20Global%20Warming_final_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9F30A1-55FC-4751-8F49-02DA1884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525</TotalTime>
  <Pages>9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minute—during the caretaker period for a general election</vt:lpstr>
    </vt:vector>
  </TitlesOfParts>
  <Company>Parliament of Australia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minute—during the caretaker period for a general election</dc:title>
  <dc:creator>PBO@pbo.gov.au</dc:creator>
  <cp:lastModifiedBy>Milligan, Louise (PBO)</cp:lastModifiedBy>
  <cp:revision>108</cp:revision>
  <cp:lastPrinted>2016-06-29T06:46:00Z</cp:lastPrinted>
  <dcterms:created xsi:type="dcterms:W3CDTF">2016-06-23T23:21:00Z</dcterms:created>
  <dcterms:modified xsi:type="dcterms:W3CDTF">2016-06-29T06:56:00Z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