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4818E5"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 xml:space="preserve">Senator Richard Di Natale </w:t>
      </w:r>
    </w:p>
    <w:p w:rsidR="00040DCE" w:rsidRPr="00002D5D" w:rsidRDefault="004818E5"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r w:rsidRPr="00002D5D">
        <w:rPr>
          <w:rFonts w:ascii="Times New Roman" w:hAnsi="Times New Roman" w:cs="Times New Roman"/>
          <w:sz w:val="24"/>
          <w:szCs w:val="24"/>
        </w:rPr>
        <w:t xml:space="preserve"> </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4818E5">
        <w:rPr>
          <w:rFonts w:ascii="Times New Roman" w:hAnsi="Times New Roman" w:cs="Times New Roman"/>
          <w:sz w:val="24"/>
          <w:szCs w:val="24"/>
        </w:rPr>
        <w:t>Senator Di Natale</w:t>
      </w:r>
      <w:r w:rsidR="004818E5" w:rsidRPr="00002D5D">
        <w:rPr>
          <w:rFonts w:ascii="Times New Roman" w:hAnsi="Times New Roman" w:cs="Times New Roman"/>
          <w:sz w:val="24"/>
          <w:szCs w:val="24"/>
        </w:rPr>
        <w:t xml:space="preserve"> </w:t>
      </w:r>
    </w:p>
    <w:p w:rsidR="00040DCE" w:rsidRPr="00002D5D" w:rsidRDefault="00040DCE" w:rsidP="00C17112">
      <w:pPr>
        <w:pStyle w:val="Lettertext"/>
      </w:pPr>
      <w:r w:rsidRPr="00002D5D">
        <w:t xml:space="preserve">Please find attached a response to your costing request, </w:t>
      </w:r>
      <w:r w:rsidR="00464C3C">
        <w:rPr>
          <w:i/>
        </w:rPr>
        <w:t>Tackl</w:t>
      </w:r>
      <w:r w:rsidR="004E5045">
        <w:rPr>
          <w:i/>
        </w:rPr>
        <w:t>ing Obesity: S</w:t>
      </w:r>
      <w:r w:rsidR="004818E5" w:rsidRPr="004818E5">
        <w:rPr>
          <w:i/>
        </w:rPr>
        <w:t>ugar sweetened beverages</w:t>
      </w:r>
      <w:r w:rsidRPr="00002D5D">
        <w:t xml:space="preserve"> (letter of </w:t>
      </w:r>
      <w:r w:rsidR="00E04FAC">
        <w:t>1 July</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A873D4" w:rsidP="00A873D4">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818E5">
        <w:rPr>
          <w:rFonts w:ascii="Times New Roman" w:hAnsi="Times New Roman" w:cs="Times New Roman"/>
          <w:sz w:val="24"/>
          <w:szCs w:val="24"/>
        </w:rPr>
        <w:t>Ju</w:t>
      </w:r>
      <w:r w:rsidR="00275321">
        <w:rPr>
          <w:rFonts w:ascii="Times New Roman" w:hAnsi="Times New Roman" w:cs="Times New Roman"/>
          <w:sz w:val="24"/>
          <w:szCs w:val="24"/>
        </w:rPr>
        <w:t>ly</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943"/>
        <w:gridCol w:w="5585"/>
      </w:tblGrid>
      <w:tr w:rsidR="004D5525" w:rsidTr="008324DC">
        <w:trPr>
          <w:cnfStyle w:val="100000000000" w:firstRow="1" w:lastRow="0" w:firstColumn="0" w:lastColumn="0" w:oddVBand="0" w:evenVBand="0" w:oddHBand="0" w:evenHBand="0" w:firstRowFirstColumn="0" w:firstRowLastColumn="0" w:lastRowFirstColumn="0" w:lastRowLastColumn="0"/>
        </w:trPr>
        <w:tc>
          <w:tcPr>
            <w:tcW w:w="2943" w:type="dxa"/>
          </w:tcPr>
          <w:p w:rsidR="004D5525" w:rsidRPr="002C5BBA" w:rsidRDefault="004D5525" w:rsidP="004D5525">
            <w:pPr>
              <w:pStyle w:val="BodyText"/>
              <w:rPr>
                <w:sz w:val="22"/>
              </w:rPr>
            </w:pPr>
            <w:r w:rsidRPr="002C5BBA">
              <w:rPr>
                <w:sz w:val="22"/>
              </w:rPr>
              <w:t>Name of proposal:</w:t>
            </w:r>
          </w:p>
        </w:tc>
        <w:tc>
          <w:tcPr>
            <w:tcW w:w="5585" w:type="dxa"/>
          </w:tcPr>
          <w:p w:rsidR="004D5525" w:rsidRPr="002C5BBA" w:rsidRDefault="004E5045" w:rsidP="004818E5">
            <w:pPr>
              <w:pStyle w:val="BodyText"/>
              <w:rPr>
                <w:sz w:val="22"/>
              </w:rPr>
            </w:pPr>
            <w:r w:rsidRPr="002C5BBA">
              <w:rPr>
                <w:sz w:val="22"/>
              </w:rPr>
              <w:t>Ta</w:t>
            </w:r>
            <w:r w:rsidR="00464C3C" w:rsidRPr="002C5BBA">
              <w:rPr>
                <w:sz w:val="22"/>
              </w:rPr>
              <w:t>ckling</w:t>
            </w:r>
            <w:r w:rsidRPr="002C5BBA">
              <w:rPr>
                <w:sz w:val="22"/>
              </w:rPr>
              <w:t xml:space="preserve"> Obesity: </w:t>
            </w:r>
            <w:r w:rsidR="004818E5" w:rsidRPr="002C5BBA">
              <w:rPr>
                <w:sz w:val="22"/>
              </w:rPr>
              <w:t>Su</w:t>
            </w:r>
            <w:bookmarkStart w:id="0" w:name="_GoBack"/>
            <w:bookmarkEnd w:id="0"/>
            <w:r w:rsidR="004818E5" w:rsidRPr="002C5BBA">
              <w:rPr>
                <w:sz w:val="22"/>
              </w:rPr>
              <w:t>gar sweetened beverages</w:t>
            </w:r>
          </w:p>
        </w:tc>
      </w:tr>
      <w:tr w:rsidR="004D5525" w:rsidTr="008324DC">
        <w:tc>
          <w:tcPr>
            <w:tcW w:w="2943" w:type="dxa"/>
          </w:tcPr>
          <w:p w:rsidR="004D5525" w:rsidRDefault="004D5525" w:rsidP="004D5525">
            <w:pPr>
              <w:pStyle w:val="BodyText"/>
            </w:pPr>
            <w:r>
              <w:t>Summary of proposal:</w:t>
            </w:r>
          </w:p>
        </w:tc>
        <w:tc>
          <w:tcPr>
            <w:tcW w:w="5585" w:type="dxa"/>
          </w:tcPr>
          <w:p w:rsidR="001B7FD0" w:rsidRDefault="008324DC" w:rsidP="001B7FD0">
            <w:r>
              <w:t xml:space="preserve">This proposal would apply an </w:t>
            </w:r>
            <w:r w:rsidR="001B7FD0">
              <w:t xml:space="preserve">excise (‘sugar tax’) of 20 per cent of the retail value of sugar-sweetened beverages </w:t>
            </w:r>
            <w:r w:rsidR="00817F88">
              <w:t xml:space="preserve">(SSBs) </w:t>
            </w:r>
            <w:r w:rsidR="001B7FD0">
              <w:t>with greater than 5g of sugar per 100ml.</w:t>
            </w:r>
          </w:p>
          <w:p w:rsidR="001B7FD0" w:rsidRDefault="00DA1B2A" w:rsidP="001B7FD0">
            <w:pPr>
              <w:pStyle w:val="BodyText"/>
            </w:pPr>
            <w:r>
              <w:t>The sugar tax would be</w:t>
            </w:r>
            <w:r w:rsidR="001B7FD0">
              <w:t xml:space="preserve"> paid by manufacturers, producers and importers (with an excise-equivalent import duty).</w:t>
            </w:r>
          </w:p>
          <w:p w:rsidR="004D5525" w:rsidRDefault="008324DC" w:rsidP="001B7FD0">
            <w:pPr>
              <w:pStyle w:val="BodyText"/>
            </w:pPr>
            <w:r>
              <w:t>The proposal would have effect from 1 September 201</w:t>
            </w:r>
            <w:r w:rsidR="001B7FD0">
              <w:t>6</w:t>
            </w:r>
            <w:r>
              <w:t>.</w:t>
            </w:r>
          </w:p>
        </w:tc>
      </w:tr>
      <w:tr w:rsidR="004D5525" w:rsidTr="008324DC">
        <w:tc>
          <w:tcPr>
            <w:tcW w:w="2943" w:type="dxa"/>
          </w:tcPr>
          <w:p w:rsidR="004D5525" w:rsidRDefault="004D5525" w:rsidP="004D5525">
            <w:pPr>
              <w:pStyle w:val="BodyText"/>
            </w:pPr>
            <w:r>
              <w:t>Person/party requesting costing:</w:t>
            </w:r>
          </w:p>
        </w:tc>
        <w:tc>
          <w:tcPr>
            <w:tcW w:w="5585" w:type="dxa"/>
          </w:tcPr>
          <w:p w:rsidR="004D5525" w:rsidRDefault="00D01217" w:rsidP="004D5525">
            <w:pPr>
              <w:pStyle w:val="BodyText"/>
            </w:pPr>
            <w:r>
              <w:t>Senator Richard Di Natale, Australian Greens</w:t>
            </w:r>
          </w:p>
        </w:tc>
      </w:tr>
      <w:tr w:rsidR="007D3577" w:rsidTr="008324DC">
        <w:tc>
          <w:tcPr>
            <w:tcW w:w="2943" w:type="dxa"/>
          </w:tcPr>
          <w:p w:rsidR="007D3577" w:rsidRDefault="007D3577" w:rsidP="00060F22">
            <w:pPr>
              <w:pStyle w:val="BodyText"/>
            </w:pPr>
            <w:r>
              <w:t>Date of public release of policy:</w:t>
            </w:r>
          </w:p>
        </w:tc>
        <w:tc>
          <w:tcPr>
            <w:tcW w:w="5585" w:type="dxa"/>
          </w:tcPr>
          <w:p w:rsidR="007D3577" w:rsidRDefault="008324DC" w:rsidP="00060F22">
            <w:pPr>
              <w:pStyle w:val="BodyText"/>
            </w:pPr>
            <w:r>
              <w:t>22 June 2016</w:t>
            </w:r>
          </w:p>
          <w:p w:rsidR="008324DC" w:rsidRPr="00C17112" w:rsidRDefault="00DE2CFA" w:rsidP="008324DC">
            <w:pPr>
              <w:pStyle w:val="BodyText"/>
            </w:pPr>
            <w:hyperlink r:id="rId13" w:history="1">
              <w:r w:rsidR="00A2797C" w:rsidRPr="00885283">
                <w:rPr>
                  <w:rStyle w:val="Hyperlink"/>
                </w:rPr>
                <w:t>http://greens.org.au/sugar-tax</w:t>
              </w:r>
            </w:hyperlink>
          </w:p>
        </w:tc>
      </w:tr>
      <w:tr w:rsidR="004D5525" w:rsidTr="008324DC">
        <w:tc>
          <w:tcPr>
            <w:tcW w:w="2943" w:type="dxa"/>
          </w:tcPr>
          <w:p w:rsidR="004D5525" w:rsidRDefault="004D5525" w:rsidP="004D5525">
            <w:pPr>
              <w:pStyle w:val="BodyText"/>
            </w:pPr>
            <w:r>
              <w:t>Date costing request received:</w:t>
            </w:r>
          </w:p>
        </w:tc>
        <w:tc>
          <w:tcPr>
            <w:tcW w:w="5585" w:type="dxa"/>
          </w:tcPr>
          <w:p w:rsidR="004D5525" w:rsidRDefault="000D1509" w:rsidP="004D5525">
            <w:pPr>
              <w:pStyle w:val="BodyText"/>
            </w:pPr>
            <w:r>
              <w:t>1 July 2016</w:t>
            </w:r>
          </w:p>
        </w:tc>
      </w:tr>
      <w:tr w:rsidR="004D5525" w:rsidTr="008324DC">
        <w:tc>
          <w:tcPr>
            <w:tcW w:w="2943" w:type="dxa"/>
          </w:tcPr>
          <w:p w:rsidR="004D5525" w:rsidRDefault="004D5525" w:rsidP="004D5525">
            <w:pPr>
              <w:pStyle w:val="BodyText"/>
            </w:pPr>
            <w:r>
              <w:t>Date costing completed</w:t>
            </w:r>
            <w:r w:rsidR="00A873D4">
              <w:t>:</w:t>
            </w:r>
          </w:p>
        </w:tc>
        <w:tc>
          <w:tcPr>
            <w:tcW w:w="5585" w:type="dxa"/>
          </w:tcPr>
          <w:p w:rsidR="004D5525" w:rsidRPr="00C17112" w:rsidRDefault="000D1509" w:rsidP="004D5525">
            <w:pPr>
              <w:pStyle w:val="BodyText"/>
            </w:pPr>
            <w:r>
              <w:t>1 July 2016</w:t>
            </w:r>
          </w:p>
        </w:tc>
      </w:tr>
      <w:tr w:rsidR="00D041BC" w:rsidTr="008324DC">
        <w:tc>
          <w:tcPr>
            <w:tcW w:w="2943" w:type="dxa"/>
          </w:tcPr>
          <w:p w:rsidR="00D041BC" w:rsidRDefault="00D041BC" w:rsidP="00792232">
            <w:pPr>
              <w:pStyle w:val="BodyText"/>
            </w:pPr>
            <w:r>
              <w:t>Additional information received (including date):</w:t>
            </w:r>
          </w:p>
        </w:tc>
        <w:tc>
          <w:tcPr>
            <w:tcW w:w="5585" w:type="dxa"/>
          </w:tcPr>
          <w:p w:rsidR="00D041BC" w:rsidRPr="0050658C" w:rsidRDefault="00D041BC" w:rsidP="00792232">
            <w:pPr>
              <w:pStyle w:val="BodyText"/>
            </w:pPr>
            <w:r w:rsidRPr="0050658C">
              <w:t xml:space="preserve">On 1 July 2016 the office of Senator Di Natale confirmed that: </w:t>
            </w:r>
          </w:p>
          <w:p w:rsidR="00D041BC" w:rsidRPr="0050658C" w:rsidRDefault="00D041BC" w:rsidP="00D041BC">
            <w:pPr>
              <w:pStyle w:val="Bullet1"/>
            </w:pPr>
            <w:r w:rsidRPr="0050658C">
              <w:t xml:space="preserve">the proposal would start on 1 </w:t>
            </w:r>
            <w:r w:rsidR="0050658C" w:rsidRPr="0050658C">
              <w:t>September</w:t>
            </w:r>
            <w:r w:rsidRPr="0050658C">
              <w:t xml:space="preserve"> 2016</w:t>
            </w:r>
          </w:p>
          <w:p w:rsidR="00A2797C" w:rsidRDefault="00A2797C" w:rsidP="00B136F7">
            <w:pPr>
              <w:pStyle w:val="Bullet1"/>
            </w:pPr>
            <w:r>
              <w:t xml:space="preserve">the definition of </w:t>
            </w:r>
            <w:r w:rsidR="00E40756">
              <w:t xml:space="preserve">SSB </w:t>
            </w:r>
            <w:r>
              <w:t>would include</w:t>
            </w:r>
            <w:r w:rsidR="00D041BC" w:rsidRPr="0050658C">
              <w:t xml:space="preserve"> any water-based, ready-to-drink</w:t>
            </w:r>
            <w:r w:rsidR="00D041BC" w:rsidRPr="00D041BC">
              <w:t>, and non-alcoholic beverage that contains naturally occurring sugars and/or added caloric sweeteners such as sucrose, corn syr</w:t>
            </w:r>
            <w:r>
              <w:t>up or fruit juice concentrates</w:t>
            </w:r>
          </w:p>
          <w:p w:rsidR="00D041BC" w:rsidRPr="00D041BC" w:rsidRDefault="00A2797C" w:rsidP="00A2797C">
            <w:pPr>
              <w:pStyle w:val="Bullet2"/>
            </w:pPr>
            <w:proofErr w:type="gramStart"/>
            <w:r>
              <w:t>t</w:t>
            </w:r>
            <w:r w:rsidR="00D041BC" w:rsidRPr="00D041BC">
              <w:t>his</w:t>
            </w:r>
            <w:proofErr w:type="gramEnd"/>
            <w:r w:rsidR="00D041BC" w:rsidRPr="00D041BC">
              <w:t xml:space="preserve"> </w:t>
            </w:r>
            <w:r>
              <w:t xml:space="preserve">definition would </w:t>
            </w:r>
            <w:r w:rsidR="00653166">
              <w:t>include, but is not limited to</w:t>
            </w:r>
            <w:r>
              <w:t>,</w:t>
            </w:r>
            <w:r w:rsidR="00D041BC" w:rsidRPr="00D041BC">
              <w:t xml:space="preserve"> soft drinks, mineral water, fruit drinks, sports drinks, energy and vitamin water drinks, sweetened iced tea, and lemonade.</w:t>
            </w:r>
          </w:p>
        </w:tc>
      </w:tr>
      <w:tr w:rsidR="004D5525" w:rsidTr="008324DC">
        <w:tc>
          <w:tcPr>
            <w:tcW w:w="2943" w:type="dxa"/>
          </w:tcPr>
          <w:p w:rsidR="004D5525" w:rsidRPr="00220BE5" w:rsidRDefault="004D5525" w:rsidP="004D5525">
            <w:pPr>
              <w:pStyle w:val="BodyText"/>
            </w:pPr>
            <w:r w:rsidRPr="00220BE5">
              <w:t>Expiry date for the costing:</w:t>
            </w:r>
          </w:p>
        </w:tc>
        <w:tc>
          <w:tcPr>
            <w:tcW w:w="5585" w:type="dxa"/>
          </w:tcPr>
          <w:p w:rsidR="004D5525" w:rsidRPr="00220BE5" w:rsidRDefault="00F4535C" w:rsidP="00220BE5">
            <w:pPr>
              <w:pStyle w:val="BodyText"/>
            </w:pPr>
            <w:r>
              <w:t>Release of the next economic and fiscal outlook report</w:t>
            </w:r>
          </w:p>
        </w:tc>
      </w:tr>
    </w:tbl>
    <w:p w:rsidR="0055581F" w:rsidRPr="00002D5D" w:rsidRDefault="008030EC" w:rsidP="00A40322">
      <w:pPr>
        <w:pStyle w:val="Heading2"/>
      </w:pPr>
      <w:r w:rsidRPr="00002D5D">
        <w:lastRenderedPageBreak/>
        <w:t>Costing overview</w:t>
      </w:r>
    </w:p>
    <w:p w:rsidR="008324DC" w:rsidRDefault="008324DC" w:rsidP="002C5BBA">
      <w:pPr>
        <w:keepLines/>
        <w:widowControl w:val="0"/>
      </w:pPr>
      <w:r w:rsidRPr="0064517B">
        <w:t xml:space="preserve">This proposal </w:t>
      </w:r>
      <w:r>
        <w:t>would be</w:t>
      </w:r>
      <w:r w:rsidRPr="0064517B">
        <w:t xml:space="preserve"> expected to </w:t>
      </w:r>
      <w:r w:rsidRPr="00E71384">
        <w:t xml:space="preserve">increase the fiscal balance </w:t>
      </w:r>
      <w:r>
        <w:t>by $2,085 million</w:t>
      </w:r>
      <w:r w:rsidRPr="00E71384">
        <w:t xml:space="preserve"> and </w:t>
      </w:r>
      <w:r>
        <w:t xml:space="preserve">increase the </w:t>
      </w:r>
      <w:r w:rsidRPr="00E71384">
        <w:t xml:space="preserve">underlying cash </w:t>
      </w:r>
      <w:r w:rsidRPr="00E54C5C">
        <w:t>balance by $2,075 million</w:t>
      </w:r>
      <w:r w:rsidRPr="00E71384">
        <w:t xml:space="preserve"> over the </w:t>
      </w:r>
      <w:r>
        <w:t>2016-17</w:t>
      </w:r>
      <w:r w:rsidRPr="00E71384">
        <w:t xml:space="preserve"> Budget forward estimates period.  On a fiscal balance basis</w:t>
      </w:r>
      <w:r>
        <w:t>,</w:t>
      </w:r>
      <w:r w:rsidRPr="00E71384">
        <w:t xml:space="preserve"> this impact reflects a</w:t>
      </w:r>
      <w:r>
        <w:t xml:space="preserve"> net</w:t>
      </w:r>
      <w:r w:rsidRPr="00E71384">
        <w:t xml:space="preserve"> increase in </w:t>
      </w:r>
      <w:r>
        <w:t>revenue</w:t>
      </w:r>
      <w:r w:rsidRPr="00126057">
        <w:t xml:space="preserve"> </w:t>
      </w:r>
      <w:r w:rsidRPr="00E71384">
        <w:t xml:space="preserve">of </w:t>
      </w:r>
      <w:r>
        <w:t>$2,060 million</w:t>
      </w:r>
      <w:r w:rsidRPr="0070312D">
        <w:t xml:space="preserve"> </w:t>
      </w:r>
      <w:r>
        <w:t>and a net decrease in expenses of $25 million</w:t>
      </w:r>
      <w:r w:rsidRPr="00126057">
        <w:t>.</w:t>
      </w:r>
    </w:p>
    <w:p w:rsidR="00A2797C" w:rsidRDefault="00A2797C" w:rsidP="00A2797C">
      <w:r w:rsidRPr="00887760">
        <w:t>The fiscal balance impact differs from the underlying cash balance impact because of a lag in when sugar tax receipts would be received compared to the recognition of tax revenue.</w:t>
      </w:r>
    </w:p>
    <w:p w:rsidR="00EC29F3" w:rsidRDefault="008D3909" w:rsidP="001B7FD0">
      <w:r w:rsidRPr="00EC29F3">
        <w:t xml:space="preserve">This proposal </w:t>
      </w:r>
      <w:r w:rsidR="00A2797C">
        <w:t>would</w:t>
      </w:r>
      <w:r w:rsidRPr="00EC29F3">
        <w:t xml:space="preserve"> have an ongoing impact that extends beyond th</w:t>
      </w:r>
      <w:r w:rsidR="00EC29F3" w:rsidRPr="00EC29F3">
        <w:t xml:space="preserve">e </w:t>
      </w:r>
      <w:r w:rsidR="00EC29F3">
        <w:t>2016-17</w:t>
      </w:r>
      <w:r w:rsidR="00EC29F3" w:rsidRPr="00E71384">
        <w:t xml:space="preserve"> Budget </w:t>
      </w:r>
      <w:r w:rsidR="00EC29F3" w:rsidRPr="00EC29F3">
        <w:t>forward estimates period.</w:t>
      </w:r>
    </w:p>
    <w:p w:rsidR="00A2797C" w:rsidRDefault="00A2797C" w:rsidP="00A2797C">
      <w:r w:rsidRPr="00887760">
        <w:t xml:space="preserve">A detailed breakdown of the financial implications </w:t>
      </w:r>
      <w:r>
        <w:t>of this proposal over the 2016</w:t>
      </w:r>
      <w:r>
        <w:noBreakHyphen/>
        <w:t>17</w:t>
      </w:r>
      <w:r w:rsidRPr="00887760">
        <w:t xml:space="preserve"> Budget forward estimates period is presented at </w:t>
      </w:r>
      <w:r w:rsidRPr="00887760">
        <w:rPr>
          <w:u w:val="single"/>
        </w:rPr>
        <w:t>Attachment A</w:t>
      </w:r>
      <w:r w:rsidRPr="00887760">
        <w:t>.</w:t>
      </w:r>
    </w:p>
    <w:p w:rsidR="0027621D" w:rsidRDefault="00EC29F3" w:rsidP="001B7FD0">
      <w:r w:rsidRPr="00EC29F3">
        <w:t xml:space="preserve">Based on </w:t>
      </w:r>
      <w:r w:rsidR="00A2797C">
        <w:t>an</w:t>
      </w:r>
      <w:r w:rsidRPr="00EC29F3">
        <w:t xml:space="preserve"> assessment of proposals with a similar degree of administrative complexity, additional departmental expenses have been estimated at $7 million in each year the sugar tax is in operation, with $7 million in additional set up expenses in the ye</w:t>
      </w:r>
      <w:r w:rsidR="00A873D4">
        <w:t>ar of implementation.</w:t>
      </w:r>
    </w:p>
    <w:p w:rsidR="00887760" w:rsidRDefault="00887760" w:rsidP="00887760">
      <w:pPr>
        <w:keepLines/>
      </w:pPr>
      <w:r w:rsidRPr="00887760">
        <w:t xml:space="preserve">This costing is considered to be of low to medium reliability.  The estimates are based on Australian Bureau of Statistics (ABS) data, manufacturer and retailer survey data and several assumptions.  While the assumed behavioural response is based on academic research, it is uncertain whether this would be representative of the response to a sugar </w:t>
      </w:r>
      <w:r w:rsidR="00A873D4">
        <w:t>tax of the magnitude proposed.</w:t>
      </w:r>
    </w:p>
    <w:p w:rsidR="005E3562" w:rsidRPr="00FC6579" w:rsidRDefault="005E3562" w:rsidP="00887760">
      <w:pPr>
        <w:pStyle w:val="Captionheading"/>
        <w:keepNext w:val="0"/>
        <w:keepLines/>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887760">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887760">
            <w:pPr>
              <w:pStyle w:val="TableT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887760">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887760">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887760">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887760">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887760">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887760">
            <w:pPr>
              <w:pStyle w:val="TableTextCentred"/>
              <w:keepLines/>
              <w:spacing w:line="240" w:lineRule="auto"/>
              <w:ind w:left="57" w:right="57"/>
              <w:jc w:val="left"/>
              <w:rPr>
                <w:szCs w:val="20"/>
              </w:rPr>
            </w:pPr>
            <w:r w:rsidRPr="00B73AC8">
              <w:rPr>
                <w:szCs w:val="20"/>
              </w:rPr>
              <w:t>Fiscal balance</w:t>
            </w:r>
          </w:p>
        </w:tc>
        <w:tc>
          <w:tcPr>
            <w:tcW w:w="682" w:type="pct"/>
          </w:tcPr>
          <w:p w:rsidR="00EA265F" w:rsidRPr="00B73AC8" w:rsidRDefault="008324DC" w:rsidP="00887760">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386.0</w:t>
            </w:r>
          </w:p>
        </w:tc>
        <w:tc>
          <w:tcPr>
            <w:tcW w:w="682" w:type="pct"/>
          </w:tcPr>
          <w:p w:rsidR="00EA265F" w:rsidRPr="00B73AC8" w:rsidRDefault="008324DC" w:rsidP="00887760">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553.0</w:t>
            </w:r>
          </w:p>
        </w:tc>
        <w:tc>
          <w:tcPr>
            <w:tcW w:w="682" w:type="pct"/>
          </w:tcPr>
          <w:p w:rsidR="00EA265F" w:rsidRPr="00B73AC8" w:rsidRDefault="008324DC" w:rsidP="00887760">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563.0</w:t>
            </w:r>
          </w:p>
        </w:tc>
        <w:tc>
          <w:tcPr>
            <w:tcW w:w="682" w:type="pct"/>
          </w:tcPr>
          <w:p w:rsidR="00EA265F" w:rsidRPr="00B73AC8" w:rsidRDefault="008324DC" w:rsidP="00887760">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583.0</w:t>
            </w:r>
          </w:p>
        </w:tc>
        <w:tc>
          <w:tcPr>
            <w:tcW w:w="681" w:type="pct"/>
          </w:tcPr>
          <w:p w:rsidR="00EA265F" w:rsidRPr="00F97DFF" w:rsidRDefault="008324DC" w:rsidP="00887760">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2,085</w:t>
            </w:r>
            <w:r w:rsidR="00477A86">
              <w:rPr>
                <w:rFonts w:ascii="Calibri" w:hAnsi="Calibri"/>
                <w:b/>
                <w:szCs w:val="20"/>
              </w:rPr>
              <w:t>.0</w:t>
            </w:r>
          </w:p>
        </w:tc>
      </w:tr>
      <w:tr w:rsidR="00692DD8"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887760">
            <w:pPr>
              <w:pStyle w:val="TableTextCentred"/>
              <w:keepLines/>
              <w:spacing w:line="240" w:lineRule="auto"/>
              <w:ind w:left="57" w:right="57"/>
              <w:jc w:val="left"/>
              <w:rPr>
                <w:szCs w:val="20"/>
              </w:rPr>
            </w:pPr>
            <w:r w:rsidRPr="00B73AC8">
              <w:rPr>
                <w:szCs w:val="20"/>
              </w:rPr>
              <w:t>Underlying cash balance</w:t>
            </w:r>
          </w:p>
        </w:tc>
        <w:tc>
          <w:tcPr>
            <w:tcW w:w="682" w:type="pct"/>
          </w:tcPr>
          <w:p w:rsidR="00CA5D42" w:rsidRPr="00B73AC8" w:rsidRDefault="008324DC" w:rsidP="00887760">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386.0</w:t>
            </w:r>
          </w:p>
        </w:tc>
        <w:tc>
          <w:tcPr>
            <w:tcW w:w="682" w:type="pct"/>
          </w:tcPr>
          <w:p w:rsidR="008324DC" w:rsidRPr="00B73AC8" w:rsidRDefault="008324DC" w:rsidP="00887760">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543.0</w:t>
            </w:r>
          </w:p>
        </w:tc>
        <w:tc>
          <w:tcPr>
            <w:tcW w:w="682" w:type="pct"/>
          </w:tcPr>
          <w:p w:rsidR="00CA5D42" w:rsidRPr="00B73AC8" w:rsidRDefault="008324DC" w:rsidP="00887760">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563.0</w:t>
            </w:r>
          </w:p>
        </w:tc>
        <w:tc>
          <w:tcPr>
            <w:tcW w:w="682" w:type="pct"/>
          </w:tcPr>
          <w:p w:rsidR="00CA5D42" w:rsidRPr="00B73AC8" w:rsidRDefault="008324DC" w:rsidP="00887760">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583.0</w:t>
            </w:r>
          </w:p>
        </w:tc>
        <w:tc>
          <w:tcPr>
            <w:tcW w:w="681" w:type="pct"/>
          </w:tcPr>
          <w:p w:rsidR="00CA5D42" w:rsidRPr="00F97DFF" w:rsidRDefault="008324DC" w:rsidP="00887760">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2,075</w:t>
            </w:r>
            <w:r w:rsidR="00477A86">
              <w:rPr>
                <w:rFonts w:ascii="Calibri" w:hAnsi="Calibri"/>
                <w:b/>
                <w:szCs w:val="20"/>
              </w:rPr>
              <w:t>.0</w:t>
            </w:r>
          </w:p>
        </w:tc>
      </w:tr>
    </w:tbl>
    <w:p w:rsidR="009D4063" w:rsidRPr="00887760" w:rsidRDefault="009D4063" w:rsidP="00887760">
      <w:pPr>
        <w:pStyle w:val="Footnotes"/>
        <w:keepLines/>
        <w:numPr>
          <w:ilvl w:val="0"/>
          <w:numId w:val="7"/>
        </w:numPr>
        <w:ind w:left="284" w:hanging="284"/>
      </w:pPr>
      <w:r w:rsidRPr="00887760">
        <w:t xml:space="preserve">A positive number </w:t>
      </w:r>
      <w:r w:rsidR="00887760" w:rsidRPr="00887760">
        <w:t>indicates an increase in the relevant budget balance, a negative number a decrease.</w:t>
      </w:r>
    </w:p>
    <w:p w:rsidR="00887760" w:rsidRDefault="00887760" w:rsidP="00887760">
      <w:pPr>
        <w:pStyle w:val="Footnotes"/>
        <w:keepLines/>
        <w:numPr>
          <w:ilvl w:val="0"/>
          <w:numId w:val="7"/>
        </w:numPr>
        <w:ind w:left="284" w:hanging="284"/>
      </w:pPr>
      <w:r w:rsidRPr="00887760">
        <w:t>Figures may not sum to</w:t>
      </w:r>
      <w:r>
        <w:t xml:space="preserve"> totals due to rounding.</w:t>
      </w:r>
    </w:p>
    <w:p w:rsidR="008D3909" w:rsidRPr="00FC6579" w:rsidRDefault="005E3562" w:rsidP="00CB7ED9">
      <w:pPr>
        <w:pStyle w:val="Heading2"/>
      </w:pPr>
      <w:r w:rsidRPr="00FC6579">
        <w:t>Key assumptions</w:t>
      </w:r>
    </w:p>
    <w:p w:rsidR="00887760" w:rsidRDefault="00887760" w:rsidP="00943F00">
      <w:r>
        <w:t xml:space="preserve">The </w:t>
      </w:r>
      <w:r w:rsidR="00A2797C">
        <w:t>Parliamentary Budget Office (</w:t>
      </w:r>
      <w:r>
        <w:t>PBO</w:t>
      </w:r>
      <w:r w:rsidR="00A2797C">
        <w:t>)</w:t>
      </w:r>
      <w:r>
        <w:t xml:space="preserve"> has made the following assumptions regarding this costing:</w:t>
      </w:r>
    </w:p>
    <w:p w:rsidR="00887760" w:rsidRDefault="00887760" w:rsidP="00943F00">
      <w:pPr>
        <w:pStyle w:val="Heading3"/>
      </w:pPr>
      <w:r w:rsidRPr="00943F00">
        <w:t>General</w:t>
      </w:r>
      <w:r>
        <w:t xml:space="preserve"> assumptions</w:t>
      </w:r>
    </w:p>
    <w:p w:rsidR="00A2797C" w:rsidRDefault="00887760" w:rsidP="00887760">
      <w:pPr>
        <w:pStyle w:val="Bullet1"/>
      </w:pPr>
      <w:r>
        <w:t xml:space="preserve">The baseline estimates of the volume of SSBs are based on average daily consumption figures from the ABS </w:t>
      </w:r>
      <w:r w:rsidRPr="00A2797C">
        <w:t>Australian Health Survey</w:t>
      </w:r>
      <w:r>
        <w:t xml:space="preserve"> in 2010</w:t>
      </w:r>
      <w:r w:rsidR="00943F00">
        <w:noBreakHyphen/>
      </w:r>
      <w:r>
        <w:t>11, grossed up to account for participants underreporting their consumption, and grown in line with long run trends.</w:t>
      </w:r>
    </w:p>
    <w:p w:rsidR="00887760" w:rsidRDefault="00887760" w:rsidP="00887760">
      <w:pPr>
        <w:pStyle w:val="Bullet1"/>
      </w:pPr>
      <w:r>
        <w:lastRenderedPageBreak/>
        <w:t>The estimates of SSB prices are based on data on the value of beverages sold and purchased in Australia from various surveys of manufacturers and households.</w:t>
      </w:r>
    </w:p>
    <w:p w:rsidR="00887760" w:rsidRDefault="00887760" w:rsidP="00887760">
      <w:pPr>
        <w:pStyle w:val="Bullet1"/>
      </w:pPr>
      <w:r>
        <w:t>The mark-up between the price received by the manufacturer or importer and the retail price paid by the consumer is assumed to be 50 per cent.</w:t>
      </w:r>
    </w:p>
    <w:p w:rsidR="00887760" w:rsidRDefault="00887760" w:rsidP="00887760">
      <w:pPr>
        <w:pStyle w:val="Bullet1"/>
      </w:pPr>
      <w:r>
        <w:t>There is assumed to be a one month lag between the manufacture or importation of these beverages and their consumption.</w:t>
      </w:r>
    </w:p>
    <w:p w:rsidR="005E3562" w:rsidRDefault="00887760" w:rsidP="00887760">
      <w:pPr>
        <w:pStyle w:val="Bullet1"/>
      </w:pPr>
      <w:r>
        <w:t>While the proposal is assumed to result in price increases of the affected beverages, this costing does not take into account any impact on the Consumer Price Index (CPI) or consequential CPI related impacts on transfer payments.</w:t>
      </w:r>
    </w:p>
    <w:p w:rsidR="00887760" w:rsidRDefault="00887760" w:rsidP="00887760">
      <w:pPr>
        <w:pStyle w:val="Heading3"/>
      </w:pPr>
      <w:r w:rsidRPr="00887760">
        <w:t>Behavioural response assumptions</w:t>
      </w:r>
    </w:p>
    <w:p w:rsidR="00887760" w:rsidRDefault="00887760" w:rsidP="00887760">
      <w:pPr>
        <w:pStyle w:val="Bullet1"/>
      </w:pPr>
      <w:r>
        <w:t>All price impacts from the sugar tax are passed through to the final consumers of SSBs.  In response, consumers are assumed to decrease their consumption of SSBs.</w:t>
      </w:r>
    </w:p>
    <w:p w:rsidR="00887760" w:rsidRDefault="00887760" w:rsidP="00A2797C">
      <w:pPr>
        <w:pStyle w:val="Bullet2"/>
      </w:pPr>
      <w:r>
        <w:t xml:space="preserve">This response effect largely offsets the increase in the retail price of beverages from the sugar tax, with the result that there is only a small change in the overall value of retail beverage sales and </w:t>
      </w:r>
      <w:r w:rsidR="00A2797C">
        <w:t>Goods and Services Tax (</w:t>
      </w:r>
      <w:r>
        <w:t>GST</w:t>
      </w:r>
      <w:r w:rsidR="00A2797C">
        <w:t>)</w:t>
      </w:r>
      <w:r>
        <w:t xml:space="preserve"> revenue.</w:t>
      </w:r>
    </w:p>
    <w:p w:rsidR="00A2797C" w:rsidRDefault="00887760" w:rsidP="00887760">
      <w:pPr>
        <w:pStyle w:val="Bullet1"/>
      </w:pPr>
      <w:r>
        <w:t>Manufacturers are assumed to change the sugar content of some SSBs so that they are no longer subject to the sugar tax.</w:t>
      </w:r>
    </w:p>
    <w:p w:rsidR="00887760" w:rsidRDefault="00887760" w:rsidP="00A2797C">
      <w:pPr>
        <w:pStyle w:val="Bullet2"/>
      </w:pPr>
      <w:r>
        <w:t>It is assumed that the closer a SSB’s original average sugar content is to the threshold the more likely a manufacturer is to change the sugar content of a SSB.</w:t>
      </w:r>
    </w:p>
    <w:p w:rsidR="00887760" w:rsidRDefault="00887760" w:rsidP="00477A86">
      <w:pPr>
        <w:pStyle w:val="Heading3"/>
      </w:pPr>
      <w:r w:rsidRPr="00887760">
        <w:t>Timing</w:t>
      </w:r>
    </w:p>
    <w:p w:rsidR="00887760" w:rsidRDefault="00887760" w:rsidP="00887760">
      <w:pPr>
        <w:pStyle w:val="Bullet1"/>
      </w:pPr>
      <w:r>
        <w:t>The sugar tax payments are assumed to be made to the Australian Taxation Office (ATO) weekly and in arrears, similar to alcohol excise payments.  On a fiscal balance basis all sugar tax revenue is recognised in the week the tax is levied on the manufacturer or importer.  On an underlying cash balance basis sugar tax receipts are recognised when they are collected by the ATO.</w:t>
      </w:r>
    </w:p>
    <w:p w:rsidR="00887760" w:rsidRDefault="00887760" w:rsidP="00887760">
      <w:pPr>
        <w:pStyle w:val="Bullet1"/>
      </w:pPr>
      <w:r>
        <w:t>On a fiscal balance basis all GST revenue is recognised in the year the tax is levied on the consumer.  The payment of GST to the states and territories is recognised as an expense when GST is received by the Commonwealth.</w:t>
      </w:r>
    </w:p>
    <w:p w:rsidR="00887760" w:rsidRDefault="00887760" w:rsidP="00887760">
      <w:pPr>
        <w:pStyle w:val="Bullet1"/>
      </w:pPr>
      <w:r>
        <w:t>On an underlying cash balance basis GST receipts are recognised when they are collected by the ATO.  This reflects the fact that GST payments are made to the ATO in arrears, and accounts for the fact that businesses can either remit their GST annually, quarterly, or monthly.  In aggregate, it is assumed that a proportion of GST is received in year and the remainder is received in the next year.</w:t>
      </w:r>
    </w:p>
    <w:p w:rsidR="00887760" w:rsidRDefault="00887760" w:rsidP="00887760">
      <w:pPr>
        <w:pStyle w:val="Bullet1"/>
      </w:pPr>
      <w:r>
        <w:t>There is assumed to be no delay between the receipt of GST by the Commonwealth and associated payments to states and territories.</w:t>
      </w:r>
    </w:p>
    <w:p w:rsidR="005E3562" w:rsidRPr="00FC6579" w:rsidRDefault="005E3562" w:rsidP="00E40B8B">
      <w:pPr>
        <w:pStyle w:val="Heading2"/>
      </w:pPr>
      <w:r w:rsidRPr="00FC6579">
        <w:t>Methodology</w:t>
      </w:r>
    </w:p>
    <w:p w:rsidR="00887760" w:rsidRPr="00887760" w:rsidRDefault="00887760" w:rsidP="00887760">
      <w:r w:rsidRPr="00887760">
        <w:t>The revenue impact of the prop</w:t>
      </w:r>
      <w:r w:rsidR="000F23AE">
        <w:t>osal consists of</w:t>
      </w:r>
      <w:r w:rsidRPr="00887760">
        <w:t xml:space="preserve"> the estimated amount of sugar tax and the </w:t>
      </w:r>
      <w:r w:rsidR="0022094D">
        <w:t xml:space="preserve">estimated </w:t>
      </w:r>
      <w:r w:rsidRPr="00887760">
        <w:t>change in GST revenue.  The impact on receipts was calculated by modifying the revenue impact to reflect timing of sugar tax collections and GST payments.</w:t>
      </w:r>
    </w:p>
    <w:p w:rsidR="00887760" w:rsidRPr="00887760" w:rsidRDefault="00887760" w:rsidP="00887760">
      <w:pPr>
        <w:rPr>
          <w:rFonts w:asciiTheme="majorHAnsi" w:hAnsiTheme="majorHAnsi"/>
          <w:bCs/>
          <w:iCs/>
          <w:color w:val="2B3B5F"/>
          <w:kern w:val="20"/>
          <w:sz w:val="28"/>
          <w:szCs w:val="28"/>
        </w:rPr>
      </w:pPr>
      <w:r w:rsidRPr="00887760">
        <w:t>Sugar tax estimates were rounded to the nearest $10 million.  Impacts on GST were rounded to the nearest $5 million.  Departmental expense amounts were rounded to the nearest $1</w:t>
      </w:r>
      <w:r w:rsidR="00943F00">
        <w:t> </w:t>
      </w:r>
      <w:r w:rsidRPr="00887760">
        <w:t>million.</w:t>
      </w:r>
    </w:p>
    <w:p w:rsidR="005E3562" w:rsidRPr="00FC6579" w:rsidRDefault="005E3562" w:rsidP="00887760">
      <w:pPr>
        <w:pStyle w:val="Heading2"/>
      </w:pPr>
      <w:r w:rsidRPr="00FC6579">
        <w:t>Data sources</w:t>
      </w:r>
    </w:p>
    <w:p w:rsidR="00887760" w:rsidRDefault="00887760" w:rsidP="00887760">
      <w:pPr>
        <w:pStyle w:val="Bullet1"/>
      </w:pPr>
      <w:r>
        <w:t xml:space="preserve">Population Projections as at the </w:t>
      </w:r>
      <w:r w:rsidRPr="00887760">
        <w:t>2016 Pre-election Economic and Fiscal Outlook</w:t>
      </w:r>
    </w:p>
    <w:p w:rsidR="00887760" w:rsidRDefault="00887760" w:rsidP="00887760">
      <w:pPr>
        <w:pStyle w:val="Bullet1"/>
      </w:pPr>
      <w:r>
        <w:t>ABS Consumer Price Index, Australia, March 2016</w:t>
      </w:r>
    </w:p>
    <w:p w:rsidR="00887760" w:rsidRDefault="00887760" w:rsidP="00887760">
      <w:pPr>
        <w:pStyle w:val="Bullet1"/>
      </w:pPr>
      <w:r>
        <w:t xml:space="preserve">ABS Australians Demographic Statistics, </w:t>
      </w:r>
      <w:r w:rsidR="0005382E">
        <w:t>Decem</w:t>
      </w:r>
      <w:r>
        <w:t>ber 2015</w:t>
      </w:r>
    </w:p>
    <w:p w:rsidR="00887760" w:rsidRDefault="00887760" w:rsidP="00887760">
      <w:pPr>
        <w:pStyle w:val="Bullet1"/>
      </w:pPr>
      <w:r>
        <w:t>ABS Australian Health Survey: Nutrition First Results - Foods and Nutrients, 2011-12</w:t>
      </w:r>
    </w:p>
    <w:p w:rsidR="00887760" w:rsidRDefault="00887760" w:rsidP="00887760">
      <w:pPr>
        <w:pStyle w:val="Bullet1"/>
      </w:pPr>
      <w:r>
        <w:t>ABS Household Expenditure Survey, Australia: Summary of Results, 2009-10</w:t>
      </w:r>
    </w:p>
    <w:p w:rsidR="00887760" w:rsidRDefault="00887760" w:rsidP="00887760">
      <w:pPr>
        <w:pStyle w:val="Bullet1"/>
      </w:pPr>
      <w:r>
        <w:t>Retail World, 49th Annual Report - December 2015</w:t>
      </w:r>
    </w:p>
    <w:p w:rsidR="00887760" w:rsidRDefault="00887760" w:rsidP="00887760">
      <w:pPr>
        <w:pStyle w:val="Bullet1"/>
      </w:pPr>
      <w:r>
        <w:t>Sharma et al (2014), ‘The Effects of Taxing Sugar-Sweetened Beverages Across Different Income Groups’, Health Economics</w:t>
      </w:r>
    </w:p>
    <w:p w:rsidR="00887760" w:rsidRDefault="00887760" w:rsidP="00887760">
      <w:pPr>
        <w:pStyle w:val="Bullet1"/>
      </w:pPr>
      <w:r>
        <w:t xml:space="preserve">Capps and </w:t>
      </w:r>
      <w:proofErr w:type="spellStart"/>
      <w:r>
        <w:t>Hanselman</w:t>
      </w:r>
      <w:proofErr w:type="spellEnd"/>
      <w:r>
        <w:t xml:space="preserve"> (2012), ‘A Pilot Study of the Market for Energy Drinks’, Journal of Food Distribution Research</w:t>
      </w:r>
    </w:p>
    <w:p w:rsidR="00887760" w:rsidRDefault="00887760" w:rsidP="00887760">
      <w:pPr>
        <w:pStyle w:val="Bullet1"/>
      </w:pPr>
      <w:proofErr w:type="spellStart"/>
      <w:r>
        <w:t>Cawley</w:t>
      </w:r>
      <w:proofErr w:type="spellEnd"/>
      <w:r>
        <w:t xml:space="preserve"> &amp; </w:t>
      </w:r>
      <w:proofErr w:type="spellStart"/>
      <w:r>
        <w:t>Frisvold</w:t>
      </w:r>
      <w:proofErr w:type="spellEnd"/>
      <w:r>
        <w:t xml:space="preserve"> (2015), ‘The Incidence of Taxes on Sugar-Sweetened Beverages: The Case of Berkeley, California’, National Bureau of Economic Research Working Paper</w:t>
      </w:r>
    </w:p>
    <w:p w:rsidR="00887760" w:rsidRDefault="00887760" w:rsidP="00887760">
      <w:pPr>
        <w:pStyle w:val="Bullet1"/>
      </w:pPr>
      <w:r>
        <w:t>‘How much sugar is in … ?’, Rethink Sugary Drink website: www.rethinksugarydrink.org.au/how-much-sugar</w:t>
      </w:r>
    </w:p>
    <w:p w:rsidR="00CA5D42" w:rsidRPr="00887760" w:rsidRDefault="00CA5D42" w:rsidP="00887760">
      <w:pPr>
        <w:pStyle w:val="Bullet3"/>
        <w:numPr>
          <w:ilvl w:val="0"/>
          <w:numId w:val="0"/>
        </w:numPr>
        <w:ind w:left="1361"/>
        <w:sectPr w:rsidR="00CA5D42" w:rsidRPr="00887760"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t>Attachment A:</w:t>
      </w:r>
      <w:r w:rsidR="00841C3A">
        <w:t xml:space="preserve"> </w:t>
      </w:r>
      <w:r w:rsidR="00464C3C">
        <w:t xml:space="preserve">Tackling Obesity: </w:t>
      </w:r>
      <w:r w:rsidR="006C63A2">
        <w:t xml:space="preserve">Sugar </w:t>
      </w:r>
      <w:r w:rsidR="00E104EF">
        <w:t>s</w:t>
      </w:r>
      <w:r w:rsidR="006C63A2">
        <w:t xml:space="preserve">weetened </w:t>
      </w:r>
      <w:r w:rsidR="00E104EF">
        <w:t>b</w:t>
      </w:r>
      <w:r w:rsidR="006C63A2">
        <w:t>everages</w:t>
      </w:r>
      <w:r w:rsidR="00440E32">
        <w:t>—financial</w:t>
      </w:r>
      <w:r w:rsidR="00841C3A">
        <w:t> </w:t>
      </w:r>
      <w:r w:rsidR="00440E32">
        <w:t>implications</w:t>
      </w:r>
    </w:p>
    <w:p w:rsidR="006C63A2" w:rsidRDefault="006C63A2" w:rsidP="006C63A2">
      <w:r w:rsidRPr="006C63A2">
        <w:t>The following tables include the detailed financial implications for this proposal.</w:t>
      </w:r>
    </w:p>
    <w:p w:rsidR="00EA265F" w:rsidRPr="00E30FB5" w:rsidRDefault="00EA265F" w:rsidP="00EA265F">
      <w:pPr>
        <w:pStyle w:val="Captionheading"/>
        <w:rPr>
          <w:vertAlign w:val="superscript"/>
        </w:rPr>
      </w:pPr>
      <w:r w:rsidRPr="00FC5643">
        <w:t xml:space="preserve">Table </w:t>
      </w:r>
      <w:r>
        <w:t>A1</w:t>
      </w:r>
      <w:r w:rsidRPr="00FC5643">
        <w:t xml:space="preserve">: </w:t>
      </w:r>
      <w:r w:rsidR="007D1220">
        <w:t xml:space="preserve">Tackling Obesity: </w:t>
      </w:r>
      <w:r w:rsidR="000612C3">
        <w:t>Sugar sweetened b</w:t>
      </w:r>
      <w:r w:rsidR="006C63A2">
        <w:t>everages</w:t>
      </w:r>
      <w:r w:rsidR="00EA5685">
        <w:t>—</w:t>
      </w:r>
      <w:r>
        <w:t xml:space="preserve">Fiscal </w:t>
      </w:r>
      <w:proofErr w:type="gramStart"/>
      <w:r>
        <w:t>balance</w:t>
      </w:r>
      <w:r>
        <w:rPr>
          <w:vertAlign w:val="superscript"/>
        </w:rPr>
        <w:t>(</w:t>
      </w:r>
      <w:proofErr w:type="gramEnd"/>
      <w:r>
        <w:rPr>
          <w:vertAlign w:val="superscript"/>
        </w:rPr>
        <w:t>a)</w:t>
      </w:r>
      <w:r w:rsidR="00F4535C">
        <w:rPr>
          <w:vertAlign w:val="superscript"/>
        </w:rPr>
        <w:t>(b)</w:t>
      </w:r>
    </w:p>
    <w:tbl>
      <w:tblPr>
        <w:tblStyle w:val="TableGrid"/>
        <w:tblW w:w="4995" w:type="pct"/>
        <w:tblLook w:val="04A0" w:firstRow="1" w:lastRow="0" w:firstColumn="1" w:lastColumn="0" w:noHBand="0" w:noVBand="1"/>
      </w:tblPr>
      <w:tblGrid>
        <w:gridCol w:w="2645"/>
        <w:gridCol w:w="1134"/>
        <w:gridCol w:w="1134"/>
        <w:gridCol w:w="1134"/>
        <w:gridCol w:w="1134"/>
        <w:gridCol w:w="1134"/>
      </w:tblGrid>
      <w:tr w:rsidR="00EA265F" w:rsidRPr="00EF1D6A" w:rsidTr="002753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tcBorders>
              <w:bottom w:val="single" w:sz="4" w:space="0" w:color="808080"/>
            </w:tcBorders>
            <w:vAlign w:val="center"/>
          </w:tcPr>
          <w:p w:rsidR="00EA265F" w:rsidRPr="00EF1D6A" w:rsidRDefault="00EA265F" w:rsidP="00CF7D9A">
            <w:pPr>
              <w:pStyle w:val="TableText"/>
              <w:keepNext/>
              <w:keepLines/>
              <w:spacing w:line="240" w:lineRule="auto"/>
              <w:ind w:left="57" w:right="57"/>
              <w:rPr>
                <w:b/>
                <w:szCs w:val="20"/>
              </w:rPr>
            </w:pPr>
            <w:r w:rsidRPr="00EF1D6A">
              <w:rPr>
                <w:szCs w:val="20"/>
              </w:rPr>
              <w:t>($m)</w:t>
            </w:r>
          </w:p>
        </w:tc>
        <w:tc>
          <w:tcPr>
            <w:tcW w:w="682" w:type="pct"/>
            <w:tcBorders>
              <w:bottom w:val="single" w:sz="4" w:space="0" w:color="808080"/>
            </w:tcBorders>
            <w:vAlign w:val="center"/>
          </w:tcPr>
          <w:p w:rsidR="00EA265F" w:rsidRPr="00C2426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bottom w:val="single" w:sz="4" w:space="0" w:color="808080"/>
            </w:tcBorders>
            <w:vAlign w:val="center"/>
          </w:tcPr>
          <w:p w:rsidR="00EA265F" w:rsidRPr="00C2426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bottom w:val="single" w:sz="4" w:space="0" w:color="808080"/>
            </w:tcBorders>
            <w:vAlign w:val="center"/>
          </w:tcPr>
          <w:p w:rsidR="00EA265F" w:rsidRPr="00C2426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bottom w:val="single" w:sz="4" w:space="0" w:color="808080"/>
            </w:tcBorders>
            <w:vAlign w:val="center"/>
          </w:tcPr>
          <w:p w:rsidR="00EA265F" w:rsidRPr="00C2426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bottom w:val="single" w:sz="4" w:space="0" w:color="808080"/>
            </w:tcBorders>
            <w:vAlign w:val="center"/>
          </w:tcPr>
          <w:p w:rsidR="00EA265F" w:rsidRPr="00AE30B5"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4B43AB" w:rsidRPr="0066665A" w:rsidTr="0027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E9ECF3"/>
          </w:tcPr>
          <w:p w:rsidR="004B43AB" w:rsidRPr="004B43AB" w:rsidRDefault="004B43AB" w:rsidP="00CF7D9A">
            <w:pPr>
              <w:pStyle w:val="TableTextCentred"/>
              <w:keepNext/>
              <w:keepLines/>
              <w:spacing w:line="240" w:lineRule="auto"/>
              <w:ind w:left="57" w:right="57"/>
              <w:jc w:val="left"/>
              <w:rPr>
                <w:b/>
                <w:szCs w:val="20"/>
              </w:rPr>
            </w:pPr>
            <w:r w:rsidRPr="004B43AB">
              <w:rPr>
                <w:b/>
                <w:szCs w:val="20"/>
              </w:rPr>
              <w:t>Revenue</w:t>
            </w:r>
          </w:p>
        </w:tc>
        <w:tc>
          <w:tcPr>
            <w:tcW w:w="682" w:type="pct"/>
            <w:shd w:val="clear" w:color="auto" w:fill="E9ECF3"/>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390.0</w:t>
            </w:r>
          </w:p>
        </w:tc>
        <w:tc>
          <w:tcPr>
            <w:tcW w:w="682" w:type="pct"/>
            <w:shd w:val="clear" w:color="auto" w:fill="E9ECF3"/>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545.0</w:t>
            </w:r>
          </w:p>
        </w:tc>
        <w:tc>
          <w:tcPr>
            <w:tcW w:w="682" w:type="pct"/>
            <w:shd w:val="clear" w:color="auto" w:fill="E9ECF3"/>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555.0</w:t>
            </w:r>
          </w:p>
        </w:tc>
        <w:tc>
          <w:tcPr>
            <w:tcW w:w="682" w:type="pct"/>
            <w:shd w:val="clear" w:color="auto" w:fill="E9ECF3"/>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570.0</w:t>
            </w:r>
          </w:p>
        </w:tc>
        <w:tc>
          <w:tcPr>
            <w:tcW w:w="682" w:type="pct"/>
            <w:shd w:val="clear" w:color="auto" w:fill="E9ECF3"/>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2,060.0</w:t>
            </w:r>
          </w:p>
        </w:tc>
      </w:tr>
      <w:tr w:rsidR="004B43AB" w:rsidRPr="0066665A" w:rsidTr="00015FB2">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4B43AB" w:rsidP="00CF7D9A">
            <w:pPr>
              <w:pStyle w:val="TableTextCentred"/>
              <w:keepNext/>
              <w:keepLines/>
              <w:spacing w:line="240" w:lineRule="auto"/>
              <w:ind w:left="57" w:right="57"/>
              <w:jc w:val="left"/>
              <w:rPr>
                <w:i/>
                <w:szCs w:val="20"/>
              </w:rPr>
            </w:pPr>
            <w:r w:rsidRPr="004B43AB">
              <w:rPr>
                <w:i/>
                <w:szCs w:val="20"/>
              </w:rPr>
              <w:t>Sugar tax revenue</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400</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560</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570</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590</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2,120</w:t>
            </w:r>
            <w:r w:rsidRPr="004B43AB">
              <w:rPr>
                <w:b/>
              </w:rPr>
              <w:t>.0</w:t>
            </w:r>
          </w:p>
        </w:tc>
      </w:tr>
      <w:tr w:rsidR="00EA265F" w:rsidRPr="0066665A" w:rsidTr="0027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808080"/>
            </w:tcBorders>
          </w:tcPr>
          <w:p w:rsidR="00EA265F" w:rsidRPr="004B43AB" w:rsidRDefault="004B43AB" w:rsidP="00CF7D9A">
            <w:pPr>
              <w:pStyle w:val="TableTextCentred"/>
              <w:keepNext/>
              <w:keepLines/>
              <w:spacing w:line="240" w:lineRule="auto"/>
              <w:ind w:left="57" w:right="57"/>
              <w:jc w:val="left"/>
              <w:rPr>
                <w:i/>
                <w:szCs w:val="20"/>
              </w:rPr>
            </w:pPr>
            <w:r w:rsidRPr="004B43AB">
              <w:rPr>
                <w:i/>
                <w:szCs w:val="20"/>
              </w:rPr>
              <w:t>GST revenue</w:t>
            </w:r>
          </w:p>
        </w:tc>
        <w:tc>
          <w:tcPr>
            <w:tcW w:w="682" w:type="pct"/>
            <w:tcBorders>
              <w:bottom w:val="single" w:sz="4" w:space="0" w:color="808080"/>
            </w:tcBorders>
          </w:tcPr>
          <w:p w:rsidR="00EA265F"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r w:rsidRPr="004B43AB">
              <w:t>.0</w:t>
            </w:r>
          </w:p>
        </w:tc>
        <w:tc>
          <w:tcPr>
            <w:tcW w:w="682" w:type="pct"/>
            <w:tcBorders>
              <w:bottom w:val="single" w:sz="4" w:space="0" w:color="808080"/>
            </w:tcBorders>
          </w:tcPr>
          <w:p w:rsidR="00EA265F"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Borders>
              <w:bottom w:val="single" w:sz="4" w:space="0" w:color="808080"/>
            </w:tcBorders>
          </w:tcPr>
          <w:p w:rsidR="00EA265F"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Borders>
              <w:bottom w:val="single" w:sz="4" w:space="0" w:color="808080"/>
            </w:tcBorders>
          </w:tcPr>
          <w:p w:rsidR="00EA265F"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w:t>
            </w:r>
            <w:r w:rsidRPr="004B43AB">
              <w:t>.0</w:t>
            </w:r>
          </w:p>
        </w:tc>
        <w:tc>
          <w:tcPr>
            <w:tcW w:w="682" w:type="pct"/>
            <w:tcBorders>
              <w:bottom w:val="single" w:sz="4" w:space="0" w:color="808080"/>
            </w:tcBorders>
          </w:tcPr>
          <w:p w:rsidR="00EA265F"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-60</w:t>
            </w:r>
            <w:r w:rsidRPr="004B43AB">
              <w:rPr>
                <w:b/>
              </w:rPr>
              <w:t>.0</w:t>
            </w:r>
          </w:p>
        </w:tc>
      </w:tr>
      <w:tr w:rsidR="00EA265F" w:rsidRPr="0066665A" w:rsidTr="00275321">
        <w:tc>
          <w:tcPr>
            <w:cnfStyle w:val="001000000000" w:firstRow="0" w:lastRow="0" w:firstColumn="1" w:lastColumn="0" w:oddVBand="0" w:evenVBand="0" w:oddHBand="0" w:evenHBand="0" w:firstRowFirstColumn="0" w:firstRowLastColumn="0" w:lastRowFirstColumn="0" w:lastRowLastColumn="0"/>
            <w:tcW w:w="1590" w:type="pct"/>
            <w:shd w:val="clear" w:color="auto" w:fill="E9ECF3"/>
          </w:tcPr>
          <w:p w:rsidR="00EA265F" w:rsidRPr="004B43AB" w:rsidRDefault="004B43AB" w:rsidP="00CF7D9A">
            <w:pPr>
              <w:pStyle w:val="TableTextCentred"/>
              <w:keepNext/>
              <w:keepLines/>
              <w:spacing w:line="240" w:lineRule="auto"/>
              <w:ind w:left="57" w:right="57"/>
              <w:jc w:val="left"/>
              <w:rPr>
                <w:b/>
                <w:szCs w:val="20"/>
              </w:rPr>
            </w:pPr>
            <w:r w:rsidRPr="004B43AB">
              <w:rPr>
                <w:b/>
                <w:szCs w:val="20"/>
              </w:rPr>
              <w:t>Expense</w:t>
            </w:r>
          </w:p>
        </w:tc>
        <w:tc>
          <w:tcPr>
            <w:tcW w:w="682" w:type="pct"/>
            <w:shd w:val="clear" w:color="auto" w:fill="E9ECF3"/>
          </w:tcPr>
          <w:p w:rsidR="00EA265F"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w:t>
            </w:r>
            <w:r w:rsidRPr="004B43AB">
              <w:rPr>
                <w:b/>
                <w:i w:val="0"/>
              </w:rPr>
              <w:t>.0</w:t>
            </w:r>
          </w:p>
        </w:tc>
        <w:tc>
          <w:tcPr>
            <w:tcW w:w="682" w:type="pct"/>
            <w:shd w:val="clear" w:color="auto" w:fill="E9ECF3"/>
          </w:tcPr>
          <w:p w:rsidR="00EA265F"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w:t>
            </w:r>
            <w:r w:rsidRPr="004B43AB">
              <w:rPr>
                <w:b/>
                <w:i w:val="0"/>
              </w:rPr>
              <w:t>.0</w:t>
            </w:r>
          </w:p>
        </w:tc>
        <w:tc>
          <w:tcPr>
            <w:tcW w:w="682" w:type="pct"/>
            <w:shd w:val="clear" w:color="auto" w:fill="E9ECF3"/>
          </w:tcPr>
          <w:p w:rsidR="00EA265F"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w:t>
            </w:r>
            <w:r w:rsidRPr="004B43AB">
              <w:rPr>
                <w:b/>
                <w:i w:val="0"/>
              </w:rPr>
              <w:t>.0</w:t>
            </w:r>
          </w:p>
        </w:tc>
        <w:tc>
          <w:tcPr>
            <w:tcW w:w="682" w:type="pct"/>
            <w:shd w:val="clear" w:color="auto" w:fill="E9ECF3"/>
          </w:tcPr>
          <w:p w:rsidR="00EA265F"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13</w:t>
            </w:r>
            <w:r w:rsidRPr="004B43AB">
              <w:rPr>
                <w:b/>
                <w:i w:val="0"/>
              </w:rPr>
              <w:t>.0</w:t>
            </w:r>
          </w:p>
        </w:tc>
        <w:tc>
          <w:tcPr>
            <w:tcW w:w="682" w:type="pct"/>
            <w:shd w:val="clear" w:color="auto" w:fill="E9ECF3"/>
          </w:tcPr>
          <w:p w:rsidR="00EA265F"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25</w:t>
            </w:r>
            <w:r w:rsidRPr="004B43AB">
              <w:rPr>
                <w:b/>
                <w:i w:val="0"/>
              </w:rPr>
              <w:t>.0</w:t>
            </w:r>
          </w:p>
        </w:tc>
      </w:tr>
      <w:tr w:rsidR="004B43AB" w:rsidRPr="0066665A"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A2797C" w:rsidP="00CF7D9A">
            <w:pPr>
              <w:pStyle w:val="TableTextCentred"/>
              <w:keepNext/>
              <w:keepLines/>
              <w:spacing w:line="240" w:lineRule="auto"/>
              <w:ind w:left="57" w:right="57"/>
              <w:jc w:val="left"/>
              <w:rPr>
                <w:i/>
                <w:szCs w:val="20"/>
              </w:rPr>
            </w:pPr>
            <w:r>
              <w:rPr>
                <w:i/>
                <w:szCs w:val="20"/>
              </w:rPr>
              <w:t xml:space="preserve">Administered - </w:t>
            </w:r>
            <w:r w:rsidR="004B43AB" w:rsidRPr="004B43AB">
              <w:rPr>
                <w:i/>
                <w:szCs w:val="20"/>
              </w:rPr>
              <w:t>GST expense</w:t>
            </w:r>
          </w:p>
        </w:tc>
        <w:tc>
          <w:tcPr>
            <w:tcW w:w="682" w:type="pct"/>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r w:rsidRPr="004B43AB">
              <w:t>.0</w:t>
            </w:r>
          </w:p>
        </w:tc>
        <w:tc>
          <w:tcPr>
            <w:tcW w:w="682" w:type="pct"/>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w:t>
            </w:r>
            <w:r w:rsidRPr="004B43AB">
              <w:t>.0</w:t>
            </w:r>
          </w:p>
        </w:tc>
        <w:tc>
          <w:tcPr>
            <w:tcW w:w="682" w:type="pct"/>
          </w:tcPr>
          <w:p w:rsidR="004B43AB" w:rsidRPr="004B43AB"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60</w:t>
            </w:r>
            <w:r w:rsidRPr="004B43AB">
              <w:rPr>
                <w:b/>
              </w:rPr>
              <w:t>.0</w:t>
            </w:r>
          </w:p>
        </w:tc>
      </w:tr>
      <w:tr w:rsidR="004B43AB" w:rsidRPr="0066665A" w:rsidTr="00015FB2">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4B43AB" w:rsidP="00A2797C">
            <w:pPr>
              <w:pStyle w:val="TableTextCentred"/>
              <w:keepNext/>
              <w:keepLines/>
              <w:spacing w:line="240" w:lineRule="auto"/>
              <w:ind w:left="57" w:right="57"/>
              <w:jc w:val="left"/>
              <w:rPr>
                <w:i/>
                <w:szCs w:val="20"/>
              </w:rPr>
            </w:pPr>
            <w:r w:rsidRPr="004B43AB">
              <w:rPr>
                <w:i/>
                <w:szCs w:val="20"/>
              </w:rPr>
              <w:t>Departmental expenses</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-14</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-35</w:t>
            </w:r>
            <w:r w:rsidRPr="004B43AB">
              <w:rPr>
                <w:b/>
              </w:rPr>
              <w:t>.0</w:t>
            </w:r>
          </w:p>
        </w:tc>
      </w:tr>
      <w:tr w:rsidR="00015FB2" w:rsidRPr="0055406D"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EA265F" w:rsidRPr="0055406D" w:rsidRDefault="00EA265F" w:rsidP="00CF7D9A">
            <w:pPr>
              <w:pStyle w:val="TableTextCentred"/>
              <w:keepNext/>
              <w:keepLines/>
              <w:spacing w:line="240" w:lineRule="auto"/>
              <w:ind w:left="57" w:right="57"/>
              <w:jc w:val="left"/>
              <w:rPr>
                <w:b/>
                <w:szCs w:val="20"/>
              </w:rPr>
            </w:pPr>
            <w:r w:rsidRPr="0055406D">
              <w:rPr>
                <w:b/>
                <w:szCs w:val="20"/>
              </w:rPr>
              <w:t>Total</w:t>
            </w:r>
          </w:p>
        </w:tc>
        <w:tc>
          <w:tcPr>
            <w:tcW w:w="682" w:type="pct"/>
            <w:shd w:val="clear" w:color="auto" w:fill="D7DDE9"/>
          </w:tcPr>
          <w:p w:rsidR="00EA265F" w:rsidRPr="0055406D"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386.0</w:t>
            </w:r>
          </w:p>
        </w:tc>
        <w:tc>
          <w:tcPr>
            <w:tcW w:w="682" w:type="pct"/>
            <w:shd w:val="clear" w:color="auto" w:fill="D7DDE9"/>
          </w:tcPr>
          <w:p w:rsidR="00EA265F" w:rsidRPr="0055406D"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553.0</w:t>
            </w:r>
          </w:p>
        </w:tc>
        <w:tc>
          <w:tcPr>
            <w:tcW w:w="682" w:type="pct"/>
            <w:shd w:val="clear" w:color="auto" w:fill="D7DDE9"/>
          </w:tcPr>
          <w:p w:rsidR="00EA265F" w:rsidRPr="0055406D"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563.0</w:t>
            </w:r>
          </w:p>
        </w:tc>
        <w:tc>
          <w:tcPr>
            <w:tcW w:w="682" w:type="pct"/>
            <w:shd w:val="clear" w:color="auto" w:fill="D7DDE9"/>
          </w:tcPr>
          <w:p w:rsidR="00EA265F" w:rsidRPr="0055406D"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583.0</w:t>
            </w:r>
          </w:p>
        </w:tc>
        <w:tc>
          <w:tcPr>
            <w:tcW w:w="682" w:type="pct"/>
            <w:shd w:val="clear" w:color="auto" w:fill="D7DDE9"/>
          </w:tcPr>
          <w:p w:rsidR="00EA265F" w:rsidRPr="00AE30B5" w:rsidRDefault="004B43AB"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2,085.0</w:t>
            </w:r>
          </w:p>
        </w:tc>
      </w:tr>
    </w:tbl>
    <w:p w:rsidR="00EA265F" w:rsidRDefault="00EA265F" w:rsidP="00EA265F">
      <w:pPr>
        <w:pStyle w:val="Footnotes"/>
        <w:numPr>
          <w:ilvl w:val="0"/>
          <w:numId w:val="9"/>
        </w:numPr>
        <w:ind w:left="284" w:hanging="284"/>
      </w:pPr>
      <w:r>
        <w:t xml:space="preserve">A positive sign </w:t>
      </w:r>
      <w:r w:rsidR="004B43AB">
        <w:t xml:space="preserve">for the fiscal balance </w:t>
      </w:r>
      <w:r>
        <w:t>indicates a</w:t>
      </w:r>
      <w:r w:rsidR="004B43AB">
        <w:t>n increase in revenue or decrease in expenses or net capital investment in accrual terms. A negative number for the fiscal balance indicates a decrease in revenue or an increase in expenses or net capital investment in accrual terms.</w:t>
      </w:r>
    </w:p>
    <w:p w:rsidR="00EA265F" w:rsidRPr="00CA5D42" w:rsidRDefault="00F4535C" w:rsidP="00EA265F">
      <w:pPr>
        <w:pStyle w:val="Footnotes"/>
      </w:pPr>
      <w:r>
        <w:t>Figures may not sum to totals due to rounding.</w:t>
      </w:r>
    </w:p>
    <w:p w:rsidR="00507897" w:rsidRPr="00E40B8B" w:rsidRDefault="00507897" w:rsidP="00FC6579">
      <w:pPr>
        <w:pStyle w:val="Captionheading"/>
        <w:rPr>
          <w:vertAlign w:val="superscript"/>
        </w:rPr>
      </w:pPr>
      <w:r w:rsidRPr="00FC6579">
        <w:t xml:space="preserve">Table </w:t>
      </w:r>
      <w:r w:rsidR="00E40B8B">
        <w:t>A</w:t>
      </w:r>
      <w:r w:rsidR="00EA265F">
        <w:t>2</w:t>
      </w:r>
      <w:r w:rsidRPr="00FC6579">
        <w:t xml:space="preserve">: </w:t>
      </w:r>
      <w:r w:rsidR="007D1220">
        <w:t xml:space="preserve">Tackling Obesity: </w:t>
      </w:r>
      <w:r w:rsidR="000612C3">
        <w:t>Sugar sweetened b</w:t>
      </w:r>
      <w:r w:rsidR="006C63A2">
        <w:t>everages</w:t>
      </w:r>
      <w:r w:rsidR="00EA5685">
        <w:t>—</w:t>
      </w:r>
      <w:r w:rsidR="00E40B8B">
        <w:t xml:space="preserve">Underlying cash </w:t>
      </w:r>
      <w:proofErr w:type="gramStart"/>
      <w:r w:rsidR="00E40B8B">
        <w:t>balance</w:t>
      </w:r>
      <w:r w:rsidR="00E40B8B">
        <w:rPr>
          <w:vertAlign w:val="superscript"/>
        </w:rPr>
        <w:t>(</w:t>
      </w:r>
      <w:proofErr w:type="gramEnd"/>
      <w:r w:rsidR="00E40B8B">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C17112" w:rsidRPr="00EF1D6A" w:rsidTr="0027532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808080"/>
              <w:right w:val="single" w:sz="4" w:space="0" w:color="788184"/>
            </w:tcBorders>
            <w:vAlign w:val="center"/>
          </w:tcPr>
          <w:p w:rsidR="00507897" w:rsidRPr="00EF1D6A" w:rsidRDefault="00507897" w:rsidP="00CF7D9A">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808080"/>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808080"/>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808080"/>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808080"/>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808080"/>
              <w:right w:val="single" w:sz="4" w:space="0" w:color="788184"/>
            </w:tcBorders>
            <w:vAlign w:val="center"/>
          </w:tcPr>
          <w:p w:rsidR="00507897" w:rsidRPr="00AE30B5" w:rsidRDefault="00507897" w:rsidP="00365F6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00DD3E18" w:rsidRPr="00AE30B5">
              <w:rPr>
                <w:b/>
                <w:szCs w:val="20"/>
              </w:rPr>
              <w:t xml:space="preserve"> to 2019–20</w:t>
            </w:r>
          </w:p>
        </w:tc>
      </w:tr>
      <w:tr w:rsidR="004B43AB" w:rsidRPr="004B43AB" w:rsidTr="002753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E9ECF3"/>
          </w:tcPr>
          <w:p w:rsidR="004B43AB" w:rsidRPr="004B43AB" w:rsidRDefault="004B43AB" w:rsidP="00A77790">
            <w:pPr>
              <w:pStyle w:val="TableTextCentred"/>
              <w:keepNext/>
              <w:keepLines/>
              <w:spacing w:line="240" w:lineRule="auto"/>
              <w:ind w:left="57" w:right="57"/>
              <w:jc w:val="left"/>
              <w:rPr>
                <w:b/>
                <w:szCs w:val="20"/>
              </w:rPr>
            </w:pPr>
            <w:r w:rsidRPr="004B43AB">
              <w:rPr>
                <w:b/>
                <w:szCs w:val="20"/>
              </w:rPr>
              <w:t>Re</w:t>
            </w:r>
            <w:r w:rsidR="00A77790">
              <w:rPr>
                <w:b/>
                <w:szCs w:val="20"/>
              </w:rPr>
              <w:t>ceipts</w:t>
            </w:r>
          </w:p>
        </w:tc>
        <w:tc>
          <w:tcPr>
            <w:tcW w:w="682" w:type="pct"/>
            <w:shd w:val="clear" w:color="auto" w:fill="E9ECF3"/>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390.0</w:t>
            </w:r>
          </w:p>
        </w:tc>
        <w:tc>
          <w:tcPr>
            <w:tcW w:w="682" w:type="pct"/>
            <w:shd w:val="clear" w:color="auto" w:fill="E9ECF3"/>
          </w:tcPr>
          <w:p w:rsidR="004B43AB" w:rsidRPr="004B43AB" w:rsidRDefault="00A77790"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53</w:t>
            </w:r>
            <w:r w:rsidR="004B43AB">
              <w:rPr>
                <w:b/>
                <w:i w:val="0"/>
              </w:rPr>
              <w:t>5.0</w:t>
            </w:r>
          </w:p>
        </w:tc>
        <w:tc>
          <w:tcPr>
            <w:tcW w:w="682" w:type="pct"/>
            <w:shd w:val="clear" w:color="auto" w:fill="E9ECF3"/>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555.0</w:t>
            </w:r>
          </w:p>
        </w:tc>
        <w:tc>
          <w:tcPr>
            <w:tcW w:w="682" w:type="pct"/>
            <w:shd w:val="clear" w:color="auto" w:fill="E9ECF3"/>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570.0</w:t>
            </w:r>
          </w:p>
        </w:tc>
        <w:tc>
          <w:tcPr>
            <w:tcW w:w="682" w:type="pct"/>
            <w:shd w:val="clear" w:color="auto" w:fill="E9ECF3"/>
          </w:tcPr>
          <w:p w:rsidR="004B43AB" w:rsidRPr="004B43AB" w:rsidRDefault="004B43AB" w:rsidP="00A7779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2,0</w:t>
            </w:r>
            <w:r w:rsidR="00A77790">
              <w:rPr>
                <w:b/>
                <w:i w:val="0"/>
              </w:rPr>
              <w:t>5</w:t>
            </w:r>
            <w:r>
              <w:rPr>
                <w:b/>
                <w:i w:val="0"/>
              </w:rPr>
              <w:t>0.0</w:t>
            </w:r>
          </w:p>
        </w:tc>
      </w:tr>
      <w:tr w:rsidR="004B43AB" w:rsidRPr="004B43AB" w:rsidTr="005A0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4B43AB" w:rsidP="00A77790">
            <w:pPr>
              <w:pStyle w:val="TableTextCentred"/>
              <w:keepNext/>
              <w:keepLines/>
              <w:spacing w:line="240" w:lineRule="auto"/>
              <w:ind w:left="57" w:right="57"/>
              <w:jc w:val="left"/>
              <w:rPr>
                <w:i/>
                <w:szCs w:val="20"/>
              </w:rPr>
            </w:pPr>
            <w:r w:rsidRPr="004B43AB">
              <w:rPr>
                <w:i/>
                <w:szCs w:val="20"/>
              </w:rPr>
              <w:t>Sugar tax re</w:t>
            </w:r>
            <w:r w:rsidR="00A77790">
              <w:rPr>
                <w:i/>
                <w:szCs w:val="20"/>
              </w:rPr>
              <w:t>ceipts</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400</w:t>
            </w:r>
            <w:r w:rsidRPr="004B43AB">
              <w:t>.0</w:t>
            </w:r>
          </w:p>
        </w:tc>
        <w:tc>
          <w:tcPr>
            <w:tcW w:w="682" w:type="pct"/>
          </w:tcPr>
          <w:p w:rsidR="004B43AB" w:rsidRPr="004B43AB" w:rsidRDefault="004B43AB" w:rsidP="00A7779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w:t>
            </w:r>
            <w:r w:rsidR="00A77790">
              <w:t>5</w:t>
            </w:r>
            <w:r>
              <w:t>0</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570</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590</w:t>
            </w:r>
            <w:r w:rsidRPr="004B43AB">
              <w:t>.0</w:t>
            </w:r>
          </w:p>
        </w:tc>
        <w:tc>
          <w:tcPr>
            <w:tcW w:w="682" w:type="pct"/>
          </w:tcPr>
          <w:p w:rsidR="004B43AB" w:rsidRPr="004B43AB" w:rsidRDefault="004B43AB" w:rsidP="00A7779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2,1</w:t>
            </w:r>
            <w:r w:rsidR="00A77790">
              <w:rPr>
                <w:b/>
              </w:rPr>
              <w:t>1</w:t>
            </w:r>
            <w:r>
              <w:rPr>
                <w:b/>
              </w:rPr>
              <w:t>0</w:t>
            </w:r>
            <w:r w:rsidRPr="004B43AB">
              <w:rPr>
                <w:b/>
              </w:rPr>
              <w:t>.0</w:t>
            </w:r>
          </w:p>
        </w:tc>
      </w:tr>
      <w:tr w:rsidR="004B43AB" w:rsidRPr="004B43AB" w:rsidTr="002753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808080"/>
            </w:tcBorders>
          </w:tcPr>
          <w:p w:rsidR="004B43AB" w:rsidRPr="004B43AB" w:rsidRDefault="004B43AB" w:rsidP="00A77790">
            <w:pPr>
              <w:pStyle w:val="TableTextCentred"/>
              <w:keepNext/>
              <w:keepLines/>
              <w:spacing w:line="240" w:lineRule="auto"/>
              <w:ind w:left="57" w:right="57"/>
              <w:jc w:val="left"/>
              <w:rPr>
                <w:i/>
                <w:szCs w:val="20"/>
              </w:rPr>
            </w:pPr>
            <w:r w:rsidRPr="004B43AB">
              <w:rPr>
                <w:i/>
                <w:szCs w:val="20"/>
              </w:rPr>
              <w:t>GST re</w:t>
            </w:r>
            <w:r w:rsidR="00A77790">
              <w:rPr>
                <w:i/>
                <w:szCs w:val="20"/>
              </w:rPr>
              <w:t>ceipts</w:t>
            </w:r>
          </w:p>
        </w:tc>
        <w:tc>
          <w:tcPr>
            <w:tcW w:w="682" w:type="pct"/>
            <w:tcBorders>
              <w:bottom w:val="single" w:sz="4" w:space="0" w:color="808080"/>
            </w:tcBorders>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r w:rsidRPr="004B43AB">
              <w:t>.0</w:t>
            </w:r>
          </w:p>
        </w:tc>
        <w:tc>
          <w:tcPr>
            <w:tcW w:w="682" w:type="pct"/>
            <w:tcBorders>
              <w:bottom w:val="single" w:sz="4" w:space="0" w:color="808080"/>
            </w:tcBorders>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Borders>
              <w:bottom w:val="single" w:sz="4" w:space="0" w:color="808080"/>
            </w:tcBorders>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Borders>
              <w:bottom w:val="single" w:sz="4" w:space="0" w:color="808080"/>
            </w:tcBorders>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w:t>
            </w:r>
            <w:r w:rsidRPr="004B43AB">
              <w:t>.0</w:t>
            </w:r>
          </w:p>
        </w:tc>
        <w:tc>
          <w:tcPr>
            <w:tcW w:w="682" w:type="pct"/>
            <w:tcBorders>
              <w:bottom w:val="single" w:sz="4" w:space="0" w:color="808080"/>
            </w:tcBorders>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-60</w:t>
            </w:r>
            <w:r w:rsidRPr="004B43AB">
              <w:rPr>
                <w:b/>
              </w:rPr>
              <w:t>.0</w:t>
            </w:r>
          </w:p>
        </w:tc>
      </w:tr>
      <w:tr w:rsidR="004B43AB" w:rsidRPr="004B43AB" w:rsidTr="002753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cnfStyle w:val="001000000000" w:firstRow="0" w:lastRow="0" w:firstColumn="1" w:lastColumn="0" w:oddVBand="0" w:evenVBand="0" w:oddHBand="0" w:evenHBand="0" w:firstRowFirstColumn="0" w:firstRowLastColumn="0" w:lastRowFirstColumn="0" w:lastRowLastColumn="0"/>
            <w:tcW w:w="1590" w:type="pct"/>
            <w:shd w:val="clear" w:color="auto" w:fill="E9ECF3"/>
          </w:tcPr>
          <w:p w:rsidR="004B43AB" w:rsidRPr="004B43AB" w:rsidRDefault="00A77790" w:rsidP="005A013F">
            <w:pPr>
              <w:pStyle w:val="TableTextCentred"/>
              <w:keepNext/>
              <w:keepLines/>
              <w:spacing w:line="240" w:lineRule="auto"/>
              <w:ind w:left="57" w:right="57"/>
              <w:jc w:val="left"/>
              <w:rPr>
                <w:b/>
                <w:szCs w:val="20"/>
              </w:rPr>
            </w:pPr>
            <w:r>
              <w:rPr>
                <w:b/>
                <w:szCs w:val="20"/>
              </w:rPr>
              <w:t>Outlays</w:t>
            </w:r>
          </w:p>
        </w:tc>
        <w:tc>
          <w:tcPr>
            <w:tcW w:w="682" w:type="pct"/>
            <w:shd w:val="clear" w:color="auto" w:fill="E9ECF3"/>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w:t>
            </w:r>
            <w:r w:rsidRPr="004B43AB">
              <w:rPr>
                <w:b/>
                <w:i w:val="0"/>
              </w:rPr>
              <w:t>.0</w:t>
            </w:r>
          </w:p>
        </w:tc>
        <w:tc>
          <w:tcPr>
            <w:tcW w:w="682" w:type="pct"/>
            <w:shd w:val="clear" w:color="auto" w:fill="E9ECF3"/>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w:t>
            </w:r>
            <w:r w:rsidRPr="004B43AB">
              <w:rPr>
                <w:b/>
                <w:i w:val="0"/>
              </w:rPr>
              <w:t>.0</w:t>
            </w:r>
          </w:p>
        </w:tc>
        <w:tc>
          <w:tcPr>
            <w:tcW w:w="682" w:type="pct"/>
            <w:shd w:val="clear" w:color="auto" w:fill="E9ECF3"/>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w:t>
            </w:r>
            <w:r w:rsidRPr="004B43AB">
              <w:rPr>
                <w:b/>
                <w:i w:val="0"/>
              </w:rPr>
              <w:t>.0</w:t>
            </w:r>
          </w:p>
        </w:tc>
        <w:tc>
          <w:tcPr>
            <w:tcW w:w="682" w:type="pct"/>
            <w:shd w:val="clear" w:color="auto" w:fill="E9ECF3"/>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13</w:t>
            </w:r>
            <w:r w:rsidRPr="004B43AB">
              <w:rPr>
                <w:b/>
                <w:i w:val="0"/>
              </w:rPr>
              <w:t>.0</w:t>
            </w:r>
          </w:p>
        </w:tc>
        <w:tc>
          <w:tcPr>
            <w:tcW w:w="682" w:type="pct"/>
            <w:shd w:val="clear" w:color="auto" w:fill="E9ECF3"/>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25</w:t>
            </w:r>
            <w:r w:rsidRPr="004B43AB">
              <w:rPr>
                <w:b/>
                <w:i w:val="0"/>
              </w:rPr>
              <w:t>.0</w:t>
            </w:r>
          </w:p>
        </w:tc>
      </w:tr>
      <w:tr w:rsidR="004B43AB" w:rsidRPr="004B43AB" w:rsidTr="005A0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A2797C" w:rsidP="00A77790">
            <w:pPr>
              <w:pStyle w:val="TableTextCentred"/>
              <w:keepNext/>
              <w:keepLines/>
              <w:spacing w:line="240" w:lineRule="auto"/>
              <w:ind w:left="57" w:right="57"/>
              <w:jc w:val="left"/>
              <w:rPr>
                <w:i/>
                <w:szCs w:val="20"/>
              </w:rPr>
            </w:pPr>
            <w:r>
              <w:rPr>
                <w:i/>
                <w:szCs w:val="20"/>
              </w:rPr>
              <w:t xml:space="preserve">Administered - </w:t>
            </w:r>
            <w:r w:rsidR="004B43AB" w:rsidRPr="004B43AB">
              <w:rPr>
                <w:i/>
                <w:szCs w:val="20"/>
              </w:rPr>
              <w:t xml:space="preserve">GST </w:t>
            </w:r>
            <w:r w:rsidR="00A77790">
              <w:rPr>
                <w:i/>
                <w:szCs w:val="20"/>
              </w:rPr>
              <w:t>outlays</w:t>
            </w:r>
          </w:p>
        </w:tc>
        <w:tc>
          <w:tcPr>
            <w:tcW w:w="682" w:type="pct"/>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w:t>
            </w:r>
            <w:r w:rsidRPr="004B43AB">
              <w:t>.0</w:t>
            </w:r>
          </w:p>
        </w:tc>
        <w:tc>
          <w:tcPr>
            <w:tcW w:w="682" w:type="pct"/>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15</w:t>
            </w:r>
            <w:r w:rsidRPr="004B43AB">
              <w:t>.0</w:t>
            </w:r>
          </w:p>
        </w:tc>
        <w:tc>
          <w:tcPr>
            <w:tcW w:w="682" w:type="pct"/>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w:t>
            </w:r>
            <w:r w:rsidRPr="004B43AB">
              <w:t>.0</w:t>
            </w:r>
          </w:p>
        </w:tc>
        <w:tc>
          <w:tcPr>
            <w:tcW w:w="682" w:type="pct"/>
          </w:tcPr>
          <w:p w:rsidR="004B43AB" w:rsidRPr="004B43AB" w:rsidRDefault="004B43AB" w:rsidP="005A013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60</w:t>
            </w:r>
            <w:r w:rsidRPr="004B43AB">
              <w:rPr>
                <w:b/>
              </w:rPr>
              <w:t>.0</w:t>
            </w:r>
          </w:p>
        </w:tc>
      </w:tr>
      <w:tr w:rsidR="004B43AB" w:rsidRPr="004B43AB" w:rsidTr="005A0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cnfStyle w:val="001000000000" w:firstRow="0" w:lastRow="0" w:firstColumn="1" w:lastColumn="0" w:oddVBand="0" w:evenVBand="0" w:oddHBand="0" w:evenHBand="0" w:firstRowFirstColumn="0" w:firstRowLastColumn="0" w:lastRowFirstColumn="0" w:lastRowLastColumn="0"/>
            <w:tcW w:w="1590" w:type="pct"/>
          </w:tcPr>
          <w:p w:rsidR="004B43AB" w:rsidRPr="004B43AB" w:rsidRDefault="004B43AB" w:rsidP="00A77790">
            <w:pPr>
              <w:pStyle w:val="TableTextCentred"/>
              <w:keepNext/>
              <w:keepLines/>
              <w:spacing w:line="240" w:lineRule="auto"/>
              <w:ind w:left="57" w:right="57"/>
              <w:jc w:val="left"/>
              <w:rPr>
                <w:i/>
                <w:szCs w:val="20"/>
              </w:rPr>
            </w:pPr>
            <w:r w:rsidRPr="004B43AB">
              <w:rPr>
                <w:i/>
                <w:szCs w:val="20"/>
              </w:rPr>
              <w:t xml:space="preserve">Departmental </w:t>
            </w:r>
            <w:r w:rsidR="00A77790">
              <w:rPr>
                <w:i/>
                <w:szCs w:val="20"/>
              </w:rPr>
              <w:t>outlays</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-14</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-7</w:t>
            </w:r>
            <w:r w:rsidRPr="004B43AB">
              <w:t>.0</w:t>
            </w:r>
          </w:p>
        </w:tc>
        <w:tc>
          <w:tcPr>
            <w:tcW w:w="682" w:type="pct"/>
          </w:tcPr>
          <w:p w:rsidR="004B43AB" w:rsidRPr="004B43AB" w:rsidRDefault="004B43AB" w:rsidP="005A013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-35</w:t>
            </w:r>
            <w:r w:rsidRPr="004B43AB">
              <w:rPr>
                <w:b/>
              </w:rPr>
              <w:t>.0</w:t>
            </w:r>
          </w:p>
        </w:tc>
      </w:tr>
      <w:tr w:rsidR="00662E65" w:rsidRPr="0055406D"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62E65" w:rsidP="00CF7D9A">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A77790"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386.0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A77790"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543.0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A77790"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563.0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A77790"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583.0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AE30B5" w:rsidRDefault="00A77790"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2,075.0</w:t>
            </w:r>
          </w:p>
        </w:tc>
      </w:tr>
    </w:tbl>
    <w:p w:rsidR="00E40B8B" w:rsidRDefault="00E40B8B" w:rsidP="000C1A75">
      <w:pPr>
        <w:pStyle w:val="Footnotes"/>
        <w:numPr>
          <w:ilvl w:val="0"/>
          <w:numId w:val="8"/>
        </w:numPr>
        <w:ind w:left="284" w:hanging="284"/>
      </w:pPr>
      <w:r>
        <w:t xml:space="preserve">A positive </w:t>
      </w:r>
      <w:r w:rsidR="004B43AB">
        <w:t>number for the underlying cash balance indicates an increase in receipts or a decrease in outlays or net capital investment in cash terms. A negative number for the fiscal balance indicates a decrease in receipts or an increase in outlays or net capital investment in cash terms.</w:t>
      </w:r>
    </w:p>
    <w:p w:rsidR="00E40B8B" w:rsidRDefault="00F4535C" w:rsidP="00E40B8B">
      <w:pPr>
        <w:pStyle w:val="Footnotes"/>
      </w:pPr>
      <w:r>
        <w:t>Figures may not sum to totals due to rounding.</w:t>
      </w:r>
    </w:p>
    <w:sectPr w:rsidR="00E40B8B" w:rsidSect="00887760">
      <w:headerReference w:type="first" r:id="rId16"/>
      <w:footerReference w:type="first" r:id="rId17"/>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DC" w:rsidRDefault="008324DC" w:rsidP="008F588A">
      <w:pPr>
        <w:spacing w:line="240" w:lineRule="auto"/>
      </w:pPr>
      <w:r>
        <w:separator/>
      </w:r>
    </w:p>
    <w:p w:rsidR="008324DC" w:rsidRDefault="008324DC"/>
  </w:endnote>
  <w:endnote w:type="continuationSeparator" w:id="0">
    <w:p w:rsidR="008324DC" w:rsidRDefault="008324DC" w:rsidP="008F588A">
      <w:pPr>
        <w:spacing w:line="240" w:lineRule="auto"/>
      </w:pPr>
      <w:r>
        <w:continuationSeparator/>
      </w:r>
    </w:p>
    <w:p w:rsidR="008324DC" w:rsidRDefault="00832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C24267" w:rsidRDefault="008324D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E2CFA">
      <w:rPr>
        <w:noProof/>
      </w:rPr>
      <w:t>4</w:t>
    </w:r>
    <w:r w:rsidRPr="00C24267">
      <w:fldChar w:fldCharType="end"/>
    </w:r>
    <w:r w:rsidRPr="00C24267">
      <w:t xml:space="preserve"> of </w:t>
    </w:r>
    <w:fldSimple w:instr=" NUMPAGES  \* Arabic  \* MERGEFORMAT ">
      <w:r w:rsidR="00DE2CFA">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C24267" w:rsidRDefault="008324DC" w:rsidP="00C24267">
    <w:pPr>
      <w:pStyle w:val="Letterfooter"/>
    </w:pPr>
    <w:r w:rsidRPr="00C24267">
      <w:t>Parliamentary Budget Office   PO Box 6010   Parliament House   Canberra ACT 2600</w:t>
    </w:r>
  </w:p>
  <w:p w:rsidR="008324DC" w:rsidRPr="00C24267" w:rsidRDefault="008324DC"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C24267" w:rsidRDefault="008324D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E2CFA">
      <w:rPr>
        <w:noProof/>
      </w:rPr>
      <w:t>2</w:t>
    </w:r>
    <w:r w:rsidRPr="00C24267">
      <w:fldChar w:fldCharType="end"/>
    </w:r>
    <w:r w:rsidRPr="00C24267">
      <w:t xml:space="preserve"> of </w:t>
    </w:r>
    <w:fldSimple w:instr=" NUMPAGES  \* Arabic  \* MERGEFORMAT ">
      <w:r w:rsidR="00DE2CFA">
        <w:rPr>
          <w:noProof/>
        </w:rPr>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C24267" w:rsidRDefault="008324D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E2CFA">
      <w:rPr>
        <w:noProof/>
      </w:rPr>
      <w:t>6</w:t>
    </w:r>
    <w:r w:rsidRPr="00C24267">
      <w:fldChar w:fldCharType="end"/>
    </w:r>
    <w:r w:rsidRPr="00C24267">
      <w:t xml:space="preserve"> of </w:t>
    </w:r>
    <w:fldSimple w:instr=" NUMPAGES  \* Arabic  \* MERGEFORMAT ">
      <w:r w:rsidR="00DE2CFA">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DC" w:rsidRDefault="008324DC" w:rsidP="008F588A">
      <w:pPr>
        <w:spacing w:line="240" w:lineRule="auto"/>
      </w:pPr>
      <w:r>
        <w:separator/>
      </w:r>
    </w:p>
    <w:p w:rsidR="008324DC" w:rsidRDefault="008324DC"/>
  </w:footnote>
  <w:footnote w:type="continuationSeparator" w:id="0">
    <w:p w:rsidR="008324DC" w:rsidRDefault="008324DC" w:rsidP="008F588A">
      <w:pPr>
        <w:spacing w:line="240" w:lineRule="auto"/>
      </w:pPr>
      <w:r>
        <w:continuationSeparator/>
      </w:r>
    </w:p>
    <w:p w:rsidR="008324DC" w:rsidRDefault="008324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Default="008324DC" w:rsidP="00CB40E1">
    <w:pPr>
      <w:pStyle w:val="Header"/>
    </w:pPr>
    <w:r>
      <w:rPr>
        <w:noProof/>
        <w:lang w:eastAsia="en-AU"/>
      </w:rPr>
      <w:drawing>
        <wp:inline distT="0" distB="0" distL="0" distR="0" wp14:anchorId="19172065" wp14:editId="27428634">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324DC" w:rsidRPr="00DA1C8A" w:rsidRDefault="008324DC"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C17112" w:rsidRDefault="008324DC" w:rsidP="00C17112">
    <w:pPr>
      <w:pStyle w:val="Header"/>
    </w:pPr>
    <w:r>
      <w:rPr>
        <w:noProof/>
        <w:lang w:eastAsia="en-AU"/>
      </w:rPr>
      <w:drawing>
        <wp:inline distT="0" distB="0" distL="0" distR="0" wp14:anchorId="0D032381" wp14:editId="4C75B17A">
          <wp:extent cx="2696845" cy="57213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C" w:rsidRPr="00A873D4" w:rsidRDefault="008324DC" w:rsidP="00A87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9A"/>
    <w:rsid w:val="00002D5D"/>
    <w:rsid w:val="00015FB2"/>
    <w:rsid w:val="00016A95"/>
    <w:rsid w:val="00040DCE"/>
    <w:rsid w:val="0004734D"/>
    <w:rsid w:val="0005382E"/>
    <w:rsid w:val="00060F22"/>
    <w:rsid w:val="000612C3"/>
    <w:rsid w:val="00096F3A"/>
    <w:rsid w:val="000A1530"/>
    <w:rsid w:val="000C1A75"/>
    <w:rsid w:val="000D1509"/>
    <w:rsid w:val="000F23AE"/>
    <w:rsid w:val="001278D0"/>
    <w:rsid w:val="0014239B"/>
    <w:rsid w:val="00187092"/>
    <w:rsid w:val="001A02D1"/>
    <w:rsid w:val="001B7FD0"/>
    <w:rsid w:val="001E719A"/>
    <w:rsid w:val="0022094D"/>
    <w:rsid w:val="00220BE5"/>
    <w:rsid w:val="002262D9"/>
    <w:rsid w:val="002422A3"/>
    <w:rsid w:val="00275321"/>
    <w:rsid w:val="0027621D"/>
    <w:rsid w:val="002C5BBA"/>
    <w:rsid w:val="00315E34"/>
    <w:rsid w:val="00326DE2"/>
    <w:rsid w:val="0036334E"/>
    <w:rsid w:val="00365F61"/>
    <w:rsid w:val="00374C05"/>
    <w:rsid w:val="003B0879"/>
    <w:rsid w:val="003D7744"/>
    <w:rsid w:val="003E4F5F"/>
    <w:rsid w:val="003F73CA"/>
    <w:rsid w:val="00410A2C"/>
    <w:rsid w:val="00440E32"/>
    <w:rsid w:val="00461597"/>
    <w:rsid w:val="00464C3C"/>
    <w:rsid w:val="00477A86"/>
    <w:rsid w:val="004818E5"/>
    <w:rsid w:val="00485374"/>
    <w:rsid w:val="004B43AB"/>
    <w:rsid w:val="004C283B"/>
    <w:rsid w:val="004D13ED"/>
    <w:rsid w:val="004D5525"/>
    <w:rsid w:val="004E5045"/>
    <w:rsid w:val="004F5901"/>
    <w:rsid w:val="005035DA"/>
    <w:rsid w:val="00504895"/>
    <w:rsid w:val="0050658C"/>
    <w:rsid w:val="00507897"/>
    <w:rsid w:val="00515A85"/>
    <w:rsid w:val="00545F24"/>
    <w:rsid w:val="0055581F"/>
    <w:rsid w:val="0056229A"/>
    <w:rsid w:val="00570154"/>
    <w:rsid w:val="00570B5A"/>
    <w:rsid w:val="005816C4"/>
    <w:rsid w:val="00587422"/>
    <w:rsid w:val="005B1A4A"/>
    <w:rsid w:val="005B7B75"/>
    <w:rsid w:val="005C6967"/>
    <w:rsid w:val="005E3562"/>
    <w:rsid w:val="005F7DE0"/>
    <w:rsid w:val="00604BE9"/>
    <w:rsid w:val="00640346"/>
    <w:rsid w:val="00653166"/>
    <w:rsid w:val="00660385"/>
    <w:rsid w:val="00662E65"/>
    <w:rsid w:val="00664173"/>
    <w:rsid w:val="0066665A"/>
    <w:rsid w:val="00692DD8"/>
    <w:rsid w:val="006C63A2"/>
    <w:rsid w:val="006F0CE9"/>
    <w:rsid w:val="007202A8"/>
    <w:rsid w:val="007229A9"/>
    <w:rsid w:val="007B029A"/>
    <w:rsid w:val="007B269B"/>
    <w:rsid w:val="007D1220"/>
    <w:rsid w:val="007D33AA"/>
    <w:rsid w:val="007D3577"/>
    <w:rsid w:val="007F7BCF"/>
    <w:rsid w:val="008030EC"/>
    <w:rsid w:val="00811D6D"/>
    <w:rsid w:val="00817E8E"/>
    <w:rsid w:val="00817F88"/>
    <w:rsid w:val="008324DC"/>
    <w:rsid w:val="00841C3A"/>
    <w:rsid w:val="00844776"/>
    <w:rsid w:val="0088076C"/>
    <w:rsid w:val="008850D9"/>
    <w:rsid w:val="00887760"/>
    <w:rsid w:val="008A4578"/>
    <w:rsid w:val="008C03C3"/>
    <w:rsid w:val="008D3909"/>
    <w:rsid w:val="008D6ECA"/>
    <w:rsid w:val="008F588A"/>
    <w:rsid w:val="00902D2D"/>
    <w:rsid w:val="00915804"/>
    <w:rsid w:val="00943F00"/>
    <w:rsid w:val="00957285"/>
    <w:rsid w:val="009573AF"/>
    <w:rsid w:val="00977D7B"/>
    <w:rsid w:val="009963ED"/>
    <w:rsid w:val="009B315B"/>
    <w:rsid w:val="009D4063"/>
    <w:rsid w:val="00A05C60"/>
    <w:rsid w:val="00A2797C"/>
    <w:rsid w:val="00A40322"/>
    <w:rsid w:val="00A41BD3"/>
    <w:rsid w:val="00A449C2"/>
    <w:rsid w:val="00A65EA3"/>
    <w:rsid w:val="00A7322F"/>
    <w:rsid w:val="00A77790"/>
    <w:rsid w:val="00A873D4"/>
    <w:rsid w:val="00AA3D6F"/>
    <w:rsid w:val="00AB55AE"/>
    <w:rsid w:val="00AB6F7D"/>
    <w:rsid w:val="00AC7878"/>
    <w:rsid w:val="00AD493E"/>
    <w:rsid w:val="00AE30B5"/>
    <w:rsid w:val="00AE5755"/>
    <w:rsid w:val="00B06055"/>
    <w:rsid w:val="00B134DF"/>
    <w:rsid w:val="00B136F7"/>
    <w:rsid w:val="00B44D8A"/>
    <w:rsid w:val="00B73AC8"/>
    <w:rsid w:val="00B747A7"/>
    <w:rsid w:val="00BA2BBF"/>
    <w:rsid w:val="00BC559C"/>
    <w:rsid w:val="00BF712A"/>
    <w:rsid w:val="00C17112"/>
    <w:rsid w:val="00C24267"/>
    <w:rsid w:val="00C8033C"/>
    <w:rsid w:val="00CA12A0"/>
    <w:rsid w:val="00CA2092"/>
    <w:rsid w:val="00CA5D42"/>
    <w:rsid w:val="00CB40E1"/>
    <w:rsid w:val="00CB7ED9"/>
    <w:rsid w:val="00CF6DB6"/>
    <w:rsid w:val="00CF7D9A"/>
    <w:rsid w:val="00D01217"/>
    <w:rsid w:val="00D041BC"/>
    <w:rsid w:val="00D134CA"/>
    <w:rsid w:val="00D26E0F"/>
    <w:rsid w:val="00D52D5F"/>
    <w:rsid w:val="00D949A3"/>
    <w:rsid w:val="00DA1B2A"/>
    <w:rsid w:val="00DA1C8A"/>
    <w:rsid w:val="00DA3B55"/>
    <w:rsid w:val="00DB44F0"/>
    <w:rsid w:val="00DD109E"/>
    <w:rsid w:val="00DD3E18"/>
    <w:rsid w:val="00DE2CFA"/>
    <w:rsid w:val="00E04FAC"/>
    <w:rsid w:val="00E104EF"/>
    <w:rsid w:val="00E12103"/>
    <w:rsid w:val="00E15AAE"/>
    <w:rsid w:val="00E17CC5"/>
    <w:rsid w:val="00E21184"/>
    <w:rsid w:val="00E40756"/>
    <w:rsid w:val="00E40B8B"/>
    <w:rsid w:val="00E5742E"/>
    <w:rsid w:val="00E94EAE"/>
    <w:rsid w:val="00E96FD4"/>
    <w:rsid w:val="00EA265F"/>
    <w:rsid w:val="00EA42D1"/>
    <w:rsid w:val="00EA5685"/>
    <w:rsid w:val="00EC29F3"/>
    <w:rsid w:val="00ED43FF"/>
    <w:rsid w:val="00EE6600"/>
    <w:rsid w:val="00EF1D6A"/>
    <w:rsid w:val="00EF2E51"/>
    <w:rsid w:val="00F21865"/>
    <w:rsid w:val="00F31E24"/>
    <w:rsid w:val="00F43491"/>
    <w:rsid w:val="00F4535C"/>
    <w:rsid w:val="00F52474"/>
    <w:rsid w:val="00F5529D"/>
    <w:rsid w:val="00F5669E"/>
    <w:rsid w:val="00F60902"/>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FollowedHyperlink">
    <w:name w:val="FollowedHyperlink"/>
    <w:basedOn w:val="DefaultParagraphFont"/>
    <w:uiPriority w:val="99"/>
    <w:semiHidden/>
    <w:unhideWhenUsed/>
    <w:rsid w:val="009B31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FollowedHyperlink">
    <w:name w:val="FollowedHyperlink"/>
    <w:basedOn w:val="DefaultParagraphFont"/>
    <w:uiPriority w:val="99"/>
    <w:semiHidden/>
    <w:unhideWhenUsed/>
    <w:rsid w:val="009B3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ugar-t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C8DB96B-71FF-404E-9BC4-E6AF77AF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GRN084 - Tackling Obesity: Sugar sweetened beverages - 1 July 2016</dc:title>
  <dc:creator>Parliamentary Budget Office</dc:creator>
  <cp:lastModifiedBy>Milligan, Louise (PBO)</cp:lastModifiedBy>
  <cp:revision>5</cp:revision>
  <cp:lastPrinted>2016-07-01T05:30:00Z</cp:lastPrinted>
  <dcterms:created xsi:type="dcterms:W3CDTF">2016-07-01T06:05:00Z</dcterms:created>
  <dcterms:modified xsi:type="dcterms:W3CDTF">2016-07-01T06:15:00Z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