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DCE" w:rsidRDefault="00A33CC6" w:rsidP="00C17112">
      <w:pPr>
        <w:spacing w:before="1560" w:after="0" w:line="240" w:lineRule="auto"/>
        <w:rPr>
          <w:rFonts w:ascii="Times New Roman" w:hAnsi="Times New Roman" w:cs="Times New Roman"/>
          <w:sz w:val="24"/>
          <w:szCs w:val="24"/>
        </w:rPr>
      </w:pPr>
      <w:r w:rsidRPr="002473AF">
        <w:rPr>
          <w:rFonts w:ascii="Times New Roman" w:hAnsi="Times New Roman" w:cs="Times New Roman"/>
          <w:sz w:val="24"/>
          <w:szCs w:val="24"/>
        </w:rPr>
        <w:t>Senator</w:t>
      </w:r>
      <w:r w:rsidR="00040DCE" w:rsidRPr="00002D5D">
        <w:rPr>
          <w:rFonts w:ascii="Times New Roman" w:hAnsi="Times New Roman" w:cs="Times New Roman"/>
          <w:sz w:val="24"/>
          <w:szCs w:val="24"/>
        </w:rPr>
        <w:t xml:space="preserve"> </w:t>
      </w:r>
      <w:r w:rsidRPr="002473AF">
        <w:rPr>
          <w:rFonts w:ascii="Times New Roman" w:hAnsi="Times New Roman" w:cs="Times New Roman"/>
          <w:sz w:val="24"/>
          <w:szCs w:val="24"/>
        </w:rPr>
        <w:t>Richard Di</w:t>
      </w:r>
      <w:r w:rsidR="00040DCE" w:rsidRPr="00002D5D">
        <w:rPr>
          <w:rFonts w:ascii="Times New Roman" w:hAnsi="Times New Roman" w:cs="Times New Roman"/>
          <w:sz w:val="24"/>
          <w:szCs w:val="24"/>
        </w:rPr>
        <w:t xml:space="preserve"> </w:t>
      </w:r>
      <w:r w:rsidRPr="002473AF">
        <w:rPr>
          <w:rFonts w:ascii="Times New Roman" w:hAnsi="Times New Roman" w:cs="Times New Roman"/>
          <w:sz w:val="24"/>
          <w:szCs w:val="24"/>
        </w:rPr>
        <w:t>Natale</w:t>
      </w:r>
    </w:p>
    <w:p w:rsidR="00A33CC6" w:rsidRPr="00002D5D" w:rsidRDefault="00A33CC6" w:rsidP="00A33CC6">
      <w:pPr>
        <w:spacing w:before="0" w:after="0" w:line="240" w:lineRule="auto"/>
        <w:rPr>
          <w:rFonts w:ascii="Times New Roman" w:hAnsi="Times New Roman" w:cs="Times New Roman"/>
          <w:sz w:val="24"/>
          <w:szCs w:val="24"/>
        </w:rPr>
      </w:pPr>
      <w:r w:rsidRPr="002473AF">
        <w:rPr>
          <w:rFonts w:ascii="Times New Roman" w:hAnsi="Times New Roman" w:cs="Times New Roman"/>
          <w:sz w:val="24"/>
          <w:szCs w:val="24"/>
        </w:rPr>
        <w:t>Leader of the Australian Greens</w:t>
      </w:r>
    </w:p>
    <w:p w:rsidR="00A33CC6" w:rsidRPr="00002D5D" w:rsidRDefault="00A33CC6" w:rsidP="00A33CC6">
      <w:pPr>
        <w:spacing w:before="0" w:after="0" w:line="240" w:lineRule="auto"/>
        <w:rPr>
          <w:rFonts w:ascii="Times New Roman" w:hAnsi="Times New Roman" w:cs="Times New Roman"/>
          <w:sz w:val="24"/>
          <w:szCs w:val="24"/>
        </w:rPr>
      </w:pPr>
      <w:r>
        <w:rPr>
          <w:rFonts w:ascii="Times New Roman" w:hAnsi="Times New Roman" w:cs="Times New Roman"/>
          <w:sz w:val="24"/>
          <w:szCs w:val="24"/>
        </w:rPr>
        <w:t>Parliament House</w:t>
      </w:r>
    </w:p>
    <w:p w:rsidR="00040DCE" w:rsidRPr="00002D5D" w:rsidRDefault="004242D8" w:rsidP="00C17112">
      <w:pPr>
        <w:spacing w:before="0" w:after="0" w:line="240" w:lineRule="auto"/>
        <w:rPr>
          <w:rFonts w:ascii="Times New Roman" w:hAnsi="Times New Roman" w:cs="Times New Roman"/>
          <w:sz w:val="24"/>
          <w:szCs w:val="24"/>
        </w:rPr>
      </w:pPr>
      <w:proofErr w:type="gramStart"/>
      <w:r>
        <w:rPr>
          <w:rFonts w:ascii="Times New Roman" w:hAnsi="Times New Roman" w:cs="Times New Roman"/>
          <w:sz w:val="24"/>
          <w:szCs w:val="24"/>
        </w:rPr>
        <w:t>CANBERRA  ACT</w:t>
      </w:r>
      <w:proofErr w:type="gramEnd"/>
      <w:r>
        <w:rPr>
          <w:rFonts w:ascii="Times New Roman" w:hAnsi="Times New Roman" w:cs="Times New Roman"/>
          <w:sz w:val="24"/>
          <w:szCs w:val="24"/>
        </w:rPr>
        <w:t xml:space="preserve">  2600</w:t>
      </w:r>
    </w:p>
    <w:p w:rsidR="00A33CC6" w:rsidRPr="00002D5D" w:rsidRDefault="00A33CC6" w:rsidP="00A33CC6">
      <w:pPr>
        <w:spacing w:before="480" w:line="240" w:lineRule="auto"/>
        <w:rPr>
          <w:rFonts w:ascii="Times New Roman" w:hAnsi="Times New Roman" w:cs="Times New Roman"/>
          <w:sz w:val="24"/>
          <w:szCs w:val="24"/>
        </w:rPr>
      </w:pPr>
      <w:r w:rsidRPr="00002D5D">
        <w:rPr>
          <w:rFonts w:ascii="Times New Roman" w:hAnsi="Times New Roman" w:cs="Times New Roman"/>
          <w:sz w:val="24"/>
          <w:szCs w:val="24"/>
        </w:rPr>
        <w:t xml:space="preserve">Dear </w:t>
      </w:r>
      <w:r w:rsidRPr="006C473F">
        <w:rPr>
          <w:rFonts w:ascii="Times New Roman" w:hAnsi="Times New Roman" w:cs="Times New Roman"/>
          <w:sz w:val="24"/>
          <w:szCs w:val="24"/>
        </w:rPr>
        <w:t>Senator Di Natale</w:t>
      </w:r>
    </w:p>
    <w:p w:rsidR="00A33CC6" w:rsidRPr="00002D5D" w:rsidRDefault="00A33CC6" w:rsidP="00A33CC6">
      <w:pPr>
        <w:pStyle w:val="Lettertext"/>
      </w:pPr>
      <w:r w:rsidRPr="00002D5D">
        <w:t xml:space="preserve">Please find attached a response to your costing request, </w:t>
      </w:r>
      <w:r>
        <w:rPr>
          <w:i/>
        </w:rPr>
        <w:t xml:space="preserve">Hospital </w:t>
      </w:r>
      <w:r w:rsidR="00535040">
        <w:rPr>
          <w:i/>
        </w:rPr>
        <w:t>F</w:t>
      </w:r>
      <w:r w:rsidR="00140A80">
        <w:rPr>
          <w:i/>
        </w:rPr>
        <w:t xml:space="preserve">unding </w:t>
      </w:r>
      <w:r w:rsidR="00535040">
        <w:rPr>
          <w:i/>
        </w:rPr>
        <w:t>W</w:t>
      </w:r>
      <w:r w:rsidR="00140A80">
        <w:rPr>
          <w:i/>
        </w:rPr>
        <w:t xml:space="preserve">e </w:t>
      </w:r>
      <w:r w:rsidR="00535040">
        <w:rPr>
          <w:i/>
        </w:rPr>
        <w:t>D</w:t>
      </w:r>
      <w:r w:rsidR="00140A80">
        <w:rPr>
          <w:i/>
        </w:rPr>
        <w:t>eserve</w:t>
      </w:r>
      <w:r w:rsidRPr="00002D5D">
        <w:t xml:space="preserve"> (letter of </w:t>
      </w:r>
      <w:r w:rsidR="00535040">
        <w:t>1 July</w:t>
      </w:r>
      <w:r>
        <w:t xml:space="preserve"> </w:t>
      </w:r>
      <w:r w:rsidRPr="00002D5D">
        <w:t>2016).</w:t>
      </w:r>
    </w:p>
    <w:p w:rsidR="00A33CC6" w:rsidRPr="00002D5D" w:rsidRDefault="00A33CC6" w:rsidP="00A33CC6">
      <w:pPr>
        <w:pStyle w:val="Lettertext"/>
      </w:pPr>
      <w:r w:rsidRPr="00002D5D">
        <w:t>The response to this request will be released on the PBO website (</w:t>
      </w:r>
      <w:hyperlink r:id="rId9" w:history="1">
        <w:r w:rsidRPr="00002D5D">
          <w:rPr>
            <w:rStyle w:val="Hyperlink"/>
          </w:rPr>
          <w:t>www.</w:t>
        </w:r>
        <w:r>
          <w:rPr>
            <w:rStyle w:val="Hyperlink"/>
          </w:rPr>
          <w:t>pbo.gov.au</w:t>
        </w:r>
      </w:hyperlink>
      <w:r w:rsidRPr="00002D5D">
        <w:t>).</w:t>
      </w:r>
    </w:p>
    <w:p w:rsidR="00A33CC6" w:rsidRPr="00002D5D" w:rsidRDefault="00A33CC6" w:rsidP="00A33CC6">
      <w:pPr>
        <w:pStyle w:val="Lettertext"/>
      </w:pPr>
      <w:r w:rsidRPr="00002D5D">
        <w:t xml:space="preserve">If you have any queries about this costing, please </w:t>
      </w:r>
      <w:r>
        <w:t>contact Colin Brown on (02) 6277 </w:t>
      </w:r>
      <w:r w:rsidRPr="00002D5D">
        <w:t>9530.</w:t>
      </w:r>
    </w:p>
    <w:p w:rsidR="00A33CC6" w:rsidRPr="00002D5D" w:rsidRDefault="00A33CC6" w:rsidP="00A33CC6">
      <w:pPr>
        <w:pStyle w:val="Lettertext"/>
      </w:pPr>
      <w:r w:rsidRPr="00002D5D">
        <w:t>Yours sincerely</w:t>
      </w:r>
    </w:p>
    <w:p w:rsidR="00A33CC6" w:rsidRPr="00002D5D" w:rsidRDefault="00A33CC6" w:rsidP="00A33CC6">
      <w:pPr>
        <w:spacing w:before="960" w:after="0" w:line="240" w:lineRule="auto"/>
        <w:rPr>
          <w:rFonts w:ascii="Times New Roman" w:hAnsi="Times New Roman" w:cs="Times New Roman"/>
          <w:sz w:val="24"/>
          <w:szCs w:val="24"/>
        </w:rPr>
      </w:pPr>
      <w:r w:rsidRPr="00002D5D">
        <w:rPr>
          <w:rFonts w:ascii="Times New Roman" w:hAnsi="Times New Roman" w:cs="Times New Roman"/>
          <w:sz w:val="24"/>
          <w:szCs w:val="24"/>
        </w:rPr>
        <w:t>Phil Bowen</w:t>
      </w:r>
    </w:p>
    <w:p w:rsidR="00A33CC6" w:rsidRPr="00002D5D" w:rsidRDefault="004242D8" w:rsidP="004242D8">
      <w:pPr>
        <w:spacing w:before="120" w:line="240" w:lineRule="auto"/>
        <w:rPr>
          <w:rFonts w:ascii="Times New Roman" w:hAnsi="Times New Roman" w:cs="Times New Roman"/>
          <w:sz w:val="24"/>
          <w:szCs w:val="24"/>
        </w:rPr>
      </w:pPr>
      <w:r>
        <w:rPr>
          <w:rFonts w:ascii="Times New Roman" w:hAnsi="Times New Roman" w:cs="Times New Roman"/>
          <w:sz w:val="24"/>
          <w:szCs w:val="24"/>
        </w:rPr>
        <w:t xml:space="preserve">1 </w:t>
      </w:r>
      <w:r w:rsidR="00A33CC6">
        <w:rPr>
          <w:rFonts w:ascii="Times New Roman" w:hAnsi="Times New Roman" w:cs="Times New Roman"/>
          <w:sz w:val="24"/>
          <w:szCs w:val="24"/>
        </w:rPr>
        <w:t>Ju</w:t>
      </w:r>
      <w:r w:rsidR="00535040">
        <w:rPr>
          <w:rFonts w:ascii="Times New Roman" w:hAnsi="Times New Roman" w:cs="Times New Roman"/>
          <w:sz w:val="24"/>
          <w:szCs w:val="24"/>
        </w:rPr>
        <w:t>ly</w:t>
      </w:r>
      <w:r w:rsidR="00A33CC6" w:rsidRPr="00002D5D">
        <w:rPr>
          <w:rFonts w:ascii="Times New Roman" w:hAnsi="Times New Roman" w:cs="Times New Roman"/>
          <w:sz w:val="24"/>
          <w:szCs w:val="24"/>
        </w:rPr>
        <w:t xml:space="preserve"> 2016</w:t>
      </w:r>
    </w:p>
    <w:p w:rsidR="00040DCE" w:rsidRPr="00002D5D" w:rsidRDefault="00040DCE" w:rsidP="00040DCE">
      <w:pPr>
        <w:pStyle w:val="BodyText"/>
        <w:rPr>
          <w:rFonts w:ascii="Times New Roman" w:hAnsi="Times New Roman" w:cs="Times New Roman"/>
          <w:sz w:val="24"/>
          <w:szCs w:val="24"/>
        </w:rPr>
      </w:pPr>
    </w:p>
    <w:p w:rsidR="00040DCE" w:rsidRPr="00002D5D" w:rsidRDefault="00040DCE" w:rsidP="00040DCE">
      <w:pPr>
        <w:pStyle w:val="BodyText"/>
        <w:rPr>
          <w:rFonts w:ascii="Times New Roman" w:hAnsi="Times New Roman" w:cs="Times New Roman"/>
          <w:sz w:val="24"/>
          <w:szCs w:val="24"/>
        </w:rPr>
        <w:sectPr w:rsidR="00040DCE" w:rsidRPr="00002D5D" w:rsidSect="00002D5D">
          <w:footerReference w:type="default" r:id="rId10"/>
          <w:headerReference w:type="first" r:id="rId11"/>
          <w:footerReference w:type="first" r:id="rId12"/>
          <w:pgSz w:w="11906" w:h="16838"/>
          <w:pgMar w:top="1361" w:right="1797" w:bottom="1474" w:left="1797" w:header="709" w:footer="709" w:gutter="0"/>
          <w:cols w:space="708"/>
          <w:titlePg/>
          <w:docGrid w:linePitch="360"/>
        </w:sectPr>
      </w:pPr>
    </w:p>
    <w:p w:rsidR="008F588A" w:rsidRDefault="008F588A" w:rsidP="00002D5D">
      <w:pPr>
        <w:pStyle w:val="Heading1"/>
      </w:pPr>
      <w:r w:rsidRPr="00002D5D">
        <w:lastRenderedPageBreak/>
        <w:t xml:space="preserve">Policy costing—during the caretaker period for </w:t>
      </w:r>
      <w:r w:rsidR="007D33AA" w:rsidRPr="00002D5D">
        <w:t>the 2016</w:t>
      </w:r>
      <w:r w:rsidR="00002D5D" w:rsidRPr="00002D5D">
        <w:t> </w:t>
      </w:r>
      <w:r w:rsidRPr="00002D5D">
        <w:t>general election</w:t>
      </w:r>
    </w:p>
    <w:tbl>
      <w:tblPr>
        <w:tblStyle w:val="Style1"/>
        <w:tblW w:w="8340" w:type="dxa"/>
        <w:tblLook w:val="04A0" w:firstRow="1" w:lastRow="0" w:firstColumn="1" w:lastColumn="0" w:noHBand="0" w:noVBand="1"/>
      </w:tblPr>
      <w:tblGrid>
        <w:gridCol w:w="3005"/>
        <w:gridCol w:w="5335"/>
      </w:tblGrid>
      <w:tr w:rsidR="004D5525" w:rsidRPr="004242D8" w:rsidTr="00D52D5F">
        <w:trPr>
          <w:cnfStyle w:val="100000000000" w:firstRow="1" w:lastRow="0" w:firstColumn="0" w:lastColumn="0" w:oddVBand="0" w:evenVBand="0" w:oddHBand="0" w:evenHBand="0" w:firstRowFirstColumn="0" w:firstRowLastColumn="0" w:lastRowFirstColumn="0" w:lastRowLastColumn="0"/>
        </w:trPr>
        <w:tc>
          <w:tcPr>
            <w:tcW w:w="3005" w:type="dxa"/>
          </w:tcPr>
          <w:p w:rsidR="004D5525" w:rsidRPr="004242D8" w:rsidRDefault="004D5525" w:rsidP="004D5525">
            <w:pPr>
              <w:pStyle w:val="BodyText"/>
              <w:rPr>
                <w:sz w:val="22"/>
              </w:rPr>
            </w:pPr>
            <w:r w:rsidRPr="004242D8">
              <w:rPr>
                <w:sz w:val="22"/>
              </w:rPr>
              <w:t>Name of proposal:</w:t>
            </w:r>
          </w:p>
        </w:tc>
        <w:tc>
          <w:tcPr>
            <w:tcW w:w="5335" w:type="dxa"/>
          </w:tcPr>
          <w:p w:rsidR="004D5525" w:rsidRPr="004242D8" w:rsidRDefault="00A33CC6" w:rsidP="00535040">
            <w:pPr>
              <w:pStyle w:val="BodyText"/>
              <w:rPr>
                <w:sz w:val="22"/>
              </w:rPr>
            </w:pPr>
            <w:r w:rsidRPr="004242D8">
              <w:rPr>
                <w:sz w:val="22"/>
              </w:rPr>
              <w:t xml:space="preserve">Hospital </w:t>
            </w:r>
            <w:r w:rsidR="00535040" w:rsidRPr="004242D8">
              <w:rPr>
                <w:sz w:val="22"/>
              </w:rPr>
              <w:t>F</w:t>
            </w:r>
            <w:r w:rsidRPr="004242D8">
              <w:rPr>
                <w:sz w:val="22"/>
              </w:rPr>
              <w:t>unding</w:t>
            </w:r>
            <w:r w:rsidR="00140A80" w:rsidRPr="004242D8">
              <w:rPr>
                <w:sz w:val="22"/>
              </w:rPr>
              <w:t xml:space="preserve"> </w:t>
            </w:r>
            <w:r w:rsidR="00535040" w:rsidRPr="004242D8">
              <w:rPr>
                <w:sz w:val="22"/>
              </w:rPr>
              <w:t>W</w:t>
            </w:r>
            <w:r w:rsidR="00140A80" w:rsidRPr="004242D8">
              <w:rPr>
                <w:sz w:val="22"/>
              </w:rPr>
              <w:t xml:space="preserve">e </w:t>
            </w:r>
            <w:r w:rsidR="00535040" w:rsidRPr="004242D8">
              <w:rPr>
                <w:sz w:val="22"/>
              </w:rPr>
              <w:t>D</w:t>
            </w:r>
            <w:r w:rsidR="00140A80" w:rsidRPr="004242D8">
              <w:rPr>
                <w:sz w:val="22"/>
              </w:rPr>
              <w:t>eserve</w:t>
            </w:r>
          </w:p>
        </w:tc>
      </w:tr>
      <w:tr w:rsidR="004D5525" w:rsidTr="00D52D5F">
        <w:tc>
          <w:tcPr>
            <w:tcW w:w="3005" w:type="dxa"/>
          </w:tcPr>
          <w:p w:rsidR="004D5525" w:rsidRDefault="004D5525" w:rsidP="004D5525">
            <w:pPr>
              <w:pStyle w:val="BodyText"/>
            </w:pPr>
            <w:r>
              <w:t>Summary of proposal:</w:t>
            </w:r>
          </w:p>
        </w:tc>
        <w:tc>
          <w:tcPr>
            <w:tcW w:w="5335" w:type="dxa"/>
          </w:tcPr>
          <w:p w:rsidR="00535040" w:rsidRPr="0075205B" w:rsidRDefault="00A33CC6" w:rsidP="00D908E8">
            <w:pPr>
              <w:spacing w:before="120" w:after="120"/>
            </w:pPr>
            <w:r w:rsidRPr="0075205B">
              <w:t xml:space="preserve">The proposal </w:t>
            </w:r>
            <w:r w:rsidR="00535040" w:rsidRPr="0075205B">
              <w:t>includes the following three components:</w:t>
            </w:r>
          </w:p>
          <w:p w:rsidR="00535040" w:rsidRPr="0075205B" w:rsidRDefault="00535040" w:rsidP="00535040">
            <w:pPr>
              <w:rPr>
                <w:u w:val="single"/>
              </w:rPr>
            </w:pPr>
            <w:r w:rsidRPr="0075205B">
              <w:rPr>
                <w:u w:val="single"/>
              </w:rPr>
              <w:t>Component 1 – Hospital funding</w:t>
            </w:r>
          </w:p>
          <w:p w:rsidR="004D5525" w:rsidRPr="0075205B" w:rsidRDefault="00535040" w:rsidP="00D908E8">
            <w:pPr>
              <w:spacing w:before="120" w:after="120"/>
            </w:pPr>
            <w:r w:rsidRPr="0075205B">
              <w:t xml:space="preserve">This component </w:t>
            </w:r>
            <w:r w:rsidR="00A33CC6" w:rsidRPr="0075205B">
              <w:t xml:space="preserve">would set the annual growth in Commonwealth funding to states </w:t>
            </w:r>
            <w:r w:rsidR="00013DA1">
              <w:t xml:space="preserve">and territories </w:t>
            </w:r>
            <w:r w:rsidR="00A33CC6" w:rsidRPr="0075205B">
              <w:t>for public hospitals from 1 J</w:t>
            </w:r>
            <w:r w:rsidR="00AF230F" w:rsidRPr="0075205B">
              <w:t>uly</w:t>
            </w:r>
            <w:r w:rsidR="00A33CC6" w:rsidRPr="0075205B">
              <w:t xml:space="preserve"> 2017 to 50 per cent of the efficient growth</w:t>
            </w:r>
            <w:r w:rsidR="00D908E8" w:rsidRPr="0075205B">
              <w:t xml:space="preserve"> </w:t>
            </w:r>
            <w:r w:rsidR="00A33CC6" w:rsidRPr="0075205B">
              <w:t>in public hospital costs.</w:t>
            </w:r>
          </w:p>
          <w:p w:rsidR="00535040" w:rsidRPr="0075205B" w:rsidRDefault="00535040" w:rsidP="00535040">
            <w:pPr>
              <w:rPr>
                <w:u w:val="single"/>
              </w:rPr>
            </w:pPr>
            <w:r w:rsidRPr="0075205B">
              <w:rPr>
                <w:u w:val="single"/>
              </w:rPr>
              <w:t>Component 2 – Darebin Community Health Centre National Partnership Payment (NPP)</w:t>
            </w:r>
          </w:p>
          <w:p w:rsidR="00535040" w:rsidRPr="0075205B" w:rsidRDefault="00535040" w:rsidP="00535040">
            <w:pPr>
              <w:rPr>
                <w:u w:val="single"/>
              </w:rPr>
            </w:pPr>
            <w:r w:rsidRPr="0075205B">
              <w:t>This component would provide $8.8 million in 2016-17 for Darebin Community Health Centre Preston in Preston</w:t>
            </w:r>
            <w:r w:rsidR="00013DA1">
              <w:t>,</w:t>
            </w:r>
            <w:r w:rsidRPr="0075205B">
              <w:t xml:space="preserve"> Victoria.</w:t>
            </w:r>
          </w:p>
          <w:p w:rsidR="00535040" w:rsidRPr="0075205B" w:rsidRDefault="00535040" w:rsidP="00535040">
            <w:pPr>
              <w:rPr>
                <w:u w:val="single"/>
              </w:rPr>
            </w:pPr>
            <w:r w:rsidRPr="0075205B">
              <w:rPr>
                <w:u w:val="single"/>
              </w:rPr>
              <w:t>Component 3 – Tweed Hospital NPP</w:t>
            </w:r>
          </w:p>
          <w:p w:rsidR="00535040" w:rsidRPr="0075205B" w:rsidRDefault="00535040" w:rsidP="00535040">
            <w:pPr>
              <w:spacing w:before="120" w:after="120"/>
            </w:pPr>
            <w:r w:rsidRPr="0075205B">
              <w:t>This component would provide $100 million in 2016-17 for Tweed Hospital in Tweed Heads</w:t>
            </w:r>
            <w:r w:rsidR="00013DA1">
              <w:t>,</w:t>
            </w:r>
            <w:r w:rsidRPr="0075205B">
              <w:t xml:space="preserve"> New South Wales.</w:t>
            </w:r>
          </w:p>
        </w:tc>
      </w:tr>
      <w:tr w:rsidR="004D5525" w:rsidTr="00D52D5F">
        <w:tc>
          <w:tcPr>
            <w:tcW w:w="3005" w:type="dxa"/>
          </w:tcPr>
          <w:p w:rsidR="004D5525" w:rsidRDefault="004D5525" w:rsidP="004D5525">
            <w:pPr>
              <w:pStyle w:val="BodyText"/>
            </w:pPr>
            <w:r>
              <w:t>Person/party requesting costing:</w:t>
            </w:r>
          </w:p>
        </w:tc>
        <w:tc>
          <w:tcPr>
            <w:tcW w:w="5335" w:type="dxa"/>
          </w:tcPr>
          <w:p w:rsidR="004D5525" w:rsidRPr="0075205B" w:rsidRDefault="00A33CC6" w:rsidP="004D5525">
            <w:pPr>
              <w:pStyle w:val="BodyText"/>
            </w:pPr>
            <w:r w:rsidRPr="0075205B">
              <w:t>Senator Richard Di Natale, Australian Greens</w:t>
            </w:r>
          </w:p>
        </w:tc>
      </w:tr>
      <w:tr w:rsidR="007D3577" w:rsidTr="00A33CC6">
        <w:tc>
          <w:tcPr>
            <w:tcW w:w="3005" w:type="dxa"/>
          </w:tcPr>
          <w:p w:rsidR="007D3577" w:rsidRDefault="007D3577" w:rsidP="00A33CC6">
            <w:pPr>
              <w:pStyle w:val="BodyText"/>
            </w:pPr>
            <w:r>
              <w:t>Date of public release of policy:</w:t>
            </w:r>
          </w:p>
        </w:tc>
        <w:tc>
          <w:tcPr>
            <w:tcW w:w="5335" w:type="dxa"/>
          </w:tcPr>
          <w:p w:rsidR="007D3577" w:rsidRDefault="00535040" w:rsidP="00535040">
            <w:pPr>
              <w:pStyle w:val="BodyText"/>
            </w:pPr>
            <w:r w:rsidRPr="0075205B">
              <w:t>30 March 2016</w:t>
            </w:r>
            <w:r w:rsidR="007D3577" w:rsidRPr="0075205B">
              <w:t xml:space="preserve"> </w:t>
            </w:r>
          </w:p>
          <w:p w:rsidR="0075205B" w:rsidRPr="0075205B" w:rsidRDefault="00E21252" w:rsidP="00535040">
            <w:pPr>
              <w:pStyle w:val="BodyText"/>
            </w:pPr>
            <w:hyperlink r:id="rId13" w:history="1">
              <w:r w:rsidR="0075205B" w:rsidRPr="00885283">
                <w:rPr>
                  <w:rStyle w:val="Hyperlink"/>
                </w:rPr>
                <w:t>http://greens.org.au/healthcare</w:t>
              </w:r>
            </w:hyperlink>
          </w:p>
        </w:tc>
      </w:tr>
      <w:tr w:rsidR="004D5525" w:rsidTr="00D52D5F">
        <w:tc>
          <w:tcPr>
            <w:tcW w:w="3005" w:type="dxa"/>
          </w:tcPr>
          <w:p w:rsidR="004D5525" w:rsidRDefault="004D5525" w:rsidP="004D5525">
            <w:pPr>
              <w:pStyle w:val="BodyText"/>
            </w:pPr>
            <w:r>
              <w:t>Date costing request received:</w:t>
            </w:r>
          </w:p>
        </w:tc>
        <w:tc>
          <w:tcPr>
            <w:tcW w:w="5335" w:type="dxa"/>
          </w:tcPr>
          <w:p w:rsidR="004D5525" w:rsidRPr="0075205B" w:rsidRDefault="00535040" w:rsidP="004D5525">
            <w:pPr>
              <w:pStyle w:val="BodyText"/>
            </w:pPr>
            <w:r w:rsidRPr="0075205B">
              <w:t>1 July</w:t>
            </w:r>
            <w:r w:rsidR="00A33CC6" w:rsidRPr="0075205B">
              <w:t xml:space="preserve"> 2016</w:t>
            </w:r>
          </w:p>
        </w:tc>
      </w:tr>
      <w:tr w:rsidR="004D5525" w:rsidTr="00D52D5F">
        <w:tc>
          <w:tcPr>
            <w:tcW w:w="3005" w:type="dxa"/>
          </w:tcPr>
          <w:p w:rsidR="004D5525" w:rsidRDefault="004D5525" w:rsidP="004D5525">
            <w:pPr>
              <w:pStyle w:val="BodyText"/>
            </w:pPr>
            <w:r>
              <w:t>Date costing completed</w:t>
            </w:r>
            <w:r w:rsidR="00D64BAC">
              <w:t>:</w:t>
            </w:r>
          </w:p>
        </w:tc>
        <w:tc>
          <w:tcPr>
            <w:tcW w:w="5335" w:type="dxa"/>
          </w:tcPr>
          <w:p w:rsidR="004D5525" w:rsidRPr="0075205B" w:rsidRDefault="00535040" w:rsidP="004D5525">
            <w:pPr>
              <w:pStyle w:val="BodyText"/>
            </w:pPr>
            <w:r w:rsidRPr="0075205B">
              <w:t>1 July</w:t>
            </w:r>
            <w:r w:rsidR="00A33CC6" w:rsidRPr="0075205B">
              <w:t xml:space="preserve"> 2016</w:t>
            </w:r>
          </w:p>
        </w:tc>
      </w:tr>
      <w:tr w:rsidR="00AF230F" w:rsidTr="00666741">
        <w:tc>
          <w:tcPr>
            <w:tcW w:w="3005" w:type="dxa"/>
          </w:tcPr>
          <w:p w:rsidR="00AF230F" w:rsidRPr="00220BE5" w:rsidRDefault="00AF230F" w:rsidP="00666741">
            <w:pPr>
              <w:pStyle w:val="BodyText"/>
            </w:pPr>
            <w:r>
              <w:t>Additional information requested:</w:t>
            </w:r>
          </w:p>
        </w:tc>
        <w:tc>
          <w:tcPr>
            <w:tcW w:w="5335" w:type="dxa"/>
          </w:tcPr>
          <w:p w:rsidR="00AF230F" w:rsidRPr="0075205B" w:rsidRDefault="00AF230F" w:rsidP="00AF230F">
            <w:pPr>
              <w:pStyle w:val="BodyText"/>
            </w:pPr>
            <w:r w:rsidRPr="0075205B">
              <w:t>On 1 July 2016 clarification was sought from the office of Senator Di Natale (the office) as to the start date for Component 1.</w:t>
            </w:r>
          </w:p>
        </w:tc>
      </w:tr>
      <w:tr w:rsidR="00AF230F" w:rsidTr="00D52D5F">
        <w:tc>
          <w:tcPr>
            <w:tcW w:w="3005" w:type="dxa"/>
          </w:tcPr>
          <w:p w:rsidR="00AF230F" w:rsidRPr="00220BE5" w:rsidRDefault="00AF230F" w:rsidP="00666741">
            <w:pPr>
              <w:pStyle w:val="BodyText"/>
            </w:pPr>
            <w:r>
              <w:t>Additional information received:</w:t>
            </w:r>
          </w:p>
        </w:tc>
        <w:tc>
          <w:tcPr>
            <w:tcW w:w="5335" w:type="dxa"/>
          </w:tcPr>
          <w:p w:rsidR="00AF230F" w:rsidRPr="0075205B" w:rsidRDefault="00AF230F" w:rsidP="00AF230F">
            <w:pPr>
              <w:pStyle w:val="BodyText"/>
            </w:pPr>
            <w:r w:rsidRPr="0075205B">
              <w:t>On 1 July 2016 the office advised that the start date for Component 1</w:t>
            </w:r>
            <w:r w:rsidR="00E21877" w:rsidRPr="0075205B">
              <w:t xml:space="preserve"> is 1 July 2017</w:t>
            </w:r>
            <w:r w:rsidRPr="0075205B">
              <w:t>.</w:t>
            </w:r>
          </w:p>
        </w:tc>
      </w:tr>
      <w:tr w:rsidR="004D5525" w:rsidTr="00D52D5F">
        <w:tc>
          <w:tcPr>
            <w:tcW w:w="3005" w:type="dxa"/>
          </w:tcPr>
          <w:p w:rsidR="004D5525" w:rsidRPr="00220BE5" w:rsidRDefault="004D5525" w:rsidP="004D5525">
            <w:pPr>
              <w:pStyle w:val="BodyText"/>
            </w:pPr>
            <w:r w:rsidRPr="00220BE5">
              <w:t>Expiry date for the costing:</w:t>
            </w:r>
          </w:p>
        </w:tc>
        <w:tc>
          <w:tcPr>
            <w:tcW w:w="5335" w:type="dxa"/>
          </w:tcPr>
          <w:p w:rsidR="004D5525" w:rsidRPr="00220BE5" w:rsidRDefault="00A33CC6" w:rsidP="00220BE5">
            <w:pPr>
              <w:pStyle w:val="BodyText"/>
            </w:pPr>
            <w:r w:rsidRPr="002434ED">
              <w:t>Release of the next economic and fiscal outlook report</w:t>
            </w:r>
          </w:p>
        </w:tc>
      </w:tr>
    </w:tbl>
    <w:p w:rsidR="0055581F" w:rsidRPr="00002D5D" w:rsidRDefault="008030EC" w:rsidP="00FC6579">
      <w:pPr>
        <w:pStyle w:val="Heading2"/>
      </w:pPr>
      <w:r w:rsidRPr="00002D5D">
        <w:lastRenderedPageBreak/>
        <w:t>Costing overview</w:t>
      </w:r>
    </w:p>
    <w:p w:rsidR="00A33CC6" w:rsidRDefault="00A33CC6" w:rsidP="00FC6579">
      <w:pPr>
        <w:keepNext/>
        <w:keepLines/>
      </w:pPr>
      <w:r w:rsidRPr="00A33CC6">
        <w:t>Th</w:t>
      </w:r>
      <w:r>
        <w:t xml:space="preserve">e proposal </w:t>
      </w:r>
      <w:r w:rsidRPr="00A33CC6">
        <w:t>would be expected to decrease the fiscal and underlying cash balances by $</w:t>
      </w:r>
      <w:r w:rsidR="00535040">
        <w:t>792.8</w:t>
      </w:r>
      <w:r w:rsidRPr="00A33CC6">
        <w:t xml:space="preserve"> million over the 2016-17 Budget forward estimates</w:t>
      </w:r>
      <w:r w:rsidR="004B7265">
        <w:t xml:space="preserve"> period</w:t>
      </w:r>
      <w:r w:rsidRPr="00A33CC6">
        <w:t>.  This impact is entirely due to an increase in administered expenses.</w:t>
      </w:r>
    </w:p>
    <w:p w:rsidR="00A33CC6" w:rsidRDefault="00A33CC6" w:rsidP="00A33CC6">
      <w:pPr>
        <w:keepNext/>
        <w:keepLines/>
      </w:pPr>
      <w:r>
        <w:t>Departmental expenses have not been included for the Department of Health or The Treasury as the proposed options are not expected to impact significantly on administrative activities currently undertaken by these agencies.</w:t>
      </w:r>
    </w:p>
    <w:p w:rsidR="00A33CC6" w:rsidRDefault="004B7265" w:rsidP="00A33CC6">
      <w:pPr>
        <w:keepNext/>
        <w:keepLines/>
      </w:pPr>
      <w:r>
        <w:t xml:space="preserve">A breakdown of the financial impact by component over the 2016-17 Budget forward estimates period is provided at </w:t>
      </w:r>
      <w:r w:rsidRPr="004B7265">
        <w:rPr>
          <w:u w:val="single"/>
        </w:rPr>
        <w:t>Attachment A</w:t>
      </w:r>
      <w:r>
        <w:t>.</w:t>
      </w:r>
      <w:r w:rsidR="00A90902">
        <w:t xml:space="preserve">  </w:t>
      </w:r>
      <w:r w:rsidR="00A33CC6">
        <w:t>The proposal would have an</w:t>
      </w:r>
      <w:r>
        <w:t xml:space="preserve"> ongoing</w:t>
      </w:r>
      <w:r w:rsidR="00A33CC6">
        <w:t xml:space="preserve"> impact beyond the forward estimates</w:t>
      </w:r>
      <w:r w:rsidR="00535040">
        <w:t xml:space="preserve"> </w:t>
      </w:r>
      <w:r>
        <w:t xml:space="preserve">period </w:t>
      </w:r>
      <w:r w:rsidR="00535040">
        <w:t>(relating to Component 1 only)</w:t>
      </w:r>
      <w:r w:rsidR="00A90902">
        <w:t xml:space="preserve"> growing to an annual impact of around $4 billion in 2026-27.</w:t>
      </w:r>
    </w:p>
    <w:p w:rsidR="00A33CC6" w:rsidRDefault="00A33CC6" w:rsidP="00A33CC6">
      <w:pPr>
        <w:keepNext/>
        <w:keepLines/>
      </w:pPr>
      <w:r>
        <w:t>The financial implications provided are considered to be of low reliability as</w:t>
      </w:r>
      <w:r w:rsidR="00AF230F">
        <w:t>, while Components 2 and 3 are specified capped amounts,</w:t>
      </w:r>
      <w:r>
        <w:t xml:space="preserve"> the estimates </w:t>
      </w:r>
      <w:r w:rsidR="00AF230F">
        <w:t xml:space="preserve">for Component 1 </w:t>
      </w:r>
      <w:r>
        <w:t xml:space="preserve">are highly sensitive to: </w:t>
      </w:r>
    </w:p>
    <w:p w:rsidR="00A33CC6" w:rsidRDefault="00A33CC6" w:rsidP="00A33CC6">
      <w:pPr>
        <w:pStyle w:val="Bullet1"/>
      </w:pPr>
      <w:r>
        <w:t xml:space="preserve">the growth in the </w:t>
      </w:r>
      <w:r w:rsidR="001C6788">
        <w:t xml:space="preserve">National Efficient Price (NEP) </w:t>
      </w:r>
      <w:r>
        <w:t xml:space="preserve">and volume (National Weighted Activity Units) </w:t>
      </w:r>
      <w:r w:rsidR="00A90902">
        <w:t>which determine</w:t>
      </w:r>
      <w:r>
        <w:t xml:space="preserve"> the level of activity based funding</w:t>
      </w:r>
    </w:p>
    <w:p w:rsidR="00A33CC6" w:rsidRDefault="00A33CC6" w:rsidP="00A33CC6">
      <w:pPr>
        <w:pStyle w:val="Bullet1"/>
      </w:pPr>
      <w:proofErr w:type="gramStart"/>
      <w:r>
        <w:t>the</w:t>
      </w:r>
      <w:proofErr w:type="gramEnd"/>
      <w:r>
        <w:t xml:space="preserve"> National Efficient Cost which determines the level of hospital block funding.</w:t>
      </w:r>
    </w:p>
    <w:p w:rsidR="00A33CC6" w:rsidRDefault="00A33CC6" w:rsidP="00A33CC6">
      <w:pPr>
        <w:keepNext/>
        <w:keepLines/>
      </w:pPr>
      <w:r>
        <w:t xml:space="preserve">Since the Commonwealth funding of public hospitals has been linked to the efficient growth in the cost of hospital services from 2014-15, there have been material </w:t>
      </w:r>
      <w:r w:rsidR="004B7265">
        <w:t>revisions to these cost drivers.</w:t>
      </w:r>
    </w:p>
    <w:p w:rsidR="005E3562" w:rsidRPr="00FC6579" w:rsidRDefault="005E3562" w:rsidP="00FC6579">
      <w:pPr>
        <w:pStyle w:val="Captionheading"/>
      </w:pPr>
      <w:r w:rsidRPr="00FC6579">
        <w:t xml:space="preserve">Table </w:t>
      </w:r>
      <w:r w:rsidR="001A02D1" w:rsidRPr="00FC6579">
        <w:t>1</w:t>
      </w:r>
      <w:r w:rsidRPr="00FC6579">
        <w:t>: Financial implications (outturn prices</w:t>
      </w:r>
      <w:proofErr w:type="gramStart"/>
      <w:r w:rsidRPr="00FC6579">
        <w:t>)</w:t>
      </w:r>
      <w:r w:rsidRPr="00844776">
        <w:rPr>
          <w:vertAlign w:val="superscript"/>
        </w:rPr>
        <w:t>(</w:t>
      </w:r>
      <w:proofErr w:type="gramEnd"/>
      <w:r w:rsidRPr="00844776">
        <w:rPr>
          <w:vertAlign w:val="superscript"/>
        </w:rPr>
        <w:t>a)</w:t>
      </w:r>
    </w:p>
    <w:tbl>
      <w:tblPr>
        <w:tblStyle w:val="TableGrid"/>
        <w:tblW w:w="4993" w:type="pct"/>
        <w:tblLook w:val="04A0" w:firstRow="1" w:lastRow="0" w:firstColumn="1" w:lastColumn="0" w:noHBand="0" w:noVBand="1"/>
      </w:tblPr>
      <w:tblGrid>
        <w:gridCol w:w="2645"/>
        <w:gridCol w:w="1134"/>
        <w:gridCol w:w="1133"/>
        <w:gridCol w:w="1133"/>
        <w:gridCol w:w="1133"/>
        <w:gridCol w:w="1132"/>
      </w:tblGrid>
      <w:tr w:rsidR="00692DD8" w:rsidRPr="00B73AC8" w:rsidTr="00EA265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tcPr>
          <w:p w:rsidR="00CA5D42" w:rsidRPr="00B73AC8" w:rsidRDefault="00CA5D42" w:rsidP="006B1249">
            <w:pPr>
              <w:pStyle w:val="TableText"/>
              <w:keepNext/>
              <w:keepLines/>
              <w:spacing w:line="240" w:lineRule="auto"/>
              <w:ind w:left="57" w:right="57"/>
              <w:rPr>
                <w:rFonts w:ascii="Calibri" w:hAnsi="Calibri"/>
                <w:szCs w:val="20"/>
              </w:rPr>
            </w:pPr>
            <w:r w:rsidRPr="00B73AC8">
              <w:rPr>
                <w:rFonts w:ascii="Calibri" w:hAnsi="Calibri"/>
                <w:szCs w:val="20"/>
              </w:rPr>
              <w:t>Impact on</w:t>
            </w:r>
            <w:r w:rsidR="00461597">
              <w:rPr>
                <w:rFonts w:ascii="Calibri" w:hAnsi="Calibri"/>
                <w:szCs w:val="20"/>
              </w:rPr>
              <w:t xml:space="preserve"> ($m)</w:t>
            </w:r>
          </w:p>
        </w:tc>
        <w:tc>
          <w:tcPr>
            <w:tcW w:w="682" w:type="pct"/>
          </w:tcPr>
          <w:p w:rsidR="00CA5D42" w:rsidRPr="00B73AC8" w:rsidRDefault="00CA5D42" w:rsidP="006B1249">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2016–17</w:t>
            </w:r>
          </w:p>
        </w:tc>
        <w:tc>
          <w:tcPr>
            <w:tcW w:w="682" w:type="pct"/>
          </w:tcPr>
          <w:p w:rsidR="00CA5D42" w:rsidRPr="00B73AC8" w:rsidRDefault="00CA5D42" w:rsidP="006B1249">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2017–18</w:t>
            </w:r>
          </w:p>
        </w:tc>
        <w:tc>
          <w:tcPr>
            <w:tcW w:w="682" w:type="pct"/>
          </w:tcPr>
          <w:p w:rsidR="00CA5D42" w:rsidRPr="00B73AC8" w:rsidRDefault="00CA5D42" w:rsidP="006B1249">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szCs w:val="20"/>
              </w:rPr>
            </w:pPr>
            <w:r w:rsidRPr="00B73AC8">
              <w:rPr>
                <w:rFonts w:ascii="Calibri" w:hAnsi="Calibri"/>
                <w:szCs w:val="20"/>
              </w:rPr>
              <w:t>2018–19</w:t>
            </w:r>
          </w:p>
        </w:tc>
        <w:tc>
          <w:tcPr>
            <w:tcW w:w="682" w:type="pct"/>
          </w:tcPr>
          <w:p w:rsidR="00CA5D42" w:rsidRPr="00B73AC8" w:rsidRDefault="00CA5D42" w:rsidP="006B1249">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B73AC8">
              <w:rPr>
                <w:rFonts w:ascii="Calibri" w:hAnsi="Calibri"/>
                <w:szCs w:val="20"/>
              </w:rPr>
              <w:t>2019–20</w:t>
            </w:r>
          </w:p>
        </w:tc>
        <w:tc>
          <w:tcPr>
            <w:tcW w:w="681" w:type="pct"/>
          </w:tcPr>
          <w:p w:rsidR="00CA5D42" w:rsidRPr="00F97DFF" w:rsidRDefault="00CA5D42" w:rsidP="006B1249">
            <w:pPr>
              <w:keepNext/>
              <w:keepLines/>
              <w:spacing w:before="70" w:after="70" w:line="240" w:lineRule="auto"/>
              <w:ind w:left="57" w:right="57"/>
              <w:cnfStyle w:val="100000000000" w:firstRow="1" w:lastRow="0" w:firstColumn="0" w:lastColumn="0" w:oddVBand="0" w:evenVBand="0" w:oddHBand="0" w:evenHBand="0" w:firstRowFirstColumn="0" w:firstRowLastColumn="0" w:lastRowFirstColumn="0" w:lastRowLastColumn="0"/>
              <w:rPr>
                <w:rFonts w:ascii="Calibri" w:hAnsi="Calibri"/>
                <w:b/>
                <w:szCs w:val="20"/>
              </w:rPr>
            </w:pPr>
            <w:r w:rsidRPr="00F97DFF">
              <w:rPr>
                <w:rFonts w:ascii="Calibri" w:hAnsi="Calibri"/>
                <w:b/>
                <w:szCs w:val="20"/>
              </w:rPr>
              <w:t>Total</w:t>
            </w:r>
          </w:p>
        </w:tc>
      </w:tr>
      <w:tr w:rsidR="00A33CC6" w:rsidRPr="00B73AC8" w:rsidTr="00A3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pct"/>
          </w:tcPr>
          <w:p w:rsidR="00A33CC6" w:rsidRPr="00B73AC8" w:rsidRDefault="00A33CC6" w:rsidP="006B1249">
            <w:pPr>
              <w:pStyle w:val="TableTextCentred"/>
              <w:keepNext/>
              <w:keepLines/>
              <w:spacing w:line="240" w:lineRule="auto"/>
              <w:ind w:left="57" w:right="57"/>
              <w:jc w:val="left"/>
              <w:rPr>
                <w:szCs w:val="20"/>
              </w:rPr>
            </w:pPr>
            <w:r w:rsidRPr="00B73AC8">
              <w:rPr>
                <w:szCs w:val="20"/>
              </w:rPr>
              <w:t>Fiscal balance</w:t>
            </w:r>
          </w:p>
        </w:tc>
        <w:tc>
          <w:tcPr>
            <w:tcW w:w="682" w:type="pct"/>
          </w:tcPr>
          <w:p w:rsidR="00A33CC6" w:rsidRPr="00E07113" w:rsidRDefault="00A33CC6" w:rsidP="006B1249">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E07113">
              <w:t>-</w:t>
            </w:r>
            <w:r w:rsidR="00535040">
              <w:t>108.8</w:t>
            </w:r>
          </w:p>
        </w:tc>
        <w:tc>
          <w:tcPr>
            <w:tcW w:w="682" w:type="pct"/>
          </w:tcPr>
          <w:p w:rsidR="00A33CC6" w:rsidRPr="00E07113" w:rsidRDefault="00A33CC6" w:rsidP="006B1249">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E07113">
              <w:t>-110</w:t>
            </w:r>
          </w:p>
        </w:tc>
        <w:tc>
          <w:tcPr>
            <w:tcW w:w="682" w:type="pct"/>
          </w:tcPr>
          <w:p w:rsidR="00A33CC6" w:rsidRPr="00E07113" w:rsidRDefault="00A33CC6" w:rsidP="006B1249">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E07113">
              <w:t>-226</w:t>
            </w:r>
          </w:p>
        </w:tc>
        <w:tc>
          <w:tcPr>
            <w:tcW w:w="682" w:type="pct"/>
          </w:tcPr>
          <w:p w:rsidR="00A33CC6" w:rsidRPr="00E07113" w:rsidRDefault="00A33CC6" w:rsidP="006B1249">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pPr>
            <w:r w:rsidRPr="00E07113">
              <w:t>-348</w:t>
            </w:r>
          </w:p>
        </w:tc>
        <w:tc>
          <w:tcPr>
            <w:tcW w:w="681" w:type="pct"/>
          </w:tcPr>
          <w:p w:rsidR="00A33CC6" w:rsidRPr="00A33CC6" w:rsidRDefault="00535040" w:rsidP="006B1249">
            <w:pPr>
              <w:spacing w:before="70" w:after="70" w:line="240" w:lineRule="auto"/>
              <w:ind w:left="57" w:right="57"/>
              <w:jc w:val="right"/>
              <w:cnfStyle w:val="000000100000" w:firstRow="0" w:lastRow="0" w:firstColumn="0" w:lastColumn="0" w:oddVBand="0" w:evenVBand="0" w:oddHBand="1" w:evenHBand="0" w:firstRowFirstColumn="0" w:firstRowLastColumn="0" w:lastRowFirstColumn="0" w:lastRowLastColumn="0"/>
              <w:rPr>
                <w:b/>
              </w:rPr>
            </w:pPr>
            <w:r>
              <w:rPr>
                <w:b/>
              </w:rPr>
              <w:t>-792.8</w:t>
            </w:r>
          </w:p>
        </w:tc>
      </w:tr>
      <w:tr w:rsidR="00A33CC6" w:rsidRPr="00B73AC8" w:rsidTr="00A33CC6">
        <w:tc>
          <w:tcPr>
            <w:cnfStyle w:val="001000000000" w:firstRow="0" w:lastRow="0" w:firstColumn="1" w:lastColumn="0" w:oddVBand="0" w:evenVBand="0" w:oddHBand="0" w:evenHBand="0" w:firstRowFirstColumn="0" w:firstRowLastColumn="0" w:lastRowFirstColumn="0" w:lastRowLastColumn="0"/>
            <w:tcW w:w="1591" w:type="pct"/>
          </w:tcPr>
          <w:p w:rsidR="00A33CC6" w:rsidRPr="00B73AC8" w:rsidRDefault="00A33CC6" w:rsidP="006B1249">
            <w:pPr>
              <w:pStyle w:val="TableTextCentred"/>
              <w:keepNext/>
              <w:keepLines/>
              <w:spacing w:line="240" w:lineRule="auto"/>
              <w:ind w:left="57" w:right="57"/>
              <w:jc w:val="left"/>
              <w:rPr>
                <w:szCs w:val="20"/>
              </w:rPr>
            </w:pPr>
            <w:r w:rsidRPr="00B73AC8">
              <w:rPr>
                <w:szCs w:val="20"/>
              </w:rPr>
              <w:t>Underlying cash balance</w:t>
            </w:r>
          </w:p>
        </w:tc>
        <w:tc>
          <w:tcPr>
            <w:tcW w:w="682" w:type="pct"/>
          </w:tcPr>
          <w:p w:rsidR="00A33CC6" w:rsidRPr="00E07113" w:rsidRDefault="00EC05EE" w:rsidP="006B124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t>-</w:t>
            </w:r>
            <w:r w:rsidR="00535040">
              <w:t>108.8</w:t>
            </w:r>
          </w:p>
        </w:tc>
        <w:tc>
          <w:tcPr>
            <w:tcW w:w="682" w:type="pct"/>
          </w:tcPr>
          <w:p w:rsidR="00A33CC6" w:rsidRPr="00E07113" w:rsidRDefault="00A33CC6" w:rsidP="006B124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E07113">
              <w:t>-110</w:t>
            </w:r>
          </w:p>
        </w:tc>
        <w:tc>
          <w:tcPr>
            <w:tcW w:w="682" w:type="pct"/>
          </w:tcPr>
          <w:p w:rsidR="00A33CC6" w:rsidRPr="00E07113" w:rsidRDefault="00A33CC6" w:rsidP="006B124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E07113">
              <w:t>-226</w:t>
            </w:r>
          </w:p>
        </w:tc>
        <w:tc>
          <w:tcPr>
            <w:tcW w:w="682" w:type="pct"/>
          </w:tcPr>
          <w:p w:rsidR="00A33CC6" w:rsidRPr="00E07113" w:rsidRDefault="00A33CC6" w:rsidP="006B124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pPr>
            <w:r w:rsidRPr="00E07113">
              <w:t>-348</w:t>
            </w:r>
          </w:p>
        </w:tc>
        <w:tc>
          <w:tcPr>
            <w:tcW w:w="681" w:type="pct"/>
          </w:tcPr>
          <w:p w:rsidR="00A33CC6" w:rsidRPr="00A33CC6" w:rsidRDefault="00535040" w:rsidP="006B1249">
            <w:pPr>
              <w:spacing w:before="70" w:after="70" w:line="240" w:lineRule="auto"/>
              <w:ind w:left="57" w:right="57"/>
              <w:jc w:val="right"/>
              <w:cnfStyle w:val="000000000000" w:firstRow="0" w:lastRow="0" w:firstColumn="0" w:lastColumn="0" w:oddVBand="0" w:evenVBand="0" w:oddHBand="0" w:evenHBand="0" w:firstRowFirstColumn="0" w:firstRowLastColumn="0" w:lastRowFirstColumn="0" w:lastRowLastColumn="0"/>
              <w:rPr>
                <w:b/>
              </w:rPr>
            </w:pPr>
            <w:r>
              <w:rPr>
                <w:b/>
              </w:rPr>
              <w:t>-792.8</w:t>
            </w:r>
          </w:p>
        </w:tc>
      </w:tr>
    </w:tbl>
    <w:p w:rsidR="00C751F1" w:rsidRDefault="00C751F1" w:rsidP="006B1249">
      <w:pPr>
        <w:pStyle w:val="Footnotes"/>
        <w:keepNext/>
        <w:keepLines/>
        <w:numPr>
          <w:ilvl w:val="0"/>
          <w:numId w:val="7"/>
        </w:numPr>
        <w:ind w:left="284" w:hanging="284"/>
      </w:pPr>
      <w:r w:rsidRPr="00CE1E3D">
        <w:t>A positive number indicates an increase in the relevant budget balance, a negative number a decrease.</w:t>
      </w:r>
    </w:p>
    <w:p w:rsidR="00B475AA" w:rsidRPr="00CE1E3D" w:rsidRDefault="00B475AA">
      <w:pPr>
        <w:pStyle w:val="Footnotes"/>
        <w:keepNext/>
        <w:keepLines/>
        <w:numPr>
          <w:ilvl w:val="0"/>
          <w:numId w:val="7"/>
        </w:numPr>
        <w:ind w:left="284" w:hanging="284"/>
      </w:pPr>
      <w:r w:rsidRPr="00AD54CA">
        <w:t>Figures may not sum to totals due to rounding.</w:t>
      </w:r>
    </w:p>
    <w:p w:rsidR="008D3909" w:rsidRPr="00FC6579" w:rsidRDefault="005E3562" w:rsidP="00E40B8B">
      <w:pPr>
        <w:pStyle w:val="Heading2"/>
      </w:pPr>
      <w:r w:rsidRPr="00FC6579">
        <w:t>Key assumptions</w:t>
      </w:r>
    </w:p>
    <w:p w:rsidR="00A33CC6" w:rsidRDefault="00BA59AE" w:rsidP="00A33CC6">
      <w:pPr>
        <w:keepNext/>
        <w:keepLines/>
      </w:pPr>
      <w:r>
        <w:t>For Component 1, i</w:t>
      </w:r>
      <w:r w:rsidR="00A33CC6" w:rsidRPr="00BA59AE">
        <w:t>t has been assumed that:</w:t>
      </w:r>
    </w:p>
    <w:p w:rsidR="00A33CC6" w:rsidRDefault="00A33CC6" w:rsidP="00A33CC6">
      <w:pPr>
        <w:pStyle w:val="Bullet1"/>
      </w:pPr>
      <w:r>
        <w:t>the amount provided for public health activities under the National Health Reform Agreement 2011 (2011</w:t>
      </w:r>
      <w:r w:rsidR="00A90902">
        <w:t xml:space="preserve"> NHRA) would continue from 2017-</w:t>
      </w:r>
      <w:r w:rsidR="00B84DEF">
        <w:t>18</w:t>
      </w:r>
    </w:p>
    <w:p w:rsidR="00A33CC6" w:rsidRPr="00A33CC6" w:rsidRDefault="00A33CC6" w:rsidP="00A33CC6">
      <w:pPr>
        <w:pStyle w:val="Bullet1"/>
      </w:pPr>
      <w:proofErr w:type="gramStart"/>
      <w:r>
        <w:t>for</w:t>
      </w:r>
      <w:proofErr w:type="gramEnd"/>
      <w:r>
        <w:t xml:space="preserve"> the base policy setting, beyond 2019-20 Commonwealth funding for public hospitals would be indexed by a combination of population growth and the consumer price index, and would not include amounts provided for public health activities under the 2011 NHRA.</w:t>
      </w:r>
    </w:p>
    <w:p w:rsidR="005E3562" w:rsidRPr="00FC6579" w:rsidRDefault="005E3562" w:rsidP="00E40B8B">
      <w:pPr>
        <w:pStyle w:val="Heading2"/>
      </w:pPr>
      <w:r w:rsidRPr="00FC6579">
        <w:lastRenderedPageBreak/>
        <w:t>Methodology</w:t>
      </w:r>
    </w:p>
    <w:p w:rsidR="00E21877" w:rsidRDefault="00E21877" w:rsidP="00E21877">
      <w:pPr>
        <w:pStyle w:val="Heading3"/>
        <w:keepNext w:val="0"/>
        <w:keepLines w:val="0"/>
      </w:pPr>
      <w:r>
        <w:t>Component 1: Hospital funding</w:t>
      </w:r>
    </w:p>
    <w:p w:rsidR="00A33CC6" w:rsidRPr="00A44413" w:rsidRDefault="00A33CC6" w:rsidP="00A33CC6">
      <w:pPr>
        <w:rPr>
          <w:u w:val="single"/>
        </w:rPr>
      </w:pPr>
      <w:r w:rsidRPr="00A44413">
        <w:rPr>
          <w:u w:val="single"/>
        </w:rPr>
        <w:t>Base policy setting</w:t>
      </w:r>
    </w:p>
    <w:p w:rsidR="00A90902" w:rsidRDefault="00A33CC6" w:rsidP="00A33CC6">
      <w:r>
        <w:t xml:space="preserve">Commonwealth public hospital funding estimates are </w:t>
      </w:r>
      <w:r w:rsidR="00A90902">
        <w:t xml:space="preserve">drawn from the 2016-17 </w:t>
      </w:r>
      <w:proofErr w:type="gramStart"/>
      <w:r w:rsidR="00A90902">
        <w:t>Budget</w:t>
      </w:r>
      <w:proofErr w:type="gramEnd"/>
      <w:r w:rsidR="00A90902">
        <w:t>.</w:t>
      </w:r>
    </w:p>
    <w:p w:rsidR="00A33CC6" w:rsidRPr="00BC7AE6" w:rsidRDefault="001C6788" w:rsidP="00A33CC6">
      <w:pPr>
        <w:rPr>
          <w:u w:val="single"/>
        </w:rPr>
      </w:pPr>
      <w:r>
        <w:rPr>
          <w:u w:val="single"/>
        </w:rPr>
        <w:t>Proposed policy settings:</w:t>
      </w:r>
      <w:r w:rsidR="00A33CC6">
        <w:rPr>
          <w:u w:val="single"/>
        </w:rPr>
        <w:t xml:space="preserve"> </w:t>
      </w:r>
      <w:r w:rsidR="00A33CC6" w:rsidRPr="00EC0427">
        <w:rPr>
          <w:u w:val="single"/>
        </w:rPr>
        <w:t>5</w:t>
      </w:r>
      <w:r w:rsidR="00A33CC6">
        <w:rPr>
          <w:u w:val="single"/>
        </w:rPr>
        <w:t>0</w:t>
      </w:r>
      <w:r w:rsidR="00A33CC6" w:rsidRPr="00EC0427">
        <w:rPr>
          <w:u w:val="single"/>
        </w:rPr>
        <w:t xml:space="preserve"> per cent of the efficient growth in public hospital </w:t>
      </w:r>
      <w:r w:rsidR="00A33CC6">
        <w:rPr>
          <w:u w:val="single"/>
        </w:rPr>
        <w:t>costs</w:t>
      </w:r>
    </w:p>
    <w:p w:rsidR="00A33CC6" w:rsidRDefault="001C6788" w:rsidP="00A33CC6">
      <w:r>
        <w:t>F</w:t>
      </w:r>
      <w:r w:rsidR="00A33CC6" w:rsidRPr="00A44413">
        <w:t>rom 1 July 2017</w:t>
      </w:r>
      <w:r w:rsidR="00A33CC6">
        <w:t xml:space="preserve"> the estimates reflect the </w:t>
      </w:r>
      <w:r w:rsidR="00A33CC6" w:rsidRPr="00A44413">
        <w:t xml:space="preserve">Commonwealth funding 50 per cent of the </w:t>
      </w:r>
      <w:r w:rsidR="00A33CC6">
        <w:t xml:space="preserve">efficient </w:t>
      </w:r>
      <w:r w:rsidR="00A33CC6" w:rsidRPr="00A44413">
        <w:t xml:space="preserve">growth in </w:t>
      </w:r>
      <w:r w:rsidR="00A33CC6">
        <w:t xml:space="preserve">the cost of </w:t>
      </w:r>
      <w:r w:rsidR="00A33CC6" w:rsidRPr="00A44413">
        <w:t xml:space="preserve">hospital services. </w:t>
      </w:r>
      <w:r w:rsidR="00A33CC6">
        <w:t xml:space="preserve"> </w:t>
      </w:r>
      <w:r w:rsidR="00013DA1">
        <w:t>T</w:t>
      </w:r>
      <w:r w:rsidR="00A33CC6" w:rsidRPr="00A44413">
        <w:t>hese</w:t>
      </w:r>
      <w:r w:rsidR="00A33CC6">
        <w:t xml:space="preserve"> estimates were derived from the Department of Health’s 2016</w:t>
      </w:r>
      <w:r w:rsidR="00A33CC6">
        <w:noBreakHyphen/>
        <w:t>17 Budget hospital funding model (</w:t>
      </w:r>
      <w:r w:rsidR="00A33CC6" w:rsidRPr="00A44413">
        <w:rPr>
          <w:i/>
        </w:rPr>
        <w:t xml:space="preserve">see Data </w:t>
      </w:r>
      <w:r w:rsidR="00A33CC6">
        <w:rPr>
          <w:i/>
        </w:rPr>
        <w:t>s</w:t>
      </w:r>
      <w:r w:rsidR="00A33CC6" w:rsidRPr="00A44413">
        <w:rPr>
          <w:i/>
        </w:rPr>
        <w:t>ources</w:t>
      </w:r>
      <w:r w:rsidR="00A33CC6">
        <w:t>)</w:t>
      </w:r>
      <w:r w:rsidR="008F5351">
        <w:t>.</w:t>
      </w:r>
    </w:p>
    <w:p w:rsidR="00A33CC6" w:rsidRDefault="00A33CC6" w:rsidP="00A33CC6">
      <w:r w:rsidRPr="00BC7AE6">
        <w:t xml:space="preserve">The impact of </w:t>
      </w:r>
      <w:r w:rsidR="001C6788">
        <w:t xml:space="preserve">this proposal </w:t>
      </w:r>
      <w:r>
        <w:t>is</w:t>
      </w:r>
      <w:r w:rsidRPr="00BC7AE6">
        <w:t xml:space="preserve"> the difference between </w:t>
      </w:r>
      <w:r>
        <w:t xml:space="preserve">estimates under the </w:t>
      </w:r>
      <w:r w:rsidRPr="00BC7AE6">
        <w:t xml:space="preserve">base </w:t>
      </w:r>
      <w:r>
        <w:t xml:space="preserve">policy setting </w:t>
      </w:r>
      <w:r w:rsidRPr="00BC7AE6">
        <w:t>and th</w:t>
      </w:r>
      <w:r>
        <w:t>ose under the proposal.</w:t>
      </w:r>
    </w:p>
    <w:p w:rsidR="00A33CC6" w:rsidRPr="00E73361" w:rsidRDefault="00A33CC6" w:rsidP="00A33CC6">
      <w:r w:rsidRPr="00D02F52">
        <w:t>Amounts have been rounded to the nearest $</w:t>
      </w:r>
      <w:r>
        <w:t>1</w:t>
      </w:r>
      <w:r w:rsidRPr="00D02F52">
        <w:t xml:space="preserve"> million</w:t>
      </w:r>
      <w:r>
        <w:t>.</w:t>
      </w:r>
    </w:p>
    <w:p w:rsidR="00E21877" w:rsidRDefault="00E21877" w:rsidP="00E21877">
      <w:pPr>
        <w:pStyle w:val="Heading3"/>
      </w:pPr>
      <w:r>
        <w:t xml:space="preserve">Component 2: </w:t>
      </w:r>
      <w:r w:rsidRPr="00E21877">
        <w:t xml:space="preserve">Darebin Community Health Centre </w:t>
      </w:r>
      <w:r>
        <w:t xml:space="preserve">NPP and Component 3: </w:t>
      </w:r>
      <w:r w:rsidRPr="00E21877">
        <w:t>Tweed Hospital NPP</w:t>
      </w:r>
    </w:p>
    <w:p w:rsidR="00E21877" w:rsidRPr="001848A0" w:rsidRDefault="00E21877" w:rsidP="00E21877">
      <w:r>
        <w:t xml:space="preserve">Administered </w:t>
      </w:r>
      <w:r w:rsidRPr="001848A0">
        <w:t>expenditure estimates for both components are as specified in the request.</w:t>
      </w:r>
    </w:p>
    <w:p w:rsidR="005E3562" w:rsidRPr="00FC6579" w:rsidRDefault="005E3562" w:rsidP="00E40B8B">
      <w:pPr>
        <w:pStyle w:val="Heading2"/>
      </w:pPr>
      <w:r w:rsidRPr="00FC6579">
        <w:t>Data sources</w:t>
      </w:r>
      <w:bookmarkStart w:id="0" w:name="_GoBack"/>
      <w:bookmarkEnd w:id="0"/>
    </w:p>
    <w:p w:rsidR="00A33CC6" w:rsidRDefault="00A33CC6" w:rsidP="00A33CC6">
      <w:pPr>
        <w:pStyle w:val="Bullet1"/>
      </w:pPr>
      <w:r>
        <w:t>The Department of Health provided the 2016-17 Budget hospital funding model.</w:t>
      </w:r>
    </w:p>
    <w:p w:rsidR="00A33CC6" w:rsidRDefault="00A33CC6" w:rsidP="00A33CC6">
      <w:pPr>
        <w:pStyle w:val="Bullet1"/>
      </w:pPr>
      <w:r>
        <w:t xml:space="preserve">2016-17 </w:t>
      </w:r>
      <w:proofErr w:type="gramStart"/>
      <w:r>
        <w:t>Budget</w:t>
      </w:r>
      <w:proofErr w:type="gramEnd"/>
      <w:r>
        <w:t xml:space="preserve"> - Payments to support state health services.</w:t>
      </w:r>
    </w:p>
    <w:p w:rsidR="00A33CC6" w:rsidRDefault="00A33CC6" w:rsidP="00A33CC6">
      <w:pPr>
        <w:pStyle w:val="Bullet1"/>
      </w:pPr>
      <w:r>
        <w:t xml:space="preserve">Administrator of the National Health Funding Pool: Total hospital funding </w:t>
      </w:r>
      <w:hyperlink r:id="rId14" w:history="1">
        <w:r w:rsidRPr="007628B1">
          <w:rPr>
            <w:rStyle w:val="Hyperlink"/>
          </w:rPr>
          <w:t>http://www.publichospitalfunding.gov.au/reports/national</w:t>
        </w:r>
      </w:hyperlink>
    </w:p>
    <w:p w:rsidR="00A33CC6" w:rsidRDefault="00A33CC6" w:rsidP="006B1249">
      <w:pPr>
        <w:pStyle w:val="Bullet2"/>
      </w:pPr>
      <w:r>
        <w:t>National Health Reform funding by funding type.</w:t>
      </w:r>
    </w:p>
    <w:p w:rsidR="00A33CC6" w:rsidRDefault="00A33CC6" w:rsidP="007D511F">
      <w:pPr>
        <w:pStyle w:val="Bullet1"/>
        <w:keepNext/>
        <w:ind w:left="426"/>
      </w:pPr>
      <w:r>
        <w:t>Independent Hospital Pricing Authority, National Efficient Price Determination 2016</w:t>
      </w:r>
      <w:r w:rsidR="00B84DEF">
        <w:noBreakHyphen/>
      </w:r>
      <w:r>
        <w:t>17</w:t>
      </w:r>
      <w:r w:rsidR="00B84DEF">
        <w:t xml:space="preserve"> </w:t>
      </w:r>
      <w:hyperlink r:id="rId15" w:history="1">
        <w:r w:rsidRPr="007628B1">
          <w:rPr>
            <w:rStyle w:val="Hyperlink"/>
          </w:rPr>
          <w:t>https://www.ihpa.gov.au/publications/national-efficient-price-determination-2016-17</w:t>
        </w:r>
      </w:hyperlink>
    </w:p>
    <w:p w:rsidR="00A33CC6" w:rsidRDefault="00A33CC6" w:rsidP="006B1249">
      <w:pPr>
        <w:pStyle w:val="Bullet2"/>
      </w:pPr>
      <w:r>
        <w:t>NEP and growth in NEP.</w:t>
      </w:r>
    </w:p>
    <w:p w:rsidR="00A33CC6" w:rsidRDefault="00A33CC6" w:rsidP="00FC6579">
      <w:pPr>
        <w:pStyle w:val="Heading1"/>
        <w:sectPr w:rsidR="00A33CC6" w:rsidSect="00002D5D">
          <w:headerReference w:type="first" r:id="rId16"/>
          <w:footerReference w:type="first" r:id="rId17"/>
          <w:pgSz w:w="11906" w:h="16838"/>
          <w:pgMar w:top="1361" w:right="1797" w:bottom="1474" w:left="1797" w:header="709" w:footer="709" w:gutter="0"/>
          <w:cols w:space="708"/>
          <w:titlePg/>
          <w:docGrid w:linePitch="360"/>
        </w:sectPr>
      </w:pPr>
    </w:p>
    <w:p w:rsidR="001A02D1" w:rsidRPr="00FC6579" w:rsidRDefault="001A02D1" w:rsidP="00FC6579">
      <w:pPr>
        <w:pStyle w:val="Heading1"/>
      </w:pPr>
      <w:r w:rsidRPr="00FC6579">
        <w:t>Attachment A:</w:t>
      </w:r>
      <w:r w:rsidR="00841C3A">
        <w:t xml:space="preserve"> </w:t>
      </w:r>
      <w:r w:rsidR="00A33CC6" w:rsidRPr="00E41E51">
        <w:t xml:space="preserve">Hospital </w:t>
      </w:r>
      <w:r w:rsidR="00013DA1">
        <w:t>F</w:t>
      </w:r>
      <w:r w:rsidR="00A33CC6">
        <w:t>unding</w:t>
      </w:r>
      <w:r w:rsidR="00013DA1">
        <w:t xml:space="preserve"> We Deserve</w:t>
      </w:r>
      <w:r w:rsidR="00440E32">
        <w:t>—financial</w:t>
      </w:r>
      <w:r w:rsidR="00841C3A">
        <w:t> </w:t>
      </w:r>
      <w:r w:rsidR="00440E32">
        <w:t>implications</w:t>
      </w:r>
    </w:p>
    <w:p w:rsidR="00EA265F" w:rsidRPr="00E30FB5" w:rsidRDefault="00EA265F" w:rsidP="00EA265F">
      <w:pPr>
        <w:pStyle w:val="Captionheading"/>
        <w:rPr>
          <w:vertAlign w:val="superscript"/>
        </w:rPr>
      </w:pPr>
      <w:r w:rsidRPr="00FC5643">
        <w:t xml:space="preserve">Table </w:t>
      </w:r>
      <w:r>
        <w:t>A1</w:t>
      </w:r>
      <w:r w:rsidRPr="00FC5643">
        <w:t xml:space="preserve">: </w:t>
      </w:r>
      <w:r w:rsidR="004B7265">
        <w:t xml:space="preserve">Hospital </w:t>
      </w:r>
      <w:r w:rsidR="00013DA1">
        <w:t>F</w:t>
      </w:r>
      <w:r w:rsidR="004B7265">
        <w:t>unding</w:t>
      </w:r>
      <w:r w:rsidR="00013DA1">
        <w:t xml:space="preserve"> We Deserve—</w:t>
      </w:r>
      <w:r w:rsidR="00A33CC6">
        <w:t>Financial</w:t>
      </w:r>
      <w:r w:rsidR="00A33CC6" w:rsidRPr="00DE5D03">
        <w:t xml:space="preserve"> implications (outturn prices</w:t>
      </w:r>
      <w:proofErr w:type="gramStart"/>
      <w:r w:rsidR="00A33CC6" w:rsidRPr="00DE5D03">
        <w:t>)</w:t>
      </w:r>
      <w:r>
        <w:rPr>
          <w:vertAlign w:val="superscript"/>
        </w:rPr>
        <w:t>(</w:t>
      </w:r>
      <w:proofErr w:type="gramEnd"/>
      <w:r>
        <w:rPr>
          <w:vertAlign w:val="superscript"/>
        </w:rPr>
        <w:t>a)</w:t>
      </w:r>
      <w:r w:rsidR="00564AD4">
        <w:rPr>
          <w:vertAlign w:val="superscript"/>
        </w:rPr>
        <w:t>(b)</w:t>
      </w:r>
    </w:p>
    <w:tbl>
      <w:tblPr>
        <w:tblStyle w:val="TableGrid"/>
        <w:tblW w:w="4995" w:type="pct"/>
        <w:tblBorders>
          <w:top w:val="single" w:sz="4" w:space="0" w:color="D7DDE9"/>
          <w:left w:val="single" w:sz="4" w:space="0" w:color="D7DDE9"/>
          <w:bottom w:val="single" w:sz="4" w:space="0" w:color="D7DDE9"/>
          <w:right w:val="single" w:sz="4" w:space="0" w:color="D7DDE9"/>
          <w:insideH w:val="single" w:sz="4" w:space="0" w:color="D7DDE9"/>
          <w:insideV w:val="single" w:sz="4" w:space="0" w:color="D7DDE9"/>
        </w:tblBorders>
        <w:tblLook w:val="04A0" w:firstRow="1" w:lastRow="0" w:firstColumn="1" w:lastColumn="0" w:noHBand="0" w:noVBand="1"/>
      </w:tblPr>
      <w:tblGrid>
        <w:gridCol w:w="2645"/>
        <w:gridCol w:w="1134"/>
        <w:gridCol w:w="1134"/>
        <w:gridCol w:w="1134"/>
        <w:gridCol w:w="1134"/>
        <w:gridCol w:w="1134"/>
      </w:tblGrid>
      <w:tr w:rsidR="004B7265" w:rsidRPr="00EF1D6A" w:rsidTr="00907AED">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vAlign w:val="center"/>
          </w:tcPr>
          <w:p w:rsidR="004B7265" w:rsidRPr="00EF1D6A" w:rsidRDefault="004B7265" w:rsidP="00907AED">
            <w:pPr>
              <w:pStyle w:val="TableText"/>
              <w:keepNext/>
              <w:keepLines/>
              <w:rPr>
                <w:rFonts w:ascii="Calibri" w:hAnsi="Calibri"/>
                <w:b/>
                <w:szCs w:val="20"/>
              </w:rPr>
            </w:pPr>
            <w:r w:rsidRPr="00EF1D6A">
              <w:rPr>
                <w:rFonts w:ascii="Calibri" w:hAnsi="Calibri"/>
                <w:szCs w:val="20"/>
              </w:rPr>
              <w:t>($m)</w:t>
            </w:r>
          </w:p>
        </w:tc>
        <w:tc>
          <w:tcPr>
            <w:tcW w:w="682" w:type="pct"/>
            <w:tcBorders>
              <w:top w:val="single" w:sz="4" w:space="0" w:color="788184"/>
              <w:left w:val="single" w:sz="4" w:space="0" w:color="788184"/>
              <w:bottom w:val="single" w:sz="4" w:space="0" w:color="788184"/>
              <w:right w:val="single" w:sz="4" w:space="0" w:color="788184"/>
            </w:tcBorders>
            <w:vAlign w:val="center"/>
          </w:tcPr>
          <w:p w:rsidR="004B7265" w:rsidRPr="00C24267" w:rsidRDefault="004B7265" w:rsidP="00907AED">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2016–17</w:t>
            </w:r>
          </w:p>
        </w:tc>
        <w:tc>
          <w:tcPr>
            <w:tcW w:w="682" w:type="pct"/>
            <w:tcBorders>
              <w:top w:val="single" w:sz="4" w:space="0" w:color="788184"/>
              <w:left w:val="single" w:sz="4" w:space="0" w:color="788184"/>
              <w:bottom w:val="single" w:sz="4" w:space="0" w:color="788184"/>
              <w:right w:val="single" w:sz="4" w:space="0" w:color="788184"/>
            </w:tcBorders>
            <w:vAlign w:val="center"/>
          </w:tcPr>
          <w:p w:rsidR="004B7265" w:rsidRPr="00C24267" w:rsidRDefault="004B7265" w:rsidP="00907AED">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2017–18</w:t>
            </w:r>
          </w:p>
        </w:tc>
        <w:tc>
          <w:tcPr>
            <w:tcW w:w="682" w:type="pct"/>
            <w:tcBorders>
              <w:top w:val="single" w:sz="4" w:space="0" w:color="788184"/>
              <w:left w:val="single" w:sz="4" w:space="0" w:color="788184"/>
              <w:bottom w:val="single" w:sz="4" w:space="0" w:color="788184"/>
              <w:right w:val="single" w:sz="4" w:space="0" w:color="788184"/>
            </w:tcBorders>
            <w:vAlign w:val="center"/>
          </w:tcPr>
          <w:p w:rsidR="004B7265" w:rsidRPr="00C24267" w:rsidRDefault="004B7265" w:rsidP="00907AED">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2018–19</w:t>
            </w:r>
          </w:p>
        </w:tc>
        <w:tc>
          <w:tcPr>
            <w:tcW w:w="682" w:type="pct"/>
            <w:tcBorders>
              <w:top w:val="single" w:sz="4" w:space="0" w:color="788184"/>
              <w:left w:val="single" w:sz="4" w:space="0" w:color="788184"/>
              <w:bottom w:val="single" w:sz="4" w:space="0" w:color="788184"/>
              <w:right w:val="single" w:sz="4" w:space="0" w:color="788184"/>
            </w:tcBorders>
            <w:vAlign w:val="center"/>
          </w:tcPr>
          <w:p w:rsidR="004B7265" w:rsidRPr="00C24267" w:rsidRDefault="004B7265" w:rsidP="00907AED">
            <w:pPr>
              <w:pStyle w:val="TableHeadingCentred"/>
              <w:cnfStyle w:val="100000000000" w:firstRow="1" w:lastRow="0" w:firstColumn="0" w:lastColumn="0" w:oddVBand="0" w:evenVBand="0" w:oddHBand="0" w:evenHBand="0" w:firstRowFirstColumn="0" w:firstRowLastColumn="0" w:lastRowFirstColumn="0" w:lastRowLastColumn="0"/>
              <w:rPr>
                <w:b/>
                <w:szCs w:val="20"/>
              </w:rPr>
            </w:pPr>
            <w:r w:rsidRPr="00C24267">
              <w:t>2019–20</w:t>
            </w:r>
          </w:p>
        </w:tc>
        <w:tc>
          <w:tcPr>
            <w:tcW w:w="682" w:type="pct"/>
            <w:tcBorders>
              <w:top w:val="single" w:sz="4" w:space="0" w:color="788184"/>
              <w:left w:val="single" w:sz="4" w:space="0" w:color="788184"/>
              <w:bottom w:val="single" w:sz="4" w:space="0" w:color="788184"/>
              <w:right w:val="single" w:sz="4" w:space="0" w:color="788184"/>
            </w:tcBorders>
            <w:vAlign w:val="center"/>
          </w:tcPr>
          <w:p w:rsidR="004B7265" w:rsidRPr="00AE30B5" w:rsidRDefault="004B7265" w:rsidP="00907AED">
            <w:pPr>
              <w:pStyle w:val="TableHeadingCentred"/>
              <w:cnfStyle w:val="100000000000" w:firstRow="1" w:lastRow="0" w:firstColumn="0" w:lastColumn="0" w:oddVBand="0" w:evenVBand="0" w:oddHBand="0" w:evenHBand="0" w:firstRowFirstColumn="0" w:firstRowLastColumn="0" w:lastRowFirstColumn="0" w:lastRowLastColumn="0"/>
              <w:rPr>
                <w:b/>
                <w:szCs w:val="20"/>
                <w:vertAlign w:val="superscript"/>
              </w:rPr>
            </w:pPr>
            <w:r w:rsidRPr="00AE30B5">
              <w:rPr>
                <w:b/>
              </w:rPr>
              <w:t>Total</w:t>
            </w:r>
            <w:r w:rsidRPr="00AE30B5">
              <w:rPr>
                <w:b/>
                <w:szCs w:val="20"/>
              </w:rPr>
              <w:t xml:space="preserve"> to 2019–20</w:t>
            </w:r>
          </w:p>
        </w:tc>
      </w:tr>
      <w:tr w:rsidR="004B7265" w:rsidRPr="00EF1D6A" w:rsidTr="00907AE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000" w:type="pct"/>
            <w:gridSpan w:val="6"/>
            <w:tcBorders>
              <w:top w:val="single" w:sz="4" w:space="0" w:color="788184"/>
              <w:left w:val="single" w:sz="4" w:space="0" w:color="788184"/>
              <w:bottom w:val="single" w:sz="4" w:space="0" w:color="788184"/>
              <w:right w:val="single" w:sz="4" w:space="0" w:color="788184"/>
            </w:tcBorders>
            <w:shd w:val="clear" w:color="auto" w:fill="E9ECF3"/>
          </w:tcPr>
          <w:p w:rsidR="004B7265" w:rsidRPr="00AE30B5" w:rsidRDefault="004B7265" w:rsidP="00907AED">
            <w:pPr>
              <w:pStyle w:val="TableHeadingCentred"/>
              <w:jc w:val="left"/>
              <w:rPr>
                <w:b/>
              </w:rPr>
            </w:pPr>
            <w:r w:rsidRPr="00AE30B5">
              <w:rPr>
                <w:b/>
              </w:rPr>
              <w:t>Fiscal and underlying cash balances – expenses/payments</w:t>
            </w:r>
          </w:p>
        </w:tc>
      </w:tr>
      <w:tr w:rsidR="004B7265" w:rsidRPr="0066665A" w:rsidTr="00907AED">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B7265" w:rsidRPr="0007264D" w:rsidRDefault="004B7265">
            <w:pPr>
              <w:keepNext/>
              <w:keepLines/>
              <w:spacing w:before="70" w:after="70" w:line="260" w:lineRule="atLeast"/>
            </w:pPr>
            <w:r>
              <w:t xml:space="preserve">Component 1 - Hospital </w:t>
            </w:r>
            <w:r w:rsidR="00013DA1">
              <w:t>f</w:t>
            </w:r>
            <w:r>
              <w:t>unding</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-110</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-226</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-348</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Cs w:val="20"/>
              </w:rPr>
            </w:pPr>
            <w:r w:rsidRPr="00E21877">
              <w:rPr>
                <w:b/>
                <w:szCs w:val="20"/>
              </w:rPr>
              <w:t>-684</w:t>
            </w:r>
          </w:p>
        </w:tc>
      </w:tr>
      <w:tr w:rsidR="004B7265" w:rsidRPr="0066665A" w:rsidTr="00907AE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B7265" w:rsidRPr="0007264D" w:rsidRDefault="004B7265" w:rsidP="00907AED">
            <w:pPr>
              <w:keepNext/>
              <w:keepLines/>
              <w:spacing w:before="70" w:after="70" w:line="260" w:lineRule="atLeast"/>
            </w:pPr>
            <w:r w:rsidRPr="00E21877">
              <w:t xml:space="preserve">Component 2 – Darebin Community Health Centre </w:t>
            </w:r>
            <w:r>
              <w:t>NPP</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E21877">
              <w:rPr>
                <w:szCs w:val="20"/>
              </w:rPr>
              <w:t>-8.8</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E21877">
              <w:rPr>
                <w:b/>
                <w:szCs w:val="20"/>
              </w:rPr>
              <w:t>-8.8</w:t>
            </w:r>
          </w:p>
        </w:tc>
      </w:tr>
      <w:tr w:rsidR="004B7265" w:rsidRPr="0066665A" w:rsidTr="00907AED">
        <w:trPr>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tcPr>
          <w:p w:rsidR="004B7265" w:rsidRPr="0007264D" w:rsidRDefault="004B7265" w:rsidP="00907AED">
            <w:pPr>
              <w:keepNext/>
              <w:keepLines/>
              <w:spacing w:before="70" w:after="70" w:line="260" w:lineRule="atLeast"/>
            </w:pPr>
            <w:r w:rsidRPr="00E21877">
              <w:t>Component 3 – Tweed Hospital NPP</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-100</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szCs w:val="20"/>
              </w:rPr>
            </w:pPr>
            <w:r w:rsidRPr="00E21877">
              <w:rPr>
                <w:szCs w:val="20"/>
              </w:rPr>
              <w:t>-</w:t>
            </w:r>
          </w:p>
        </w:tc>
        <w:tc>
          <w:tcPr>
            <w:tcW w:w="682" w:type="pct"/>
            <w:tcBorders>
              <w:top w:val="single" w:sz="4" w:space="0" w:color="788184"/>
              <w:left w:val="single" w:sz="4" w:space="0" w:color="788184"/>
              <w:bottom w:val="single" w:sz="4" w:space="0" w:color="788184"/>
              <w:right w:val="single" w:sz="4" w:space="0" w:color="788184"/>
            </w:tcBorders>
          </w:tcPr>
          <w:p w:rsidR="004B7265" w:rsidRPr="00E21877" w:rsidRDefault="004B7265" w:rsidP="00907AED">
            <w:pPr>
              <w:spacing w:before="70" w:after="70"/>
              <w:ind w:left="57" w:right="57"/>
              <w:jc w:val="right"/>
              <w:cnfStyle w:val="000000000000" w:firstRow="0" w:lastRow="0" w:firstColumn="0" w:lastColumn="0" w:oddVBand="0" w:evenVBand="0" w:oddHBand="0" w:evenHBand="0" w:firstRowFirstColumn="0" w:firstRowLastColumn="0" w:lastRowFirstColumn="0" w:lastRowLastColumn="0"/>
              <w:rPr>
                <w:b/>
                <w:szCs w:val="20"/>
              </w:rPr>
            </w:pPr>
            <w:r w:rsidRPr="00E21877">
              <w:rPr>
                <w:b/>
                <w:szCs w:val="20"/>
              </w:rPr>
              <w:t>-100</w:t>
            </w:r>
          </w:p>
        </w:tc>
      </w:tr>
      <w:tr w:rsidR="004B7265" w:rsidRPr="0055406D" w:rsidTr="00907AE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590" w:type="pct"/>
            <w:tcBorders>
              <w:top w:val="single" w:sz="4" w:space="0" w:color="788184"/>
              <w:left w:val="single" w:sz="4" w:space="0" w:color="788184"/>
              <w:bottom w:val="single" w:sz="4" w:space="0" w:color="788184"/>
              <w:right w:val="single" w:sz="4" w:space="0" w:color="788184"/>
            </w:tcBorders>
            <w:shd w:val="clear" w:color="auto" w:fill="D7DDE9"/>
          </w:tcPr>
          <w:p w:rsidR="004B7265" w:rsidRPr="00E21877" w:rsidRDefault="004B7265" w:rsidP="00907AED">
            <w:pPr>
              <w:keepNext/>
              <w:keepLines/>
              <w:spacing w:before="70" w:after="70" w:line="260" w:lineRule="atLeast"/>
              <w:rPr>
                <w:b/>
              </w:rPr>
            </w:pPr>
            <w:r w:rsidRPr="00E21877">
              <w:rPr>
                <w:b/>
              </w:rPr>
              <w:t>Total</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E21877">
              <w:rPr>
                <w:b/>
                <w:szCs w:val="20"/>
              </w:rPr>
              <w:t xml:space="preserve">-108.8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E21877">
              <w:rPr>
                <w:b/>
                <w:szCs w:val="20"/>
              </w:rPr>
              <w:t xml:space="preserve">-110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E21877">
              <w:rPr>
                <w:b/>
                <w:szCs w:val="20"/>
              </w:rPr>
              <w:t xml:space="preserve">-226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E21877">
              <w:rPr>
                <w:b/>
                <w:szCs w:val="20"/>
              </w:rPr>
              <w:t xml:space="preserve">-348 </w:t>
            </w:r>
          </w:p>
        </w:tc>
        <w:tc>
          <w:tcPr>
            <w:tcW w:w="682" w:type="pct"/>
            <w:tcBorders>
              <w:top w:val="single" w:sz="4" w:space="0" w:color="788184"/>
              <w:left w:val="single" w:sz="4" w:space="0" w:color="788184"/>
              <w:bottom w:val="single" w:sz="4" w:space="0" w:color="788184"/>
              <w:right w:val="single" w:sz="4" w:space="0" w:color="788184"/>
            </w:tcBorders>
            <w:shd w:val="clear" w:color="auto" w:fill="D7DDE9"/>
          </w:tcPr>
          <w:p w:rsidR="004B7265" w:rsidRPr="00E21877" w:rsidRDefault="004B7265" w:rsidP="00907AED">
            <w:pPr>
              <w:spacing w:before="70" w:after="70"/>
              <w:ind w:left="57" w:right="57"/>
              <w:jc w:val="right"/>
              <w:cnfStyle w:val="000000100000" w:firstRow="0" w:lastRow="0" w:firstColumn="0" w:lastColumn="0" w:oddVBand="0" w:evenVBand="0" w:oddHBand="1" w:evenHBand="0" w:firstRowFirstColumn="0" w:firstRowLastColumn="0" w:lastRowFirstColumn="0" w:lastRowLastColumn="0"/>
              <w:rPr>
                <w:b/>
                <w:szCs w:val="20"/>
              </w:rPr>
            </w:pPr>
            <w:r w:rsidRPr="00E21877">
              <w:rPr>
                <w:b/>
                <w:szCs w:val="20"/>
              </w:rPr>
              <w:t xml:space="preserve">-792.8 </w:t>
            </w:r>
          </w:p>
        </w:tc>
      </w:tr>
    </w:tbl>
    <w:p w:rsidR="004B7265" w:rsidRPr="00E21877" w:rsidRDefault="004B7265" w:rsidP="004B7265">
      <w:pPr>
        <w:pStyle w:val="Footnotes"/>
        <w:numPr>
          <w:ilvl w:val="0"/>
          <w:numId w:val="10"/>
        </w:numPr>
        <w:ind w:left="284" w:hanging="284"/>
      </w:pPr>
      <w:r w:rsidRPr="00DB3B7E">
        <w:t xml:space="preserve">A positive number indicates an increase in revenue or decrease in expenses or net capital investment in accrual and cash terms. </w:t>
      </w:r>
      <w:r>
        <w:t xml:space="preserve"> </w:t>
      </w:r>
      <w:r w:rsidRPr="00DB3B7E">
        <w:t xml:space="preserve">A negative number indicates a decrease in revenue or an increase in expenses or net capital investment in accrual and cash terms.  </w:t>
      </w:r>
    </w:p>
    <w:p w:rsidR="004B7265" w:rsidRDefault="004B7265" w:rsidP="004B7265">
      <w:pPr>
        <w:pStyle w:val="Footnotes"/>
        <w:numPr>
          <w:ilvl w:val="0"/>
          <w:numId w:val="10"/>
        </w:numPr>
        <w:ind w:left="284" w:hanging="284"/>
      </w:pPr>
      <w:r w:rsidRPr="00A33CC6">
        <w:t>Figures may not sum to totals due to rounding.</w:t>
      </w:r>
    </w:p>
    <w:p w:rsidR="00A33CC6" w:rsidRDefault="004B7265" w:rsidP="00485374">
      <w:pPr>
        <w:pStyle w:val="Footnotes"/>
        <w:numPr>
          <w:ilvl w:val="0"/>
          <w:numId w:val="26"/>
        </w:numPr>
        <w:ind w:left="284" w:hanging="284"/>
      </w:pPr>
      <w:r w:rsidRPr="005635B5">
        <w:t>Indicates nil.</w:t>
      </w:r>
    </w:p>
    <w:sectPr w:rsidR="00A33CC6" w:rsidSect="00352279">
      <w:headerReference w:type="first" r:id="rId18"/>
      <w:footerReference w:type="first" r:id="rId19"/>
      <w:pgSz w:w="11907" w:h="16839" w:code="9"/>
      <w:pgMar w:top="1361" w:right="1797" w:bottom="1474"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6183" w:rsidRDefault="00C46183" w:rsidP="008F588A">
      <w:pPr>
        <w:spacing w:line="240" w:lineRule="auto"/>
      </w:pPr>
      <w:r>
        <w:separator/>
      </w:r>
    </w:p>
    <w:p w:rsidR="00C46183" w:rsidRDefault="00C46183"/>
  </w:endnote>
  <w:endnote w:type="continuationSeparator" w:id="0">
    <w:p w:rsidR="00C46183" w:rsidRDefault="00C46183" w:rsidP="008F588A">
      <w:pPr>
        <w:spacing w:line="240" w:lineRule="auto"/>
      </w:pPr>
      <w:r>
        <w:continuationSeparator/>
      </w:r>
    </w:p>
    <w:p w:rsidR="00C46183" w:rsidRDefault="00C461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Pr="00C24267" w:rsidRDefault="00A33CC6"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21252">
      <w:rPr>
        <w:noProof/>
      </w:rPr>
      <w:t>3</w:t>
    </w:r>
    <w:r w:rsidRPr="00C24267">
      <w:fldChar w:fldCharType="end"/>
    </w:r>
    <w:r w:rsidRPr="00C24267">
      <w:t xml:space="preserve"> of </w:t>
    </w:r>
    <w:fldSimple w:instr=" NUMPAGES  \* Arabic  \* MERGEFORMAT ">
      <w:r w:rsidR="00E21252">
        <w:rPr>
          <w:noProof/>
        </w:rPr>
        <w:t>5</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Pr="00C24267" w:rsidRDefault="00A33CC6" w:rsidP="00C24267">
    <w:pPr>
      <w:pStyle w:val="Letterfooter"/>
    </w:pPr>
    <w:r w:rsidRPr="00C24267">
      <w:t>Parliamentary Budget Office   PO Box 6010   Parliament House   Canberra ACT 2600</w:t>
    </w:r>
  </w:p>
  <w:p w:rsidR="00A33CC6" w:rsidRPr="00C24267" w:rsidRDefault="00A33CC6" w:rsidP="00C24267">
    <w:pPr>
      <w:pStyle w:val="Letterfooter"/>
    </w:pPr>
    <w:r w:rsidRPr="00C24267">
      <w:t>Tel: 02 6277 9500   Web: www.pbo.gov.au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Pr="00C24267" w:rsidRDefault="00A33CC6"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E21252">
      <w:rPr>
        <w:noProof/>
      </w:rPr>
      <w:t>2</w:t>
    </w:r>
    <w:r w:rsidRPr="00C24267">
      <w:fldChar w:fldCharType="end"/>
    </w:r>
    <w:r w:rsidRPr="00C24267">
      <w:t xml:space="preserve"> of </w:t>
    </w:r>
    <w:fldSimple w:instr=" NUMPAGES  \* Arabic  \* MERGEFORMAT ">
      <w:r w:rsidR="00E21252">
        <w:rPr>
          <w:noProof/>
        </w:rPr>
        <w:t>5</w:t>
      </w:r>
    </w:fldSimple>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Pr="00C24267" w:rsidRDefault="00A33CC6" w:rsidP="00C24267">
    <w:pPr>
      <w:pStyle w:val="Footer"/>
    </w:pPr>
    <w:r w:rsidRPr="00C24267">
      <w:t xml:space="preserve">Page </w:t>
    </w:r>
    <w:r w:rsidRPr="00C24267">
      <w:fldChar w:fldCharType="begin"/>
    </w:r>
    <w:r w:rsidRPr="00C24267">
      <w:instrText xml:space="preserve"> PAGE  \* Arabic  \* MERGEFORMAT </w:instrText>
    </w:r>
    <w:r w:rsidRPr="00C24267">
      <w:fldChar w:fldCharType="separate"/>
    </w:r>
    <w:r w:rsidR="00B84DEF">
      <w:rPr>
        <w:noProof/>
      </w:rPr>
      <w:t>5</w:t>
    </w:r>
    <w:r w:rsidRPr="00C24267">
      <w:fldChar w:fldCharType="end"/>
    </w:r>
    <w:r w:rsidRPr="00C24267">
      <w:t xml:space="preserve"> of </w:t>
    </w:r>
    <w:fldSimple w:instr=" NUMPAGES  \* Arabic  \* MERGEFORMAT ">
      <w:r w:rsidR="00B84DEF">
        <w:rPr>
          <w:noProof/>
        </w:rPr>
        <w:t>5</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6183" w:rsidRDefault="00C46183" w:rsidP="008F588A">
      <w:pPr>
        <w:spacing w:line="240" w:lineRule="auto"/>
      </w:pPr>
      <w:r>
        <w:separator/>
      </w:r>
    </w:p>
    <w:p w:rsidR="00C46183" w:rsidRDefault="00C46183"/>
  </w:footnote>
  <w:footnote w:type="continuationSeparator" w:id="0">
    <w:p w:rsidR="00C46183" w:rsidRDefault="00C46183" w:rsidP="008F588A">
      <w:pPr>
        <w:spacing w:line="240" w:lineRule="auto"/>
      </w:pPr>
      <w:r>
        <w:continuationSeparator/>
      </w:r>
    </w:p>
    <w:p w:rsidR="00C46183" w:rsidRDefault="00C461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Default="00A33CC6" w:rsidP="00CB40E1">
    <w:pPr>
      <w:pStyle w:val="Header"/>
    </w:pPr>
    <w:r>
      <w:rPr>
        <w:noProof/>
        <w:lang w:eastAsia="en-AU"/>
      </w:rPr>
      <w:drawing>
        <wp:inline distT="0" distB="0" distL="0" distR="0" wp14:anchorId="155EF787" wp14:editId="774AAC70">
          <wp:extent cx="2696845" cy="57213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p w:rsidR="00A33CC6" w:rsidRPr="00DA1C8A" w:rsidRDefault="00A33CC6" w:rsidP="00002D5D">
    <w:pPr>
      <w:pStyle w:val="PBOheader"/>
      <w:spacing w:before="720"/>
      <w:ind w:left="5783"/>
      <w:rPr>
        <w:b w:val="0"/>
      </w:rPr>
    </w:pPr>
    <w:r>
      <w:t>P</w:t>
    </w:r>
    <w:r w:rsidRPr="009030A0">
      <w:t>hil Bowen PSM FCPA</w:t>
    </w:r>
    <w:r>
      <w:br/>
    </w:r>
    <w:r w:rsidRPr="009030A0">
      <w:t>Parliamentary Budget Officer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Pr="004242D8" w:rsidRDefault="004242D8" w:rsidP="004242D8">
    <w:pPr>
      <w:pStyle w:val="Header"/>
    </w:pPr>
    <w:r>
      <w:rPr>
        <w:noProof/>
        <w:lang w:eastAsia="en-AU"/>
      </w:rPr>
      <w:drawing>
        <wp:inline distT="0" distB="0" distL="0" distR="0" wp14:anchorId="11C14FA0" wp14:editId="40187AFA">
          <wp:extent cx="2696845" cy="572135"/>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BO Logo 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96845" cy="57213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3CC6" w:rsidRPr="004242D8" w:rsidRDefault="00A33CC6" w:rsidP="004242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1905BD0"/>
    <w:lvl w:ilvl="0">
      <w:start w:val="1"/>
      <w:numFmt w:val="bullet"/>
      <w:lvlText w:val=""/>
      <w:lvlJc w:val="left"/>
      <w:pPr>
        <w:tabs>
          <w:tab w:val="num" w:pos="360"/>
        </w:tabs>
        <w:ind w:left="360" w:hanging="360"/>
      </w:pPr>
      <w:rPr>
        <w:rFonts w:ascii="Symbol" w:hAnsi="Symbol" w:hint="default"/>
      </w:rPr>
    </w:lvl>
  </w:abstractNum>
  <w:abstractNum w:abstractNumId="1">
    <w:nsid w:val="068B37FE"/>
    <w:multiLevelType w:val="multilevel"/>
    <w:tmpl w:val="EB047CCE"/>
    <w:name w:val="Bullets"/>
    <w:lvl w:ilvl="0">
      <w:start w:val="1"/>
      <w:numFmt w:val="bullet"/>
      <w:pStyle w:val="ListBullet"/>
      <w:lvlText w:val="•"/>
      <w:lvlJc w:val="left"/>
      <w:pPr>
        <w:tabs>
          <w:tab w:val="num" w:pos="454"/>
        </w:tabs>
        <w:ind w:left="454" w:hanging="454"/>
      </w:pPr>
      <w:rPr>
        <w:rFonts w:ascii="Calibri" w:hAnsi="Calibri" w:hint="default"/>
        <w:b w:val="0"/>
        <w:i w:val="0"/>
        <w:color w:val="auto"/>
        <w:position w:val="0"/>
        <w:sz w:val="22"/>
      </w:rPr>
    </w:lvl>
    <w:lvl w:ilvl="1">
      <w:start w:val="1"/>
      <w:numFmt w:val="bullet"/>
      <w:pStyle w:val="ListBullet2"/>
      <w:lvlText w:val="–"/>
      <w:lvlJc w:val="left"/>
      <w:pPr>
        <w:tabs>
          <w:tab w:val="num" w:pos="907"/>
        </w:tabs>
        <w:ind w:left="907" w:hanging="453"/>
      </w:pPr>
      <w:rPr>
        <w:rFonts w:ascii="Calibri" w:hAnsi="Calibri" w:hint="default"/>
        <w:b w:val="0"/>
        <w:i w:val="0"/>
        <w:color w:val="auto"/>
        <w:position w:val="0"/>
        <w:sz w:val="22"/>
      </w:rPr>
    </w:lvl>
    <w:lvl w:ilvl="2">
      <w:start w:val="1"/>
      <w:numFmt w:val="bullet"/>
      <w:pStyle w:val="ListBullet3"/>
      <w:lvlText w:val=""/>
      <w:lvlJc w:val="left"/>
      <w:pPr>
        <w:tabs>
          <w:tab w:val="num" w:pos="1361"/>
        </w:tabs>
        <w:ind w:left="1361" w:hanging="454"/>
      </w:pPr>
      <w:rPr>
        <w:rFonts w:ascii="Wingdings" w:hAnsi="Wingdings" w:hint="default"/>
        <w:b w:val="0"/>
        <w:i w:val="0"/>
        <w:color w:val="auto"/>
        <w:spacing w:val="0"/>
        <w:w w:val="100"/>
        <w:position w:val="1"/>
        <w:sz w:val="22"/>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
    <w:nsid w:val="0C5E12A0"/>
    <w:multiLevelType w:val="hybridMultilevel"/>
    <w:tmpl w:val="71E26D08"/>
    <w:lvl w:ilvl="0" w:tplc="003A2CD6">
      <w:start w:val="1"/>
      <w:numFmt w:val="bullet"/>
      <w:lvlText w:val="-"/>
      <w:lvlJc w:val="left"/>
      <w:pPr>
        <w:ind w:left="360" w:hanging="360"/>
      </w:pPr>
      <w:rPr>
        <w:rFonts w:ascii="Times New Roman" w:hAnsi="Times New Roman" w:cs="Times New Roman" w:hint="default"/>
      </w:rPr>
    </w:lvl>
    <w:lvl w:ilvl="1" w:tplc="003A2CD6">
      <w:start w:val="1"/>
      <w:numFmt w:val="bullet"/>
      <w:lvlText w:val="-"/>
      <w:lvlJc w:val="left"/>
      <w:pPr>
        <w:ind w:left="1440" w:hanging="360"/>
      </w:pPr>
      <w:rPr>
        <w:rFonts w:ascii="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D745448"/>
    <w:multiLevelType w:val="multilevel"/>
    <w:tmpl w:val="1CA8BD68"/>
    <w:name w:val="PBOHeadings"/>
    <w:lvl w:ilvl="0">
      <w:start w:val="1"/>
      <w:numFmt w:val="none"/>
      <w:lvlRestart w:val="0"/>
      <w:pStyle w:val="Heading1"/>
      <w:suff w:val="nothing"/>
      <w:lvlText w:val=""/>
      <w:lvlJc w:val="left"/>
      <w:pPr>
        <w:tabs>
          <w:tab w:val="num" w:pos="0"/>
        </w:tabs>
        <w:ind w:left="0" w:firstLine="0"/>
      </w:pPr>
      <w:rPr>
        <w:rFonts w:hint="default"/>
      </w:rPr>
    </w:lvl>
    <w:lvl w:ilvl="1">
      <w:start w:val="1"/>
      <w:numFmt w:val="none"/>
      <w:pStyle w:val="Heading2"/>
      <w:suff w:val="nothing"/>
      <w:lvlText w:val=""/>
      <w:lvlJc w:val="left"/>
      <w:pPr>
        <w:tabs>
          <w:tab w:val="num" w:pos="0"/>
        </w:tabs>
        <w:ind w:left="0" w:firstLine="0"/>
      </w:pPr>
      <w:rPr>
        <w:rFonts w:hint="default"/>
      </w:rPr>
    </w:lvl>
    <w:lvl w:ilvl="2">
      <w:start w:val="1"/>
      <w:numFmt w:val="none"/>
      <w:pStyle w:val="Heading3"/>
      <w:suff w:val="nothing"/>
      <w:lvlText w:val=""/>
      <w:lvlJc w:val="left"/>
      <w:pPr>
        <w:tabs>
          <w:tab w:val="num" w:pos="0"/>
        </w:tabs>
        <w:ind w:left="0" w:firstLine="0"/>
      </w:pPr>
      <w:rPr>
        <w:rFonts w:hint="default"/>
      </w:rPr>
    </w:lvl>
    <w:lvl w:ilvl="3">
      <w:start w:val="1"/>
      <w:numFmt w:val="none"/>
      <w:lvlText w:val=""/>
      <w:lvlJc w:val="left"/>
      <w:pPr>
        <w:ind w:left="765" w:hanging="765"/>
      </w:pPr>
      <w:rPr>
        <w:rFonts w:hint="default"/>
      </w:rPr>
    </w:lvl>
    <w:lvl w:ilvl="4">
      <w:start w:val="1"/>
      <w:numFmt w:val="none"/>
      <w:lvlText w:val=""/>
      <w:lvlJc w:val="left"/>
      <w:pPr>
        <w:ind w:left="765" w:hanging="765"/>
      </w:pPr>
      <w:rPr>
        <w:rFonts w:hint="default"/>
      </w:rPr>
    </w:lvl>
    <w:lvl w:ilvl="5">
      <w:start w:val="1"/>
      <w:numFmt w:val="none"/>
      <w:lvlText w:val=""/>
      <w:lvlJc w:val="left"/>
      <w:pPr>
        <w:ind w:left="765" w:hanging="765"/>
      </w:pPr>
      <w:rPr>
        <w:rFonts w:hint="default"/>
      </w:rPr>
    </w:lvl>
    <w:lvl w:ilvl="6">
      <w:start w:val="1"/>
      <w:numFmt w:val="none"/>
      <w:lvlText w:val=""/>
      <w:lvlJc w:val="left"/>
      <w:pPr>
        <w:ind w:left="765" w:hanging="765"/>
      </w:pPr>
      <w:rPr>
        <w:rFonts w:hint="default"/>
      </w:rPr>
    </w:lvl>
    <w:lvl w:ilvl="7">
      <w:start w:val="1"/>
      <w:numFmt w:val="none"/>
      <w:lvlText w:val=""/>
      <w:lvlJc w:val="left"/>
      <w:pPr>
        <w:ind w:left="765" w:hanging="765"/>
      </w:pPr>
      <w:rPr>
        <w:rFonts w:hint="default"/>
      </w:rPr>
    </w:lvl>
    <w:lvl w:ilvl="8">
      <w:start w:val="1"/>
      <w:numFmt w:val="none"/>
      <w:lvlText w:val=""/>
      <w:lvlJc w:val="left"/>
      <w:pPr>
        <w:ind w:left="765" w:hanging="765"/>
      </w:pPr>
      <w:rPr>
        <w:rFonts w:hint="default"/>
      </w:rPr>
    </w:lvl>
  </w:abstractNum>
  <w:abstractNum w:abstractNumId="4">
    <w:nsid w:val="194A695C"/>
    <w:multiLevelType w:val="multilevel"/>
    <w:tmpl w:val="5E16FD12"/>
    <w:name w:val="TableBullets"/>
    <w:lvl w:ilvl="0">
      <w:start w:val="1"/>
      <w:numFmt w:val="bullet"/>
      <w:pStyle w:val="TableTextBullet"/>
      <w:lvlText w:val="•"/>
      <w:lvlJc w:val="left"/>
      <w:pPr>
        <w:tabs>
          <w:tab w:val="num" w:pos="284"/>
        </w:tabs>
        <w:ind w:left="284" w:hanging="171"/>
      </w:pPr>
      <w:rPr>
        <w:rFonts w:ascii="Calibri" w:hAnsi="Calibri" w:hint="default"/>
        <w:color w:val="auto"/>
        <w:position w:val="2"/>
        <w:sz w:val="20"/>
        <w:szCs w:val="12"/>
      </w:rPr>
    </w:lvl>
    <w:lvl w:ilvl="1">
      <w:start w:val="1"/>
      <w:numFmt w:val="bullet"/>
      <w:pStyle w:val="TableTextBullet2"/>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3"/>
      <w:lvlText w:val=""/>
      <w:lvlJc w:val="left"/>
      <w:pPr>
        <w:tabs>
          <w:tab w:val="num" w:pos="624"/>
        </w:tabs>
        <w:ind w:left="624" w:hanging="170"/>
      </w:pPr>
      <w:rPr>
        <w:rFonts w:ascii="Wingdings" w:hAnsi="Wingdings"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5">
    <w:nsid w:val="19DE2101"/>
    <w:multiLevelType w:val="hybridMultilevel"/>
    <w:tmpl w:val="0030AC0C"/>
    <w:lvl w:ilvl="0" w:tplc="C5946D62">
      <w:start w:val="1"/>
      <w:numFmt w:val="lowerLetter"/>
      <w:lvlText w:val="(%1)"/>
      <w:lvlJc w:val="left"/>
      <w:pPr>
        <w:ind w:left="833" w:hanging="360"/>
      </w:pPr>
      <w:rPr>
        <w:rFonts w:hint="default"/>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6">
    <w:nsid w:val="1B392230"/>
    <w:multiLevelType w:val="hybridMultilevel"/>
    <w:tmpl w:val="A8C4F760"/>
    <w:lvl w:ilvl="0" w:tplc="DFF8D896">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C5A6BE0"/>
    <w:multiLevelType w:val="hybridMultilevel"/>
    <w:tmpl w:val="7EDAD71E"/>
    <w:lvl w:ilvl="0" w:tplc="C5946D62">
      <w:start w:val="1"/>
      <w:numFmt w:val="lowerLetter"/>
      <w:lvlText w:val="(%1)"/>
      <w:lvlJc w:val="left"/>
      <w:pPr>
        <w:ind w:left="946" w:hanging="360"/>
      </w:pPr>
      <w:rPr>
        <w:rFonts w:hint="default"/>
      </w:rPr>
    </w:lvl>
    <w:lvl w:ilvl="1" w:tplc="0C090019" w:tentative="1">
      <w:start w:val="1"/>
      <w:numFmt w:val="lowerLetter"/>
      <w:lvlText w:val="%2."/>
      <w:lvlJc w:val="left"/>
      <w:pPr>
        <w:ind w:left="1666" w:hanging="360"/>
      </w:pPr>
    </w:lvl>
    <w:lvl w:ilvl="2" w:tplc="0C09001B" w:tentative="1">
      <w:start w:val="1"/>
      <w:numFmt w:val="lowerRoman"/>
      <w:lvlText w:val="%3."/>
      <w:lvlJc w:val="right"/>
      <w:pPr>
        <w:ind w:left="2386" w:hanging="180"/>
      </w:pPr>
    </w:lvl>
    <w:lvl w:ilvl="3" w:tplc="0C09000F" w:tentative="1">
      <w:start w:val="1"/>
      <w:numFmt w:val="decimal"/>
      <w:lvlText w:val="%4."/>
      <w:lvlJc w:val="left"/>
      <w:pPr>
        <w:ind w:left="3106" w:hanging="360"/>
      </w:pPr>
    </w:lvl>
    <w:lvl w:ilvl="4" w:tplc="0C090019" w:tentative="1">
      <w:start w:val="1"/>
      <w:numFmt w:val="lowerLetter"/>
      <w:lvlText w:val="%5."/>
      <w:lvlJc w:val="left"/>
      <w:pPr>
        <w:ind w:left="3826" w:hanging="360"/>
      </w:pPr>
    </w:lvl>
    <w:lvl w:ilvl="5" w:tplc="0C09001B" w:tentative="1">
      <w:start w:val="1"/>
      <w:numFmt w:val="lowerRoman"/>
      <w:lvlText w:val="%6."/>
      <w:lvlJc w:val="right"/>
      <w:pPr>
        <w:ind w:left="4546" w:hanging="180"/>
      </w:pPr>
    </w:lvl>
    <w:lvl w:ilvl="6" w:tplc="0C09000F" w:tentative="1">
      <w:start w:val="1"/>
      <w:numFmt w:val="decimal"/>
      <w:lvlText w:val="%7."/>
      <w:lvlJc w:val="left"/>
      <w:pPr>
        <w:ind w:left="5266" w:hanging="360"/>
      </w:pPr>
    </w:lvl>
    <w:lvl w:ilvl="7" w:tplc="0C090019" w:tentative="1">
      <w:start w:val="1"/>
      <w:numFmt w:val="lowerLetter"/>
      <w:lvlText w:val="%8."/>
      <w:lvlJc w:val="left"/>
      <w:pPr>
        <w:ind w:left="5986" w:hanging="360"/>
      </w:pPr>
    </w:lvl>
    <w:lvl w:ilvl="8" w:tplc="0C09001B" w:tentative="1">
      <w:start w:val="1"/>
      <w:numFmt w:val="lowerRoman"/>
      <w:lvlText w:val="%9."/>
      <w:lvlJc w:val="right"/>
      <w:pPr>
        <w:ind w:left="6706" w:hanging="180"/>
      </w:pPr>
    </w:lvl>
  </w:abstractNum>
  <w:abstractNum w:abstractNumId="8">
    <w:nsid w:val="232C1ABB"/>
    <w:multiLevelType w:val="hybridMultilevel"/>
    <w:tmpl w:val="DC7638C2"/>
    <w:lvl w:ilvl="0" w:tplc="A3A0CC7A">
      <w:start w:val="6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0E45E35"/>
    <w:multiLevelType w:val="hybridMultilevel"/>
    <w:tmpl w:val="60A06D20"/>
    <w:lvl w:ilvl="0" w:tplc="EE46B378">
      <w:start w:val="1"/>
      <w:numFmt w:val="lowerLetter"/>
      <w:pStyle w:val="Footnotes"/>
      <w:lvlText w:val="(%1)"/>
      <w:lvlJc w:val="left"/>
      <w:pPr>
        <w:ind w:left="360" w:hanging="360"/>
      </w:pPr>
      <w:rPr>
        <w:rFonts w:hint="default"/>
      </w:rPr>
    </w:lvl>
    <w:lvl w:ilvl="1" w:tplc="0C090019" w:tentative="1">
      <w:start w:val="1"/>
      <w:numFmt w:val="lowerLetter"/>
      <w:lvlText w:val="%2."/>
      <w:lvlJc w:val="left"/>
      <w:pPr>
        <w:ind w:left="967" w:hanging="360"/>
      </w:pPr>
    </w:lvl>
    <w:lvl w:ilvl="2" w:tplc="0C09001B" w:tentative="1">
      <w:start w:val="1"/>
      <w:numFmt w:val="lowerRoman"/>
      <w:lvlText w:val="%3."/>
      <w:lvlJc w:val="right"/>
      <w:pPr>
        <w:ind w:left="1687" w:hanging="180"/>
      </w:pPr>
    </w:lvl>
    <w:lvl w:ilvl="3" w:tplc="0C09000F" w:tentative="1">
      <w:start w:val="1"/>
      <w:numFmt w:val="decimal"/>
      <w:lvlText w:val="%4."/>
      <w:lvlJc w:val="left"/>
      <w:pPr>
        <w:ind w:left="2407" w:hanging="360"/>
      </w:pPr>
    </w:lvl>
    <w:lvl w:ilvl="4" w:tplc="0C090019" w:tentative="1">
      <w:start w:val="1"/>
      <w:numFmt w:val="lowerLetter"/>
      <w:lvlText w:val="%5."/>
      <w:lvlJc w:val="left"/>
      <w:pPr>
        <w:ind w:left="3127" w:hanging="360"/>
      </w:pPr>
    </w:lvl>
    <w:lvl w:ilvl="5" w:tplc="0C09001B" w:tentative="1">
      <w:start w:val="1"/>
      <w:numFmt w:val="lowerRoman"/>
      <w:lvlText w:val="%6."/>
      <w:lvlJc w:val="right"/>
      <w:pPr>
        <w:ind w:left="3847" w:hanging="180"/>
      </w:pPr>
    </w:lvl>
    <w:lvl w:ilvl="6" w:tplc="0C09000F" w:tentative="1">
      <w:start w:val="1"/>
      <w:numFmt w:val="decimal"/>
      <w:lvlText w:val="%7."/>
      <w:lvlJc w:val="left"/>
      <w:pPr>
        <w:ind w:left="4567" w:hanging="360"/>
      </w:pPr>
    </w:lvl>
    <w:lvl w:ilvl="7" w:tplc="0C090019" w:tentative="1">
      <w:start w:val="1"/>
      <w:numFmt w:val="lowerLetter"/>
      <w:lvlText w:val="%8."/>
      <w:lvlJc w:val="left"/>
      <w:pPr>
        <w:ind w:left="5287" w:hanging="360"/>
      </w:pPr>
    </w:lvl>
    <w:lvl w:ilvl="8" w:tplc="0C09001B" w:tentative="1">
      <w:start w:val="1"/>
      <w:numFmt w:val="lowerRoman"/>
      <w:lvlText w:val="%9."/>
      <w:lvlJc w:val="right"/>
      <w:pPr>
        <w:ind w:left="6007" w:hanging="180"/>
      </w:pPr>
    </w:lvl>
  </w:abstractNum>
  <w:abstractNum w:abstractNumId="10">
    <w:nsid w:val="56124ACC"/>
    <w:multiLevelType w:val="hybridMultilevel"/>
    <w:tmpl w:val="3048B8BE"/>
    <w:lvl w:ilvl="0" w:tplc="98465402">
      <w:start w:val="60"/>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1CE2F93"/>
    <w:multiLevelType w:val="multilevel"/>
    <w:tmpl w:val="850CAC36"/>
    <w:lvl w:ilvl="0">
      <w:start w:val="1"/>
      <w:numFmt w:val="bullet"/>
      <w:lvlText w:val="•"/>
      <w:lvlJc w:val="left"/>
      <w:pPr>
        <w:tabs>
          <w:tab w:val="num" w:pos="284"/>
        </w:tabs>
        <w:ind w:left="284" w:hanging="171"/>
      </w:pPr>
      <w:rPr>
        <w:rFonts w:ascii="Calibri" w:hAnsi="Calibri" w:hint="default"/>
        <w:color w:val="auto"/>
        <w:position w:val="2"/>
        <w:sz w:val="20"/>
        <w:szCs w:val="12"/>
      </w:rPr>
    </w:lvl>
    <w:lvl w:ilvl="1">
      <w:start w:val="1"/>
      <w:numFmt w:val="bullet"/>
      <w:lvlText w:val="–"/>
      <w:lvlJc w:val="left"/>
      <w:pPr>
        <w:tabs>
          <w:tab w:val="num" w:pos="454"/>
        </w:tabs>
        <w:ind w:left="454" w:hanging="170"/>
      </w:pPr>
      <w:rPr>
        <w:rFonts w:ascii="Times New Roman" w:hAnsi="Times New Roman" w:cs="Times New Roman" w:hint="default"/>
        <w:b w:val="0"/>
        <w:i w:val="0"/>
        <w:color w:val="auto"/>
        <w:sz w:val="20"/>
        <w:szCs w:val="18"/>
      </w:rPr>
    </w:lvl>
    <w:lvl w:ilvl="2">
      <w:start w:val="1"/>
      <w:numFmt w:val="bullet"/>
      <w:pStyle w:val="TableTextBullet1"/>
      <w:lvlText w:val=""/>
      <w:lvlJc w:val="left"/>
      <w:pPr>
        <w:tabs>
          <w:tab w:val="num" w:pos="624"/>
        </w:tabs>
        <w:ind w:left="624" w:hanging="170"/>
      </w:pPr>
      <w:rPr>
        <w:rFonts w:ascii="Symbol" w:hAnsi="Symbol" w:hint="default"/>
        <w:color w:val="auto"/>
        <w:position w:val="1"/>
        <w:sz w:val="20"/>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12">
    <w:nsid w:val="745C3AB2"/>
    <w:multiLevelType w:val="hybridMultilevel"/>
    <w:tmpl w:val="5EB0E89C"/>
    <w:lvl w:ilvl="0" w:tplc="661CA760">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79EA63D9"/>
    <w:multiLevelType w:val="hybridMultilevel"/>
    <w:tmpl w:val="7ADA6986"/>
    <w:lvl w:ilvl="0" w:tplc="7F6A985C">
      <w:start w:val="1"/>
      <w:numFmt w:val="lowerLetter"/>
      <w:lvlText w:val="(%1)"/>
      <w:lvlJc w:val="left"/>
      <w:pPr>
        <w:ind w:left="360" w:hanging="360"/>
      </w:pPr>
    </w:lvl>
    <w:lvl w:ilvl="1" w:tplc="0C090019">
      <w:start w:val="1"/>
      <w:numFmt w:val="lowerLetter"/>
      <w:lvlText w:val="%2."/>
      <w:lvlJc w:val="left"/>
      <w:pPr>
        <w:ind w:left="967" w:hanging="360"/>
      </w:pPr>
    </w:lvl>
    <w:lvl w:ilvl="2" w:tplc="0C09001B">
      <w:start w:val="1"/>
      <w:numFmt w:val="lowerRoman"/>
      <w:lvlText w:val="%3."/>
      <w:lvlJc w:val="right"/>
      <w:pPr>
        <w:ind w:left="1687" w:hanging="180"/>
      </w:pPr>
    </w:lvl>
    <w:lvl w:ilvl="3" w:tplc="0C09000F">
      <w:start w:val="1"/>
      <w:numFmt w:val="decimal"/>
      <w:lvlText w:val="%4."/>
      <w:lvlJc w:val="left"/>
      <w:pPr>
        <w:ind w:left="2407" w:hanging="360"/>
      </w:pPr>
    </w:lvl>
    <w:lvl w:ilvl="4" w:tplc="0C090019">
      <w:start w:val="1"/>
      <w:numFmt w:val="lowerLetter"/>
      <w:lvlText w:val="%5."/>
      <w:lvlJc w:val="left"/>
      <w:pPr>
        <w:ind w:left="3127" w:hanging="360"/>
      </w:pPr>
    </w:lvl>
    <w:lvl w:ilvl="5" w:tplc="0C09001B">
      <w:start w:val="1"/>
      <w:numFmt w:val="lowerRoman"/>
      <w:lvlText w:val="%6."/>
      <w:lvlJc w:val="right"/>
      <w:pPr>
        <w:ind w:left="3847" w:hanging="180"/>
      </w:pPr>
    </w:lvl>
    <w:lvl w:ilvl="6" w:tplc="0C09000F">
      <w:start w:val="1"/>
      <w:numFmt w:val="decimal"/>
      <w:lvlText w:val="%7."/>
      <w:lvlJc w:val="left"/>
      <w:pPr>
        <w:ind w:left="4567" w:hanging="360"/>
      </w:pPr>
    </w:lvl>
    <w:lvl w:ilvl="7" w:tplc="0C090019">
      <w:start w:val="1"/>
      <w:numFmt w:val="lowerLetter"/>
      <w:lvlText w:val="%8."/>
      <w:lvlJc w:val="left"/>
      <w:pPr>
        <w:ind w:left="5287" w:hanging="360"/>
      </w:pPr>
    </w:lvl>
    <w:lvl w:ilvl="8" w:tplc="0C09001B">
      <w:start w:val="1"/>
      <w:numFmt w:val="lowerRoman"/>
      <w:lvlText w:val="%9."/>
      <w:lvlJc w:val="right"/>
      <w:pPr>
        <w:ind w:left="6007" w:hanging="180"/>
      </w:pPr>
    </w:lvl>
  </w:abstractNum>
  <w:num w:numId="1">
    <w:abstractNumId w:val="3"/>
  </w:num>
  <w:num w:numId="2">
    <w:abstractNumId w:val="7"/>
  </w:num>
  <w:num w:numId="3">
    <w:abstractNumId w:val="4"/>
  </w:num>
  <w:num w:numId="4">
    <w:abstractNumId w:val="5"/>
  </w:num>
  <w:num w:numId="5">
    <w:abstractNumId w:val="11"/>
  </w:num>
  <w:num w:numId="6">
    <w:abstractNumId w:val="9"/>
  </w:num>
  <w:num w:numId="7">
    <w:abstractNumId w:val="9"/>
    <w:lvlOverride w:ilvl="0">
      <w:startOverride w:val="1"/>
    </w:lvlOverride>
  </w:num>
  <w:num w:numId="8">
    <w:abstractNumId w:val="9"/>
    <w:lvlOverride w:ilvl="0">
      <w:startOverride w:val="1"/>
    </w:lvlOverride>
  </w:num>
  <w:num w:numId="9">
    <w:abstractNumId w:val="9"/>
    <w:lvlOverride w:ilvl="0">
      <w:startOverride w:val="1"/>
    </w:lvlOverride>
  </w:num>
  <w:num w:numId="10">
    <w:abstractNumId w:val="9"/>
    <w:lvlOverride w:ilvl="0">
      <w:startOverride w:val="1"/>
    </w:lvlOverride>
  </w:num>
  <w:num w:numId="11">
    <w:abstractNumId w:val="1"/>
  </w:num>
  <w:num w:numId="12">
    <w:abstractNumId w:val="0"/>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2"/>
  </w:num>
  <w:num w:numId="17">
    <w:abstractNumId w:val="12"/>
  </w:num>
  <w:num w:numId="18">
    <w:abstractNumId w:val="1"/>
  </w:num>
  <w:num w:numId="19">
    <w:abstractNumId w:val="1"/>
  </w:num>
  <w:num w:numId="20">
    <w:abstractNumId w:val="10"/>
  </w:num>
  <w:num w:numId="21">
    <w:abstractNumId w:val="8"/>
  </w:num>
  <w:num w:numId="22">
    <w:abstractNumId w:val="9"/>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25C"/>
    <w:rsid w:val="00002D5D"/>
    <w:rsid w:val="00013DA1"/>
    <w:rsid w:val="00015FB2"/>
    <w:rsid w:val="00040DCE"/>
    <w:rsid w:val="00096F3A"/>
    <w:rsid w:val="000B2C28"/>
    <w:rsid w:val="000C1A75"/>
    <w:rsid w:val="001278D0"/>
    <w:rsid w:val="00140A80"/>
    <w:rsid w:val="0014239B"/>
    <w:rsid w:val="001A02D1"/>
    <w:rsid w:val="001C6788"/>
    <w:rsid w:val="00220196"/>
    <w:rsid w:val="00220BE5"/>
    <w:rsid w:val="002422A3"/>
    <w:rsid w:val="002C7DDA"/>
    <w:rsid w:val="00315E34"/>
    <w:rsid w:val="00326DE2"/>
    <w:rsid w:val="00352279"/>
    <w:rsid w:val="003D7744"/>
    <w:rsid w:val="003E4F5F"/>
    <w:rsid w:val="003E5BA7"/>
    <w:rsid w:val="003F73CA"/>
    <w:rsid w:val="004242D8"/>
    <w:rsid w:val="00440E32"/>
    <w:rsid w:val="0045110A"/>
    <w:rsid w:val="00461597"/>
    <w:rsid w:val="00485374"/>
    <w:rsid w:val="004B7265"/>
    <w:rsid w:val="004C283B"/>
    <w:rsid w:val="004D13ED"/>
    <w:rsid w:val="004D5525"/>
    <w:rsid w:val="005035DA"/>
    <w:rsid w:val="00507897"/>
    <w:rsid w:val="00515A85"/>
    <w:rsid w:val="00535040"/>
    <w:rsid w:val="00545F24"/>
    <w:rsid w:val="0055581F"/>
    <w:rsid w:val="0056229A"/>
    <w:rsid w:val="005635B5"/>
    <w:rsid w:val="00564AD4"/>
    <w:rsid w:val="00570154"/>
    <w:rsid w:val="00570B5A"/>
    <w:rsid w:val="00587422"/>
    <w:rsid w:val="005B1A4A"/>
    <w:rsid w:val="005C6967"/>
    <w:rsid w:val="005E3562"/>
    <w:rsid w:val="005F7DE0"/>
    <w:rsid w:val="00640346"/>
    <w:rsid w:val="00660385"/>
    <w:rsid w:val="00662E65"/>
    <w:rsid w:val="0066665A"/>
    <w:rsid w:val="00692DD8"/>
    <w:rsid w:val="006B1249"/>
    <w:rsid w:val="006C625C"/>
    <w:rsid w:val="006F0CE9"/>
    <w:rsid w:val="007202A8"/>
    <w:rsid w:val="007229A9"/>
    <w:rsid w:val="0075205B"/>
    <w:rsid w:val="007B029A"/>
    <w:rsid w:val="007D33AA"/>
    <w:rsid w:val="007D3577"/>
    <w:rsid w:val="007D511F"/>
    <w:rsid w:val="007F7BCF"/>
    <w:rsid w:val="008030EC"/>
    <w:rsid w:val="00811D6D"/>
    <w:rsid w:val="00817E8E"/>
    <w:rsid w:val="008230A4"/>
    <w:rsid w:val="00841C3A"/>
    <w:rsid w:val="00844776"/>
    <w:rsid w:val="008850D9"/>
    <w:rsid w:val="008A4578"/>
    <w:rsid w:val="008C03C3"/>
    <w:rsid w:val="008D3909"/>
    <w:rsid w:val="008D6ECA"/>
    <w:rsid w:val="008F5351"/>
    <w:rsid w:val="008F588A"/>
    <w:rsid w:val="00902D2D"/>
    <w:rsid w:val="00915804"/>
    <w:rsid w:val="00957285"/>
    <w:rsid w:val="009573AF"/>
    <w:rsid w:val="009963ED"/>
    <w:rsid w:val="009D256C"/>
    <w:rsid w:val="009D4063"/>
    <w:rsid w:val="00A33CC6"/>
    <w:rsid w:val="00A41BD3"/>
    <w:rsid w:val="00A449C2"/>
    <w:rsid w:val="00A65EA3"/>
    <w:rsid w:val="00A90902"/>
    <w:rsid w:val="00AA3D6F"/>
    <w:rsid w:val="00AB55AE"/>
    <w:rsid w:val="00AB6F7D"/>
    <w:rsid w:val="00AC7878"/>
    <w:rsid w:val="00AD493E"/>
    <w:rsid w:val="00AE30B5"/>
    <w:rsid w:val="00AE5755"/>
    <w:rsid w:val="00AF230F"/>
    <w:rsid w:val="00B06055"/>
    <w:rsid w:val="00B44D8A"/>
    <w:rsid w:val="00B475AA"/>
    <w:rsid w:val="00B73AC8"/>
    <w:rsid w:val="00B747A7"/>
    <w:rsid w:val="00B84DEF"/>
    <w:rsid w:val="00BA2BBF"/>
    <w:rsid w:val="00BA4EDD"/>
    <w:rsid w:val="00BA59AE"/>
    <w:rsid w:val="00BC559C"/>
    <w:rsid w:val="00C17112"/>
    <w:rsid w:val="00C24267"/>
    <w:rsid w:val="00C46183"/>
    <w:rsid w:val="00C751F1"/>
    <w:rsid w:val="00CA5D42"/>
    <w:rsid w:val="00CB40E1"/>
    <w:rsid w:val="00CE1E3D"/>
    <w:rsid w:val="00CF6DB6"/>
    <w:rsid w:val="00D01ED5"/>
    <w:rsid w:val="00D07B53"/>
    <w:rsid w:val="00D134CA"/>
    <w:rsid w:val="00D52D5F"/>
    <w:rsid w:val="00D64BAC"/>
    <w:rsid w:val="00D908E8"/>
    <w:rsid w:val="00D949A3"/>
    <w:rsid w:val="00DA1C8A"/>
    <w:rsid w:val="00DB44F0"/>
    <w:rsid w:val="00DD109E"/>
    <w:rsid w:val="00DD3E18"/>
    <w:rsid w:val="00E12103"/>
    <w:rsid w:val="00E15AAE"/>
    <w:rsid w:val="00E21184"/>
    <w:rsid w:val="00E21252"/>
    <w:rsid w:val="00E21877"/>
    <w:rsid w:val="00E40B8B"/>
    <w:rsid w:val="00E5742E"/>
    <w:rsid w:val="00E83485"/>
    <w:rsid w:val="00EA265F"/>
    <w:rsid w:val="00EA5685"/>
    <w:rsid w:val="00EC05EE"/>
    <w:rsid w:val="00ED43FF"/>
    <w:rsid w:val="00EE6600"/>
    <w:rsid w:val="00EF1D6A"/>
    <w:rsid w:val="00EF2E51"/>
    <w:rsid w:val="00F31E24"/>
    <w:rsid w:val="00F52474"/>
    <w:rsid w:val="00F5529D"/>
    <w:rsid w:val="00F5669E"/>
    <w:rsid w:val="00F75D33"/>
    <w:rsid w:val="00F954CF"/>
    <w:rsid w:val="00F97DFF"/>
    <w:rsid w:val="00FC6579"/>
    <w:rsid w:val="00FD3FB3"/>
    <w:rsid w:val="00FE1053"/>
    <w:rsid w:val="00FE69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A33CC6"/>
    <w:pPr>
      <w:spacing w:before="80" w:after="80" w:line="260" w:lineRule="exact"/>
    </w:pPr>
    <w:rPr>
      <w:rFonts w:ascii="Book Antiqua" w:eastAsia="Times New Roman" w:hAnsi="Book Antiqua" w:cs="Times New Roman"/>
      <w:sz w:val="20"/>
      <w:szCs w:val="20"/>
      <w:lang w:eastAsia="en-AU"/>
    </w:rPr>
  </w:style>
  <w:style w:type="paragraph" w:styleId="FootnoteText">
    <w:name w:val="footnote text"/>
    <w:basedOn w:val="Normal"/>
    <w:link w:val="FootnoteTextChar"/>
    <w:uiPriority w:val="99"/>
    <w:semiHidden/>
    <w:unhideWhenUsed/>
    <w:rsid w:val="00A33CC6"/>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33CC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33CC6"/>
    <w:rPr>
      <w:vertAlign w:val="superscript"/>
    </w:rPr>
  </w:style>
  <w:style w:type="character" w:styleId="CommentReference">
    <w:name w:val="annotation reference"/>
    <w:basedOn w:val="DefaultParagraphFont"/>
    <w:uiPriority w:val="99"/>
    <w:semiHidden/>
    <w:unhideWhenUsed/>
    <w:rsid w:val="008F5351"/>
    <w:rPr>
      <w:sz w:val="16"/>
      <w:szCs w:val="16"/>
    </w:rPr>
  </w:style>
  <w:style w:type="paragraph" w:styleId="CommentText">
    <w:name w:val="annotation text"/>
    <w:basedOn w:val="Normal"/>
    <w:link w:val="CommentTextChar"/>
    <w:uiPriority w:val="99"/>
    <w:semiHidden/>
    <w:unhideWhenUsed/>
    <w:rsid w:val="008F5351"/>
    <w:pPr>
      <w:spacing w:line="240" w:lineRule="auto"/>
    </w:pPr>
    <w:rPr>
      <w:sz w:val="20"/>
      <w:szCs w:val="20"/>
    </w:rPr>
  </w:style>
  <w:style w:type="character" w:customStyle="1" w:styleId="CommentTextChar">
    <w:name w:val="Comment Text Char"/>
    <w:basedOn w:val="DefaultParagraphFont"/>
    <w:link w:val="CommentText"/>
    <w:uiPriority w:val="99"/>
    <w:semiHidden/>
    <w:rsid w:val="008F5351"/>
    <w:rPr>
      <w:sz w:val="20"/>
      <w:szCs w:val="20"/>
    </w:rPr>
  </w:style>
  <w:style w:type="paragraph" w:styleId="CommentSubject">
    <w:name w:val="annotation subject"/>
    <w:basedOn w:val="CommentText"/>
    <w:next w:val="CommentText"/>
    <w:link w:val="CommentSubjectChar"/>
    <w:uiPriority w:val="99"/>
    <w:semiHidden/>
    <w:unhideWhenUsed/>
    <w:rsid w:val="008F5351"/>
    <w:rPr>
      <w:b/>
      <w:bCs/>
    </w:rPr>
  </w:style>
  <w:style w:type="character" w:customStyle="1" w:styleId="CommentSubjectChar">
    <w:name w:val="Comment Subject Char"/>
    <w:basedOn w:val="CommentTextChar"/>
    <w:link w:val="CommentSubject"/>
    <w:uiPriority w:val="99"/>
    <w:semiHidden/>
    <w:rsid w:val="008F53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0" w:qFormat="1"/>
    <w:lsdException w:name="List Bullet" w:uiPriority="0"/>
    <w:lsdException w:name="List Bullet 2" w:uiPriority="0"/>
    <w:lsdException w:name="List Bullet 3"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C17112"/>
    <w:pPr>
      <w:spacing w:before="114" w:after="114" w:line="300" w:lineRule="atLeast"/>
    </w:pPr>
  </w:style>
  <w:style w:type="paragraph" w:styleId="Heading1">
    <w:name w:val="heading 1"/>
    <w:basedOn w:val="Normal"/>
    <w:next w:val="BodyText"/>
    <w:link w:val="Heading1Char"/>
    <w:qFormat/>
    <w:rsid w:val="00BC559C"/>
    <w:pPr>
      <w:keepNext/>
      <w:keepLines/>
      <w:numPr>
        <w:numId w:val="1"/>
      </w:numPr>
      <w:tabs>
        <w:tab w:val="right" w:pos="1418"/>
        <w:tab w:val="right" w:pos="1701"/>
        <w:tab w:val="right" w:pos="1985"/>
      </w:tabs>
      <w:spacing w:before="480" w:after="340" w:line="240" w:lineRule="auto"/>
      <w:outlineLvl w:val="0"/>
    </w:pPr>
    <w:rPr>
      <w:rFonts w:ascii="Georgia" w:hAnsi="Georgia"/>
      <w:bCs/>
      <w:color w:val="2B3B5F"/>
      <w:spacing w:val="-6"/>
      <w:kern w:val="32"/>
      <w:sz w:val="32"/>
      <w:szCs w:val="32"/>
    </w:rPr>
  </w:style>
  <w:style w:type="paragraph" w:styleId="Heading2">
    <w:name w:val="heading 2"/>
    <w:basedOn w:val="Normal"/>
    <w:next w:val="BodyText"/>
    <w:link w:val="Heading2Char"/>
    <w:qFormat/>
    <w:rsid w:val="008030EC"/>
    <w:pPr>
      <w:keepNext/>
      <w:keepLines/>
      <w:numPr>
        <w:ilvl w:val="1"/>
        <w:numId w:val="1"/>
      </w:numPr>
      <w:tabs>
        <w:tab w:val="left" w:pos="1418"/>
        <w:tab w:val="left" w:pos="1701"/>
        <w:tab w:val="left" w:pos="1985"/>
      </w:tabs>
      <w:spacing w:before="470" w:after="227"/>
      <w:outlineLvl w:val="1"/>
    </w:pPr>
    <w:rPr>
      <w:rFonts w:asciiTheme="majorHAnsi" w:hAnsiTheme="majorHAnsi"/>
      <w:bCs/>
      <w:iCs/>
      <w:color w:val="2B3B5F"/>
      <w:kern w:val="20"/>
      <w:sz w:val="28"/>
      <w:szCs w:val="28"/>
    </w:rPr>
  </w:style>
  <w:style w:type="paragraph" w:styleId="Heading3">
    <w:name w:val="heading 3"/>
    <w:basedOn w:val="Normal"/>
    <w:next w:val="BodyText"/>
    <w:link w:val="Heading3Char"/>
    <w:qFormat/>
    <w:rsid w:val="008030EC"/>
    <w:pPr>
      <w:keepNext/>
      <w:keepLines/>
      <w:numPr>
        <w:ilvl w:val="2"/>
        <w:numId w:val="1"/>
      </w:numPr>
      <w:tabs>
        <w:tab w:val="left" w:pos="1418"/>
        <w:tab w:val="left" w:pos="1701"/>
        <w:tab w:val="left" w:pos="1985"/>
      </w:tabs>
      <w:spacing w:before="470" w:after="227"/>
      <w:outlineLvl w:val="2"/>
    </w:pPr>
    <w:rPr>
      <w:b/>
      <w:color w:val="2B3B5F"/>
      <w:sz w:val="24"/>
    </w:rPr>
  </w:style>
  <w:style w:type="paragraph" w:styleId="Heading4">
    <w:name w:val="heading 4"/>
    <w:basedOn w:val="Heading3"/>
    <w:next w:val="Normal"/>
    <w:link w:val="Heading4Char"/>
    <w:uiPriority w:val="9"/>
    <w:unhideWhenUsed/>
    <w:qFormat/>
    <w:rsid w:val="001A02D1"/>
    <w:pPr>
      <w:spacing w:before="360"/>
      <w:outlineLvl w:val="3"/>
    </w:pPr>
    <w:rPr>
      <w:b w:val="0"/>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559C"/>
    <w:rPr>
      <w:rFonts w:ascii="Georgia" w:hAnsi="Georgia"/>
      <w:bCs/>
      <w:color w:val="2B3B5F"/>
      <w:spacing w:val="-6"/>
      <w:kern w:val="32"/>
      <w:sz w:val="32"/>
      <w:szCs w:val="32"/>
    </w:rPr>
  </w:style>
  <w:style w:type="character" w:customStyle="1" w:styleId="Heading2Char">
    <w:name w:val="Heading 2 Char"/>
    <w:basedOn w:val="DefaultParagraphFont"/>
    <w:link w:val="Heading2"/>
    <w:rsid w:val="008030EC"/>
    <w:rPr>
      <w:rFonts w:asciiTheme="majorHAnsi" w:hAnsiTheme="majorHAnsi"/>
      <w:bCs/>
      <w:iCs/>
      <w:color w:val="2B3B5F"/>
      <w:kern w:val="20"/>
      <w:sz w:val="28"/>
      <w:szCs w:val="28"/>
    </w:rPr>
  </w:style>
  <w:style w:type="character" w:customStyle="1" w:styleId="Heading3Char">
    <w:name w:val="Heading 3 Char"/>
    <w:basedOn w:val="DefaultParagraphFont"/>
    <w:link w:val="Heading3"/>
    <w:rsid w:val="008030EC"/>
    <w:rPr>
      <w:b/>
      <w:color w:val="2B3B5F"/>
      <w:sz w:val="24"/>
    </w:rPr>
  </w:style>
  <w:style w:type="table" w:styleId="TableGrid">
    <w:name w:val="Table Grid"/>
    <w:basedOn w:val="TableNormal"/>
    <w:rsid w:val="00AE5755"/>
    <w:pPr>
      <w:spacing w:before="70" w:after="70" w:line="260" w:lineRule="atLeast"/>
      <w:ind w:left="113" w:right="113"/>
    </w:pPr>
    <w:rPr>
      <w:rFonts w:eastAsia="Times New Roman" w:cs="Times New Roman"/>
      <w:sz w:val="20"/>
      <w:lang w:eastAsia="en-AU"/>
    </w:rPr>
    <w:tblPr>
      <w:tblStyleRowBandSize w:val="1"/>
      <w:tblStyleColBandSize w:val="1"/>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Pr>
    <w:tcPr>
      <w:shd w:val="clear" w:color="auto" w:fill="auto"/>
    </w:tcPr>
    <w:tblStylePr w:type="firstRow">
      <w:pPr>
        <w:wordWrap/>
        <w:spacing w:beforeLines="0" w:before="70" w:beforeAutospacing="0" w:afterLines="0" w:after="70" w:afterAutospacing="0" w:line="260" w:lineRule="atLeast"/>
        <w:ind w:leftChars="0" w:left="113" w:rightChars="0" w:right="113"/>
        <w:jc w:val="right"/>
      </w:pPr>
      <w:rPr>
        <w:rFonts w:asciiTheme="minorHAnsi" w:hAnsiTheme="minorHAnsi"/>
        <w:b w:val="0"/>
        <w:i w:val="0"/>
        <w:color w:val="auto"/>
        <w:sz w:val="20"/>
      </w:rPr>
      <w:tblPr/>
      <w:tcPr>
        <w:shd w:val="clear" w:color="auto" w:fill="D7DDE9"/>
      </w:tcPr>
    </w:tblStylePr>
    <w:tblStylePr w:type="lastRow">
      <w:rPr>
        <w:rFonts w:ascii="Calibri" w:hAnsi="Calibri"/>
        <w:b/>
        <w:sz w:val="20"/>
      </w:rPr>
    </w:tblStylePr>
    <w:tblStylePr w:type="firstCol">
      <w:pPr>
        <w:wordWrap/>
        <w:ind w:leftChars="0" w:left="113" w:rightChars="0" w:right="113"/>
        <w:jc w:val="left"/>
      </w:pPr>
      <w:rPr>
        <w:rFonts w:ascii="Calibri" w:hAnsi="Calibri"/>
        <w:b w:val="0"/>
        <w:i w:val="0"/>
        <w:sz w:val="20"/>
      </w:rPr>
      <w:tblPr/>
      <w:tcPr>
        <w:vAlign w:val="center"/>
      </w:tcPr>
    </w:tblStylePr>
    <w:tblStylePr w:type="lastCol">
      <w:pPr>
        <w:wordWrap/>
        <w:jc w:val="right"/>
      </w:pPr>
      <w:rPr>
        <w:rFonts w:ascii="Calibri" w:hAnsi="Calibri"/>
        <w:sz w:val="20"/>
      </w:rPr>
      <w:tblPr/>
      <w:tcPr>
        <w:vAlign w:val="center"/>
      </w:tcPr>
    </w:tblStylePr>
    <w:tblStylePr w:type="band1Vert">
      <w:pPr>
        <w:jc w:val="right"/>
      </w:pPr>
      <w:rPr>
        <w:sz w:val="20"/>
      </w:rPr>
      <w:tblPr/>
      <w:tcPr>
        <w:vAlign w:val="center"/>
      </w:tcPr>
    </w:tblStylePr>
    <w:tblStylePr w:type="band2Vert">
      <w:pPr>
        <w:jc w:val="right"/>
      </w:pPr>
      <w:rPr>
        <w:rFonts w:ascii="Calibri" w:hAnsi="Calibri"/>
        <w:sz w:val="20"/>
      </w:rPr>
      <w:tblPr/>
      <w:tcPr>
        <w:vAlign w:val="center"/>
      </w:tcPr>
    </w:tblStylePr>
    <w:tblStylePr w:type="band1Horz">
      <w:tblPr/>
      <w:tcPr>
        <w:shd w:val="clear" w:color="auto" w:fill="FFFFFF" w:themeFill="background1"/>
      </w:tcPr>
    </w:tblStylePr>
    <w:tblStylePr w:type="nwCell">
      <w:pPr>
        <w:jc w:val="left"/>
      </w:pPr>
      <w:tblPr/>
      <w:tcPr>
        <w:vAlign w:val="top"/>
      </w:tcPr>
    </w:tblStylePr>
  </w:style>
  <w:style w:type="paragraph" w:customStyle="1" w:styleId="TableHeading">
    <w:name w:val="Table Heading"/>
    <w:basedOn w:val="Normal"/>
    <w:qFormat/>
    <w:rsid w:val="00F52474"/>
    <w:pPr>
      <w:keepNext/>
      <w:keepLines/>
      <w:spacing w:before="70" w:after="70" w:line="260" w:lineRule="atLeast"/>
      <w:ind w:left="113" w:right="113"/>
    </w:pPr>
    <w:rPr>
      <w:rFonts w:cs="Times New Roman"/>
      <w:b/>
      <w:sz w:val="20"/>
    </w:rPr>
  </w:style>
  <w:style w:type="paragraph" w:customStyle="1" w:styleId="TableHeadingCentred">
    <w:name w:val="Table Heading Centred"/>
    <w:basedOn w:val="TableTextRight"/>
    <w:qFormat/>
    <w:rsid w:val="00C24267"/>
    <w:pPr>
      <w:keepNext/>
      <w:keepLines/>
      <w:ind w:left="85" w:right="85"/>
    </w:pPr>
    <w:rPr>
      <w:rFonts w:eastAsia="Times New Roman"/>
      <w:i w:val="0"/>
      <w:lang w:eastAsia="en-AU"/>
    </w:rPr>
  </w:style>
  <w:style w:type="paragraph" w:customStyle="1" w:styleId="TableText">
    <w:name w:val="Table Text"/>
    <w:basedOn w:val="Normal"/>
    <w:link w:val="TableTextChar"/>
    <w:qFormat/>
    <w:rsid w:val="00F52474"/>
    <w:pPr>
      <w:spacing w:before="70" w:after="70" w:line="260" w:lineRule="atLeast"/>
      <w:ind w:left="113" w:right="113"/>
    </w:pPr>
    <w:rPr>
      <w:rFonts w:cs="Times New Roman"/>
      <w:sz w:val="20"/>
    </w:rPr>
  </w:style>
  <w:style w:type="paragraph" w:customStyle="1" w:styleId="TableTextCentred">
    <w:name w:val="Table Text Centred"/>
    <w:basedOn w:val="TableText"/>
    <w:qFormat/>
    <w:rsid w:val="00C24267"/>
    <w:pPr>
      <w:jc w:val="center"/>
    </w:pPr>
    <w:rPr>
      <w:rFonts w:eastAsia="Times New Roman"/>
      <w:lang w:eastAsia="en-AU"/>
    </w:rPr>
  </w:style>
  <w:style w:type="paragraph" w:styleId="BodyText">
    <w:name w:val="Body Text"/>
    <w:basedOn w:val="Normal"/>
    <w:link w:val="BodyTextChar"/>
    <w:uiPriority w:val="99"/>
    <w:unhideWhenUsed/>
    <w:rsid w:val="008F588A"/>
    <w:pPr>
      <w:spacing w:after="120"/>
    </w:pPr>
  </w:style>
  <w:style w:type="character" w:customStyle="1" w:styleId="BodyTextChar">
    <w:name w:val="Body Text Char"/>
    <w:basedOn w:val="DefaultParagraphFont"/>
    <w:link w:val="BodyText"/>
    <w:uiPriority w:val="99"/>
    <w:rsid w:val="008F588A"/>
  </w:style>
  <w:style w:type="paragraph" w:styleId="Header">
    <w:name w:val="header"/>
    <w:basedOn w:val="Normal"/>
    <w:link w:val="HeaderChar"/>
    <w:uiPriority w:val="99"/>
    <w:unhideWhenUsed/>
    <w:rsid w:val="008F588A"/>
    <w:pPr>
      <w:tabs>
        <w:tab w:val="center" w:pos="4513"/>
        <w:tab w:val="right" w:pos="9026"/>
      </w:tabs>
      <w:spacing w:line="240" w:lineRule="auto"/>
    </w:pPr>
  </w:style>
  <w:style w:type="character" w:customStyle="1" w:styleId="HeaderChar">
    <w:name w:val="Header Char"/>
    <w:basedOn w:val="DefaultParagraphFont"/>
    <w:link w:val="Header"/>
    <w:uiPriority w:val="99"/>
    <w:rsid w:val="008F588A"/>
  </w:style>
  <w:style w:type="paragraph" w:styleId="Footer">
    <w:name w:val="footer"/>
    <w:basedOn w:val="Normal"/>
    <w:link w:val="FooterChar"/>
    <w:unhideWhenUsed/>
    <w:qFormat/>
    <w:rsid w:val="00C24267"/>
    <w:pPr>
      <w:tabs>
        <w:tab w:val="center" w:pos="4513"/>
        <w:tab w:val="right" w:pos="9026"/>
      </w:tabs>
      <w:spacing w:before="0" w:after="0" w:line="240" w:lineRule="auto"/>
      <w:jc w:val="right"/>
    </w:pPr>
    <w:rPr>
      <w:b/>
    </w:rPr>
  </w:style>
  <w:style w:type="character" w:customStyle="1" w:styleId="FooterChar">
    <w:name w:val="Footer Char"/>
    <w:basedOn w:val="DefaultParagraphFont"/>
    <w:link w:val="Footer"/>
    <w:rsid w:val="00C24267"/>
    <w:rPr>
      <w:b/>
    </w:rPr>
  </w:style>
  <w:style w:type="paragraph" w:styleId="BalloonText">
    <w:name w:val="Balloon Text"/>
    <w:basedOn w:val="Normal"/>
    <w:link w:val="BalloonTextChar"/>
    <w:uiPriority w:val="99"/>
    <w:semiHidden/>
    <w:unhideWhenUsed/>
    <w:rsid w:val="008F588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588A"/>
    <w:rPr>
      <w:rFonts w:ascii="Tahoma" w:hAnsi="Tahoma" w:cs="Tahoma"/>
      <w:sz w:val="16"/>
      <w:szCs w:val="16"/>
    </w:rPr>
  </w:style>
  <w:style w:type="paragraph" w:customStyle="1" w:styleId="TableTextBullet">
    <w:name w:val="Table Text Bullet"/>
    <w:basedOn w:val="TableText"/>
    <w:link w:val="TableTextBulletChar"/>
    <w:rsid w:val="008F588A"/>
    <w:pPr>
      <w:numPr>
        <w:numId w:val="3"/>
      </w:numPr>
    </w:pPr>
  </w:style>
  <w:style w:type="paragraph" w:customStyle="1" w:styleId="TableTextBullet2">
    <w:name w:val="Table Text Bullet 2"/>
    <w:basedOn w:val="TableTextBullet"/>
    <w:link w:val="TableTextBullet2Char"/>
    <w:qFormat/>
    <w:rsid w:val="00F52474"/>
    <w:pPr>
      <w:numPr>
        <w:ilvl w:val="1"/>
      </w:numPr>
      <w:spacing w:before="240" w:after="0" w:line="240" w:lineRule="auto"/>
      <w:ind w:left="681" w:right="0" w:hanging="284"/>
    </w:pPr>
    <w:rPr>
      <w:bCs/>
    </w:rPr>
  </w:style>
  <w:style w:type="paragraph" w:customStyle="1" w:styleId="TableTextBullet3">
    <w:name w:val="Table Text Bullet 3"/>
    <w:basedOn w:val="TableTextBullet2"/>
    <w:link w:val="TableTextBullet3Char"/>
    <w:qFormat/>
    <w:rsid w:val="00F52474"/>
    <w:pPr>
      <w:numPr>
        <w:ilvl w:val="2"/>
      </w:numPr>
      <w:ind w:left="964" w:hanging="284"/>
    </w:pPr>
    <w:rPr>
      <w:bCs w:val="0"/>
    </w:rPr>
  </w:style>
  <w:style w:type="character" w:styleId="Hyperlink">
    <w:name w:val="Hyperlink"/>
    <w:basedOn w:val="DefaultParagraphFont"/>
    <w:uiPriority w:val="99"/>
    <w:unhideWhenUsed/>
    <w:rsid w:val="00CF6DB6"/>
    <w:rPr>
      <w:color w:val="0000FF" w:themeColor="hyperlink"/>
      <w:u w:val="single"/>
    </w:rPr>
  </w:style>
  <w:style w:type="paragraph" w:customStyle="1" w:styleId="TableTextBullet1">
    <w:name w:val="Table Text Bullet 1"/>
    <w:link w:val="TableTextBullet1Char"/>
    <w:qFormat/>
    <w:rsid w:val="00F52474"/>
    <w:pPr>
      <w:numPr>
        <w:ilvl w:val="2"/>
        <w:numId w:val="5"/>
      </w:numPr>
      <w:spacing w:before="240" w:after="0" w:line="240" w:lineRule="auto"/>
      <w:ind w:left="397" w:hanging="284"/>
    </w:pPr>
    <w:rPr>
      <w:rFonts w:eastAsia="Times New Roman" w:cs="Times New Roman"/>
      <w:sz w:val="20"/>
      <w:lang w:eastAsia="en-AU"/>
    </w:rPr>
  </w:style>
  <w:style w:type="table" w:customStyle="1" w:styleId="Style1">
    <w:name w:val="Style1"/>
    <w:basedOn w:val="TableNormal"/>
    <w:uiPriority w:val="99"/>
    <w:rsid w:val="00BA2BBF"/>
    <w:pPr>
      <w:spacing w:before="114" w:after="114" w:line="240" w:lineRule="auto"/>
    </w:pPr>
    <w:tblPr>
      <w:tblBorders>
        <w:top w:val="single" w:sz="4" w:space="0" w:color="788182"/>
        <w:left w:val="single" w:sz="4" w:space="0" w:color="788182"/>
        <w:bottom w:val="single" w:sz="4" w:space="0" w:color="788182"/>
        <w:right w:val="single" w:sz="4" w:space="0" w:color="788182"/>
        <w:insideH w:val="single" w:sz="4" w:space="0" w:color="788182"/>
        <w:insideV w:val="single" w:sz="4" w:space="0" w:color="788182"/>
      </w:tblBorders>
    </w:tblPr>
    <w:tblStylePr w:type="firstRow">
      <w:rPr>
        <w:rFonts w:ascii="Calibri" w:hAnsi="Calibri"/>
        <w:b/>
        <w:sz w:val="20"/>
      </w:rPr>
      <w:tblPr/>
      <w:tcPr>
        <w:shd w:val="clear" w:color="auto" w:fill="D7DDE9"/>
      </w:tcPr>
    </w:tblStylePr>
  </w:style>
  <w:style w:type="paragraph" w:customStyle="1" w:styleId="Letterfooter">
    <w:name w:val="Letter footer"/>
    <w:basedOn w:val="Footer"/>
    <w:qFormat/>
    <w:rsid w:val="00C24267"/>
    <w:pPr>
      <w:spacing w:after="113"/>
      <w:ind w:right="-618" w:hanging="709"/>
      <w:jc w:val="center"/>
    </w:pPr>
    <w:rPr>
      <w:rFonts w:ascii="Arial" w:hAnsi="Arial" w:cs="Arial"/>
      <w:b w:val="0"/>
      <w:sz w:val="17"/>
      <w:szCs w:val="17"/>
    </w:rPr>
  </w:style>
  <w:style w:type="paragraph" w:customStyle="1" w:styleId="PBOheader">
    <w:name w:val="PBO header"/>
    <w:basedOn w:val="Header"/>
    <w:qFormat/>
    <w:rsid w:val="00DA1C8A"/>
    <w:pPr>
      <w:tabs>
        <w:tab w:val="clear" w:pos="4513"/>
        <w:tab w:val="clear" w:pos="9026"/>
      </w:tabs>
      <w:spacing w:before="1320"/>
      <w:ind w:left="6521"/>
    </w:pPr>
    <w:rPr>
      <w:rFonts w:ascii="Arial" w:hAnsi="Arial" w:cs="Arial"/>
      <w:b/>
      <w:sz w:val="18"/>
      <w:szCs w:val="18"/>
    </w:rPr>
  </w:style>
  <w:style w:type="paragraph" w:styleId="Caption">
    <w:name w:val="caption"/>
    <w:basedOn w:val="Normal"/>
    <w:next w:val="BodyText"/>
    <w:link w:val="CaptionChar"/>
    <w:rsid w:val="005E3562"/>
    <w:pPr>
      <w:keepNext/>
      <w:spacing w:before="340"/>
    </w:pPr>
    <w:rPr>
      <w:b/>
      <w:bCs/>
      <w:color w:val="1F497D" w:themeColor="text2"/>
      <w:spacing w:val="-4"/>
    </w:rPr>
  </w:style>
  <w:style w:type="paragraph" w:customStyle="1" w:styleId="Captionheading">
    <w:name w:val="Caption heading"/>
    <w:basedOn w:val="Caption"/>
    <w:link w:val="CaptionheadingChar"/>
    <w:qFormat/>
    <w:rsid w:val="00507897"/>
  </w:style>
  <w:style w:type="paragraph" w:styleId="ListParagraph">
    <w:name w:val="List Paragraph"/>
    <w:basedOn w:val="Normal"/>
    <w:link w:val="ListParagraphChar"/>
    <w:uiPriority w:val="34"/>
    <w:rsid w:val="005E3562"/>
    <w:pPr>
      <w:ind w:left="720"/>
      <w:contextualSpacing/>
    </w:pPr>
  </w:style>
  <w:style w:type="character" w:customStyle="1" w:styleId="CaptionChar">
    <w:name w:val="Caption Char"/>
    <w:basedOn w:val="DefaultParagraphFont"/>
    <w:link w:val="Caption"/>
    <w:rsid w:val="005E3562"/>
    <w:rPr>
      <w:b/>
      <w:bCs/>
      <w:color w:val="1F497D" w:themeColor="text2"/>
      <w:spacing w:val="-4"/>
    </w:rPr>
  </w:style>
  <w:style w:type="character" w:customStyle="1" w:styleId="CaptionheadingChar">
    <w:name w:val="Caption heading Char"/>
    <w:basedOn w:val="CaptionChar"/>
    <w:link w:val="Captionheading"/>
    <w:rsid w:val="00507897"/>
    <w:rPr>
      <w:b/>
      <w:bCs/>
      <w:color w:val="1F497D" w:themeColor="text2"/>
      <w:spacing w:val="-4"/>
    </w:rPr>
  </w:style>
  <w:style w:type="paragraph" w:customStyle="1" w:styleId="Bullet1">
    <w:name w:val="Bullet 1"/>
    <w:basedOn w:val="ListBullet"/>
    <w:link w:val="Bullet1Char"/>
    <w:qFormat/>
    <w:rsid w:val="00461597"/>
    <w:rPr>
      <w:rFonts w:eastAsia="Times New Roman" w:cs="Times New Roman"/>
      <w:lang w:eastAsia="en-AU"/>
    </w:rPr>
  </w:style>
  <w:style w:type="paragraph" w:customStyle="1" w:styleId="Bullet2">
    <w:name w:val="Bullet 2"/>
    <w:basedOn w:val="ListBullet2"/>
    <w:link w:val="Bullet2Char"/>
    <w:qFormat/>
    <w:rsid w:val="00461597"/>
    <w:pPr>
      <w:ind w:left="908" w:hanging="454"/>
    </w:pPr>
    <w:rPr>
      <w:rFonts w:eastAsia="Times New Roman" w:cs="Times New Roman"/>
      <w:lang w:eastAsia="en-AU"/>
    </w:rPr>
  </w:style>
  <w:style w:type="character" w:customStyle="1" w:styleId="TableTextBullet1Char">
    <w:name w:val="Table Text Bullet 1 Char"/>
    <w:basedOn w:val="DefaultParagraphFont"/>
    <w:link w:val="TableTextBullet1"/>
    <w:rsid w:val="00F52474"/>
    <w:rPr>
      <w:rFonts w:eastAsia="Times New Roman" w:cs="Times New Roman"/>
      <w:sz w:val="20"/>
      <w:lang w:eastAsia="en-AU"/>
    </w:rPr>
  </w:style>
  <w:style w:type="character" w:customStyle="1" w:styleId="Bullet1Char">
    <w:name w:val="Bullet 1 Char"/>
    <w:basedOn w:val="TableTextBullet1Char"/>
    <w:link w:val="Bullet1"/>
    <w:rsid w:val="00461597"/>
    <w:rPr>
      <w:rFonts w:eastAsia="Times New Roman" w:cs="Times New Roman"/>
      <w:spacing w:val="-1"/>
      <w:sz w:val="20"/>
      <w:lang w:eastAsia="en-AU"/>
    </w:rPr>
  </w:style>
  <w:style w:type="paragraph" w:customStyle="1" w:styleId="Bullet3">
    <w:name w:val="Bullet 3"/>
    <w:basedOn w:val="TableTextBullet3"/>
    <w:link w:val="Bullet3Char"/>
    <w:qFormat/>
    <w:rsid w:val="00461597"/>
    <w:pPr>
      <w:spacing w:before="0" w:after="113" w:line="300" w:lineRule="atLeast"/>
      <w:ind w:left="1361" w:hanging="454"/>
    </w:pPr>
    <w:rPr>
      <w:sz w:val="22"/>
    </w:rPr>
  </w:style>
  <w:style w:type="character" w:customStyle="1" w:styleId="TableTextChar">
    <w:name w:val="Table Text Char"/>
    <w:basedOn w:val="DefaultParagraphFont"/>
    <w:link w:val="TableText"/>
    <w:rsid w:val="00F52474"/>
    <w:rPr>
      <w:rFonts w:cs="Times New Roman"/>
      <w:sz w:val="20"/>
    </w:rPr>
  </w:style>
  <w:style w:type="character" w:customStyle="1" w:styleId="TableTextBulletChar">
    <w:name w:val="Table Text Bullet Char"/>
    <w:basedOn w:val="TableTextChar"/>
    <w:link w:val="TableTextBullet"/>
    <w:rsid w:val="001A02D1"/>
    <w:rPr>
      <w:rFonts w:cs="Times New Roman"/>
      <w:sz w:val="20"/>
    </w:rPr>
  </w:style>
  <w:style w:type="character" w:customStyle="1" w:styleId="TableTextBullet2Char">
    <w:name w:val="Table Text Bullet 2 Char"/>
    <w:basedOn w:val="TableTextBulletChar"/>
    <w:link w:val="TableTextBullet2"/>
    <w:rsid w:val="00F52474"/>
    <w:rPr>
      <w:rFonts w:cs="Times New Roman"/>
      <w:bCs/>
      <w:sz w:val="20"/>
    </w:rPr>
  </w:style>
  <w:style w:type="character" w:customStyle="1" w:styleId="Bullet2Char">
    <w:name w:val="Bullet 2 Char"/>
    <w:basedOn w:val="TableTextBullet2Char"/>
    <w:link w:val="Bullet2"/>
    <w:rsid w:val="00461597"/>
    <w:rPr>
      <w:rFonts w:eastAsia="Times New Roman" w:cs="Times New Roman"/>
      <w:bCs w:val="0"/>
      <w:spacing w:val="-1"/>
      <w:sz w:val="20"/>
      <w:lang w:eastAsia="en-AU"/>
    </w:rPr>
  </w:style>
  <w:style w:type="character" w:customStyle="1" w:styleId="Heading4Char">
    <w:name w:val="Heading 4 Char"/>
    <w:basedOn w:val="DefaultParagraphFont"/>
    <w:link w:val="Heading4"/>
    <w:uiPriority w:val="9"/>
    <w:rsid w:val="001A02D1"/>
    <w:rPr>
      <w:i/>
      <w:color w:val="2B3B5F"/>
      <w:sz w:val="24"/>
      <w:szCs w:val="24"/>
    </w:rPr>
  </w:style>
  <w:style w:type="character" w:customStyle="1" w:styleId="TableTextBullet3Char">
    <w:name w:val="Table Text Bullet 3 Char"/>
    <w:basedOn w:val="TableTextBullet2Char"/>
    <w:link w:val="TableTextBullet3"/>
    <w:rsid w:val="00F52474"/>
    <w:rPr>
      <w:rFonts w:cs="Times New Roman"/>
      <w:bCs w:val="0"/>
      <w:sz w:val="20"/>
    </w:rPr>
  </w:style>
  <w:style w:type="character" w:customStyle="1" w:styleId="Bullet3Char">
    <w:name w:val="Bullet 3 Char"/>
    <w:basedOn w:val="TableTextBullet3Char"/>
    <w:link w:val="Bullet3"/>
    <w:rsid w:val="00461597"/>
    <w:rPr>
      <w:rFonts w:cs="Times New Roman"/>
      <w:bCs w:val="0"/>
      <w:sz w:val="20"/>
    </w:rPr>
  </w:style>
  <w:style w:type="paragraph" w:customStyle="1" w:styleId="Footnotes">
    <w:name w:val="Footnotes"/>
    <w:basedOn w:val="ListParagraph"/>
    <w:link w:val="FootnotesChar"/>
    <w:qFormat/>
    <w:rsid w:val="001278D0"/>
    <w:pPr>
      <w:numPr>
        <w:numId w:val="6"/>
      </w:numPr>
      <w:spacing w:before="113" w:after="0" w:line="260" w:lineRule="atLeast"/>
      <w:contextualSpacing w:val="0"/>
    </w:pPr>
    <w:rPr>
      <w:sz w:val="20"/>
      <w:szCs w:val="20"/>
    </w:rPr>
  </w:style>
  <w:style w:type="paragraph" w:customStyle="1" w:styleId="Footnoteheading">
    <w:name w:val="Footnote heading"/>
    <w:basedOn w:val="Normal"/>
    <w:link w:val="FootnoteheadingChar"/>
    <w:rsid w:val="00C17112"/>
    <w:pPr>
      <w:spacing w:before="113" w:after="113"/>
    </w:pPr>
    <w:rPr>
      <w:b/>
      <w:sz w:val="20"/>
      <w:szCs w:val="20"/>
    </w:rPr>
  </w:style>
  <w:style w:type="character" w:customStyle="1" w:styleId="ListParagraphChar">
    <w:name w:val="List Paragraph Char"/>
    <w:basedOn w:val="DefaultParagraphFont"/>
    <w:link w:val="ListParagraph"/>
    <w:uiPriority w:val="34"/>
    <w:rsid w:val="00CA5D42"/>
  </w:style>
  <w:style w:type="character" w:customStyle="1" w:styleId="FootnotesChar">
    <w:name w:val="Footnotes Char"/>
    <w:basedOn w:val="ListParagraphChar"/>
    <w:link w:val="Footnotes"/>
    <w:rsid w:val="001278D0"/>
    <w:rPr>
      <w:sz w:val="20"/>
      <w:szCs w:val="20"/>
    </w:rPr>
  </w:style>
  <w:style w:type="character" w:customStyle="1" w:styleId="FootnoteheadingChar">
    <w:name w:val="Footnote heading Char"/>
    <w:basedOn w:val="DefaultParagraphFont"/>
    <w:link w:val="Footnoteheading"/>
    <w:rsid w:val="00C17112"/>
    <w:rPr>
      <w:b/>
      <w:sz w:val="20"/>
      <w:szCs w:val="20"/>
    </w:rPr>
  </w:style>
  <w:style w:type="paragraph" w:customStyle="1" w:styleId="Lettertext">
    <w:name w:val="Letter text"/>
    <w:basedOn w:val="Normal"/>
    <w:qFormat/>
    <w:rsid w:val="00C17112"/>
    <w:pPr>
      <w:spacing w:before="240" w:after="0" w:line="240" w:lineRule="auto"/>
    </w:pPr>
    <w:rPr>
      <w:rFonts w:ascii="Times New Roman" w:hAnsi="Times New Roman" w:cs="Times New Roman"/>
      <w:sz w:val="24"/>
      <w:szCs w:val="24"/>
    </w:rPr>
  </w:style>
  <w:style w:type="paragraph" w:styleId="ListBullet">
    <w:name w:val="List Bullet"/>
    <w:basedOn w:val="Normal"/>
    <w:unhideWhenUsed/>
    <w:rsid w:val="00C17112"/>
    <w:pPr>
      <w:keepLines/>
      <w:numPr>
        <w:numId w:val="11"/>
      </w:numPr>
      <w:spacing w:before="0" w:after="113"/>
    </w:pPr>
    <w:rPr>
      <w:spacing w:val="-1"/>
    </w:rPr>
  </w:style>
  <w:style w:type="paragraph" w:styleId="ListBullet2">
    <w:name w:val="List Bullet 2"/>
    <w:basedOn w:val="ListBullet"/>
    <w:unhideWhenUsed/>
    <w:rsid w:val="00C17112"/>
    <w:pPr>
      <w:numPr>
        <w:ilvl w:val="1"/>
      </w:numPr>
    </w:pPr>
  </w:style>
  <w:style w:type="paragraph" w:styleId="ListBullet3">
    <w:name w:val="List Bullet 3"/>
    <w:basedOn w:val="ListBullet2"/>
    <w:unhideWhenUsed/>
    <w:rsid w:val="00C17112"/>
    <w:pPr>
      <w:numPr>
        <w:ilvl w:val="2"/>
      </w:numPr>
    </w:pPr>
  </w:style>
  <w:style w:type="paragraph" w:customStyle="1" w:styleId="TableTextRight">
    <w:name w:val="Table Text Right"/>
    <w:basedOn w:val="TableText"/>
    <w:qFormat/>
    <w:rsid w:val="00C24267"/>
    <w:pPr>
      <w:jc w:val="right"/>
    </w:pPr>
    <w:rPr>
      <w:i/>
    </w:rPr>
  </w:style>
  <w:style w:type="paragraph" w:customStyle="1" w:styleId="Proformatext">
    <w:name w:val="Pro forma text"/>
    <w:basedOn w:val="Normal"/>
    <w:rsid w:val="00A33CC6"/>
    <w:pPr>
      <w:spacing w:before="80" w:after="80" w:line="260" w:lineRule="exact"/>
    </w:pPr>
    <w:rPr>
      <w:rFonts w:ascii="Book Antiqua" w:eastAsia="Times New Roman" w:hAnsi="Book Antiqua" w:cs="Times New Roman"/>
      <w:sz w:val="20"/>
      <w:szCs w:val="20"/>
      <w:lang w:eastAsia="en-AU"/>
    </w:rPr>
  </w:style>
  <w:style w:type="paragraph" w:styleId="FootnoteText">
    <w:name w:val="footnote text"/>
    <w:basedOn w:val="Normal"/>
    <w:link w:val="FootnoteTextChar"/>
    <w:uiPriority w:val="99"/>
    <w:semiHidden/>
    <w:unhideWhenUsed/>
    <w:rsid w:val="00A33CC6"/>
    <w:pPr>
      <w:spacing w:before="0" w:after="0" w:line="240" w:lineRule="auto"/>
    </w:pPr>
    <w:rPr>
      <w:rFonts w:ascii="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A33CC6"/>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A33CC6"/>
    <w:rPr>
      <w:vertAlign w:val="superscript"/>
    </w:rPr>
  </w:style>
  <w:style w:type="character" w:styleId="CommentReference">
    <w:name w:val="annotation reference"/>
    <w:basedOn w:val="DefaultParagraphFont"/>
    <w:uiPriority w:val="99"/>
    <w:semiHidden/>
    <w:unhideWhenUsed/>
    <w:rsid w:val="008F5351"/>
    <w:rPr>
      <w:sz w:val="16"/>
      <w:szCs w:val="16"/>
    </w:rPr>
  </w:style>
  <w:style w:type="paragraph" w:styleId="CommentText">
    <w:name w:val="annotation text"/>
    <w:basedOn w:val="Normal"/>
    <w:link w:val="CommentTextChar"/>
    <w:uiPriority w:val="99"/>
    <w:semiHidden/>
    <w:unhideWhenUsed/>
    <w:rsid w:val="008F5351"/>
    <w:pPr>
      <w:spacing w:line="240" w:lineRule="auto"/>
    </w:pPr>
    <w:rPr>
      <w:sz w:val="20"/>
      <w:szCs w:val="20"/>
    </w:rPr>
  </w:style>
  <w:style w:type="character" w:customStyle="1" w:styleId="CommentTextChar">
    <w:name w:val="Comment Text Char"/>
    <w:basedOn w:val="DefaultParagraphFont"/>
    <w:link w:val="CommentText"/>
    <w:uiPriority w:val="99"/>
    <w:semiHidden/>
    <w:rsid w:val="008F5351"/>
    <w:rPr>
      <w:sz w:val="20"/>
      <w:szCs w:val="20"/>
    </w:rPr>
  </w:style>
  <w:style w:type="paragraph" w:styleId="CommentSubject">
    <w:name w:val="annotation subject"/>
    <w:basedOn w:val="CommentText"/>
    <w:next w:val="CommentText"/>
    <w:link w:val="CommentSubjectChar"/>
    <w:uiPriority w:val="99"/>
    <w:semiHidden/>
    <w:unhideWhenUsed/>
    <w:rsid w:val="008F5351"/>
    <w:rPr>
      <w:b/>
      <w:bCs/>
    </w:rPr>
  </w:style>
  <w:style w:type="character" w:customStyle="1" w:styleId="CommentSubjectChar">
    <w:name w:val="Comment Subject Char"/>
    <w:basedOn w:val="CommentTextChar"/>
    <w:link w:val="CommentSubject"/>
    <w:uiPriority w:val="99"/>
    <w:semiHidden/>
    <w:rsid w:val="008F53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579058">
      <w:bodyDiv w:val="1"/>
      <w:marLeft w:val="0"/>
      <w:marRight w:val="0"/>
      <w:marTop w:val="0"/>
      <w:marBottom w:val="0"/>
      <w:divBdr>
        <w:top w:val="none" w:sz="0" w:space="0" w:color="auto"/>
        <w:left w:val="none" w:sz="0" w:space="0" w:color="auto"/>
        <w:bottom w:val="none" w:sz="0" w:space="0" w:color="auto"/>
        <w:right w:val="none" w:sz="0" w:space="0" w:color="auto"/>
      </w:divBdr>
    </w:div>
    <w:div w:id="153577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greens.org.au/healthcare"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ihpa.gov.au/publications/national-efficient-price-determination-2016-17" TargetMode="Externa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aph.gov.au/pbo" TargetMode="External"/><Relationship Id="rId14" Type="http://schemas.openxmlformats.org/officeDocument/2006/relationships/hyperlink" Target="http://www.publichospitalfunding.gov.au/reports/nationa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e\Templates\PBO\CM%20-%20Caretak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5DC727AE-99D2-4E61-AC1F-D0E2DEEFE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CM - Caretaker.dotm</Template>
  <TotalTime>4</TotalTime>
  <Pages>5</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Policy costing minute—during the caretaker period for a general election</vt:lpstr>
    </vt:vector>
  </TitlesOfParts>
  <Company>Parliament of Australia</Company>
  <LinksUpToDate>false</LinksUpToDate>
  <CharactersWithSpaces>6405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PBO - GRN083 - Hospital Funding We Deserve - 1 July 2016</dc:title>
  <dc:creator>Parliamentary Budget Office</dc:creator>
  <cp:lastModifiedBy>Milligan, Louise (PBO)</cp:lastModifiedBy>
  <cp:revision>8</cp:revision>
  <cp:lastPrinted>2016-07-01T05:29:00Z</cp:lastPrinted>
  <dcterms:created xsi:type="dcterms:W3CDTF">2016-07-01T05:47:00Z</dcterms:created>
  <dcterms:modified xsi:type="dcterms:W3CDTF">2016-07-01T05:59:00Z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