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A8395A" w:rsidP="00C17112">
      <w:pPr>
        <w:spacing w:before="1560" w:after="0" w:line="240" w:lineRule="auto"/>
        <w:rPr>
          <w:rFonts w:ascii="Times New Roman" w:hAnsi="Times New Roman" w:cs="Times New Roman"/>
          <w:sz w:val="24"/>
          <w:szCs w:val="24"/>
        </w:rPr>
      </w:pPr>
      <w:r>
        <w:rPr>
          <w:rFonts w:ascii="Times New Roman" w:hAnsi="Times New Roman" w:cs="Times New Roman"/>
          <w:sz w:val="24"/>
          <w:szCs w:val="24"/>
        </w:rPr>
        <w:t>Senator Richard Di Natale</w:t>
      </w:r>
    </w:p>
    <w:p w:rsidR="00EA0BFB" w:rsidRDefault="00EA0BFB" w:rsidP="00EA0BFB">
      <w:pPr>
        <w:spacing w:before="0" w:after="0" w:line="240" w:lineRule="auto"/>
        <w:rPr>
          <w:rFonts w:ascii="Times New Roman" w:hAnsi="Times New Roman" w:cs="Times New Roman"/>
          <w:sz w:val="24"/>
          <w:szCs w:val="24"/>
        </w:rPr>
      </w:pPr>
      <w:bookmarkStart w:id="0" w:name="_GoBack"/>
      <w:bookmarkEnd w:id="0"/>
      <w:r w:rsidRPr="004343A3">
        <w:rPr>
          <w:rFonts w:ascii="Times New Roman" w:hAnsi="Times New Roman" w:cs="Times New Roman"/>
          <w:sz w:val="24"/>
          <w:szCs w:val="24"/>
        </w:rPr>
        <w:t>Leader of the 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proofErr w:type="gramStart"/>
      <w:r>
        <w:rPr>
          <w:rFonts w:ascii="Times New Roman" w:hAnsi="Times New Roman" w:cs="Times New Roman"/>
          <w:sz w:val="24"/>
          <w:szCs w:val="24"/>
        </w:rPr>
        <w:t>CANBERRA  ACT</w:t>
      </w:r>
      <w:proofErr w:type="gramEnd"/>
      <w:r>
        <w:rPr>
          <w:rFonts w:ascii="Times New Roman" w:hAnsi="Times New Roman" w:cs="Times New Roman"/>
          <w:sz w:val="24"/>
          <w:szCs w:val="24"/>
        </w:rPr>
        <w:t xml:space="preserve">  2600</w:t>
      </w:r>
    </w:p>
    <w:p w:rsidR="00EA0BFB" w:rsidRPr="00002D5D" w:rsidRDefault="00040DCE" w:rsidP="00EA0BFB">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00EA0BFB" w:rsidRPr="004343A3">
        <w:rPr>
          <w:rFonts w:ascii="Times New Roman" w:hAnsi="Times New Roman" w:cs="Times New Roman"/>
          <w:sz w:val="24"/>
          <w:szCs w:val="24"/>
        </w:rPr>
        <w:t>Senator Di Natale</w:t>
      </w:r>
    </w:p>
    <w:p w:rsidR="00040DCE" w:rsidRPr="00002D5D" w:rsidRDefault="00040DCE" w:rsidP="00C17112">
      <w:pPr>
        <w:pStyle w:val="Lettertext"/>
      </w:pPr>
      <w:r w:rsidRPr="00002D5D">
        <w:t xml:space="preserve">Please find attached a response to your costing request, </w:t>
      </w:r>
      <w:r w:rsidR="00C02B22">
        <w:rPr>
          <w:i/>
        </w:rPr>
        <w:t xml:space="preserve">Alcohol and </w:t>
      </w:r>
      <w:r w:rsidR="00E77039">
        <w:rPr>
          <w:i/>
        </w:rPr>
        <w:t xml:space="preserve">other </w:t>
      </w:r>
      <w:r w:rsidR="00C02B22">
        <w:rPr>
          <w:i/>
        </w:rPr>
        <w:t>drug treatment</w:t>
      </w:r>
      <w:r w:rsidR="00EA0BFB" w:rsidRPr="00002D5D">
        <w:t xml:space="preserve"> </w:t>
      </w:r>
      <w:r w:rsidRPr="00002D5D">
        <w:t xml:space="preserve">(letter of </w:t>
      </w:r>
      <w:r w:rsidR="00E77039">
        <w:t>1 July</w:t>
      </w:r>
      <w:r w:rsidR="00EA0BFB">
        <w:t xml:space="preserve"> </w:t>
      </w:r>
      <w:r w:rsidRPr="00002D5D">
        <w:t>2016).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If you have any queries about this costing, please</w:t>
      </w:r>
      <w:r w:rsidR="00F75D33">
        <w:t xml:space="preserve"> contact Colin </w:t>
      </w:r>
      <w:r w:rsidRPr="00002D5D">
        <w:t>Brown on (02)</w:t>
      </w:r>
      <w:r w:rsidR="004B471F">
        <w:t> </w:t>
      </w:r>
      <w:r w:rsidRPr="00002D5D">
        <w:t>6277</w:t>
      </w:r>
      <w:r w:rsidR="004B471F">
        <w:t>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B350CE" w:rsidP="00B350CE">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EA0BFB">
        <w:rPr>
          <w:rFonts w:ascii="Times New Roman" w:hAnsi="Times New Roman" w:cs="Times New Roman"/>
          <w:sz w:val="24"/>
          <w:szCs w:val="24"/>
        </w:rPr>
        <w:t>Ju</w:t>
      </w:r>
      <w:r w:rsidR="00E77039">
        <w:rPr>
          <w:rFonts w:ascii="Times New Roman" w:hAnsi="Times New Roman" w:cs="Times New Roman"/>
          <w:sz w:val="24"/>
          <w:szCs w:val="24"/>
        </w:rPr>
        <w:t>ly</w:t>
      </w:r>
      <w:r w:rsidR="00040DCE"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75751E" w:rsidRDefault="0075751E" w:rsidP="0075751E">
      <w:pPr>
        <w:pStyle w:val="Heading1"/>
      </w:pPr>
      <w:r w:rsidRPr="00002D5D">
        <w:lastRenderedPageBreak/>
        <w:t>Policy costing—during the caretaker period for the 2016 general election</w:t>
      </w:r>
    </w:p>
    <w:tbl>
      <w:tblPr>
        <w:tblStyle w:val="TableGrid"/>
        <w:tblW w:w="8340" w:type="dxa"/>
        <w:tblLayout w:type="fixed"/>
        <w:tblCellMar>
          <w:left w:w="108" w:type="dxa"/>
          <w:right w:w="108" w:type="dxa"/>
        </w:tblCellMar>
        <w:tblLook w:val="04A0" w:firstRow="1" w:lastRow="0" w:firstColumn="1" w:lastColumn="0" w:noHBand="0" w:noVBand="1"/>
      </w:tblPr>
      <w:tblGrid>
        <w:gridCol w:w="3005"/>
        <w:gridCol w:w="5335"/>
      </w:tblGrid>
      <w:tr w:rsidR="0075751E" w:rsidTr="00D910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rsidR="0075751E" w:rsidRDefault="0075751E" w:rsidP="00D91092">
            <w:pPr>
              <w:pStyle w:val="BodyText"/>
              <w:spacing w:after="114"/>
              <w:ind w:left="0" w:right="0"/>
            </w:pPr>
            <w:r>
              <w:t>Name of proposal:</w:t>
            </w:r>
          </w:p>
        </w:tc>
        <w:tc>
          <w:tcPr>
            <w:tcW w:w="5335" w:type="dxa"/>
          </w:tcPr>
          <w:p w:rsidR="0075751E" w:rsidRDefault="009A5DF8" w:rsidP="00D91092">
            <w:pPr>
              <w:pStyle w:val="BodyText"/>
              <w:spacing w:after="114"/>
              <w:ind w:left="0" w:right="0"/>
              <w:cnfStyle w:val="100000000000" w:firstRow="1" w:lastRow="0" w:firstColumn="0" w:lastColumn="0" w:oddVBand="0" w:evenVBand="0" w:oddHBand="0" w:evenHBand="0" w:firstRowFirstColumn="0" w:firstRowLastColumn="0" w:lastRowFirstColumn="0" w:lastRowLastColumn="0"/>
            </w:pPr>
            <w:r w:rsidRPr="009A5DF8">
              <w:t xml:space="preserve">Alcohol and </w:t>
            </w:r>
            <w:r w:rsidR="00476879">
              <w:t xml:space="preserve">other </w:t>
            </w:r>
            <w:r w:rsidRPr="009A5DF8">
              <w:t>drug treatment</w:t>
            </w:r>
          </w:p>
        </w:tc>
      </w:tr>
      <w:tr w:rsidR="0075751E" w:rsidTr="00D91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75751E" w:rsidRDefault="0075751E" w:rsidP="00D91092">
            <w:pPr>
              <w:pStyle w:val="BodyText"/>
              <w:spacing w:after="114"/>
              <w:ind w:left="0" w:right="0"/>
            </w:pPr>
            <w:r>
              <w:t>Summary of proposal:</w:t>
            </w:r>
          </w:p>
        </w:tc>
        <w:tc>
          <w:tcPr>
            <w:tcW w:w="5335" w:type="dxa"/>
          </w:tcPr>
          <w:p w:rsidR="009A5DF8" w:rsidRPr="00B4498D" w:rsidRDefault="009A5DF8" w:rsidP="00D91092">
            <w:pPr>
              <w:ind w:left="0" w:right="0"/>
              <w:cnfStyle w:val="000000100000" w:firstRow="0" w:lastRow="0" w:firstColumn="0" w:lastColumn="0" w:oddVBand="0" w:evenVBand="0" w:oddHBand="1" w:evenHBand="0" w:firstRowFirstColumn="0" w:firstRowLastColumn="0" w:lastRowFirstColumn="0" w:lastRowLastColumn="0"/>
            </w:pPr>
            <w:r w:rsidRPr="00B4498D">
              <w:t xml:space="preserve">The proposal would provide additional Commonwealth funding for alcohol and </w:t>
            </w:r>
            <w:r w:rsidR="00366CC4">
              <w:t xml:space="preserve">other </w:t>
            </w:r>
            <w:r w:rsidRPr="00B4498D">
              <w:t>drug treatment</w:t>
            </w:r>
            <w:r w:rsidR="00366CC4">
              <w:t xml:space="preserve"> </w:t>
            </w:r>
            <w:r w:rsidRPr="00B4498D">
              <w:t>services to improve treatment outcomes and provide certainty to treatment providers.</w:t>
            </w:r>
          </w:p>
          <w:p w:rsidR="009A5DF8" w:rsidRPr="00B4498D" w:rsidRDefault="00B4498D" w:rsidP="00D91092">
            <w:pPr>
              <w:autoSpaceDE w:val="0"/>
              <w:autoSpaceDN w:val="0"/>
              <w:adjustRightInd w:val="0"/>
              <w:ind w:left="0" w:right="0"/>
              <w:cnfStyle w:val="000000100000" w:firstRow="0" w:lastRow="0" w:firstColumn="0" w:lastColumn="0" w:oddVBand="0" w:evenVBand="0" w:oddHBand="1" w:evenHBand="0" w:firstRowFirstColumn="0" w:firstRowLastColumn="0" w:lastRowFirstColumn="0" w:lastRowLastColumn="0"/>
            </w:pPr>
            <w:r w:rsidRPr="00B4498D">
              <w:t>$</w:t>
            </w:r>
            <w:r w:rsidR="00366CC4">
              <w:t>9</w:t>
            </w:r>
            <w:r>
              <w:t>00</w:t>
            </w:r>
            <w:r w:rsidRPr="00B4498D">
              <w:t xml:space="preserve"> million over </w:t>
            </w:r>
            <w:r>
              <w:t>three</w:t>
            </w:r>
            <w:r w:rsidRPr="00B4498D">
              <w:t xml:space="preserve"> years would be provided and the profile of the funding would be as follows</w:t>
            </w:r>
            <w:r w:rsidR="009A5DF8" w:rsidRPr="00B4498D">
              <w:t>:</w:t>
            </w:r>
          </w:p>
          <w:p w:rsidR="00037E20" w:rsidRPr="00B4498D" w:rsidRDefault="00B4498D" w:rsidP="00D91092">
            <w:pPr>
              <w:pStyle w:val="Bullet1"/>
              <w:spacing w:before="114" w:after="114"/>
              <w:cnfStyle w:val="000000100000" w:firstRow="0" w:lastRow="0" w:firstColumn="0" w:lastColumn="0" w:oddVBand="0" w:evenVBand="0" w:oddHBand="1" w:evenHBand="0" w:firstRowFirstColumn="0" w:firstRowLastColumn="0" w:lastRowFirstColumn="0" w:lastRowLastColumn="0"/>
            </w:pPr>
            <w:r w:rsidRPr="00B4498D">
              <w:t>2017-18:</w:t>
            </w:r>
            <w:r w:rsidR="00037E20" w:rsidRPr="00B4498D">
              <w:t xml:space="preserve"> </w:t>
            </w:r>
            <w:r w:rsidR="00855E9D" w:rsidRPr="00B4498D">
              <w:t>$</w:t>
            </w:r>
            <w:r w:rsidR="00D91B3F">
              <w:t>2</w:t>
            </w:r>
            <w:r w:rsidR="009A5DF8" w:rsidRPr="00B4498D">
              <w:t>00 million</w:t>
            </w:r>
          </w:p>
          <w:p w:rsidR="00037E20" w:rsidRPr="00B4498D" w:rsidRDefault="00B4498D" w:rsidP="00D91092">
            <w:pPr>
              <w:pStyle w:val="Bullet1"/>
              <w:spacing w:before="114" w:after="114"/>
              <w:cnfStyle w:val="000000100000" w:firstRow="0" w:lastRow="0" w:firstColumn="0" w:lastColumn="0" w:oddVBand="0" w:evenVBand="0" w:oddHBand="1" w:evenHBand="0" w:firstRowFirstColumn="0" w:firstRowLastColumn="0" w:lastRowFirstColumn="0" w:lastRowLastColumn="0"/>
            </w:pPr>
            <w:r w:rsidRPr="00B4498D">
              <w:t>2018-19:</w:t>
            </w:r>
            <w:r w:rsidR="00855E9D" w:rsidRPr="00B4498D">
              <w:t xml:space="preserve"> $</w:t>
            </w:r>
            <w:r w:rsidR="00D91B3F">
              <w:t>3</w:t>
            </w:r>
            <w:r w:rsidR="009A5DF8" w:rsidRPr="00B4498D">
              <w:t>00 million</w:t>
            </w:r>
          </w:p>
          <w:p w:rsidR="009A5DF8" w:rsidRPr="00B4498D" w:rsidRDefault="00B4498D" w:rsidP="00D91092">
            <w:pPr>
              <w:pStyle w:val="Bullet1"/>
              <w:spacing w:before="114" w:after="114"/>
              <w:cnfStyle w:val="000000100000" w:firstRow="0" w:lastRow="0" w:firstColumn="0" w:lastColumn="0" w:oddVBand="0" w:evenVBand="0" w:oddHBand="1" w:evenHBand="0" w:firstRowFirstColumn="0" w:firstRowLastColumn="0" w:lastRowFirstColumn="0" w:lastRowLastColumn="0"/>
            </w:pPr>
            <w:r w:rsidRPr="00B4498D">
              <w:t>2019-20:</w:t>
            </w:r>
            <w:r w:rsidR="00037E20" w:rsidRPr="00B4498D">
              <w:t xml:space="preserve"> </w:t>
            </w:r>
            <w:r w:rsidR="009A5DF8" w:rsidRPr="00B4498D">
              <w:t>$400 million.</w:t>
            </w:r>
          </w:p>
          <w:p w:rsidR="00016F8D" w:rsidRDefault="00016F8D" w:rsidP="00D91092">
            <w:pPr>
              <w:pStyle w:val="BodyText"/>
              <w:spacing w:after="114"/>
              <w:ind w:left="0" w:right="0"/>
              <w:cnfStyle w:val="000000100000" w:firstRow="0" w:lastRow="0" w:firstColumn="0" w:lastColumn="0" w:oddVBand="0" w:evenVBand="0" w:oddHBand="1" w:evenHBand="0" w:firstRowFirstColumn="0" w:firstRowLastColumn="0" w:lastRowFirstColumn="0" w:lastRowLastColumn="0"/>
            </w:pPr>
            <w:r>
              <w:t>Departmental costs for administering this proposal would be met from within the capped funding amounts.</w:t>
            </w:r>
          </w:p>
          <w:p w:rsidR="0075751E" w:rsidRDefault="009A5DF8" w:rsidP="00D91092">
            <w:pPr>
              <w:pStyle w:val="BodyText"/>
              <w:spacing w:after="114"/>
              <w:ind w:left="0" w:right="0"/>
              <w:cnfStyle w:val="000000100000" w:firstRow="0" w:lastRow="0" w:firstColumn="0" w:lastColumn="0" w:oddVBand="0" w:evenVBand="0" w:oddHBand="1" w:evenHBand="0" w:firstRowFirstColumn="0" w:firstRowLastColumn="0" w:lastRowFirstColumn="0" w:lastRowLastColumn="0"/>
            </w:pPr>
            <w:r w:rsidRPr="00B4498D">
              <w:t xml:space="preserve">The proposal would </w:t>
            </w:r>
            <w:r w:rsidR="00424C88" w:rsidRPr="00B4498D">
              <w:t xml:space="preserve">have effect from </w:t>
            </w:r>
            <w:r w:rsidRPr="00B4498D">
              <w:t>1 July 2017.</w:t>
            </w:r>
          </w:p>
        </w:tc>
      </w:tr>
      <w:tr w:rsidR="0075751E" w:rsidTr="00D91092">
        <w:tc>
          <w:tcPr>
            <w:cnfStyle w:val="001000000000" w:firstRow="0" w:lastRow="0" w:firstColumn="1" w:lastColumn="0" w:oddVBand="0" w:evenVBand="0" w:oddHBand="0" w:evenHBand="0" w:firstRowFirstColumn="0" w:firstRowLastColumn="0" w:lastRowFirstColumn="0" w:lastRowLastColumn="0"/>
            <w:tcW w:w="3005" w:type="dxa"/>
          </w:tcPr>
          <w:p w:rsidR="0075751E" w:rsidRDefault="0075751E" w:rsidP="00D91092">
            <w:pPr>
              <w:pStyle w:val="BodyText"/>
              <w:spacing w:after="114"/>
              <w:ind w:left="0" w:right="0"/>
            </w:pPr>
            <w:r>
              <w:t>Person/party requesting costing:</w:t>
            </w:r>
          </w:p>
        </w:tc>
        <w:tc>
          <w:tcPr>
            <w:tcW w:w="5335" w:type="dxa"/>
          </w:tcPr>
          <w:p w:rsidR="0075751E" w:rsidRDefault="0075751E" w:rsidP="00D91092">
            <w:pPr>
              <w:pStyle w:val="BodyText"/>
              <w:spacing w:after="114"/>
              <w:ind w:left="0" w:right="0"/>
              <w:cnfStyle w:val="000000000000" w:firstRow="0" w:lastRow="0" w:firstColumn="0" w:lastColumn="0" w:oddVBand="0" w:evenVBand="0" w:oddHBand="0" w:evenHBand="0" w:firstRowFirstColumn="0" w:firstRowLastColumn="0" w:lastRowFirstColumn="0" w:lastRowLastColumn="0"/>
            </w:pPr>
            <w:r w:rsidRPr="00AA7648">
              <w:t>Senator Richard Di Natale, Australian Greens</w:t>
            </w:r>
          </w:p>
        </w:tc>
      </w:tr>
      <w:tr w:rsidR="00A45805" w:rsidRPr="00D91B3F" w:rsidTr="00D91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A45805" w:rsidRPr="00D91B3F" w:rsidRDefault="00A45805" w:rsidP="00D91092">
            <w:pPr>
              <w:pStyle w:val="BodyText"/>
              <w:spacing w:after="114"/>
              <w:ind w:left="0" w:right="0"/>
            </w:pPr>
            <w:r w:rsidRPr="00D91B3F">
              <w:t>Date of public release of policy:</w:t>
            </w:r>
          </w:p>
        </w:tc>
        <w:tc>
          <w:tcPr>
            <w:tcW w:w="5335" w:type="dxa"/>
          </w:tcPr>
          <w:p w:rsidR="00A45805" w:rsidRPr="00D91B3F" w:rsidRDefault="00D91B3F" w:rsidP="00D91092">
            <w:pPr>
              <w:pStyle w:val="BodyText"/>
              <w:spacing w:after="114"/>
              <w:ind w:left="0" w:right="0"/>
              <w:cnfStyle w:val="000000100000" w:firstRow="0" w:lastRow="0" w:firstColumn="0" w:lastColumn="0" w:oddVBand="0" w:evenVBand="0" w:oddHBand="1" w:evenHBand="0" w:firstRowFirstColumn="0" w:firstRowLastColumn="0" w:lastRowFirstColumn="0" w:lastRowLastColumn="0"/>
            </w:pPr>
            <w:r w:rsidRPr="00D91B3F">
              <w:t>30</w:t>
            </w:r>
            <w:r w:rsidR="00A45805" w:rsidRPr="00D91B3F">
              <w:t xml:space="preserve"> June 2016</w:t>
            </w:r>
          </w:p>
          <w:p w:rsidR="00D91B3F" w:rsidRPr="00D91B3F" w:rsidRDefault="002E7A10" w:rsidP="00D91092">
            <w:pPr>
              <w:ind w:left="0" w:right="0"/>
              <w:cnfStyle w:val="000000100000" w:firstRow="0" w:lastRow="0" w:firstColumn="0" w:lastColumn="0" w:oddVBand="0" w:evenVBand="0" w:oddHBand="1" w:evenHBand="0" w:firstRowFirstColumn="0" w:firstRowLastColumn="0" w:lastRowFirstColumn="0" w:lastRowLastColumn="0"/>
            </w:pPr>
            <w:hyperlink r:id="rId13" w:history="1">
              <w:r w:rsidR="00D91B3F" w:rsidRPr="00D91B3F">
                <w:rPr>
                  <w:rStyle w:val="Hyperlink"/>
                </w:rPr>
                <w:t>http://greens.org.au/alcohol-drug-treatment</w:t>
              </w:r>
            </w:hyperlink>
          </w:p>
        </w:tc>
      </w:tr>
      <w:tr w:rsidR="0075751E" w:rsidRPr="00D91B3F" w:rsidTr="00D91092">
        <w:tc>
          <w:tcPr>
            <w:cnfStyle w:val="001000000000" w:firstRow="0" w:lastRow="0" w:firstColumn="1" w:lastColumn="0" w:oddVBand="0" w:evenVBand="0" w:oddHBand="0" w:evenHBand="0" w:firstRowFirstColumn="0" w:firstRowLastColumn="0" w:lastRowFirstColumn="0" w:lastRowLastColumn="0"/>
            <w:tcW w:w="3005" w:type="dxa"/>
          </w:tcPr>
          <w:p w:rsidR="0075751E" w:rsidRPr="00D91B3F" w:rsidRDefault="0075751E" w:rsidP="00D91092">
            <w:pPr>
              <w:pStyle w:val="BodyText"/>
              <w:spacing w:after="114"/>
              <w:ind w:left="0" w:right="0"/>
            </w:pPr>
            <w:r w:rsidRPr="00D91B3F">
              <w:t>Date costing request received:</w:t>
            </w:r>
          </w:p>
        </w:tc>
        <w:tc>
          <w:tcPr>
            <w:tcW w:w="5335" w:type="dxa"/>
          </w:tcPr>
          <w:p w:rsidR="0075751E" w:rsidRPr="00D91B3F" w:rsidRDefault="00D91B3F" w:rsidP="00D91092">
            <w:pPr>
              <w:pStyle w:val="BodyText"/>
              <w:spacing w:after="114"/>
              <w:ind w:left="0" w:right="0"/>
              <w:cnfStyle w:val="000000000000" w:firstRow="0" w:lastRow="0" w:firstColumn="0" w:lastColumn="0" w:oddVBand="0" w:evenVBand="0" w:oddHBand="0" w:evenHBand="0" w:firstRowFirstColumn="0" w:firstRowLastColumn="0" w:lastRowFirstColumn="0" w:lastRowLastColumn="0"/>
            </w:pPr>
            <w:r w:rsidRPr="00D91B3F">
              <w:t>1 July</w:t>
            </w:r>
            <w:r w:rsidR="0075751E" w:rsidRPr="00D91B3F">
              <w:t xml:space="preserve"> 2016</w:t>
            </w:r>
          </w:p>
        </w:tc>
      </w:tr>
      <w:tr w:rsidR="0075751E" w:rsidRPr="00D91B3F" w:rsidTr="00D91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75751E" w:rsidRPr="00D91B3F" w:rsidRDefault="0075751E" w:rsidP="00D91092">
            <w:pPr>
              <w:pStyle w:val="BodyText"/>
              <w:spacing w:after="114"/>
              <w:ind w:left="0" w:right="0"/>
            </w:pPr>
            <w:r w:rsidRPr="00D91B3F">
              <w:t>Date costing completed</w:t>
            </w:r>
            <w:r w:rsidR="00251690">
              <w:t>:</w:t>
            </w:r>
          </w:p>
        </w:tc>
        <w:tc>
          <w:tcPr>
            <w:tcW w:w="5335" w:type="dxa"/>
          </w:tcPr>
          <w:p w:rsidR="0075751E" w:rsidRPr="00D91B3F" w:rsidRDefault="00D91B3F" w:rsidP="00D91092">
            <w:pPr>
              <w:pStyle w:val="BodyText"/>
              <w:spacing w:after="114"/>
              <w:ind w:left="0" w:right="0"/>
              <w:cnfStyle w:val="000000100000" w:firstRow="0" w:lastRow="0" w:firstColumn="0" w:lastColumn="0" w:oddVBand="0" w:evenVBand="0" w:oddHBand="1" w:evenHBand="0" w:firstRowFirstColumn="0" w:firstRowLastColumn="0" w:lastRowFirstColumn="0" w:lastRowLastColumn="0"/>
            </w:pPr>
            <w:r w:rsidRPr="00D91B3F">
              <w:t xml:space="preserve">1 July </w:t>
            </w:r>
            <w:r w:rsidR="0075751E" w:rsidRPr="00D91B3F">
              <w:t>2016</w:t>
            </w:r>
          </w:p>
        </w:tc>
      </w:tr>
      <w:tr w:rsidR="0075751E" w:rsidTr="00D91092">
        <w:tc>
          <w:tcPr>
            <w:cnfStyle w:val="001000000000" w:firstRow="0" w:lastRow="0" w:firstColumn="1" w:lastColumn="0" w:oddVBand="0" w:evenVBand="0" w:oddHBand="0" w:evenHBand="0" w:firstRowFirstColumn="0" w:firstRowLastColumn="0" w:lastRowFirstColumn="0" w:lastRowLastColumn="0"/>
            <w:tcW w:w="3005" w:type="dxa"/>
          </w:tcPr>
          <w:p w:rsidR="0075751E" w:rsidRPr="00220BE5" w:rsidRDefault="0075751E" w:rsidP="00D91092">
            <w:pPr>
              <w:pStyle w:val="BodyText"/>
              <w:spacing w:after="114"/>
              <w:ind w:left="0" w:right="0"/>
            </w:pPr>
            <w:r w:rsidRPr="00220BE5">
              <w:t>Expiry date for the costing:</w:t>
            </w:r>
          </w:p>
        </w:tc>
        <w:tc>
          <w:tcPr>
            <w:tcW w:w="5335" w:type="dxa"/>
          </w:tcPr>
          <w:p w:rsidR="0075751E" w:rsidRPr="00220BE5" w:rsidRDefault="00855E9D" w:rsidP="00D91092">
            <w:pPr>
              <w:pStyle w:val="BodyText"/>
              <w:spacing w:after="114"/>
              <w:ind w:left="0" w:right="0"/>
              <w:cnfStyle w:val="000000000000" w:firstRow="0" w:lastRow="0" w:firstColumn="0" w:lastColumn="0" w:oddVBand="0" w:evenVBand="0" w:oddHBand="0" w:evenHBand="0" w:firstRowFirstColumn="0" w:firstRowLastColumn="0" w:lastRowFirstColumn="0" w:lastRowLastColumn="0"/>
            </w:pPr>
            <w:r>
              <w:t>R</w:t>
            </w:r>
            <w:r w:rsidR="0075751E" w:rsidRPr="00220BE5">
              <w:t xml:space="preserve">elease of </w:t>
            </w:r>
            <w:r w:rsidR="0075751E">
              <w:t xml:space="preserve">the next economic and fiscal </w:t>
            </w:r>
            <w:r>
              <w:t>outlook report</w:t>
            </w:r>
          </w:p>
        </w:tc>
      </w:tr>
    </w:tbl>
    <w:p w:rsidR="0075751E" w:rsidRPr="00002D5D" w:rsidRDefault="0075751E" w:rsidP="0075751E">
      <w:pPr>
        <w:pStyle w:val="Heading2"/>
      </w:pPr>
      <w:r w:rsidRPr="00002D5D">
        <w:t>Costing overview</w:t>
      </w:r>
    </w:p>
    <w:p w:rsidR="009A5DF8" w:rsidRDefault="009A5DF8" w:rsidP="009A5DF8">
      <w:r>
        <w:t>This proposal would be expected to decrease the fiscal and underlying cash balances by $</w:t>
      </w:r>
      <w:r w:rsidR="00946B83">
        <w:t>9</w:t>
      </w:r>
      <w:r>
        <w:t>00.0 million over the 2016-17 Budget forward estimates period.  The impacts are due to an increase in administered expense</w:t>
      </w:r>
      <w:r w:rsidR="004B471F">
        <w:t>s</w:t>
      </w:r>
      <w:r>
        <w:t xml:space="preserve"> of $</w:t>
      </w:r>
      <w:r w:rsidR="00946B83">
        <w:t>8</w:t>
      </w:r>
      <w:r>
        <w:t>97.</w:t>
      </w:r>
      <w:r w:rsidR="00946B83">
        <w:t>2</w:t>
      </w:r>
      <w:r>
        <w:t xml:space="preserve"> million and an increase in departmental expense</w:t>
      </w:r>
      <w:r w:rsidR="004B471F">
        <w:t>s</w:t>
      </w:r>
      <w:r>
        <w:t xml:space="preserve"> of $2.</w:t>
      </w:r>
      <w:r w:rsidR="00946B83">
        <w:t>8</w:t>
      </w:r>
      <w:r>
        <w:t xml:space="preserve"> million.  </w:t>
      </w:r>
    </w:p>
    <w:p w:rsidR="009A5DF8" w:rsidRDefault="00016F8D" w:rsidP="00D91092">
      <w:pPr>
        <w:keepLines/>
      </w:pPr>
      <w:r>
        <w:t>This proposal would not be expected to have an impact beyond the 2016-17 Budget forward estimates period as the funding for the proposal would terminate on 30 June 20</w:t>
      </w:r>
      <w:r w:rsidR="00B91ABA">
        <w:t>2</w:t>
      </w:r>
      <w:r>
        <w:t xml:space="preserve">0.  </w:t>
      </w:r>
      <w:r w:rsidR="00C7536B">
        <w:t>A breakdown of expense</w:t>
      </w:r>
      <w:r w:rsidR="009A5DF8">
        <w:t xml:space="preserve">s by administered and departmental impacts is provided at </w:t>
      </w:r>
      <w:r w:rsidR="009A5DF8" w:rsidRPr="009A5DF8">
        <w:rPr>
          <w:u w:val="single"/>
        </w:rPr>
        <w:t>Attachment A</w:t>
      </w:r>
      <w:r w:rsidR="009A5DF8">
        <w:t>.</w:t>
      </w:r>
    </w:p>
    <w:p w:rsidR="009139A6" w:rsidRPr="00AF69D8" w:rsidRDefault="009A5DF8" w:rsidP="009A5DF8">
      <w:r>
        <w:lastRenderedPageBreak/>
        <w:t>This costing is considered to be of high reliability as the total capped Commonwealth funding is as specified in the proposal.</w:t>
      </w:r>
    </w:p>
    <w:p w:rsidR="0075751E" w:rsidRPr="00FC6579" w:rsidRDefault="0075751E" w:rsidP="0075751E">
      <w:pPr>
        <w:pStyle w:val="Captionheading"/>
      </w:pPr>
      <w:r w:rsidRPr="00FC6579">
        <w:t>Table 1: Financial implications (outturn prices</w:t>
      </w:r>
      <w:proofErr w:type="gramStart"/>
      <w:r w:rsidRPr="00FC6579">
        <w:t>)</w:t>
      </w:r>
      <w:r w:rsidRPr="00844776">
        <w:rPr>
          <w:vertAlign w:val="superscript"/>
        </w:rPr>
        <w:t>(</w:t>
      </w:r>
      <w:proofErr w:type="gramEnd"/>
      <w:r w:rsidRPr="00844776">
        <w:rPr>
          <w:vertAlign w:val="superscript"/>
        </w:rPr>
        <w:t>a)</w:t>
      </w:r>
    </w:p>
    <w:tbl>
      <w:tblPr>
        <w:tblStyle w:val="TableGrid"/>
        <w:tblW w:w="4993" w:type="pct"/>
        <w:tblLook w:val="04A0" w:firstRow="1" w:lastRow="0" w:firstColumn="1" w:lastColumn="0" w:noHBand="0" w:noVBand="1"/>
      </w:tblPr>
      <w:tblGrid>
        <w:gridCol w:w="2644"/>
        <w:gridCol w:w="1133"/>
        <w:gridCol w:w="1134"/>
        <w:gridCol w:w="1134"/>
        <w:gridCol w:w="1134"/>
        <w:gridCol w:w="1132"/>
      </w:tblGrid>
      <w:tr w:rsidR="0075751E" w:rsidRPr="00B73AC8" w:rsidTr="00431D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75751E" w:rsidRPr="00EB6C61" w:rsidRDefault="0075751E" w:rsidP="00431DEB">
            <w:pPr>
              <w:pStyle w:val="TableText"/>
              <w:keepNext/>
              <w:keepLines/>
              <w:rPr>
                <w:rFonts w:ascii="Calibri" w:hAnsi="Calibri"/>
                <w:b w:val="0"/>
                <w:szCs w:val="20"/>
              </w:rPr>
            </w:pPr>
            <w:r w:rsidRPr="00EB6C61">
              <w:rPr>
                <w:rFonts w:ascii="Calibri" w:hAnsi="Calibri"/>
                <w:b w:val="0"/>
                <w:szCs w:val="20"/>
              </w:rPr>
              <w:t>Impact on ($m)</w:t>
            </w:r>
          </w:p>
        </w:tc>
        <w:tc>
          <w:tcPr>
            <w:tcW w:w="682" w:type="pct"/>
          </w:tcPr>
          <w:p w:rsidR="0075751E" w:rsidRPr="00EB6C61" w:rsidRDefault="0075751E" w:rsidP="00431DEB">
            <w:pPr>
              <w:keepNext/>
              <w:keepLines/>
              <w:spacing w:before="70" w:after="70" w:line="260" w:lineRule="atLeast"/>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EB6C61">
              <w:rPr>
                <w:rFonts w:ascii="Calibri" w:hAnsi="Calibri"/>
                <w:b w:val="0"/>
                <w:sz w:val="20"/>
                <w:szCs w:val="20"/>
              </w:rPr>
              <w:t>2016–17</w:t>
            </w:r>
          </w:p>
        </w:tc>
        <w:tc>
          <w:tcPr>
            <w:tcW w:w="682" w:type="pct"/>
          </w:tcPr>
          <w:p w:rsidR="0075751E" w:rsidRPr="00EB6C61" w:rsidRDefault="0075751E" w:rsidP="00431DEB">
            <w:pPr>
              <w:keepNext/>
              <w:keepLines/>
              <w:spacing w:before="70" w:after="70" w:line="260" w:lineRule="atLeast"/>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EB6C61">
              <w:rPr>
                <w:rFonts w:ascii="Calibri" w:hAnsi="Calibri"/>
                <w:b w:val="0"/>
                <w:sz w:val="20"/>
                <w:szCs w:val="20"/>
              </w:rPr>
              <w:t>2017–18</w:t>
            </w:r>
          </w:p>
        </w:tc>
        <w:tc>
          <w:tcPr>
            <w:tcW w:w="682" w:type="pct"/>
          </w:tcPr>
          <w:p w:rsidR="0075751E" w:rsidRPr="00EB6C61" w:rsidRDefault="0075751E" w:rsidP="00431DEB">
            <w:pPr>
              <w:keepNext/>
              <w:keepLines/>
              <w:spacing w:before="70" w:after="70" w:line="260" w:lineRule="atLeast"/>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EB6C61">
              <w:rPr>
                <w:rFonts w:ascii="Calibri" w:hAnsi="Calibri"/>
                <w:b w:val="0"/>
                <w:sz w:val="20"/>
                <w:szCs w:val="20"/>
              </w:rPr>
              <w:t>2018–19</w:t>
            </w:r>
          </w:p>
        </w:tc>
        <w:tc>
          <w:tcPr>
            <w:tcW w:w="682" w:type="pct"/>
          </w:tcPr>
          <w:p w:rsidR="0075751E" w:rsidRPr="00EB6C61" w:rsidRDefault="0075751E" w:rsidP="00431DEB">
            <w:pPr>
              <w:keepNext/>
              <w:keepLines/>
              <w:spacing w:before="70" w:after="70" w:line="260" w:lineRule="atLeast"/>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EB6C61">
              <w:rPr>
                <w:rFonts w:ascii="Calibri" w:hAnsi="Calibri"/>
                <w:b w:val="0"/>
                <w:sz w:val="20"/>
                <w:szCs w:val="20"/>
              </w:rPr>
              <w:t>2019–20</w:t>
            </w:r>
          </w:p>
        </w:tc>
        <w:tc>
          <w:tcPr>
            <w:tcW w:w="681" w:type="pct"/>
          </w:tcPr>
          <w:p w:rsidR="0075751E" w:rsidRPr="00B73AC8" w:rsidRDefault="0075751E" w:rsidP="00431DEB">
            <w:pPr>
              <w:keepNext/>
              <w:keepLines/>
              <w:spacing w:before="70" w:after="70" w:line="260" w:lineRule="atLeast"/>
              <w:jc w:val="right"/>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B73AC8">
              <w:rPr>
                <w:rFonts w:ascii="Calibri" w:hAnsi="Calibri"/>
                <w:sz w:val="20"/>
                <w:szCs w:val="20"/>
              </w:rPr>
              <w:t>Total</w:t>
            </w:r>
          </w:p>
        </w:tc>
      </w:tr>
      <w:tr w:rsidR="009A5DF8" w:rsidRPr="00B73AC8" w:rsidTr="009A5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9A5DF8" w:rsidRPr="00B73AC8" w:rsidRDefault="009A5DF8" w:rsidP="00431DEB">
            <w:pPr>
              <w:pStyle w:val="TableTextCentred"/>
              <w:keepNext/>
              <w:keepLines/>
              <w:jc w:val="left"/>
              <w:rPr>
                <w:rFonts w:ascii="Calibri" w:hAnsi="Calibri"/>
                <w:szCs w:val="20"/>
              </w:rPr>
            </w:pPr>
            <w:r w:rsidRPr="00B73AC8">
              <w:rPr>
                <w:rFonts w:ascii="Calibri" w:hAnsi="Calibri"/>
                <w:szCs w:val="20"/>
              </w:rPr>
              <w:t>Fiscal balance</w:t>
            </w:r>
          </w:p>
        </w:tc>
        <w:tc>
          <w:tcPr>
            <w:tcW w:w="682" w:type="pct"/>
            <w:vAlign w:val="center"/>
          </w:tcPr>
          <w:p w:rsidR="009A5DF8" w:rsidRPr="009A5DF8" w:rsidRDefault="009A5DF8" w:rsidP="009A5DF8">
            <w:pPr>
              <w:spacing w:before="0" w:after="0"/>
              <w:jc w:val="right"/>
              <w:cnfStyle w:val="000000100000" w:firstRow="0" w:lastRow="0" w:firstColumn="0" w:lastColumn="0" w:oddVBand="0" w:evenVBand="0" w:oddHBand="1" w:evenHBand="0" w:firstRowFirstColumn="0" w:firstRowLastColumn="0" w:lastRowFirstColumn="0" w:lastRowLastColumn="0"/>
              <w:rPr>
                <w:sz w:val="20"/>
                <w:szCs w:val="20"/>
              </w:rPr>
            </w:pPr>
            <w:r w:rsidRPr="009A5DF8">
              <w:rPr>
                <w:sz w:val="20"/>
                <w:szCs w:val="20"/>
              </w:rPr>
              <w:t xml:space="preserve">- </w:t>
            </w:r>
          </w:p>
        </w:tc>
        <w:tc>
          <w:tcPr>
            <w:tcW w:w="682" w:type="pct"/>
            <w:vAlign w:val="center"/>
          </w:tcPr>
          <w:p w:rsidR="009A5DF8" w:rsidRPr="009A5DF8" w:rsidRDefault="009A5DF8" w:rsidP="006C1B48">
            <w:pPr>
              <w:spacing w:before="0" w:after="0"/>
              <w:jc w:val="right"/>
              <w:cnfStyle w:val="000000100000" w:firstRow="0" w:lastRow="0" w:firstColumn="0" w:lastColumn="0" w:oddVBand="0" w:evenVBand="0" w:oddHBand="1" w:evenHBand="0" w:firstRowFirstColumn="0" w:firstRowLastColumn="0" w:lastRowFirstColumn="0" w:lastRowLastColumn="0"/>
              <w:rPr>
                <w:sz w:val="20"/>
                <w:szCs w:val="20"/>
              </w:rPr>
            </w:pPr>
            <w:r w:rsidRPr="009A5DF8">
              <w:rPr>
                <w:sz w:val="20"/>
                <w:szCs w:val="20"/>
              </w:rPr>
              <w:t>-</w:t>
            </w:r>
            <w:r w:rsidR="006C1B48">
              <w:rPr>
                <w:sz w:val="20"/>
                <w:szCs w:val="20"/>
              </w:rPr>
              <w:t>2</w:t>
            </w:r>
            <w:r w:rsidRPr="009A5DF8">
              <w:rPr>
                <w:sz w:val="20"/>
                <w:szCs w:val="20"/>
              </w:rPr>
              <w:t xml:space="preserve">00.0 </w:t>
            </w:r>
          </w:p>
        </w:tc>
        <w:tc>
          <w:tcPr>
            <w:tcW w:w="682" w:type="pct"/>
            <w:vAlign w:val="center"/>
          </w:tcPr>
          <w:p w:rsidR="009A5DF8" w:rsidRPr="009A5DF8" w:rsidRDefault="00C7536B" w:rsidP="009A5DF8">
            <w:pPr>
              <w:spacing w:before="0" w:after="0"/>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6C1B48">
              <w:rPr>
                <w:sz w:val="20"/>
                <w:szCs w:val="20"/>
              </w:rPr>
              <w:t>3</w:t>
            </w:r>
            <w:r w:rsidR="009A5DF8" w:rsidRPr="009A5DF8">
              <w:rPr>
                <w:sz w:val="20"/>
                <w:szCs w:val="20"/>
              </w:rPr>
              <w:t xml:space="preserve">00.0 </w:t>
            </w:r>
          </w:p>
        </w:tc>
        <w:tc>
          <w:tcPr>
            <w:tcW w:w="682" w:type="pct"/>
            <w:vAlign w:val="center"/>
          </w:tcPr>
          <w:p w:rsidR="009A5DF8" w:rsidRPr="009A5DF8" w:rsidRDefault="009A5DF8" w:rsidP="009A5DF8">
            <w:pPr>
              <w:spacing w:before="0" w:after="0"/>
              <w:jc w:val="right"/>
              <w:cnfStyle w:val="000000100000" w:firstRow="0" w:lastRow="0" w:firstColumn="0" w:lastColumn="0" w:oddVBand="0" w:evenVBand="0" w:oddHBand="1" w:evenHBand="0" w:firstRowFirstColumn="0" w:firstRowLastColumn="0" w:lastRowFirstColumn="0" w:lastRowLastColumn="0"/>
              <w:rPr>
                <w:sz w:val="20"/>
                <w:szCs w:val="20"/>
              </w:rPr>
            </w:pPr>
            <w:r w:rsidRPr="009A5DF8">
              <w:rPr>
                <w:sz w:val="20"/>
                <w:szCs w:val="20"/>
              </w:rPr>
              <w:t xml:space="preserve">-400.0 </w:t>
            </w:r>
          </w:p>
        </w:tc>
        <w:tc>
          <w:tcPr>
            <w:tcW w:w="681" w:type="pct"/>
            <w:vAlign w:val="center"/>
          </w:tcPr>
          <w:p w:rsidR="009A5DF8" w:rsidRPr="00EB6C61" w:rsidRDefault="00C7536B" w:rsidP="006C1B48">
            <w:pPr>
              <w:spacing w:before="0" w:after="0"/>
              <w:jc w:val="right"/>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w:t>
            </w:r>
            <w:r w:rsidR="006C1B48">
              <w:rPr>
                <w:b/>
                <w:sz w:val="20"/>
                <w:szCs w:val="20"/>
              </w:rPr>
              <w:t>9</w:t>
            </w:r>
            <w:r w:rsidR="009A5DF8" w:rsidRPr="00EB6C61">
              <w:rPr>
                <w:b/>
                <w:sz w:val="20"/>
                <w:szCs w:val="20"/>
              </w:rPr>
              <w:t xml:space="preserve">00.0 </w:t>
            </w:r>
          </w:p>
        </w:tc>
      </w:tr>
      <w:tr w:rsidR="009A5DF8" w:rsidRPr="00B73AC8" w:rsidTr="009A5DF8">
        <w:tc>
          <w:tcPr>
            <w:cnfStyle w:val="001000000000" w:firstRow="0" w:lastRow="0" w:firstColumn="1" w:lastColumn="0" w:oddVBand="0" w:evenVBand="0" w:oddHBand="0" w:evenHBand="0" w:firstRowFirstColumn="0" w:firstRowLastColumn="0" w:lastRowFirstColumn="0" w:lastRowLastColumn="0"/>
            <w:tcW w:w="1591" w:type="pct"/>
          </w:tcPr>
          <w:p w:rsidR="009A5DF8" w:rsidRPr="00B73AC8" w:rsidRDefault="009A5DF8" w:rsidP="00431DEB">
            <w:pPr>
              <w:pStyle w:val="TableTextCentred"/>
              <w:keepNext/>
              <w:keepLines/>
              <w:jc w:val="left"/>
              <w:rPr>
                <w:rFonts w:ascii="Calibri" w:hAnsi="Calibri"/>
                <w:szCs w:val="20"/>
              </w:rPr>
            </w:pPr>
            <w:r w:rsidRPr="00B73AC8">
              <w:rPr>
                <w:rFonts w:ascii="Calibri" w:hAnsi="Calibri"/>
                <w:szCs w:val="20"/>
              </w:rPr>
              <w:t>Underlying cash balance</w:t>
            </w:r>
          </w:p>
        </w:tc>
        <w:tc>
          <w:tcPr>
            <w:tcW w:w="682" w:type="pct"/>
            <w:vAlign w:val="center"/>
          </w:tcPr>
          <w:p w:rsidR="009A5DF8" w:rsidRPr="009A5DF8" w:rsidRDefault="009A5DF8" w:rsidP="009A5DF8">
            <w:pPr>
              <w:spacing w:before="0"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9A5DF8">
              <w:rPr>
                <w:sz w:val="20"/>
                <w:szCs w:val="20"/>
              </w:rPr>
              <w:t xml:space="preserve">- </w:t>
            </w:r>
          </w:p>
        </w:tc>
        <w:tc>
          <w:tcPr>
            <w:tcW w:w="682" w:type="pct"/>
            <w:vAlign w:val="center"/>
          </w:tcPr>
          <w:p w:rsidR="009A5DF8" w:rsidRPr="009A5DF8" w:rsidRDefault="00C7536B" w:rsidP="009A5DF8">
            <w:pPr>
              <w:spacing w:before="0" w:after="0"/>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6C1B48">
              <w:rPr>
                <w:sz w:val="20"/>
                <w:szCs w:val="20"/>
              </w:rPr>
              <w:t>2</w:t>
            </w:r>
            <w:r w:rsidR="009A5DF8" w:rsidRPr="009A5DF8">
              <w:rPr>
                <w:sz w:val="20"/>
                <w:szCs w:val="20"/>
              </w:rPr>
              <w:t xml:space="preserve">00.0 </w:t>
            </w:r>
          </w:p>
        </w:tc>
        <w:tc>
          <w:tcPr>
            <w:tcW w:w="682" w:type="pct"/>
            <w:vAlign w:val="center"/>
          </w:tcPr>
          <w:p w:rsidR="009A5DF8" w:rsidRPr="009A5DF8" w:rsidRDefault="00C7536B" w:rsidP="006C1B48">
            <w:pPr>
              <w:spacing w:before="0" w:after="0"/>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6C1B48">
              <w:rPr>
                <w:sz w:val="20"/>
                <w:szCs w:val="20"/>
              </w:rPr>
              <w:t>3</w:t>
            </w:r>
            <w:r w:rsidR="009A5DF8" w:rsidRPr="009A5DF8">
              <w:rPr>
                <w:sz w:val="20"/>
                <w:szCs w:val="20"/>
              </w:rPr>
              <w:t xml:space="preserve">00.0 </w:t>
            </w:r>
          </w:p>
        </w:tc>
        <w:tc>
          <w:tcPr>
            <w:tcW w:w="682" w:type="pct"/>
            <w:vAlign w:val="center"/>
          </w:tcPr>
          <w:p w:rsidR="009A5DF8" w:rsidRPr="009A5DF8" w:rsidRDefault="009A5DF8" w:rsidP="009A5DF8">
            <w:pPr>
              <w:spacing w:before="0"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9A5DF8">
              <w:rPr>
                <w:sz w:val="20"/>
                <w:szCs w:val="20"/>
              </w:rPr>
              <w:t xml:space="preserve">-400.0 </w:t>
            </w:r>
          </w:p>
        </w:tc>
        <w:tc>
          <w:tcPr>
            <w:tcW w:w="681" w:type="pct"/>
            <w:vAlign w:val="center"/>
          </w:tcPr>
          <w:p w:rsidR="009A5DF8" w:rsidRPr="00EB6C61" w:rsidRDefault="00C7536B" w:rsidP="009A5DF8">
            <w:pPr>
              <w:spacing w:before="0" w:after="0"/>
              <w:jc w:val="right"/>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w:t>
            </w:r>
            <w:r w:rsidR="006C1B48">
              <w:rPr>
                <w:b/>
                <w:sz w:val="20"/>
                <w:szCs w:val="20"/>
              </w:rPr>
              <w:t>9</w:t>
            </w:r>
            <w:r w:rsidR="009A5DF8" w:rsidRPr="00EB6C61">
              <w:rPr>
                <w:b/>
                <w:sz w:val="20"/>
                <w:szCs w:val="20"/>
              </w:rPr>
              <w:t xml:space="preserve">00.0 </w:t>
            </w:r>
          </w:p>
        </w:tc>
      </w:tr>
    </w:tbl>
    <w:p w:rsidR="00B550FD" w:rsidRPr="00B550FD" w:rsidRDefault="00B550FD" w:rsidP="00251690">
      <w:pPr>
        <w:pStyle w:val="Footnotes"/>
        <w:keepNext/>
        <w:keepLines/>
        <w:ind w:left="284" w:hanging="284"/>
      </w:pPr>
      <w:r w:rsidRPr="00B550FD">
        <w:rPr>
          <w:lang w:eastAsia="en-AU"/>
        </w:rPr>
        <w:t>A positive number represents an increase in the relevant budget balance, a negative number a decrease.</w:t>
      </w:r>
    </w:p>
    <w:p w:rsidR="00B550FD" w:rsidRDefault="00B550FD" w:rsidP="00251690">
      <w:pPr>
        <w:pStyle w:val="Footnotes"/>
        <w:keepNext/>
        <w:keepLines/>
        <w:ind w:left="284" w:hanging="284"/>
      </w:pPr>
      <w:r>
        <w:t>Figures may not sum to totals due to rounding</w:t>
      </w:r>
      <w:r w:rsidR="0075751E" w:rsidRPr="00DB4EB9" w:rsidDel="0066665A">
        <w:t>.</w:t>
      </w:r>
    </w:p>
    <w:p w:rsidR="0075751E" w:rsidRPr="00DB4EB9" w:rsidRDefault="00B550FD" w:rsidP="00251690">
      <w:pPr>
        <w:pStyle w:val="Footnotes"/>
        <w:keepNext/>
        <w:keepLines/>
        <w:numPr>
          <w:ilvl w:val="0"/>
          <w:numId w:val="27"/>
        </w:numPr>
        <w:ind w:left="284" w:hanging="284"/>
      </w:pPr>
      <w:r>
        <w:t xml:space="preserve">Indicates </w:t>
      </w:r>
      <w:r w:rsidR="005A2937">
        <w:t>nil</w:t>
      </w:r>
      <w:r>
        <w:t>.</w:t>
      </w:r>
    </w:p>
    <w:p w:rsidR="0075751E" w:rsidRDefault="0075751E" w:rsidP="0075751E">
      <w:pPr>
        <w:pStyle w:val="Heading2"/>
      </w:pPr>
      <w:r w:rsidRPr="00FC6579">
        <w:t>Methodology</w:t>
      </w:r>
    </w:p>
    <w:p w:rsidR="009A5DF8" w:rsidRDefault="009A5DF8" w:rsidP="009A5DF8">
      <w:pPr>
        <w:keepLines/>
      </w:pPr>
      <w:r>
        <w:t>Departmental expen</w:t>
      </w:r>
      <w:r w:rsidR="002845CC">
        <w:t>se</w:t>
      </w:r>
      <w:r>
        <w:t xml:space="preserve"> estimates are accommodated within the capped funding amounts as specified in the request.  These estimates are based on similar programs and account for the net effect of indexation parameters and the efficiency dividend, in accordance with the Department of Finance’s costing practices.</w:t>
      </w:r>
    </w:p>
    <w:p w:rsidR="00B9343A" w:rsidRDefault="009A5DF8" w:rsidP="009A5DF8">
      <w:r w:rsidRPr="00807934">
        <w:t>Administered</w:t>
      </w:r>
      <w:r>
        <w:t xml:space="preserve"> expen</w:t>
      </w:r>
      <w:r w:rsidR="002845CC">
        <w:t>se</w:t>
      </w:r>
      <w:r>
        <w:t xml:space="preserve"> estimates are the remainder of the capped funding amounts after allowing for estimated departmental expenditure. </w:t>
      </w:r>
    </w:p>
    <w:p w:rsidR="0075751E" w:rsidRPr="00FC6579" w:rsidRDefault="0075751E" w:rsidP="0075751E">
      <w:pPr>
        <w:pStyle w:val="Heading2"/>
      </w:pPr>
      <w:r w:rsidRPr="00FC6579">
        <w:t>Data sources</w:t>
      </w:r>
    </w:p>
    <w:p w:rsidR="009A5DF8" w:rsidRDefault="009A5DF8" w:rsidP="0025349E">
      <w:pPr>
        <w:pStyle w:val="Bullet1"/>
        <w:keepLines w:val="0"/>
        <w:numPr>
          <w:ilvl w:val="0"/>
          <w:numId w:val="0"/>
        </w:numPr>
      </w:pPr>
      <w:r>
        <w:t>The Department of Finance provided indexation and efficiency dividend parameters.</w:t>
      </w:r>
    </w:p>
    <w:p w:rsidR="00251690" w:rsidRDefault="00251690" w:rsidP="0025349E">
      <w:pPr>
        <w:pStyle w:val="Bullet1"/>
        <w:keepLines w:val="0"/>
        <w:numPr>
          <w:ilvl w:val="0"/>
          <w:numId w:val="0"/>
        </w:numPr>
      </w:pPr>
    </w:p>
    <w:p w:rsidR="00251690" w:rsidRDefault="00251690" w:rsidP="0025349E">
      <w:pPr>
        <w:pStyle w:val="Bullet1"/>
        <w:keepLines w:val="0"/>
        <w:numPr>
          <w:ilvl w:val="0"/>
          <w:numId w:val="0"/>
        </w:numPr>
        <w:sectPr w:rsidR="00251690" w:rsidSect="00877D54">
          <w:headerReference w:type="first" r:id="rId14"/>
          <w:footerReference w:type="first" r:id="rId15"/>
          <w:pgSz w:w="11907" w:h="16839" w:code="9"/>
          <w:pgMar w:top="1361" w:right="1797" w:bottom="1474" w:left="1797" w:header="709" w:footer="709" w:gutter="0"/>
          <w:cols w:space="708"/>
          <w:titlePg/>
          <w:docGrid w:linePitch="360"/>
        </w:sectPr>
      </w:pPr>
    </w:p>
    <w:p w:rsidR="00B9343A" w:rsidRPr="00FC6579" w:rsidRDefault="00B9343A" w:rsidP="00B9343A">
      <w:pPr>
        <w:pStyle w:val="Heading1"/>
      </w:pPr>
      <w:r w:rsidRPr="00FC6579">
        <w:t>Attachment A:</w:t>
      </w:r>
      <w:r>
        <w:t xml:space="preserve"> </w:t>
      </w:r>
      <w:r w:rsidR="000D308F">
        <w:t xml:space="preserve">Alcohol and </w:t>
      </w:r>
      <w:r w:rsidR="004B471F">
        <w:t xml:space="preserve">other </w:t>
      </w:r>
      <w:r w:rsidR="000D308F">
        <w:t>drug treatment</w:t>
      </w:r>
      <w:r w:rsidR="00C35D99">
        <w:t>—financial </w:t>
      </w:r>
      <w:r>
        <w:t>implications</w:t>
      </w:r>
    </w:p>
    <w:p w:rsidR="00B9343A" w:rsidRDefault="00B9343A" w:rsidP="00B9343A">
      <w:pPr>
        <w:pStyle w:val="Captionheading"/>
        <w:rPr>
          <w:vertAlign w:val="superscript"/>
        </w:rPr>
      </w:pPr>
      <w:r w:rsidRPr="00FC5643">
        <w:t xml:space="preserve">Table </w:t>
      </w:r>
      <w:r>
        <w:t>A1</w:t>
      </w:r>
      <w:r w:rsidRPr="00FC5643">
        <w:t xml:space="preserve">: </w:t>
      </w:r>
      <w:r w:rsidR="004B471F">
        <w:t>Alcohol and other drug treatment—</w:t>
      </w:r>
      <w:r>
        <w:t xml:space="preserve">Financial </w:t>
      </w:r>
      <w:proofErr w:type="gramStart"/>
      <w:r>
        <w:t>implications</w:t>
      </w:r>
      <w:r>
        <w:rPr>
          <w:vertAlign w:val="superscript"/>
        </w:rPr>
        <w:t>(</w:t>
      </w:r>
      <w:proofErr w:type="gramEnd"/>
      <w:r>
        <w:rPr>
          <w:vertAlign w:val="superscript"/>
        </w:rPr>
        <w:t>a)(b)</w:t>
      </w:r>
    </w:p>
    <w:tbl>
      <w:tblPr>
        <w:tblStyle w:val="TableGrid"/>
        <w:tblW w:w="4995"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645"/>
        <w:gridCol w:w="1134"/>
        <w:gridCol w:w="1134"/>
        <w:gridCol w:w="1134"/>
        <w:gridCol w:w="1134"/>
        <w:gridCol w:w="1134"/>
      </w:tblGrid>
      <w:tr w:rsidR="005A228F" w:rsidRPr="00EF1D6A" w:rsidTr="0079280A">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vAlign w:val="center"/>
          </w:tcPr>
          <w:p w:rsidR="005A228F" w:rsidRPr="00EF1D6A" w:rsidRDefault="005A228F" w:rsidP="006854A9">
            <w:pPr>
              <w:pStyle w:val="TableText"/>
              <w:keepNext/>
              <w:keepLines/>
              <w:ind w:left="57" w:right="57"/>
              <w:rPr>
                <w:rFonts w:ascii="Calibri" w:hAnsi="Calibri"/>
                <w:b w:val="0"/>
                <w:szCs w:val="20"/>
              </w:rPr>
            </w:pPr>
            <w:r w:rsidRPr="00EF1D6A">
              <w:rPr>
                <w:rFonts w:ascii="Calibri" w:hAnsi="Calibri"/>
                <w:szCs w:val="20"/>
              </w:rPr>
              <w:t>($m)</w:t>
            </w:r>
          </w:p>
        </w:tc>
        <w:tc>
          <w:tcPr>
            <w:tcW w:w="682" w:type="pct"/>
            <w:tcBorders>
              <w:top w:val="single" w:sz="4" w:space="0" w:color="788184"/>
              <w:left w:val="single" w:sz="4" w:space="0" w:color="788184"/>
              <w:bottom w:val="single" w:sz="4" w:space="0" w:color="788184"/>
              <w:right w:val="single" w:sz="4" w:space="0" w:color="788184"/>
            </w:tcBorders>
            <w:vAlign w:val="center"/>
          </w:tcPr>
          <w:p w:rsidR="005A228F" w:rsidRPr="00C24267" w:rsidRDefault="005A228F" w:rsidP="0079280A">
            <w:pPr>
              <w:pStyle w:val="TableHeadingCentred"/>
              <w:ind w:left="57" w:right="57"/>
              <w:jc w:val="center"/>
              <w:cnfStyle w:val="100000000000" w:firstRow="1" w:lastRow="0" w:firstColumn="0" w:lastColumn="0" w:oddVBand="0" w:evenVBand="0" w:oddHBand="0" w:evenHBand="0" w:firstRowFirstColumn="0" w:firstRowLastColumn="0" w:lastRowFirstColumn="0" w:lastRowLastColumn="0"/>
              <w:rPr>
                <w:b w:val="0"/>
                <w:szCs w:val="20"/>
              </w:rPr>
            </w:pPr>
            <w:r w:rsidRPr="00C24267">
              <w:t>2016–17</w:t>
            </w:r>
          </w:p>
        </w:tc>
        <w:tc>
          <w:tcPr>
            <w:tcW w:w="682" w:type="pct"/>
            <w:tcBorders>
              <w:top w:val="single" w:sz="4" w:space="0" w:color="788184"/>
              <w:left w:val="single" w:sz="4" w:space="0" w:color="788184"/>
              <w:bottom w:val="single" w:sz="4" w:space="0" w:color="788184"/>
              <w:right w:val="single" w:sz="4" w:space="0" w:color="788184"/>
            </w:tcBorders>
            <w:vAlign w:val="center"/>
          </w:tcPr>
          <w:p w:rsidR="005A228F" w:rsidRPr="00C24267" w:rsidRDefault="005A228F" w:rsidP="0079280A">
            <w:pPr>
              <w:pStyle w:val="TableHeadingCentred"/>
              <w:ind w:left="57" w:right="57"/>
              <w:jc w:val="center"/>
              <w:cnfStyle w:val="100000000000" w:firstRow="1" w:lastRow="0" w:firstColumn="0" w:lastColumn="0" w:oddVBand="0" w:evenVBand="0" w:oddHBand="0" w:evenHBand="0" w:firstRowFirstColumn="0" w:firstRowLastColumn="0" w:lastRowFirstColumn="0" w:lastRowLastColumn="0"/>
              <w:rPr>
                <w:b w:val="0"/>
                <w:szCs w:val="20"/>
              </w:rPr>
            </w:pPr>
            <w:r w:rsidRPr="00C24267">
              <w:t>2017–18</w:t>
            </w:r>
          </w:p>
        </w:tc>
        <w:tc>
          <w:tcPr>
            <w:tcW w:w="682" w:type="pct"/>
            <w:tcBorders>
              <w:top w:val="single" w:sz="4" w:space="0" w:color="788184"/>
              <w:left w:val="single" w:sz="4" w:space="0" w:color="788184"/>
              <w:bottom w:val="single" w:sz="4" w:space="0" w:color="788184"/>
              <w:right w:val="single" w:sz="4" w:space="0" w:color="788184"/>
            </w:tcBorders>
            <w:vAlign w:val="center"/>
          </w:tcPr>
          <w:p w:rsidR="005A228F" w:rsidRPr="00C24267" w:rsidRDefault="005A228F" w:rsidP="0079280A">
            <w:pPr>
              <w:pStyle w:val="TableHeadingCentred"/>
              <w:ind w:left="57" w:right="57"/>
              <w:jc w:val="center"/>
              <w:cnfStyle w:val="100000000000" w:firstRow="1" w:lastRow="0" w:firstColumn="0" w:lastColumn="0" w:oddVBand="0" w:evenVBand="0" w:oddHBand="0" w:evenHBand="0" w:firstRowFirstColumn="0" w:firstRowLastColumn="0" w:lastRowFirstColumn="0" w:lastRowLastColumn="0"/>
              <w:rPr>
                <w:b w:val="0"/>
                <w:szCs w:val="20"/>
              </w:rPr>
            </w:pPr>
            <w:r w:rsidRPr="00C24267">
              <w:t>2018–19</w:t>
            </w:r>
          </w:p>
        </w:tc>
        <w:tc>
          <w:tcPr>
            <w:tcW w:w="682" w:type="pct"/>
            <w:tcBorders>
              <w:top w:val="single" w:sz="4" w:space="0" w:color="788184"/>
              <w:left w:val="single" w:sz="4" w:space="0" w:color="788184"/>
              <w:bottom w:val="single" w:sz="4" w:space="0" w:color="788184"/>
              <w:right w:val="single" w:sz="4" w:space="0" w:color="788184"/>
            </w:tcBorders>
            <w:vAlign w:val="center"/>
          </w:tcPr>
          <w:p w:rsidR="005A228F" w:rsidRPr="00C24267" w:rsidRDefault="005A228F" w:rsidP="0079280A">
            <w:pPr>
              <w:pStyle w:val="TableHeadingCentred"/>
              <w:ind w:left="57" w:right="57"/>
              <w:jc w:val="center"/>
              <w:cnfStyle w:val="100000000000" w:firstRow="1" w:lastRow="0" w:firstColumn="0" w:lastColumn="0" w:oddVBand="0" w:evenVBand="0" w:oddHBand="0" w:evenHBand="0" w:firstRowFirstColumn="0" w:firstRowLastColumn="0" w:lastRowFirstColumn="0" w:lastRowLastColumn="0"/>
              <w:rPr>
                <w:b w:val="0"/>
                <w:szCs w:val="20"/>
              </w:rPr>
            </w:pPr>
            <w:r w:rsidRPr="00C24267">
              <w:t>2019–20</w:t>
            </w:r>
          </w:p>
        </w:tc>
        <w:tc>
          <w:tcPr>
            <w:tcW w:w="682" w:type="pct"/>
            <w:tcBorders>
              <w:top w:val="single" w:sz="4" w:space="0" w:color="788184"/>
              <w:left w:val="single" w:sz="4" w:space="0" w:color="788184"/>
              <w:bottom w:val="single" w:sz="4" w:space="0" w:color="788184"/>
              <w:right w:val="single" w:sz="4" w:space="0" w:color="788184"/>
            </w:tcBorders>
            <w:vAlign w:val="center"/>
          </w:tcPr>
          <w:p w:rsidR="005A228F" w:rsidRPr="00AE30B5" w:rsidRDefault="005A228F" w:rsidP="0079280A">
            <w:pPr>
              <w:pStyle w:val="TableHeadingCentred"/>
              <w:ind w:left="57" w:right="57"/>
              <w:jc w:val="center"/>
              <w:cnfStyle w:val="100000000000" w:firstRow="1" w:lastRow="0" w:firstColumn="0" w:lastColumn="0" w:oddVBand="0" w:evenVBand="0" w:oddHBand="0" w:evenHBand="0" w:firstRowFirstColumn="0" w:firstRowLastColumn="0" w:lastRowFirstColumn="0" w:lastRowLastColumn="0"/>
              <w:rPr>
                <w:b w:val="0"/>
                <w:szCs w:val="20"/>
                <w:vertAlign w:val="superscript"/>
              </w:rPr>
            </w:pPr>
            <w:r w:rsidRPr="00AE30B5">
              <w:t>Total</w:t>
            </w:r>
            <w:r w:rsidRPr="00AE30B5">
              <w:rPr>
                <w:szCs w:val="20"/>
              </w:rPr>
              <w:t xml:space="preserve"> to 2019–20</w:t>
            </w:r>
          </w:p>
        </w:tc>
      </w:tr>
      <w:tr w:rsidR="005A228F" w:rsidRPr="00EF1D6A" w:rsidTr="002144F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5A228F" w:rsidRPr="00AE30B5" w:rsidRDefault="00E24FE2" w:rsidP="00E24FE2">
            <w:pPr>
              <w:pStyle w:val="TableHeadingCentred"/>
              <w:ind w:left="57" w:right="57"/>
              <w:jc w:val="left"/>
              <w:rPr>
                <w:b/>
              </w:rPr>
            </w:pPr>
            <w:r>
              <w:rPr>
                <w:b/>
              </w:rPr>
              <w:t>Impact on f</w:t>
            </w:r>
            <w:r w:rsidR="005A228F" w:rsidRPr="00AE30B5">
              <w:rPr>
                <w:b/>
              </w:rPr>
              <w:t>iscal and underlying cash balances</w:t>
            </w:r>
          </w:p>
        </w:tc>
      </w:tr>
      <w:tr w:rsidR="004713C6" w:rsidRPr="0066665A" w:rsidTr="004713C6">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4713C6" w:rsidRPr="00AB55AE" w:rsidRDefault="004713C6" w:rsidP="002144FA">
            <w:pPr>
              <w:pStyle w:val="TableTextCentred"/>
              <w:keepNext/>
              <w:keepLines/>
              <w:ind w:left="57" w:right="57"/>
              <w:jc w:val="left"/>
              <w:rPr>
                <w:i/>
                <w:szCs w:val="20"/>
              </w:rPr>
            </w:pPr>
            <w:r>
              <w:rPr>
                <w:i/>
                <w:szCs w:val="20"/>
              </w:rPr>
              <w:t>Administered</w:t>
            </w:r>
          </w:p>
        </w:tc>
        <w:tc>
          <w:tcPr>
            <w:tcW w:w="682" w:type="pct"/>
            <w:tcBorders>
              <w:top w:val="single" w:sz="4" w:space="0" w:color="788184"/>
              <w:left w:val="single" w:sz="4" w:space="0" w:color="788184"/>
              <w:bottom w:val="single" w:sz="4" w:space="0" w:color="788184"/>
              <w:right w:val="single" w:sz="4" w:space="0" w:color="788184"/>
            </w:tcBorders>
          </w:tcPr>
          <w:p w:rsidR="004713C6" w:rsidRPr="00AA3D6F" w:rsidRDefault="004713C6" w:rsidP="002144FA">
            <w:pPr>
              <w:pStyle w:val="TableTextRight"/>
              <w:ind w:left="57" w:right="57"/>
              <w:cnfStyle w:val="000000000000" w:firstRow="0" w:lastRow="0" w:firstColumn="0" w:lastColumn="0" w:oddVBand="0" w:evenVBand="0" w:oddHBand="0" w:evenHBand="0" w:firstRowFirstColumn="0" w:firstRowLastColumn="0" w:lastRowFirstColumn="0" w:lastRowLastColumn="0"/>
            </w:pPr>
            <w:r>
              <w:t>-</w:t>
            </w:r>
          </w:p>
        </w:tc>
        <w:tc>
          <w:tcPr>
            <w:tcW w:w="682" w:type="pct"/>
            <w:tcBorders>
              <w:top w:val="single" w:sz="4" w:space="0" w:color="788184"/>
              <w:left w:val="single" w:sz="4" w:space="0" w:color="788184"/>
              <w:bottom w:val="single" w:sz="4" w:space="0" w:color="788184"/>
              <w:right w:val="single" w:sz="4" w:space="0" w:color="788184"/>
            </w:tcBorders>
            <w:vAlign w:val="bottom"/>
          </w:tcPr>
          <w:p w:rsidR="004713C6" w:rsidRPr="00AA3D6F" w:rsidRDefault="004713C6" w:rsidP="00AB263F">
            <w:pPr>
              <w:pStyle w:val="TableTextRight"/>
              <w:ind w:left="57" w:right="57"/>
              <w:cnfStyle w:val="000000000000" w:firstRow="0" w:lastRow="0" w:firstColumn="0" w:lastColumn="0" w:oddVBand="0" w:evenVBand="0" w:oddHBand="0" w:evenHBand="0" w:firstRowFirstColumn="0" w:firstRowLastColumn="0" w:lastRowFirstColumn="0" w:lastRowLastColumn="0"/>
            </w:pPr>
            <w:r>
              <w:rPr>
                <w:rFonts w:ascii="Calibri" w:hAnsi="Calibri"/>
                <w:color w:val="000000"/>
                <w:szCs w:val="20"/>
              </w:rPr>
              <w:t xml:space="preserve">-199.2 </w:t>
            </w:r>
          </w:p>
        </w:tc>
        <w:tc>
          <w:tcPr>
            <w:tcW w:w="682" w:type="pct"/>
            <w:tcBorders>
              <w:top w:val="single" w:sz="4" w:space="0" w:color="788184"/>
              <w:left w:val="single" w:sz="4" w:space="0" w:color="788184"/>
              <w:bottom w:val="single" w:sz="4" w:space="0" w:color="788184"/>
              <w:right w:val="single" w:sz="4" w:space="0" w:color="788184"/>
            </w:tcBorders>
            <w:vAlign w:val="bottom"/>
          </w:tcPr>
          <w:p w:rsidR="004713C6" w:rsidRPr="00AA3D6F" w:rsidRDefault="004713C6" w:rsidP="002144FA">
            <w:pPr>
              <w:pStyle w:val="TableTextRight"/>
              <w:ind w:left="57" w:right="57"/>
              <w:cnfStyle w:val="000000000000" w:firstRow="0" w:lastRow="0" w:firstColumn="0" w:lastColumn="0" w:oddVBand="0" w:evenVBand="0" w:oddHBand="0" w:evenHBand="0" w:firstRowFirstColumn="0" w:firstRowLastColumn="0" w:lastRowFirstColumn="0" w:lastRowLastColumn="0"/>
            </w:pPr>
            <w:r>
              <w:rPr>
                <w:rFonts w:ascii="Calibri" w:hAnsi="Calibri"/>
                <w:color w:val="000000"/>
                <w:szCs w:val="20"/>
              </w:rPr>
              <w:t xml:space="preserve">-299.1 </w:t>
            </w:r>
          </w:p>
        </w:tc>
        <w:tc>
          <w:tcPr>
            <w:tcW w:w="682" w:type="pct"/>
            <w:tcBorders>
              <w:top w:val="single" w:sz="4" w:space="0" w:color="788184"/>
              <w:left w:val="single" w:sz="4" w:space="0" w:color="788184"/>
              <w:bottom w:val="single" w:sz="4" w:space="0" w:color="788184"/>
              <w:right w:val="single" w:sz="4" w:space="0" w:color="788184"/>
            </w:tcBorders>
            <w:vAlign w:val="bottom"/>
          </w:tcPr>
          <w:p w:rsidR="004713C6" w:rsidRPr="00AA3D6F" w:rsidRDefault="004713C6" w:rsidP="005A2937">
            <w:pPr>
              <w:pStyle w:val="TableTextRight"/>
              <w:ind w:left="57" w:right="57"/>
              <w:cnfStyle w:val="000000000000" w:firstRow="0" w:lastRow="0" w:firstColumn="0" w:lastColumn="0" w:oddVBand="0" w:evenVBand="0" w:oddHBand="0" w:evenHBand="0" w:firstRowFirstColumn="0" w:firstRowLastColumn="0" w:lastRowFirstColumn="0" w:lastRowLastColumn="0"/>
            </w:pPr>
            <w:r>
              <w:rPr>
                <w:rFonts w:ascii="Calibri" w:hAnsi="Calibri"/>
                <w:color w:val="000000"/>
                <w:szCs w:val="20"/>
              </w:rPr>
              <w:t xml:space="preserve">-398.9 </w:t>
            </w:r>
          </w:p>
        </w:tc>
        <w:tc>
          <w:tcPr>
            <w:tcW w:w="682" w:type="pct"/>
            <w:tcBorders>
              <w:top w:val="single" w:sz="4" w:space="0" w:color="788184"/>
              <w:left w:val="single" w:sz="4" w:space="0" w:color="788184"/>
              <w:bottom w:val="single" w:sz="4" w:space="0" w:color="788184"/>
              <w:right w:val="single" w:sz="4" w:space="0" w:color="788184"/>
            </w:tcBorders>
            <w:vAlign w:val="bottom"/>
          </w:tcPr>
          <w:p w:rsidR="004713C6" w:rsidRPr="004713C6" w:rsidRDefault="004713C6" w:rsidP="00391B7A">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4713C6">
              <w:rPr>
                <w:rFonts w:ascii="Calibri" w:hAnsi="Calibri"/>
                <w:b/>
                <w:color w:val="000000"/>
                <w:szCs w:val="20"/>
              </w:rPr>
              <w:t xml:space="preserve">-897.2 </w:t>
            </w:r>
          </w:p>
        </w:tc>
      </w:tr>
      <w:tr w:rsidR="004713C6" w:rsidRPr="0066665A" w:rsidTr="004713C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4713C6" w:rsidRPr="00AB55AE" w:rsidRDefault="004713C6" w:rsidP="002144FA">
            <w:pPr>
              <w:pStyle w:val="TableTextCentred"/>
              <w:keepNext/>
              <w:keepLines/>
              <w:ind w:left="57" w:right="57"/>
              <w:jc w:val="left"/>
              <w:rPr>
                <w:i/>
                <w:szCs w:val="20"/>
              </w:rPr>
            </w:pPr>
            <w:r>
              <w:rPr>
                <w:i/>
                <w:szCs w:val="20"/>
              </w:rPr>
              <w:t>Departmental</w:t>
            </w:r>
          </w:p>
        </w:tc>
        <w:tc>
          <w:tcPr>
            <w:tcW w:w="682" w:type="pct"/>
            <w:tcBorders>
              <w:top w:val="single" w:sz="4" w:space="0" w:color="788184"/>
              <w:left w:val="single" w:sz="4" w:space="0" w:color="788184"/>
              <w:bottom w:val="single" w:sz="4" w:space="0" w:color="788184"/>
              <w:right w:val="single" w:sz="4" w:space="0" w:color="788184"/>
            </w:tcBorders>
          </w:tcPr>
          <w:p w:rsidR="004713C6" w:rsidRPr="00AA3D6F" w:rsidRDefault="004713C6" w:rsidP="002144FA">
            <w:pPr>
              <w:pStyle w:val="TableTextRight"/>
              <w:ind w:left="57" w:right="57"/>
              <w:cnfStyle w:val="000000100000" w:firstRow="0" w:lastRow="0" w:firstColumn="0" w:lastColumn="0" w:oddVBand="0" w:evenVBand="0" w:oddHBand="1" w:evenHBand="0" w:firstRowFirstColumn="0" w:firstRowLastColumn="0" w:lastRowFirstColumn="0" w:lastRowLastColumn="0"/>
            </w:pPr>
            <w:r>
              <w:t>-</w:t>
            </w:r>
          </w:p>
        </w:tc>
        <w:tc>
          <w:tcPr>
            <w:tcW w:w="682" w:type="pct"/>
            <w:tcBorders>
              <w:top w:val="single" w:sz="4" w:space="0" w:color="788184"/>
              <w:left w:val="single" w:sz="4" w:space="0" w:color="788184"/>
              <w:bottom w:val="single" w:sz="4" w:space="0" w:color="788184"/>
              <w:right w:val="single" w:sz="4" w:space="0" w:color="788184"/>
            </w:tcBorders>
            <w:vAlign w:val="bottom"/>
          </w:tcPr>
          <w:p w:rsidR="004713C6" w:rsidRPr="00AA3D6F" w:rsidRDefault="004713C6" w:rsidP="002144FA">
            <w:pPr>
              <w:pStyle w:val="TableTextRight"/>
              <w:ind w:left="57" w:right="57"/>
              <w:cnfStyle w:val="000000100000" w:firstRow="0" w:lastRow="0" w:firstColumn="0" w:lastColumn="0" w:oddVBand="0" w:evenVBand="0" w:oddHBand="1" w:evenHBand="0" w:firstRowFirstColumn="0" w:firstRowLastColumn="0" w:lastRowFirstColumn="0" w:lastRowLastColumn="0"/>
            </w:pPr>
            <w:r>
              <w:rPr>
                <w:rFonts w:ascii="Calibri" w:hAnsi="Calibri"/>
                <w:color w:val="000000"/>
                <w:szCs w:val="20"/>
              </w:rPr>
              <w:t>-0.8</w:t>
            </w:r>
          </w:p>
        </w:tc>
        <w:tc>
          <w:tcPr>
            <w:tcW w:w="682" w:type="pct"/>
            <w:tcBorders>
              <w:top w:val="single" w:sz="4" w:space="0" w:color="788184"/>
              <w:left w:val="single" w:sz="4" w:space="0" w:color="788184"/>
              <w:bottom w:val="single" w:sz="4" w:space="0" w:color="788184"/>
              <w:right w:val="single" w:sz="4" w:space="0" w:color="788184"/>
            </w:tcBorders>
            <w:vAlign w:val="bottom"/>
          </w:tcPr>
          <w:p w:rsidR="004713C6" w:rsidRPr="00AA3D6F" w:rsidRDefault="004713C6" w:rsidP="002144FA">
            <w:pPr>
              <w:pStyle w:val="TableTextRight"/>
              <w:ind w:left="57" w:right="57"/>
              <w:cnfStyle w:val="000000100000" w:firstRow="0" w:lastRow="0" w:firstColumn="0" w:lastColumn="0" w:oddVBand="0" w:evenVBand="0" w:oddHBand="1" w:evenHBand="0" w:firstRowFirstColumn="0" w:firstRowLastColumn="0" w:lastRowFirstColumn="0" w:lastRowLastColumn="0"/>
            </w:pPr>
            <w:r>
              <w:rPr>
                <w:rFonts w:ascii="Calibri" w:hAnsi="Calibri"/>
                <w:color w:val="000000"/>
                <w:szCs w:val="20"/>
              </w:rPr>
              <w:t>-0.9</w:t>
            </w:r>
          </w:p>
        </w:tc>
        <w:tc>
          <w:tcPr>
            <w:tcW w:w="682" w:type="pct"/>
            <w:tcBorders>
              <w:top w:val="single" w:sz="4" w:space="0" w:color="788184"/>
              <w:left w:val="single" w:sz="4" w:space="0" w:color="788184"/>
              <w:bottom w:val="single" w:sz="4" w:space="0" w:color="788184"/>
              <w:right w:val="single" w:sz="4" w:space="0" w:color="788184"/>
            </w:tcBorders>
            <w:vAlign w:val="bottom"/>
          </w:tcPr>
          <w:p w:rsidR="004713C6" w:rsidRPr="00AA3D6F" w:rsidRDefault="004713C6" w:rsidP="00A0452E">
            <w:pPr>
              <w:pStyle w:val="TableTextRight"/>
              <w:ind w:left="57" w:right="57"/>
              <w:cnfStyle w:val="000000100000" w:firstRow="0" w:lastRow="0" w:firstColumn="0" w:lastColumn="0" w:oddVBand="0" w:evenVBand="0" w:oddHBand="1" w:evenHBand="0" w:firstRowFirstColumn="0" w:firstRowLastColumn="0" w:lastRowFirstColumn="0" w:lastRowLastColumn="0"/>
            </w:pPr>
            <w:r>
              <w:rPr>
                <w:rFonts w:ascii="Calibri" w:hAnsi="Calibri"/>
                <w:color w:val="000000"/>
                <w:szCs w:val="20"/>
              </w:rPr>
              <w:t>-1.1</w:t>
            </w:r>
          </w:p>
        </w:tc>
        <w:tc>
          <w:tcPr>
            <w:tcW w:w="682" w:type="pct"/>
            <w:tcBorders>
              <w:top w:val="single" w:sz="4" w:space="0" w:color="788184"/>
              <w:left w:val="single" w:sz="4" w:space="0" w:color="788184"/>
              <w:bottom w:val="single" w:sz="4" w:space="0" w:color="788184"/>
              <w:right w:val="single" w:sz="4" w:space="0" w:color="788184"/>
            </w:tcBorders>
            <w:vAlign w:val="bottom"/>
          </w:tcPr>
          <w:p w:rsidR="004713C6" w:rsidRPr="004713C6" w:rsidRDefault="004713C6" w:rsidP="002144FA">
            <w:pPr>
              <w:pStyle w:val="TableTextRight"/>
              <w:ind w:left="57" w:right="57"/>
              <w:cnfStyle w:val="000000100000" w:firstRow="0" w:lastRow="0" w:firstColumn="0" w:lastColumn="0" w:oddVBand="0" w:evenVBand="0" w:oddHBand="1" w:evenHBand="0" w:firstRowFirstColumn="0" w:firstRowLastColumn="0" w:lastRowFirstColumn="0" w:lastRowLastColumn="0"/>
              <w:rPr>
                <w:b/>
              </w:rPr>
            </w:pPr>
            <w:r w:rsidRPr="004713C6">
              <w:rPr>
                <w:rFonts w:ascii="Calibri" w:hAnsi="Calibri"/>
                <w:b/>
                <w:color w:val="000000"/>
                <w:szCs w:val="20"/>
              </w:rPr>
              <w:t>-2.8</w:t>
            </w:r>
          </w:p>
        </w:tc>
      </w:tr>
      <w:tr w:rsidR="004713C6" w:rsidRPr="0055406D" w:rsidTr="004713C6">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D7DDE9"/>
          </w:tcPr>
          <w:p w:rsidR="004713C6" w:rsidRPr="0055406D" w:rsidRDefault="004713C6" w:rsidP="002144FA">
            <w:pPr>
              <w:pStyle w:val="TableTextCentred"/>
              <w:keepNext/>
              <w:keepLines/>
              <w:ind w:left="57" w:right="57"/>
              <w:jc w:val="left"/>
              <w:rPr>
                <w:b/>
                <w:szCs w:val="20"/>
              </w:rPr>
            </w:pPr>
            <w:r w:rsidRPr="0055406D">
              <w:rPr>
                <w:b/>
                <w:szCs w:val="20"/>
              </w:rPr>
              <w:t>Total</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4713C6" w:rsidRPr="004713C6" w:rsidRDefault="004713C6" w:rsidP="002144FA">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4713C6">
              <w:rPr>
                <w:b/>
              </w:rPr>
              <w:t>-</w:t>
            </w:r>
          </w:p>
        </w:tc>
        <w:tc>
          <w:tcPr>
            <w:tcW w:w="682"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4713C6" w:rsidRPr="004713C6" w:rsidRDefault="004713C6" w:rsidP="002144FA">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4713C6">
              <w:rPr>
                <w:rFonts w:ascii="Calibri" w:hAnsi="Calibri"/>
                <w:b/>
                <w:color w:val="000000"/>
                <w:szCs w:val="20"/>
              </w:rPr>
              <w:t xml:space="preserve">-200.0 </w:t>
            </w:r>
          </w:p>
        </w:tc>
        <w:tc>
          <w:tcPr>
            <w:tcW w:w="682"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4713C6" w:rsidRPr="004713C6" w:rsidRDefault="004713C6" w:rsidP="002144FA">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4713C6">
              <w:rPr>
                <w:rFonts w:ascii="Calibri" w:hAnsi="Calibri"/>
                <w:b/>
                <w:color w:val="000000"/>
                <w:szCs w:val="20"/>
              </w:rPr>
              <w:t xml:space="preserve">-300.0 </w:t>
            </w:r>
          </w:p>
        </w:tc>
        <w:tc>
          <w:tcPr>
            <w:tcW w:w="682"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4713C6" w:rsidRPr="004713C6" w:rsidRDefault="004713C6" w:rsidP="002144FA">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4713C6">
              <w:rPr>
                <w:rFonts w:ascii="Calibri" w:hAnsi="Calibri"/>
                <w:b/>
                <w:color w:val="000000"/>
                <w:szCs w:val="20"/>
              </w:rPr>
              <w:t xml:space="preserve">-400.0 </w:t>
            </w:r>
          </w:p>
        </w:tc>
        <w:tc>
          <w:tcPr>
            <w:tcW w:w="682" w:type="pct"/>
            <w:tcBorders>
              <w:top w:val="single" w:sz="4" w:space="0" w:color="788184"/>
              <w:left w:val="single" w:sz="4" w:space="0" w:color="788184"/>
              <w:bottom w:val="single" w:sz="4" w:space="0" w:color="788184"/>
              <w:right w:val="single" w:sz="4" w:space="0" w:color="788184"/>
            </w:tcBorders>
            <w:shd w:val="clear" w:color="auto" w:fill="D7DDE9"/>
            <w:vAlign w:val="bottom"/>
          </w:tcPr>
          <w:p w:rsidR="004713C6" w:rsidRPr="004713C6" w:rsidRDefault="004713C6" w:rsidP="00391B7A">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4713C6">
              <w:rPr>
                <w:rFonts w:ascii="Calibri" w:hAnsi="Calibri"/>
                <w:b/>
                <w:color w:val="000000"/>
                <w:szCs w:val="20"/>
              </w:rPr>
              <w:t xml:space="preserve">-900.0 </w:t>
            </w:r>
          </w:p>
        </w:tc>
      </w:tr>
    </w:tbl>
    <w:p w:rsidR="005A2937" w:rsidRDefault="005A2937" w:rsidP="00251690">
      <w:pPr>
        <w:pStyle w:val="Footnotes"/>
        <w:numPr>
          <w:ilvl w:val="0"/>
          <w:numId w:val="26"/>
        </w:numPr>
        <w:ind w:left="284" w:hanging="284"/>
      </w:pPr>
      <w:r>
        <w:t xml:space="preserve">A positive number indicates an increase in revenue or decrease in expenses or net capital investment in accrual and cash terms. </w:t>
      </w:r>
      <w:r w:rsidR="009050BE">
        <w:t xml:space="preserve"> </w:t>
      </w:r>
      <w:r>
        <w:t xml:space="preserve">A negative number indicates a decrease in revenue or an increase in expenses or net capital investment in accrual and cash terms.  </w:t>
      </w:r>
    </w:p>
    <w:p w:rsidR="005A2937" w:rsidRDefault="005A2937" w:rsidP="00251690">
      <w:pPr>
        <w:pStyle w:val="Footnotes"/>
        <w:numPr>
          <w:ilvl w:val="0"/>
          <w:numId w:val="26"/>
        </w:numPr>
        <w:ind w:left="284" w:hanging="284"/>
      </w:pPr>
      <w:r>
        <w:t>Figures may not sum to totals due to rounding.</w:t>
      </w:r>
    </w:p>
    <w:p w:rsidR="00485374" w:rsidRPr="00FC6579" w:rsidRDefault="005A228F" w:rsidP="00251690">
      <w:pPr>
        <w:pStyle w:val="Footnotes"/>
        <w:numPr>
          <w:ilvl w:val="0"/>
          <w:numId w:val="27"/>
        </w:numPr>
        <w:ind w:left="284" w:hanging="284"/>
      </w:pPr>
      <w:r>
        <w:t xml:space="preserve">Indicates </w:t>
      </w:r>
      <w:r w:rsidR="005A2937">
        <w:t>nil</w:t>
      </w:r>
      <w:r>
        <w:t>.</w:t>
      </w:r>
    </w:p>
    <w:sectPr w:rsidR="00485374" w:rsidRPr="00FC6579" w:rsidSect="00877D54">
      <w:headerReference w:type="first" r:id="rId16"/>
      <w:pgSz w:w="11907" w:h="16839" w:code="9"/>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1E" w:rsidRDefault="0075751E" w:rsidP="008F588A">
      <w:pPr>
        <w:spacing w:line="240" w:lineRule="auto"/>
      </w:pPr>
      <w:r>
        <w:separator/>
      </w:r>
    </w:p>
    <w:p w:rsidR="0075751E" w:rsidRDefault="0075751E"/>
  </w:endnote>
  <w:endnote w:type="continuationSeparator" w:id="0">
    <w:p w:rsidR="0075751E" w:rsidRDefault="0075751E" w:rsidP="008F588A">
      <w:pPr>
        <w:spacing w:line="240" w:lineRule="auto"/>
      </w:pPr>
      <w:r>
        <w:continuationSeparator/>
      </w:r>
    </w:p>
    <w:p w:rsidR="0075751E" w:rsidRDefault="00757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Pr="00C24267" w:rsidRDefault="00485374"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C35D99">
      <w:rPr>
        <w:noProof/>
      </w:rPr>
      <w:t>3</w:t>
    </w:r>
    <w:r w:rsidRPr="00C24267">
      <w:fldChar w:fldCharType="end"/>
    </w:r>
    <w:r w:rsidRPr="00C24267">
      <w:t xml:space="preserve"> of </w:t>
    </w:r>
    <w:fldSimple w:instr=" NUMPAGES  \* Arabic  \* MERGEFORMAT ">
      <w:r w:rsidR="00C35D99">
        <w:rPr>
          <w:noProof/>
        </w:rPr>
        <w:t>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Pr="00C24267" w:rsidRDefault="00485374" w:rsidP="00C24267">
    <w:pPr>
      <w:pStyle w:val="Letterfooter"/>
    </w:pPr>
    <w:r w:rsidRPr="00C24267">
      <w:t>Parliamentary Budget Office   PO Box 6010   Parliament House   Canberra ACT 2600</w:t>
    </w:r>
  </w:p>
  <w:p w:rsidR="00485374" w:rsidRPr="00C24267" w:rsidRDefault="00485374"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Pr="00C24267" w:rsidRDefault="00485374"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F65A05">
      <w:rPr>
        <w:noProof/>
      </w:rPr>
      <w:t>2</w:t>
    </w:r>
    <w:r w:rsidRPr="00C24267">
      <w:fldChar w:fldCharType="end"/>
    </w:r>
    <w:r w:rsidRPr="00C24267">
      <w:t xml:space="preserve"> of </w:t>
    </w:r>
    <w:fldSimple w:instr=" NUMPAGES  \* Arabic  \* MERGEFORMAT ">
      <w:r w:rsidR="00F65A05">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1E" w:rsidRDefault="0075751E" w:rsidP="008F588A">
      <w:pPr>
        <w:spacing w:line="240" w:lineRule="auto"/>
      </w:pPr>
      <w:r>
        <w:separator/>
      </w:r>
    </w:p>
    <w:p w:rsidR="0075751E" w:rsidRDefault="0075751E"/>
  </w:footnote>
  <w:footnote w:type="continuationSeparator" w:id="0">
    <w:p w:rsidR="0075751E" w:rsidRDefault="0075751E" w:rsidP="008F588A">
      <w:pPr>
        <w:spacing w:line="240" w:lineRule="auto"/>
      </w:pPr>
      <w:r>
        <w:continuationSeparator/>
      </w:r>
    </w:p>
    <w:p w:rsidR="0075751E" w:rsidRDefault="007575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Default="00485374" w:rsidP="00CB40E1">
    <w:pPr>
      <w:pStyle w:val="Header"/>
    </w:pPr>
    <w:r>
      <w:rPr>
        <w:noProof/>
        <w:lang w:eastAsia="en-AU"/>
      </w:rPr>
      <w:drawing>
        <wp:inline distT="0" distB="0" distL="0" distR="0" wp14:anchorId="4BB5E094" wp14:editId="1B756AE7">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485374" w:rsidRPr="00DA1C8A" w:rsidRDefault="00485374"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9D" w:rsidRPr="00855E9D" w:rsidRDefault="00855E9D" w:rsidP="00855E9D">
    <w:pPr>
      <w:pStyle w:val="Header"/>
      <w:spacing w:before="0" w:after="0"/>
      <w:rPr>
        <w:b/>
        <w:color w:val="000000" w:themeColor="text1"/>
        <w:sz w:val="28"/>
        <w:szCs w:val="28"/>
      </w:rPr>
    </w:pPr>
    <w:r>
      <w:rPr>
        <w:noProof/>
        <w:lang w:eastAsia="en-AU"/>
      </w:rPr>
      <w:drawing>
        <wp:inline distT="0" distB="0" distL="0" distR="0" wp14:anchorId="641E01EA" wp14:editId="6E3C509C">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690" w:rsidRPr="00251690" w:rsidRDefault="00251690" w:rsidP="00251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3">
    <w:nsid w:val="18E65343"/>
    <w:multiLevelType w:val="hybridMultilevel"/>
    <w:tmpl w:val="73060A7A"/>
    <w:lvl w:ilvl="0" w:tplc="BE1A734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7">
    <w:nsid w:val="286573C2"/>
    <w:multiLevelType w:val="hybridMultilevel"/>
    <w:tmpl w:val="325C7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C1E40C2"/>
    <w:multiLevelType w:val="hybridMultilevel"/>
    <w:tmpl w:val="41B08572"/>
    <w:lvl w:ilvl="0" w:tplc="3F1EDEFE">
      <w:start w:val="1"/>
      <w:numFmt w:val="bullet"/>
      <w:lvlText w:val=""/>
      <w:lvlJc w:val="left"/>
      <w:pPr>
        <w:ind w:left="284" w:hanging="284"/>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EE42E53"/>
    <w:multiLevelType w:val="hybridMultilevel"/>
    <w:tmpl w:val="51F817E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2FFE5D65"/>
    <w:multiLevelType w:val="hybridMultilevel"/>
    <w:tmpl w:val="46C41CB4"/>
    <w:lvl w:ilvl="0" w:tplc="4056774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E45E35"/>
    <w:multiLevelType w:val="hybridMultilevel"/>
    <w:tmpl w:val="10FABF96"/>
    <w:lvl w:ilvl="0" w:tplc="AA4A7A52">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2">
    <w:nsid w:val="4B6E6F7E"/>
    <w:multiLevelType w:val="hybridMultilevel"/>
    <w:tmpl w:val="A1E0B2E6"/>
    <w:lvl w:ilvl="0" w:tplc="0DBAFB0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650069C"/>
    <w:multiLevelType w:val="hybridMultilevel"/>
    <w:tmpl w:val="40846676"/>
    <w:lvl w:ilvl="0" w:tplc="BE1A734A">
      <w:numFmt w:val="bullet"/>
      <w:lvlText w:val="-"/>
      <w:lvlJc w:val="left"/>
      <w:pPr>
        <w:ind w:left="833" w:hanging="360"/>
      </w:pPr>
      <w:rPr>
        <w:rFonts w:ascii="Calibri" w:eastAsiaTheme="minorHAnsi" w:hAnsi="Calibri" w:cstheme="minorBidi"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4">
    <w:nsid w:val="665E7B5A"/>
    <w:multiLevelType w:val="hybridMultilevel"/>
    <w:tmpl w:val="F2C28104"/>
    <w:lvl w:ilvl="0" w:tplc="926CBE88">
      <w:start w:val="1"/>
      <w:numFmt w:val="bullet"/>
      <w:lvlText w:val=""/>
      <w:lvlJc w:val="left"/>
      <w:pPr>
        <w:ind w:left="360" w:hanging="360"/>
      </w:pPr>
      <w:rPr>
        <w:rFonts w:ascii="Symbol" w:hAnsi="Symbol" w:hint="default"/>
      </w:rPr>
    </w:lvl>
    <w:lvl w:ilvl="1" w:tplc="9CA266AC">
      <w:start w:val="1"/>
      <w:numFmt w:val="bullet"/>
      <w:lvlText w:val="-"/>
      <w:lvlJc w:val="left"/>
      <w:pPr>
        <w:ind w:left="1080" w:hanging="360"/>
      </w:pPr>
      <w:rPr>
        <w:rFonts w:ascii="Times New Roman" w:hAnsi="Times New Roman" w:cs="Times New Roman" w:hint="default"/>
      </w:rPr>
    </w:lvl>
    <w:lvl w:ilvl="2" w:tplc="91389894">
      <w:start w:val="1"/>
      <w:numFmt w:val="bullet"/>
      <w:lvlText w:val="+"/>
      <w:lvlJc w:val="left"/>
      <w:pPr>
        <w:ind w:left="1800" w:hanging="360"/>
      </w:pPr>
      <w:rPr>
        <w:rFonts w:ascii="Times New Roman"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6F514E6E"/>
    <w:multiLevelType w:val="hybridMultilevel"/>
    <w:tmpl w:val="1CC8899C"/>
    <w:lvl w:ilvl="0" w:tplc="8266109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7">
    <w:nsid w:val="7D160941"/>
    <w:multiLevelType w:val="hybridMultilevel"/>
    <w:tmpl w:val="A416517C"/>
    <w:lvl w:ilvl="0" w:tplc="9092B52A">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6"/>
  </w:num>
  <w:num w:numId="6">
    <w:abstractNumId w:val="11"/>
  </w:num>
  <w:num w:numId="7">
    <w:abstractNumId w:val="11"/>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
  </w:num>
  <w:num w:numId="12">
    <w:abstractNumId w:val="0"/>
  </w:num>
  <w:num w:numId="13">
    <w:abstractNumId w:val="11"/>
    <w:lvlOverride w:ilvl="0">
      <w:startOverride w:val="1"/>
    </w:lvlOverride>
  </w:num>
  <w:num w:numId="14">
    <w:abstractNumId w:val="11"/>
    <w:lvlOverride w:ilvl="0">
      <w:startOverride w:val="1"/>
    </w:lvlOverride>
  </w:num>
  <w:num w:numId="15">
    <w:abstractNumId w:val="9"/>
  </w:num>
  <w:num w:numId="16">
    <w:abstractNumId w:val="7"/>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14"/>
  </w:num>
  <w:num w:numId="21">
    <w:abstractNumId w:val="8"/>
  </w:num>
  <w:num w:numId="22">
    <w:abstractNumId w:val="10"/>
  </w:num>
  <w:num w:numId="23">
    <w:abstractNumId w:val="15"/>
  </w:num>
  <w:num w:numId="24">
    <w:abstractNumId w:val="3"/>
  </w:num>
  <w:num w:numId="25">
    <w:abstractNumId w:val="13"/>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51E"/>
    <w:rsid w:val="00002D5D"/>
    <w:rsid w:val="00016808"/>
    <w:rsid w:val="00016F8D"/>
    <w:rsid w:val="00037E20"/>
    <w:rsid w:val="00040DCE"/>
    <w:rsid w:val="00096F3A"/>
    <w:rsid w:val="000C1A75"/>
    <w:rsid w:val="000D308F"/>
    <w:rsid w:val="001278D0"/>
    <w:rsid w:val="0014239B"/>
    <w:rsid w:val="00146B64"/>
    <w:rsid w:val="001A02D1"/>
    <w:rsid w:val="001B5972"/>
    <w:rsid w:val="001F5079"/>
    <w:rsid w:val="00220BE5"/>
    <w:rsid w:val="002422A3"/>
    <w:rsid w:val="00251690"/>
    <w:rsid w:val="00252867"/>
    <w:rsid w:val="0025349E"/>
    <w:rsid w:val="002845CC"/>
    <w:rsid w:val="002E7A10"/>
    <w:rsid w:val="00304AC6"/>
    <w:rsid w:val="00315E34"/>
    <w:rsid w:val="00326DE2"/>
    <w:rsid w:val="00366CC4"/>
    <w:rsid w:val="0038402B"/>
    <w:rsid w:val="00391B7A"/>
    <w:rsid w:val="003F73CA"/>
    <w:rsid w:val="00424C88"/>
    <w:rsid w:val="00440E32"/>
    <w:rsid w:val="00461597"/>
    <w:rsid w:val="004713C6"/>
    <w:rsid w:val="00476879"/>
    <w:rsid w:val="00485374"/>
    <w:rsid w:val="00497FD5"/>
    <w:rsid w:val="004B471F"/>
    <w:rsid w:val="004C283B"/>
    <w:rsid w:val="004D13ED"/>
    <w:rsid w:val="004D5525"/>
    <w:rsid w:val="005035DA"/>
    <w:rsid w:val="00507897"/>
    <w:rsid w:val="00515A85"/>
    <w:rsid w:val="00545F24"/>
    <w:rsid w:val="0055581F"/>
    <w:rsid w:val="0056229A"/>
    <w:rsid w:val="00570154"/>
    <w:rsid w:val="00570B5A"/>
    <w:rsid w:val="0057766C"/>
    <w:rsid w:val="005A228F"/>
    <w:rsid w:val="005A2937"/>
    <w:rsid w:val="005C6967"/>
    <w:rsid w:val="005E3562"/>
    <w:rsid w:val="005F7DE0"/>
    <w:rsid w:val="00640346"/>
    <w:rsid w:val="00660385"/>
    <w:rsid w:val="00662E65"/>
    <w:rsid w:val="0066665A"/>
    <w:rsid w:val="00682372"/>
    <w:rsid w:val="006854A9"/>
    <w:rsid w:val="00692DD8"/>
    <w:rsid w:val="006A5D88"/>
    <w:rsid w:val="006B4C28"/>
    <w:rsid w:val="006C1B48"/>
    <w:rsid w:val="006D29E2"/>
    <w:rsid w:val="006E1C41"/>
    <w:rsid w:val="006F0CE9"/>
    <w:rsid w:val="007202A8"/>
    <w:rsid w:val="007570FD"/>
    <w:rsid w:val="0075751E"/>
    <w:rsid w:val="0079280A"/>
    <w:rsid w:val="0079472D"/>
    <w:rsid w:val="007B029A"/>
    <w:rsid w:val="007D33AA"/>
    <w:rsid w:val="007D4336"/>
    <w:rsid w:val="007F7BCF"/>
    <w:rsid w:val="008030EC"/>
    <w:rsid w:val="00811D6D"/>
    <w:rsid w:val="00844776"/>
    <w:rsid w:val="00855E9D"/>
    <w:rsid w:val="00877D54"/>
    <w:rsid w:val="008850D9"/>
    <w:rsid w:val="008A4578"/>
    <w:rsid w:val="008C03C3"/>
    <w:rsid w:val="008D3909"/>
    <w:rsid w:val="008F588A"/>
    <w:rsid w:val="00902D2D"/>
    <w:rsid w:val="009050BE"/>
    <w:rsid w:val="009139A6"/>
    <w:rsid w:val="00915804"/>
    <w:rsid w:val="0092245B"/>
    <w:rsid w:val="00946B83"/>
    <w:rsid w:val="00957285"/>
    <w:rsid w:val="009573AF"/>
    <w:rsid w:val="009963ED"/>
    <w:rsid w:val="009A5DF8"/>
    <w:rsid w:val="009D4063"/>
    <w:rsid w:val="00A0452E"/>
    <w:rsid w:val="00A41BD3"/>
    <w:rsid w:val="00A449C2"/>
    <w:rsid w:val="00A45805"/>
    <w:rsid w:val="00A8395A"/>
    <w:rsid w:val="00AA3D6F"/>
    <w:rsid w:val="00AB263F"/>
    <w:rsid w:val="00AB6F7D"/>
    <w:rsid w:val="00AC7878"/>
    <w:rsid w:val="00AD3A65"/>
    <w:rsid w:val="00AD493E"/>
    <w:rsid w:val="00B06055"/>
    <w:rsid w:val="00B22B7C"/>
    <w:rsid w:val="00B350CE"/>
    <w:rsid w:val="00B4498D"/>
    <w:rsid w:val="00B44D8A"/>
    <w:rsid w:val="00B550FD"/>
    <w:rsid w:val="00B726F5"/>
    <w:rsid w:val="00B73AC8"/>
    <w:rsid w:val="00B747A7"/>
    <w:rsid w:val="00B91ABA"/>
    <w:rsid w:val="00B9343A"/>
    <w:rsid w:val="00BC559C"/>
    <w:rsid w:val="00C02B22"/>
    <w:rsid w:val="00C17112"/>
    <w:rsid w:val="00C24267"/>
    <w:rsid w:val="00C35D99"/>
    <w:rsid w:val="00C619A8"/>
    <w:rsid w:val="00C7536B"/>
    <w:rsid w:val="00C76C00"/>
    <w:rsid w:val="00CA5D42"/>
    <w:rsid w:val="00CB40E1"/>
    <w:rsid w:val="00CF6DB6"/>
    <w:rsid w:val="00D134CA"/>
    <w:rsid w:val="00D25C47"/>
    <w:rsid w:val="00D4274D"/>
    <w:rsid w:val="00D91092"/>
    <w:rsid w:val="00D91B3F"/>
    <w:rsid w:val="00DA1C8A"/>
    <w:rsid w:val="00DB44F0"/>
    <w:rsid w:val="00DD109E"/>
    <w:rsid w:val="00DD3E18"/>
    <w:rsid w:val="00E0503B"/>
    <w:rsid w:val="00E12103"/>
    <w:rsid w:val="00E15AAE"/>
    <w:rsid w:val="00E21184"/>
    <w:rsid w:val="00E24FE2"/>
    <w:rsid w:val="00E40B8B"/>
    <w:rsid w:val="00E44172"/>
    <w:rsid w:val="00E5742E"/>
    <w:rsid w:val="00E77039"/>
    <w:rsid w:val="00EA0BFB"/>
    <w:rsid w:val="00EA265F"/>
    <w:rsid w:val="00EB6C61"/>
    <w:rsid w:val="00ED43FF"/>
    <w:rsid w:val="00EF1D6A"/>
    <w:rsid w:val="00EF2E51"/>
    <w:rsid w:val="00F31E24"/>
    <w:rsid w:val="00F52474"/>
    <w:rsid w:val="00F5529D"/>
    <w:rsid w:val="00F5669E"/>
    <w:rsid w:val="00F65A05"/>
    <w:rsid w:val="00F75D33"/>
    <w:rsid w:val="00F954CF"/>
    <w:rsid w:val="00FC6579"/>
    <w:rsid w:val="00FD3FB3"/>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uiPriority w:val="99"/>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qFormat/>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7"/>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styleId="CommentText">
    <w:name w:val="annotation text"/>
    <w:basedOn w:val="Normal"/>
    <w:link w:val="CommentTextChar"/>
    <w:uiPriority w:val="99"/>
    <w:semiHidden/>
    <w:unhideWhenUsed/>
    <w:rsid w:val="0075751E"/>
    <w:pPr>
      <w:spacing w:before="240"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5751E"/>
    <w:rPr>
      <w:rFonts w:ascii="Times New Roman" w:hAnsi="Times New Roman" w:cs="Times New Roman"/>
      <w:sz w:val="20"/>
      <w:szCs w:val="20"/>
    </w:rPr>
  </w:style>
  <w:style w:type="character" w:styleId="IntenseReference">
    <w:name w:val="Intense Reference"/>
    <w:aliases w:val="DLM format"/>
    <w:basedOn w:val="DefaultParagraphFont"/>
    <w:uiPriority w:val="32"/>
    <w:qFormat/>
    <w:rsid w:val="0075751E"/>
    <w:rPr>
      <w:rFonts w:ascii="Arial" w:hAnsi="Arial"/>
      <w:b/>
      <w:bCs/>
      <w:color w:val="FF0000"/>
      <w:spacing w:val="5"/>
      <w:sz w:val="28"/>
      <w:szCs w:val="28"/>
    </w:rPr>
  </w:style>
  <w:style w:type="paragraph" w:customStyle="1" w:styleId="Proformatext">
    <w:name w:val="Pro forma text"/>
    <w:basedOn w:val="Normal"/>
    <w:rsid w:val="009139A6"/>
    <w:pPr>
      <w:spacing w:before="80" w:after="80" w:line="260" w:lineRule="exact"/>
    </w:pPr>
    <w:rPr>
      <w:rFonts w:ascii="Book Antiqua" w:eastAsia="Times New Roman" w:hAnsi="Book Antiqua" w:cs="Times New Roman"/>
      <w:sz w:val="20"/>
      <w:szCs w:val="20"/>
      <w:lang w:eastAsia="en-AU"/>
    </w:rPr>
  </w:style>
  <w:style w:type="paragraph" w:customStyle="1" w:styleId="Bullet4">
    <w:name w:val="Bullet 4"/>
    <w:basedOn w:val="Normal"/>
    <w:qFormat/>
    <w:rsid w:val="009139A6"/>
    <w:pPr>
      <w:spacing w:before="120" w:after="0" w:line="240" w:lineRule="auto"/>
      <w:ind w:left="1135" w:hanging="284"/>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016F8D"/>
    <w:rPr>
      <w:sz w:val="16"/>
      <w:szCs w:val="16"/>
    </w:rPr>
  </w:style>
  <w:style w:type="paragraph" w:styleId="CommentSubject">
    <w:name w:val="annotation subject"/>
    <w:basedOn w:val="CommentText"/>
    <w:next w:val="CommentText"/>
    <w:link w:val="CommentSubjectChar"/>
    <w:uiPriority w:val="99"/>
    <w:semiHidden/>
    <w:unhideWhenUsed/>
    <w:rsid w:val="00016F8D"/>
    <w:pPr>
      <w:spacing w:before="114" w:after="114"/>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16F8D"/>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uiPriority w:val="99"/>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qFormat/>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7"/>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styleId="CommentText">
    <w:name w:val="annotation text"/>
    <w:basedOn w:val="Normal"/>
    <w:link w:val="CommentTextChar"/>
    <w:uiPriority w:val="99"/>
    <w:semiHidden/>
    <w:unhideWhenUsed/>
    <w:rsid w:val="0075751E"/>
    <w:pPr>
      <w:spacing w:before="240"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5751E"/>
    <w:rPr>
      <w:rFonts w:ascii="Times New Roman" w:hAnsi="Times New Roman" w:cs="Times New Roman"/>
      <w:sz w:val="20"/>
      <w:szCs w:val="20"/>
    </w:rPr>
  </w:style>
  <w:style w:type="character" w:styleId="IntenseReference">
    <w:name w:val="Intense Reference"/>
    <w:aliases w:val="DLM format"/>
    <w:basedOn w:val="DefaultParagraphFont"/>
    <w:uiPriority w:val="32"/>
    <w:qFormat/>
    <w:rsid w:val="0075751E"/>
    <w:rPr>
      <w:rFonts w:ascii="Arial" w:hAnsi="Arial"/>
      <w:b/>
      <w:bCs/>
      <w:color w:val="FF0000"/>
      <w:spacing w:val="5"/>
      <w:sz w:val="28"/>
      <w:szCs w:val="28"/>
    </w:rPr>
  </w:style>
  <w:style w:type="paragraph" w:customStyle="1" w:styleId="Proformatext">
    <w:name w:val="Pro forma text"/>
    <w:basedOn w:val="Normal"/>
    <w:rsid w:val="009139A6"/>
    <w:pPr>
      <w:spacing w:before="80" w:after="80" w:line="260" w:lineRule="exact"/>
    </w:pPr>
    <w:rPr>
      <w:rFonts w:ascii="Book Antiqua" w:eastAsia="Times New Roman" w:hAnsi="Book Antiqua" w:cs="Times New Roman"/>
      <w:sz w:val="20"/>
      <w:szCs w:val="20"/>
      <w:lang w:eastAsia="en-AU"/>
    </w:rPr>
  </w:style>
  <w:style w:type="paragraph" w:customStyle="1" w:styleId="Bullet4">
    <w:name w:val="Bullet 4"/>
    <w:basedOn w:val="Normal"/>
    <w:qFormat/>
    <w:rsid w:val="009139A6"/>
    <w:pPr>
      <w:spacing w:before="120" w:after="0" w:line="240" w:lineRule="auto"/>
      <w:ind w:left="1135" w:hanging="284"/>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016F8D"/>
    <w:rPr>
      <w:sz w:val="16"/>
      <w:szCs w:val="16"/>
    </w:rPr>
  </w:style>
  <w:style w:type="paragraph" w:styleId="CommentSubject">
    <w:name w:val="annotation subject"/>
    <w:basedOn w:val="CommentText"/>
    <w:next w:val="CommentText"/>
    <w:link w:val="CommentSubjectChar"/>
    <w:uiPriority w:val="99"/>
    <w:semiHidden/>
    <w:unhideWhenUsed/>
    <w:rsid w:val="00016F8D"/>
    <w:pPr>
      <w:spacing w:before="114" w:after="114"/>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16F8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eens.org.au/alcohol-drug-treat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968F061-97F7-405D-B346-8D597AAF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3</TotalTime>
  <Pages>4</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PBO - GRN081 - Alcohol and other drug treatment - 1 July 2016</vt:lpstr>
    </vt:vector>
  </TitlesOfParts>
  <Company>Parliament of Australia</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GRN081 - Alcohol and other drug treatment - 1 July 2016</dc:title>
  <dc:creator>Parliamentary Budget Office</dc:creator>
  <cp:lastModifiedBy>Milligan, Louise (PBO)</cp:lastModifiedBy>
  <cp:revision>12</cp:revision>
  <cp:lastPrinted>2016-07-01T04:22:00Z</cp:lastPrinted>
  <dcterms:created xsi:type="dcterms:W3CDTF">2016-07-01T04:39:00Z</dcterms:created>
  <dcterms:modified xsi:type="dcterms:W3CDTF">2016-07-01T05:19:00Z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