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3D0F33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Pr="00002D5D" w:rsidRDefault="003D0F33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3D0F33">
        <w:rPr>
          <w:rFonts w:ascii="Times New Roman" w:hAnsi="Times New Roman" w:cs="Times New Roman"/>
          <w:sz w:val="24"/>
          <w:szCs w:val="24"/>
        </w:rPr>
        <w:t>Senator</w:t>
      </w:r>
      <w:r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3D0F33"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proofErr w:type="gramStart"/>
      <w:r w:rsidR="00212566">
        <w:rPr>
          <w:i/>
        </w:rPr>
        <w:t>Ending</w:t>
      </w:r>
      <w:proofErr w:type="gramEnd"/>
      <w:r w:rsidR="00E1273B">
        <w:rPr>
          <w:i/>
        </w:rPr>
        <w:t xml:space="preserve"> compulsory income management</w:t>
      </w:r>
      <w:r w:rsidRPr="00002D5D">
        <w:t xml:space="preserve"> (letter of </w:t>
      </w:r>
      <w:r w:rsidR="00D00B56">
        <w:t>1 July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E12A86" w:rsidP="00E12A8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D00B56">
        <w:rPr>
          <w:rFonts w:ascii="Times New Roman" w:hAnsi="Times New Roman" w:cs="Times New Roman"/>
          <w:sz w:val="24"/>
          <w:szCs w:val="24"/>
        </w:rPr>
        <w:t>July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212566" w:rsidP="00212566">
            <w:pPr>
              <w:pStyle w:val="BodyText"/>
            </w:pPr>
            <w:r>
              <w:t xml:space="preserve">Ending </w:t>
            </w:r>
            <w:r w:rsidR="00E1273B">
              <w:t>compulsory income management</w:t>
            </w:r>
          </w:p>
        </w:tc>
      </w:tr>
      <w:tr w:rsidR="004D5525" w:rsidTr="00826F87">
        <w:tc>
          <w:tcPr>
            <w:tcW w:w="3005" w:type="dxa"/>
          </w:tcPr>
          <w:p w:rsidR="004D5525" w:rsidRDefault="004D5525" w:rsidP="00826F87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312D85" w:rsidRDefault="004D5525" w:rsidP="004D5525">
            <w:r w:rsidRPr="00ED6845">
              <w:t>The proposal would</w:t>
            </w:r>
            <w:r w:rsidR="00312D85">
              <w:t xml:space="preserve">, from 1 September 2016, </w:t>
            </w:r>
            <w:r w:rsidR="00E1273B" w:rsidRPr="00ED6845">
              <w:t>remove all forms of compulsory income management while retaining infrastructure as needed for participants who undertake income management voluntarily.</w:t>
            </w:r>
            <w:r w:rsidR="00212566">
              <w:t xml:space="preserve">  </w:t>
            </w:r>
          </w:p>
          <w:p w:rsidR="004D5525" w:rsidRDefault="00212566" w:rsidP="00312D85">
            <w:r>
              <w:t>The proposal includes a communication campaign prior to 1 September 2016 to ensure individuals are aware that compulsory income management is ceasing.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3D0F33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E1273B">
        <w:tc>
          <w:tcPr>
            <w:tcW w:w="3005" w:type="dxa"/>
          </w:tcPr>
          <w:p w:rsidR="007D3577" w:rsidRDefault="007D3577" w:rsidP="00E1273B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E660F" w:rsidRDefault="00212566" w:rsidP="003D0F33">
            <w:pPr>
              <w:pStyle w:val="BodyText"/>
            </w:pPr>
            <w:r>
              <w:t xml:space="preserve">24 June 2016 </w:t>
            </w:r>
          </w:p>
          <w:p w:rsidR="007D3577" w:rsidRPr="00C17112" w:rsidRDefault="009955B1" w:rsidP="003D0F33">
            <w:pPr>
              <w:pStyle w:val="BodyText"/>
            </w:pPr>
            <w:hyperlink r:id="rId14" w:history="1">
              <w:r w:rsidR="00212566" w:rsidRPr="009A61A6">
                <w:rPr>
                  <w:rStyle w:val="Hyperlink"/>
                </w:rPr>
                <w:t>http://rachel-siewert.greensmps.org.au/content/media-releases/greens-announce-plans-reverse-income-management</w:t>
              </w:r>
            </w:hyperlink>
            <w:r w:rsidR="00212566">
              <w:t xml:space="preserve">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D00B56" w:rsidP="004D5525">
            <w:pPr>
              <w:pStyle w:val="BodyText"/>
            </w:pPr>
            <w:r>
              <w:t>1 July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7E7EEA">
              <w:t>:</w:t>
            </w:r>
          </w:p>
        </w:tc>
        <w:tc>
          <w:tcPr>
            <w:tcW w:w="5335" w:type="dxa"/>
          </w:tcPr>
          <w:p w:rsidR="004D5525" w:rsidRPr="00C17112" w:rsidRDefault="00D00B56" w:rsidP="004D5525">
            <w:pPr>
              <w:pStyle w:val="BodyText"/>
            </w:pPr>
            <w:r>
              <w:t>1 July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2F699B" w:rsidP="002F699B">
            <w:pPr>
              <w:pStyle w:val="BodyText"/>
            </w:pPr>
            <w:r>
              <w:t>Release</w:t>
            </w:r>
            <w:r w:rsidR="004D5525" w:rsidRPr="00220BE5">
              <w:t xml:space="preserve"> of </w:t>
            </w:r>
            <w:r w:rsidR="00220BE5">
              <w:t xml:space="preserve">the next economic and fiscal </w:t>
            </w:r>
            <w:r>
              <w:t>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F675D2" w:rsidRDefault="008030EC" w:rsidP="00FC6579">
      <w:pPr>
        <w:keepNext/>
        <w:keepLines/>
      </w:pPr>
      <w:r w:rsidRPr="00F675D2">
        <w:t>This proposal is expected to increase</w:t>
      </w:r>
      <w:r w:rsidR="00E1273B" w:rsidRPr="00F675D2">
        <w:t xml:space="preserve"> both </w:t>
      </w:r>
      <w:r w:rsidRPr="00F675D2">
        <w:t xml:space="preserve">the </w:t>
      </w:r>
      <w:r w:rsidR="005035DA" w:rsidRPr="00F675D2">
        <w:t xml:space="preserve">fiscal </w:t>
      </w:r>
      <w:r w:rsidR="00E1273B" w:rsidRPr="00F675D2">
        <w:t>and underlying cash balances</w:t>
      </w:r>
      <w:r w:rsidRPr="00F675D2">
        <w:t xml:space="preserve"> by $</w:t>
      </w:r>
      <w:r w:rsidR="00E1273B" w:rsidRPr="00F675D2">
        <w:t>6</w:t>
      </w:r>
      <w:r w:rsidR="00212566">
        <w:t>0</w:t>
      </w:r>
      <w:r w:rsidRPr="00F675D2">
        <w:t> </w:t>
      </w:r>
      <w:r w:rsidR="00DD3E18" w:rsidRPr="00F675D2">
        <w:t>million</w:t>
      </w:r>
      <w:r w:rsidRPr="00F675D2">
        <w:t xml:space="preserve"> </w:t>
      </w:r>
      <w:r w:rsidR="00E1273B" w:rsidRPr="00F675D2">
        <w:t>over the 2016</w:t>
      </w:r>
      <w:r w:rsidR="007E660F">
        <w:t>-</w:t>
      </w:r>
      <w:r w:rsidR="00E1273B" w:rsidRPr="00F675D2">
        <w:t>17</w:t>
      </w:r>
      <w:r w:rsidRPr="00F675D2">
        <w:t xml:space="preserve"> Budget forward estimates period.  This impact reflects a decrease in</w:t>
      </w:r>
      <w:r w:rsidR="00E1273B" w:rsidRPr="00F675D2">
        <w:t xml:space="preserve"> departmental expenditure of</w:t>
      </w:r>
      <w:r w:rsidRPr="00F675D2">
        <w:t xml:space="preserve"> </w:t>
      </w:r>
      <w:r w:rsidR="00DD3E18" w:rsidRPr="00F675D2">
        <w:t>$</w:t>
      </w:r>
      <w:r w:rsidR="00E1273B" w:rsidRPr="00F675D2">
        <w:t>5</w:t>
      </w:r>
      <w:r w:rsidR="00212566">
        <w:t>0</w:t>
      </w:r>
      <w:r w:rsidR="00DD3E18" w:rsidRPr="00F675D2">
        <w:t> m</w:t>
      </w:r>
      <w:r w:rsidRPr="00F675D2">
        <w:t xml:space="preserve">illion and a decrease in </w:t>
      </w:r>
      <w:r w:rsidR="00E1273B" w:rsidRPr="00F675D2">
        <w:t xml:space="preserve">administered expenditure of </w:t>
      </w:r>
      <w:r w:rsidRPr="00F675D2">
        <w:t>$</w:t>
      </w:r>
      <w:r w:rsidR="00E1273B" w:rsidRPr="00F675D2">
        <w:t>10</w:t>
      </w:r>
      <w:r w:rsidRPr="00F675D2">
        <w:t> </w:t>
      </w:r>
      <w:r w:rsidR="00DD3E18" w:rsidRPr="00F675D2">
        <w:t>m</w:t>
      </w:r>
      <w:r w:rsidRPr="00F675D2">
        <w:t xml:space="preserve">illion over this period.  </w:t>
      </w:r>
      <w:r w:rsidR="00E1273B" w:rsidRPr="00F675D2">
        <w:t xml:space="preserve">A breakdown of the components of the costing is at </w:t>
      </w:r>
      <w:r w:rsidR="00E1273B" w:rsidRPr="002F699B">
        <w:rPr>
          <w:u w:val="single"/>
        </w:rPr>
        <w:t>Attachment A</w:t>
      </w:r>
      <w:r w:rsidR="00E1273B" w:rsidRPr="00F675D2">
        <w:t>.</w:t>
      </w:r>
    </w:p>
    <w:p w:rsidR="008D3909" w:rsidRPr="00002D5D" w:rsidRDefault="008D3909" w:rsidP="00002D5D">
      <w:pPr>
        <w:rPr>
          <w:highlight w:val="yellow"/>
        </w:rPr>
      </w:pPr>
      <w:r w:rsidRPr="00F675D2">
        <w:t xml:space="preserve">This </w:t>
      </w:r>
      <w:r w:rsidR="00E1273B" w:rsidRPr="00F675D2">
        <w:t xml:space="preserve">costing is considered to be of medium reliability.  Assumptions were made regarding the amount of funding that would need to be retained by the Department of Social Services and </w:t>
      </w:r>
      <w:r w:rsidR="00F4171F">
        <w:t xml:space="preserve">the </w:t>
      </w:r>
      <w:r w:rsidR="00E1273B" w:rsidRPr="00F675D2">
        <w:t>Department of Human Services in order to continue income management trials for voluntary</w:t>
      </w:r>
      <w:r w:rsidR="00E1273B">
        <w:t xml:space="preserve"> participants.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3D0F33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AE5755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AE5755">
            <w:pPr>
              <w:keepNext/>
              <w:keepLines/>
              <w:spacing w:before="70" w:after="7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AE5755">
            <w:pPr>
              <w:keepNext/>
              <w:keepLines/>
              <w:spacing w:before="70" w:after="7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AE5755">
            <w:pPr>
              <w:keepNext/>
              <w:keepLines/>
              <w:spacing w:before="70" w:after="7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AE5755">
            <w:pPr>
              <w:keepNext/>
              <w:keepLines/>
              <w:spacing w:before="70" w:after="7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AE5755">
            <w:pPr>
              <w:keepNext/>
              <w:keepLines/>
              <w:spacing w:before="70" w:after="7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AE5755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212566" w:rsidP="00AE575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60</w:t>
            </w:r>
            <w:r w:rsidR="00E1273B"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EA265F" w:rsidRPr="00B73AC8" w:rsidRDefault="00E1273B" w:rsidP="00AE575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E1273B" w:rsidP="00AE575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E1273B" w:rsidP="00AE575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EA265F" w:rsidRPr="00F97DFF" w:rsidRDefault="00212566" w:rsidP="00AE575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212566">
              <w:rPr>
                <w:rFonts w:ascii="Calibri" w:hAnsi="Calibri"/>
                <w:b/>
                <w:szCs w:val="20"/>
              </w:rPr>
              <w:t>60.0</w:t>
            </w:r>
          </w:p>
        </w:tc>
      </w:tr>
      <w:tr w:rsidR="00692DD8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AE5755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212566" w:rsidP="00AE575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60.0</w:t>
            </w:r>
          </w:p>
        </w:tc>
        <w:tc>
          <w:tcPr>
            <w:tcW w:w="682" w:type="pct"/>
          </w:tcPr>
          <w:p w:rsidR="00CA5D42" w:rsidRPr="00B73AC8" w:rsidRDefault="00E1273B" w:rsidP="00AE575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E1273B" w:rsidP="00AE575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CA5D42" w:rsidRPr="00B73AC8" w:rsidRDefault="00E1273B" w:rsidP="00AE575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1" w:type="pct"/>
          </w:tcPr>
          <w:p w:rsidR="00CA5D42" w:rsidRPr="00F97DFF" w:rsidRDefault="00212566" w:rsidP="00AE575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212566">
              <w:rPr>
                <w:rFonts w:ascii="Calibri" w:hAnsi="Calibri"/>
                <w:b/>
                <w:szCs w:val="20"/>
              </w:rPr>
              <w:t>60.0</w:t>
            </w:r>
          </w:p>
        </w:tc>
      </w:tr>
    </w:tbl>
    <w:p w:rsidR="003D0F33" w:rsidRDefault="009D4063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F675D2">
        <w:t xml:space="preserve">A positive number </w:t>
      </w:r>
      <w:r w:rsidR="003D0F33">
        <w:t>indicates an increase in the relevant budget balance, a negative number a decrease.</w:t>
      </w:r>
    </w:p>
    <w:p w:rsidR="003D0F33" w:rsidRDefault="003D0F33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9D4063" w:rsidRPr="00F675D2" w:rsidRDefault="00273997" w:rsidP="003D0F33">
      <w:pPr>
        <w:pStyle w:val="Footnotes"/>
        <w:keepNext/>
        <w:keepLines/>
        <w:numPr>
          <w:ilvl w:val="0"/>
          <w:numId w:val="0"/>
        </w:numPr>
      </w:pPr>
      <w:r>
        <w:t xml:space="preserve"> </w:t>
      </w:r>
      <w:r w:rsidR="007E660F">
        <w:t xml:space="preserve">- </w:t>
      </w:r>
      <w:r w:rsidR="007E660F" w:rsidRPr="00F675D2">
        <w:t xml:space="preserve"> </w:t>
      </w:r>
      <w:r w:rsidR="007E660F">
        <w:t xml:space="preserve"> </w:t>
      </w:r>
      <w:r w:rsidR="001D6745">
        <w:t>I</w:t>
      </w:r>
      <w:r w:rsidR="00E1273B" w:rsidRPr="00F675D2">
        <w:t>ndicates nil</w:t>
      </w:r>
      <w:r w:rsidR="009D4063" w:rsidRPr="00F675D2" w:rsidDel="0066665A">
        <w:t>.</w:t>
      </w:r>
    </w:p>
    <w:p w:rsidR="008D3909" w:rsidRPr="00F675D2" w:rsidRDefault="005E3562" w:rsidP="00E40B8B">
      <w:pPr>
        <w:pStyle w:val="Heading2"/>
      </w:pPr>
      <w:r w:rsidRPr="00F675D2">
        <w:t>Key assumptions</w:t>
      </w:r>
    </w:p>
    <w:p w:rsidR="00E1273B" w:rsidRPr="00F675D2" w:rsidRDefault="00E1273B" w:rsidP="00E1273B">
      <w:r w:rsidRPr="00F675D2">
        <w:t xml:space="preserve">The Parliamentary Budget Office has assumed: </w:t>
      </w:r>
    </w:p>
    <w:p w:rsidR="00E1273B" w:rsidRPr="00F675D2" w:rsidRDefault="00E1273B" w:rsidP="00273997">
      <w:pPr>
        <w:pStyle w:val="Bullet1"/>
      </w:pPr>
      <w:r w:rsidRPr="00F675D2">
        <w:t xml:space="preserve">The cost of the cashless debit card for income management </w:t>
      </w:r>
      <w:r w:rsidR="00D00B56">
        <w:t xml:space="preserve">for all trial sites </w:t>
      </w:r>
      <w:r w:rsidRPr="00F675D2">
        <w:t xml:space="preserve">would be largely related to infrastructure that would need to be retained in order to maintain arrangements for voluntary participants.  </w:t>
      </w:r>
    </w:p>
    <w:p w:rsidR="005E3562" w:rsidRPr="00F675D2" w:rsidRDefault="00E1273B" w:rsidP="00273997">
      <w:pPr>
        <w:pStyle w:val="Bullet1"/>
      </w:pPr>
      <w:r w:rsidRPr="00F675D2">
        <w:t>No further funding would be made available to continue income management trials once current funding ends in 2016</w:t>
      </w:r>
      <w:r w:rsidRPr="00F675D2">
        <w:noBreakHyphen/>
        <w:t>17.</w:t>
      </w:r>
    </w:p>
    <w:p w:rsidR="005E3562" w:rsidRPr="00F675D2" w:rsidRDefault="005E3562" w:rsidP="00E40B8B">
      <w:pPr>
        <w:pStyle w:val="Heading2"/>
      </w:pPr>
      <w:r w:rsidRPr="00F675D2">
        <w:t>Methodology</w:t>
      </w:r>
    </w:p>
    <w:p w:rsidR="00E1273B" w:rsidRPr="00F675D2" w:rsidRDefault="00567064" w:rsidP="00E1273B">
      <w:r w:rsidRPr="00F675D2">
        <w:t xml:space="preserve">The </w:t>
      </w:r>
      <w:r w:rsidR="00E1273B" w:rsidRPr="00F675D2">
        <w:t>total cost of income management, excluding the cost of the cashless debit card, was sourced from Budget measures extending funding for income management until the end of 2016-17.  To isolate the saving due to the removal of compulsory income management, this amount was reduced by the proportion of voluntary income management participants to all income management participants.</w:t>
      </w:r>
    </w:p>
    <w:p w:rsidR="005E3562" w:rsidRDefault="00E1273B" w:rsidP="00E1273B">
      <w:r w:rsidRPr="00F675D2">
        <w:t xml:space="preserve">This costing does not include any ongoing financial implications of retaining voluntary income management trials beyond 2016-17 as this is not currently factored into the budget </w:t>
      </w:r>
      <w:r w:rsidR="00567064" w:rsidRPr="00F675D2">
        <w:t>baseline</w:t>
      </w:r>
      <w:r w:rsidR="005E3562" w:rsidRPr="00F675D2">
        <w:t>.</w:t>
      </w:r>
    </w:p>
    <w:p w:rsidR="00212566" w:rsidRPr="00212566" w:rsidRDefault="00212566" w:rsidP="00E1273B">
      <w:r>
        <w:t>The cost of the communication campaign</w:t>
      </w:r>
      <w:r w:rsidR="00312D85">
        <w:t xml:space="preserve"> ($5 million in 2016-17)</w:t>
      </w:r>
      <w:r>
        <w:t xml:space="preserve"> was based on the 2016-17 Budget measure</w:t>
      </w:r>
      <w:r w:rsidR="007E660F">
        <w:t>,</w:t>
      </w:r>
      <w:r>
        <w:t xml:space="preserve"> </w:t>
      </w:r>
      <w:r>
        <w:rPr>
          <w:i/>
        </w:rPr>
        <w:t>Vocational Education and Training – information campaign</w:t>
      </w:r>
      <w:r>
        <w:t>.</w:t>
      </w:r>
    </w:p>
    <w:p w:rsidR="005E3562" w:rsidRPr="00F675D2" w:rsidRDefault="005E3562" w:rsidP="00E40B8B">
      <w:pPr>
        <w:pStyle w:val="Heading2"/>
      </w:pPr>
      <w:r w:rsidRPr="00F675D2">
        <w:t>Data sources</w:t>
      </w:r>
    </w:p>
    <w:p w:rsidR="00567064" w:rsidRPr="000A31FB" w:rsidRDefault="00567064" w:rsidP="00273997">
      <w:pPr>
        <w:pStyle w:val="Bullet1"/>
        <w:rPr>
          <w:spacing w:val="0"/>
        </w:rPr>
      </w:pPr>
      <w:r w:rsidRPr="000A31FB">
        <w:rPr>
          <w:spacing w:val="0"/>
        </w:rPr>
        <w:t>Data from the Central Budget Management System provided by the Department of Finance</w:t>
      </w:r>
      <w:r w:rsidR="007E660F" w:rsidRPr="000A31FB">
        <w:rPr>
          <w:spacing w:val="0"/>
        </w:rPr>
        <w:t>.</w:t>
      </w:r>
    </w:p>
    <w:p w:rsidR="005E3562" w:rsidRPr="000A31FB" w:rsidRDefault="00567064" w:rsidP="00273997">
      <w:pPr>
        <w:pStyle w:val="Bullet1"/>
        <w:rPr>
          <w:spacing w:val="0"/>
        </w:rPr>
      </w:pPr>
      <w:r w:rsidRPr="000A31FB">
        <w:rPr>
          <w:i/>
          <w:spacing w:val="0"/>
        </w:rPr>
        <w:t xml:space="preserve">Income Management Summary </w:t>
      </w:r>
      <w:r w:rsidRPr="000A31FB">
        <w:rPr>
          <w:spacing w:val="0"/>
        </w:rPr>
        <w:t>as at 1 January 2016 availabl</w:t>
      </w:r>
      <w:r w:rsidR="00273997" w:rsidRPr="000A31FB">
        <w:rPr>
          <w:spacing w:val="0"/>
        </w:rPr>
        <w:t xml:space="preserve">e from the Department of Social </w:t>
      </w:r>
      <w:r w:rsidRPr="000A31FB">
        <w:rPr>
          <w:spacing w:val="0"/>
        </w:rPr>
        <w:t xml:space="preserve">Services at </w:t>
      </w:r>
      <w:hyperlink r:id="rId15" w:history="1">
        <w:r w:rsidRPr="000A31FB">
          <w:rPr>
            <w:rStyle w:val="Hyperlink"/>
            <w:spacing w:val="0"/>
          </w:rPr>
          <w:t>http://data.gov.au/dataset/income-management-summary-data</w:t>
        </w:r>
      </w:hyperlink>
      <w:r w:rsidRPr="000A31FB">
        <w:rPr>
          <w:spacing w:val="0"/>
        </w:rPr>
        <w:t xml:space="preserve">. </w:t>
      </w:r>
    </w:p>
    <w:p w:rsidR="00567064" w:rsidRPr="000A31FB" w:rsidRDefault="00567064" w:rsidP="00273997">
      <w:pPr>
        <w:pStyle w:val="Bullet1"/>
        <w:rPr>
          <w:spacing w:val="0"/>
        </w:rPr>
      </w:pPr>
      <w:r w:rsidRPr="000A31FB">
        <w:rPr>
          <w:spacing w:val="0"/>
        </w:rPr>
        <w:t xml:space="preserve">This costing is based on the </w:t>
      </w:r>
      <w:proofErr w:type="gramStart"/>
      <w:r w:rsidRPr="000A31FB">
        <w:rPr>
          <w:i/>
          <w:spacing w:val="0"/>
        </w:rPr>
        <w:t>Financial</w:t>
      </w:r>
      <w:proofErr w:type="gramEnd"/>
      <w:r w:rsidRPr="000A31FB">
        <w:rPr>
          <w:i/>
          <w:spacing w:val="0"/>
        </w:rPr>
        <w:t xml:space="preserve"> counselling, capability and resilience services in income management locations – continuation</w:t>
      </w:r>
      <w:r w:rsidRPr="000A31FB">
        <w:rPr>
          <w:spacing w:val="0"/>
        </w:rPr>
        <w:t xml:space="preserve"> and </w:t>
      </w:r>
      <w:r w:rsidRPr="000A31FB">
        <w:rPr>
          <w:i/>
          <w:spacing w:val="0"/>
        </w:rPr>
        <w:t>Income management – two year extension</w:t>
      </w:r>
      <w:r w:rsidRPr="000A31FB">
        <w:rPr>
          <w:spacing w:val="0"/>
        </w:rPr>
        <w:t xml:space="preserve"> measures from the 2015</w:t>
      </w:r>
      <w:r w:rsidRPr="000A31FB">
        <w:rPr>
          <w:spacing w:val="0"/>
        </w:rPr>
        <w:noBreakHyphen/>
        <w:t>16 Budget.</w:t>
      </w:r>
    </w:p>
    <w:p w:rsidR="00CA5D42" w:rsidRPr="000A31FB" w:rsidRDefault="00CA5D42" w:rsidP="00273997">
      <w:pPr>
        <w:rPr>
          <w:highlight w:val="yellow"/>
        </w:rPr>
        <w:sectPr w:rsidR="00CA5D42" w:rsidRPr="000A31FB" w:rsidSect="00002D5D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567064">
        <w:t>Reversing compulsory income management</w:t>
      </w:r>
      <w:r w:rsidR="00440E32">
        <w:t>—financial</w:t>
      </w:r>
      <w:r w:rsidR="00841C3A">
        <w:t> </w:t>
      </w:r>
      <w:r w:rsidR="00440E32">
        <w:t>implications</w:t>
      </w:r>
    </w:p>
    <w:p w:rsidR="00EA265F" w:rsidRDefault="00EA265F" w:rsidP="00EA265F">
      <w:pPr>
        <w:pStyle w:val="Captionheading"/>
        <w:rPr>
          <w:vertAlign w:val="superscript"/>
        </w:rPr>
      </w:pPr>
      <w:r w:rsidRPr="00FC5643">
        <w:t xml:space="preserve">Table </w:t>
      </w:r>
      <w:r>
        <w:t>A1</w:t>
      </w:r>
      <w:r w:rsidRPr="00FC5643">
        <w:t xml:space="preserve">: </w:t>
      </w:r>
      <w:r w:rsidR="00567064">
        <w:t>Reversing compulsory income management</w:t>
      </w:r>
      <w:r w:rsidR="00EA5685">
        <w:t>—</w:t>
      </w:r>
      <w:r w:rsidR="003D0F33">
        <w:t>Financial implications (outturn prices</w:t>
      </w:r>
      <w:proofErr w:type="gramStart"/>
      <w:r w:rsidR="003D0F33"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  <w:r w:rsidR="003D0F33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1D6745" w:rsidRPr="00EF1D6A" w:rsidTr="00A6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EF1D6A" w:rsidRDefault="001D6745" w:rsidP="00A64CC4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C24267" w:rsidRDefault="001D6745" w:rsidP="00A64CC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C24267" w:rsidRDefault="001D6745" w:rsidP="00A64CC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C24267" w:rsidRDefault="001D6745" w:rsidP="00A64CC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C24267" w:rsidRDefault="001D6745" w:rsidP="00A64CC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1D6745" w:rsidRPr="00AE30B5" w:rsidRDefault="001D6745" w:rsidP="00A64CC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1D6745" w:rsidRPr="00EF1D6A" w:rsidTr="00A6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1D6745" w:rsidRPr="00AE30B5" w:rsidRDefault="00BF1BA3" w:rsidP="00A64CC4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1D6745" w:rsidRPr="0066665A" w:rsidTr="00A64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C17112" w:rsidRDefault="001D6745" w:rsidP="000A31FB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Department of Social</w:t>
            </w:r>
            <w:r w:rsidR="007E660F">
              <w:rPr>
                <w:szCs w:val="20"/>
              </w:rPr>
              <w:t> </w:t>
            </w:r>
            <w:r>
              <w:rPr>
                <w:szCs w:val="20"/>
              </w:rPr>
              <w:t>Services – 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10.0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D6745">
              <w:rPr>
                <w:b/>
                <w:i w:val="0"/>
              </w:rPr>
              <w:t>10.0</w:t>
            </w:r>
          </w:p>
        </w:tc>
      </w:tr>
      <w:tr w:rsidR="001D6745" w:rsidRPr="0066665A" w:rsidTr="00A6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C17112" w:rsidRDefault="001D6745" w:rsidP="000A31FB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Department of Social</w:t>
            </w:r>
            <w:r w:rsidR="007E660F">
              <w:rPr>
                <w:szCs w:val="20"/>
              </w:rPr>
              <w:t> </w:t>
            </w:r>
            <w:r>
              <w:rPr>
                <w:szCs w:val="20"/>
              </w:rPr>
              <w:t>Services – 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1D6745">
              <w:rPr>
                <w:b/>
                <w:i w:val="0"/>
              </w:rPr>
              <w:t>5.0</w:t>
            </w:r>
          </w:p>
        </w:tc>
      </w:tr>
      <w:tr w:rsidR="001D6745" w:rsidRPr="0066665A" w:rsidTr="00A64C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Default="001D6745" w:rsidP="000A31FB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Department of Human</w:t>
            </w:r>
            <w:r w:rsidR="007E660F">
              <w:rPr>
                <w:szCs w:val="20"/>
              </w:rPr>
              <w:t> </w:t>
            </w:r>
            <w:r>
              <w:rPr>
                <w:szCs w:val="20"/>
              </w:rPr>
              <w:t>Services – departmental</w:t>
            </w:r>
            <w:r w:rsidR="00312D85" w:rsidRPr="00312D85">
              <w:rPr>
                <w:szCs w:val="20"/>
                <w:vertAlign w:val="superscript"/>
              </w:rPr>
              <w:t>(c)</w:t>
            </w:r>
            <w:r w:rsidRPr="00312D85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212566" w:rsidP="0021256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45</w:t>
            </w:r>
            <w:r w:rsidR="001D6745" w:rsidRPr="001D674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1D6745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D674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D6745" w:rsidRPr="001D6745" w:rsidRDefault="00212566" w:rsidP="00A64CC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45</w:t>
            </w:r>
            <w:r w:rsidR="001D6745" w:rsidRPr="001D6745">
              <w:rPr>
                <w:b/>
                <w:i w:val="0"/>
              </w:rPr>
              <w:t>.0</w:t>
            </w:r>
          </w:p>
        </w:tc>
      </w:tr>
      <w:tr w:rsidR="001D6745" w:rsidRPr="0055406D" w:rsidTr="00A6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55406D" w:rsidRDefault="001D6745" w:rsidP="00A64CC4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55406D" w:rsidRDefault="001D6745" w:rsidP="0021256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6</w:t>
            </w:r>
            <w:r w:rsidR="00212566">
              <w:rPr>
                <w:b/>
                <w:i w:val="0"/>
              </w:rPr>
              <w:t>0</w:t>
            </w:r>
            <w:r>
              <w:rPr>
                <w:b/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55406D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55406D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55406D" w:rsidRDefault="001D6745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1D6745" w:rsidRPr="00AE30B5" w:rsidRDefault="00212566" w:rsidP="00A64CC4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60</w:t>
            </w:r>
            <w:r w:rsidR="001D6745">
              <w:rPr>
                <w:b/>
                <w:i w:val="0"/>
              </w:rPr>
              <w:t>.0</w:t>
            </w:r>
          </w:p>
        </w:tc>
      </w:tr>
    </w:tbl>
    <w:p w:rsidR="00EA265F" w:rsidRDefault="00EA265F" w:rsidP="00EA265F">
      <w:pPr>
        <w:pStyle w:val="Footnotes"/>
        <w:numPr>
          <w:ilvl w:val="0"/>
          <w:numId w:val="9"/>
        </w:numPr>
        <w:ind w:left="284" w:hanging="284"/>
      </w:pPr>
      <w:r>
        <w:t xml:space="preserve">A positive </w:t>
      </w:r>
      <w:r w:rsidR="001D6745">
        <w:t>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1D6745" w:rsidRDefault="001D6745" w:rsidP="00EA265F">
      <w:pPr>
        <w:pStyle w:val="Footnotes"/>
        <w:numPr>
          <w:ilvl w:val="0"/>
          <w:numId w:val="9"/>
        </w:numPr>
        <w:ind w:left="284" w:hanging="284"/>
      </w:pPr>
      <w:r>
        <w:t>Figures may not sum to totals due to rounding.</w:t>
      </w:r>
    </w:p>
    <w:p w:rsidR="00312D85" w:rsidRDefault="00312D85" w:rsidP="00EA265F">
      <w:pPr>
        <w:pStyle w:val="Footnotes"/>
        <w:numPr>
          <w:ilvl w:val="0"/>
          <w:numId w:val="9"/>
        </w:numPr>
        <w:ind w:left="284" w:hanging="284"/>
      </w:pPr>
      <w:r>
        <w:t>Reflects savings of $50 million related to ending compulsory income management partially offset by increased advertising expenditure of $5 million.</w:t>
      </w:r>
    </w:p>
    <w:p w:rsidR="001D6745" w:rsidRDefault="001D6745" w:rsidP="001D6745">
      <w:pPr>
        <w:pStyle w:val="Footnotes"/>
        <w:numPr>
          <w:ilvl w:val="0"/>
          <w:numId w:val="0"/>
        </w:numPr>
        <w:ind w:left="284" w:hanging="284"/>
      </w:pPr>
      <w:r>
        <w:t xml:space="preserve"> </w:t>
      </w:r>
      <w:r w:rsidR="007E660F">
        <w:t xml:space="preserve">-   </w:t>
      </w:r>
      <w:r>
        <w:t>Indicates nil.</w:t>
      </w:r>
    </w:p>
    <w:p w:rsidR="003D0F33" w:rsidRDefault="003D0F33" w:rsidP="003D0F33">
      <w:pPr>
        <w:pStyle w:val="Footnotes"/>
        <w:numPr>
          <w:ilvl w:val="0"/>
          <w:numId w:val="0"/>
        </w:numPr>
        <w:ind w:left="284" w:hanging="284"/>
      </w:pPr>
    </w:p>
    <w:p w:rsidR="003D0F33" w:rsidRPr="00CA5D42" w:rsidRDefault="003D0F33" w:rsidP="003D0F33">
      <w:pPr>
        <w:pStyle w:val="Footnotes"/>
        <w:numPr>
          <w:ilvl w:val="0"/>
          <w:numId w:val="0"/>
        </w:numPr>
        <w:ind w:left="284" w:hanging="284"/>
      </w:pPr>
    </w:p>
    <w:sectPr w:rsidR="003D0F33" w:rsidRPr="00CA5D42" w:rsidSect="00BF1D8A">
      <w:headerReference w:type="first" r:id="rId18"/>
      <w:footerReference w:type="first" r:id="rId19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B" w:rsidRDefault="00E1273B" w:rsidP="008F588A">
      <w:pPr>
        <w:spacing w:line="240" w:lineRule="auto"/>
      </w:pPr>
      <w:r>
        <w:separator/>
      </w:r>
    </w:p>
    <w:p w:rsidR="00E1273B" w:rsidRDefault="00E1273B"/>
  </w:endnote>
  <w:endnote w:type="continuationSeparator" w:id="0">
    <w:p w:rsidR="00E1273B" w:rsidRDefault="00E1273B" w:rsidP="008F588A">
      <w:pPr>
        <w:spacing w:line="240" w:lineRule="auto"/>
      </w:pPr>
      <w:r>
        <w:continuationSeparator/>
      </w:r>
    </w:p>
    <w:p w:rsidR="00E1273B" w:rsidRDefault="00E12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24267" w:rsidRDefault="00E1273B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12A86">
      <w:rPr>
        <w:noProof/>
      </w:rPr>
      <w:t>3</w:t>
    </w:r>
    <w:r w:rsidRPr="00C24267">
      <w:fldChar w:fldCharType="end"/>
    </w:r>
    <w:r w:rsidRPr="00C24267">
      <w:t xml:space="preserve"> of </w:t>
    </w:r>
    <w:r w:rsidR="009955B1">
      <w:fldChar w:fldCharType="begin"/>
    </w:r>
    <w:r w:rsidR="009955B1">
      <w:instrText xml:space="preserve"> NUMPAGES  \* Arabic  \* MERGEFORMAT </w:instrText>
    </w:r>
    <w:r w:rsidR="009955B1">
      <w:fldChar w:fldCharType="separate"/>
    </w:r>
    <w:r w:rsidR="00E12A86">
      <w:rPr>
        <w:noProof/>
      </w:rPr>
      <w:t>4</w:t>
    </w:r>
    <w:r w:rsidR="009955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24267" w:rsidRDefault="00E1273B" w:rsidP="00C24267">
    <w:pPr>
      <w:pStyle w:val="Letterfooter"/>
    </w:pPr>
    <w:r w:rsidRPr="00C24267">
      <w:t>Parliamentary Budget Office   PO Box 6010   Parliament House   Canberra ACT 2600</w:t>
    </w:r>
  </w:p>
  <w:p w:rsidR="00E1273B" w:rsidRPr="00C24267" w:rsidRDefault="00E1273B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24267" w:rsidRDefault="00E1273B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12A86">
      <w:rPr>
        <w:noProof/>
      </w:rPr>
      <w:t>2</w:t>
    </w:r>
    <w:r w:rsidRPr="00C24267">
      <w:fldChar w:fldCharType="end"/>
    </w:r>
    <w:r w:rsidRPr="00C24267">
      <w:t xml:space="preserve"> of </w:t>
    </w:r>
    <w:r w:rsidR="009955B1">
      <w:fldChar w:fldCharType="begin"/>
    </w:r>
    <w:r w:rsidR="009955B1">
      <w:instrText xml:space="preserve"> NUMPAGES  \* Arabic  \* MERGEFORMAT </w:instrText>
    </w:r>
    <w:r w:rsidR="009955B1">
      <w:fldChar w:fldCharType="separate"/>
    </w:r>
    <w:r w:rsidR="00E12A86">
      <w:rPr>
        <w:noProof/>
      </w:rPr>
      <w:t>4</w:t>
    </w:r>
    <w:r w:rsidR="009955B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24267" w:rsidRDefault="00E1273B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12A86">
      <w:rPr>
        <w:noProof/>
      </w:rPr>
      <w:t>4</w:t>
    </w:r>
    <w:r w:rsidRPr="00C24267">
      <w:fldChar w:fldCharType="end"/>
    </w:r>
    <w:r w:rsidRPr="00C24267">
      <w:t xml:space="preserve"> of </w:t>
    </w:r>
    <w:r w:rsidR="009955B1">
      <w:fldChar w:fldCharType="begin"/>
    </w:r>
    <w:r w:rsidR="009955B1">
      <w:instrText xml:space="preserve"> NUMPAGES  \* Arabic  \* MERGEFORMAT </w:instrText>
    </w:r>
    <w:r w:rsidR="009955B1">
      <w:fldChar w:fldCharType="separate"/>
    </w:r>
    <w:r w:rsidR="00E12A86">
      <w:rPr>
        <w:noProof/>
      </w:rPr>
      <w:t>4</w:t>
    </w:r>
    <w:r w:rsidR="009955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B" w:rsidRDefault="00E1273B" w:rsidP="008F588A">
      <w:pPr>
        <w:spacing w:line="240" w:lineRule="auto"/>
      </w:pPr>
      <w:r>
        <w:separator/>
      </w:r>
    </w:p>
    <w:p w:rsidR="00E1273B" w:rsidRDefault="00E1273B"/>
  </w:footnote>
  <w:footnote w:type="continuationSeparator" w:id="0">
    <w:p w:rsidR="00E1273B" w:rsidRDefault="00E1273B" w:rsidP="008F588A">
      <w:pPr>
        <w:spacing w:line="240" w:lineRule="auto"/>
      </w:pPr>
      <w:r>
        <w:continuationSeparator/>
      </w:r>
    </w:p>
    <w:p w:rsidR="00E1273B" w:rsidRDefault="00E12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17112" w:rsidRDefault="00E1273B" w:rsidP="00C17112">
    <w:pPr>
      <w:pStyle w:val="Header"/>
      <w:spacing w:before="0" w:after="0"/>
      <w:jc w:val="right"/>
      <w:rPr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Default="00E1273B" w:rsidP="00CB40E1">
    <w:pPr>
      <w:pStyle w:val="Header"/>
    </w:pPr>
    <w:r>
      <w:rPr>
        <w:noProof/>
        <w:lang w:eastAsia="en-AU"/>
      </w:rPr>
      <w:drawing>
        <wp:inline distT="0" distB="0" distL="0" distR="0" wp14:anchorId="53465240" wp14:editId="4BCE4CFF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73B" w:rsidRPr="00DA1C8A" w:rsidRDefault="00E1273B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17112" w:rsidRDefault="00E1273B" w:rsidP="00C17112">
    <w:pPr>
      <w:pStyle w:val="Header"/>
    </w:pPr>
    <w:r>
      <w:rPr>
        <w:noProof/>
        <w:lang w:eastAsia="en-AU"/>
      </w:rPr>
      <w:drawing>
        <wp:inline distT="0" distB="0" distL="0" distR="0" wp14:anchorId="124BE269" wp14:editId="04398FEB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B" w:rsidRPr="00C17112" w:rsidRDefault="00E1273B" w:rsidP="00C17112">
    <w:pPr>
      <w:pStyle w:val="Header"/>
      <w:spacing w:before="0" w:after="0"/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B"/>
    <w:rsid w:val="00002D5D"/>
    <w:rsid w:val="00015FB2"/>
    <w:rsid w:val="00040DCE"/>
    <w:rsid w:val="00096F3A"/>
    <w:rsid w:val="000A31FB"/>
    <w:rsid w:val="000C1A75"/>
    <w:rsid w:val="001278D0"/>
    <w:rsid w:val="0014239B"/>
    <w:rsid w:val="001A02D1"/>
    <w:rsid w:val="001D6745"/>
    <w:rsid w:val="00212566"/>
    <w:rsid w:val="00220BE5"/>
    <w:rsid w:val="002422A3"/>
    <w:rsid w:val="00273997"/>
    <w:rsid w:val="002F699B"/>
    <w:rsid w:val="00312D85"/>
    <w:rsid w:val="00315E34"/>
    <w:rsid w:val="00326DE2"/>
    <w:rsid w:val="003D0F33"/>
    <w:rsid w:val="003D7744"/>
    <w:rsid w:val="003E4F5F"/>
    <w:rsid w:val="003F73CA"/>
    <w:rsid w:val="00440E32"/>
    <w:rsid w:val="00461597"/>
    <w:rsid w:val="00485374"/>
    <w:rsid w:val="004C283B"/>
    <w:rsid w:val="004D13ED"/>
    <w:rsid w:val="004D5525"/>
    <w:rsid w:val="005035DA"/>
    <w:rsid w:val="00507897"/>
    <w:rsid w:val="005142CF"/>
    <w:rsid w:val="00515A85"/>
    <w:rsid w:val="00545F24"/>
    <w:rsid w:val="0055581F"/>
    <w:rsid w:val="0056229A"/>
    <w:rsid w:val="00567064"/>
    <w:rsid w:val="00570154"/>
    <w:rsid w:val="00570B5A"/>
    <w:rsid w:val="00587422"/>
    <w:rsid w:val="005B1A4A"/>
    <w:rsid w:val="005C6967"/>
    <w:rsid w:val="005E3562"/>
    <w:rsid w:val="005F7DE0"/>
    <w:rsid w:val="00640346"/>
    <w:rsid w:val="00660385"/>
    <w:rsid w:val="00662E65"/>
    <w:rsid w:val="0066665A"/>
    <w:rsid w:val="00692DD8"/>
    <w:rsid w:val="006E6255"/>
    <w:rsid w:val="006F0CE9"/>
    <w:rsid w:val="007202A8"/>
    <w:rsid w:val="007229A9"/>
    <w:rsid w:val="007B029A"/>
    <w:rsid w:val="007D33AA"/>
    <w:rsid w:val="007D3577"/>
    <w:rsid w:val="007E660F"/>
    <w:rsid w:val="007E7EEA"/>
    <w:rsid w:val="007F7BCF"/>
    <w:rsid w:val="008030EC"/>
    <w:rsid w:val="00811D6D"/>
    <w:rsid w:val="00817E8E"/>
    <w:rsid w:val="00826F87"/>
    <w:rsid w:val="00841C3A"/>
    <w:rsid w:val="00844776"/>
    <w:rsid w:val="008850D9"/>
    <w:rsid w:val="008A4578"/>
    <w:rsid w:val="008C03C3"/>
    <w:rsid w:val="008D3909"/>
    <w:rsid w:val="008D6ECA"/>
    <w:rsid w:val="008F588A"/>
    <w:rsid w:val="00902D2D"/>
    <w:rsid w:val="00915804"/>
    <w:rsid w:val="00957285"/>
    <w:rsid w:val="009573AF"/>
    <w:rsid w:val="00960578"/>
    <w:rsid w:val="009963ED"/>
    <w:rsid w:val="009D4063"/>
    <w:rsid w:val="00A41BD3"/>
    <w:rsid w:val="00A449C2"/>
    <w:rsid w:val="00A65EA3"/>
    <w:rsid w:val="00AA3D6F"/>
    <w:rsid w:val="00AB55AE"/>
    <w:rsid w:val="00AB6F7D"/>
    <w:rsid w:val="00AC7878"/>
    <w:rsid w:val="00AD493E"/>
    <w:rsid w:val="00AE30B5"/>
    <w:rsid w:val="00AE5755"/>
    <w:rsid w:val="00B06055"/>
    <w:rsid w:val="00B44D8A"/>
    <w:rsid w:val="00B73AC8"/>
    <w:rsid w:val="00B747A7"/>
    <w:rsid w:val="00BA2BBF"/>
    <w:rsid w:val="00BC559C"/>
    <w:rsid w:val="00BE32C5"/>
    <w:rsid w:val="00BF1BA3"/>
    <w:rsid w:val="00BF1D8A"/>
    <w:rsid w:val="00C17112"/>
    <w:rsid w:val="00C24267"/>
    <w:rsid w:val="00CA5D42"/>
    <w:rsid w:val="00CB40E1"/>
    <w:rsid w:val="00CF6DB6"/>
    <w:rsid w:val="00D00B56"/>
    <w:rsid w:val="00D134CA"/>
    <w:rsid w:val="00D52D5F"/>
    <w:rsid w:val="00D949A3"/>
    <w:rsid w:val="00DA1C8A"/>
    <w:rsid w:val="00DB44F0"/>
    <w:rsid w:val="00DD109E"/>
    <w:rsid w:val="00DD3E18"/>
    <w:rsid w:val="00DE0C81"/>
    <w:rsid w:val="00E12103"/>
    <w:rsid w:val="00E1273B"/>
    <w:rsid w:val="00E12A86"/>
    <w:rsid w:val="00E15AAE"/>
    <w:rsid w:val="00E21184"/>
    <w:rsid w:val="00E40B8B"/>
    <w:rsid w:val="00E5742E"/>
    <w:rsid w:val="00EA265F"/>
    <w:rsid w:val="00EA5685"/>
    <w:rsid w:val="00ED43FF"/>
    <w:rsid w:val="00ED6845"/>
    <w:rsid w:val="00EE6600"/>
    <w:rsid w:val="00EF1D6A"/>
    <w:rsid w:val="00EF2E51"/>
    <w:rsid w:val="00F31E24"/>
    <w:rsid w:val="00F4171F"/>
    <w:rsid w:val="00F52474"/>
    <w:rsid w:val="00F5529D"/>
    <w:rsid w:val="00F5669E"/>
    <w:rsid w:val="00F675D2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AE575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uiPriority w:val="99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uiPriority w:val="99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uiPriority w:val="99"/>
    <w:qFormat/>
    <w:rsid w:val="00C24267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AE575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uiPriority w:val="99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uiPriority w:val="99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uiPriority w:val="99"/>
    <w:qFormat/>
    <w:rsid w:val="00C24267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ata.gov.au/dataset/income-management-summary-data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http://rachel-siewert.greensmps.org.au/content/media-releases/greens-announce-plans-reverse-income-manag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C4AC3A-D64F-4A31-89DA-A5C44F1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5</TotalTime>
  <Pages>4</Pages>
  <Words>773</Words>
  <Characters>4415</Characters>
  <Application>Microsoft Office Word</Application>
  <DocSecurity>0</DocSecurity>
  <Lines>163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GRN077 - Ending compulsory income management - 1 July 2016</vt:lpstr>
    </vt:vector>
  </TitlesOfParts>
  <Company>Parliament of Australia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GRN077 - Ending compulsory income management - 1 July 2016</dc:title>
  <dc:creator>PBO@pbo.gov.au</dc:creator>
  <cp:lastModifiedBy>Moorhouse, Helen (PBO)</cp:lastModifiedBy>
  <cp:revision>7</cp:revision>
  <cp:lastPrinted>2016-04-20T06:27:00Z</cp:lastPrinted>
  <dcterms:created xsi:type="dcterms:W3CDTF">2016-07-01T04:06:00Z</dcterms:created>
  <dcterms:modified xsi:type="dcterms:W3CDTF">2016-07-01T04:32:00Z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