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61" w:rsidRDefault="00A84B61" w:rsidP="00A84B61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</w:t>
      </w:r>
      <w:r w:rsidRPr="00002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Richard Di Natale</w:t>
      </w:r>
    </w:p>
    <w:p w:rsidR="00A84B61" w:rsidRPr="00002D5D" w:rsidRDefault="00A84B61" w:rsidP="00A84B61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CANBERRA  ACT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2600</w:t>
      </w:r>
    </w:p>
    <w:p w:rsidR="00040DCE" w:rsidRPr="00002D5D" w:rsidRDefault="00040DCE" w:rsidP="00040DCE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="00F16C15">
        <w:rPr>
          <w:rFonts w:ascii="Times New Roman" w:hAnsi="Times New Roman" w:cs="Times New Roman"/>
          <w:sz w:val="24"/>
          <w:szCs w:val="24"/>
        </w:rPr>
        <w:t>Senator Di Natale</w:t>
      </w:r>
    </w:p>
    <w:p w:rsidR="00040DCE" w:rsidRPr="00002D5D" w:rsidRDefault="00040DCE" w:rsidP="00C17112">
      <w:pPr>
        <w:pStyle w:val="Lettertext"/>
      </w:pPr>
      <w:r w:rsidRPr="00002D5D">
        <w:t xml:space="preserve">Please find attached a response to your costing request, </w:t>
      </w:r>
      <w:r w:rsidR="006E479E" w:rsidRPr="00901E68">
        <w:rPr>
          <w:i/>
        </w:rPr>
        <w:t>Digital Rights:</w:t>
      </w:r>
      <w:r w:rsidR="006E479E">
        <w:t xml:space="preserve"> </w:t>
      </w:r>
      <w:r w:rsidR="0010430F">
        <w:rPr>
          <w:i/>
        </w:rPr>
        <w:t xml:space="preserve">Abolish </w:t>
      </w:r>
      <w:r w:rsidR="006E479E">
        <w:rPr>
          <w:i/>
        </w:rPr>
        <w:t>D</w:t>
      </w:r>
      <w:r w:rsidR="0010430F">
        <w:rPr>
          <w:i/>
        </w:rPr>
        <w:t xml:space="preserve">ata </w:t>
      </w:r>
      <w:r w:rsidR="006E479E">
        <w:rPr>
          <w:i/>
        </w:rPr>
        <w:t>R</w:t>
      </w:r>
      <w:r w:rsidR="0010430F">
        <w:rPr>
          <w:i/>
        </w:rPr>
        <w:t>etention</w:t>
      </w:r>
      <w:r w:rsidR="002173EB">
        <w:rPr>
          <w:i/>
        </w:rPr>
        <w:t xml:space="preserve"> </w:t>
      </w:r>
      <w:r w:rsidRPr="00002D5D">
        <w:t xml:space="preserve">(letter of </w:t>
      </w:r>
      <w:r w:rsidR="006E479E">
        <w:t>1</w:t>
      </w:r>
      <w:r w:rsidR="0093144A">
        <w:t xml:space="preserve"> </w:t>
      </w:r>
      <w:r w:rsidR="002173EB">
        <w:t>Ju</w:t>
      </w:r>
      <w:r w:rsidR="006E479E">
        <w:t xml:space="preserve">ly </w:t>
      </w:r>
      <w:r w:rsidR="002173EB">
        <w:t>2</w:t>
      </w:r>
      <w:r w:rsidRPr="00002D5D">
        <w:t>016).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5C0664" w:rsidP="005C0664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E479E">
        <w:rPr>
          <w:rFonts w:ascii="Times New Roman" w:hAnsi="Times New Roman" w:cs="Times New Roman"/>
          <w:sz w:val="24"/>
          <w:szCs w:val="24"/>
        </w:rPr>
        <w:t>July</w:t>
      </w:r>
      <w:r w:rsidR="006E479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RPr="00C17A3A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Pr="00C17A3A" w:rsidRDefault="004D5525" w:rsidP="006D3F70">
            <w:pPr>
              <w:pStyle w:val="BodyText"/>
              <w:spacing w:after="114"/>
              <w:rPr>
                <w:sz w:val="22"/>
              </w:rPr>
            </w:pPr>
            <w:bookmarkStart w:id="0" w:name="_GoBack"/>
            <w:r w:rsidRPr="00C17A3A">
              <w:rPr>
                <w:sz w:val="22"/>
              </w:rPr>
              <w:t>Name of proposal:</w:t>
            </w:r>
          </w:p>
        </w:tc>
        <w:tc>
          <w:tcPr>
            <w:tcW w:w="5335" w:type="dxa"/>
          </w:tcPr>
          <w:p w:rsidR="004D5525" w:rsidRPr="00C17A3A" w:rsidRDefault="006E479E" w:rsidP="006D3F70">
            <w:pPr>
              <w:pStyle w:val="BodyText"/>
              <w:spacing w:after="114"/>
              <w:rPr>
                <w:sz w:val="22"/>
              </w:rPr>
            </w:pPr>
            <w:r w:rsidRPr="00C17A3A">
              <w:rPr>
                <w:sz w:val="22"/>
              </w:rPr>
              <w:t xml:space="preserve">Digital Rights: </w:t>
            </w:r>
            <w:r w:rsidR="007875B8" w:rsidRPr="00C17A3A">
              <w:rPr>
                <w:sz w:val="22"/>
              </w:rPr>
              <w:t xml:space="preserve">Abolish </w:t>
            </w:r>
            <w:r w:rsidRPr="00C17A3A">
              <w:rPr>
                <w:sz w:val="22"/>
              </w:rPr>
              <w:t>D</w:t>
            </w:r>
            <w:r w:rsidR="007875B8" w:rsidRPr="00C17A3A">
              <w:rPr>
                <w:sz w:val="22"/>
              </w:rPr>
              <w:t xml:space="preserve">ata </w:t>
            </w:r>
            <w:r w:rsidRPr="00C17A3A">
              <w:rPr>
                <w:sz w:val="22"/>
              </w:rPr>
              <w:t>R</w:t>
            </w:r>
            <w:r w:rsidR="007875B8" w:rsidRPr="00C17A3A">
              <w:rPr>
                <w:sz w:val="22"/>
              </w:rPr>
              <w:t>etention</w:t>
            </w:r>
          </w:p>
        </w:tc>
      </w:tr>
      <w:bookmarkEnd w:id="0"/>
      <w:tr w:rsidR="004D5525" w:rsidTr="00D52D5F">
        <w:tc>
          <w:tcPr>
            <w:tcW w:w="3005" w:type="dxa"/>
          </w:tcPr>
          <w:p w:rsidR="004D5525" w:rsidRDefault="004D5525" w:rsidP="006D3F70">
            <w:pPr>
              <w:pStyle w:val="BodyText"/>
              <w:spacing w:after="114"/>
            </w:pPr>
            <w:r>
              <w:t>Summary of proposal:</w:t>
            </w:r>
          </w:p>
        </w:tc>
        <w:tc>
          <w:tcPr>
            <w:tcW w:w="5335" w:type="dxa"/>
          </w:tcPr>
          <w:p w:rsidR="00074D2B" w:rsidRDefault="00074D2B" w:rsidP="006D3F70">
            <w:r>
              <w:t>This proposal has two components:</w:t>
            </w:r>
          </w:p>
          <w:p w:rsidR="00074D2B" w:rsidRPr="00901E68" w:rsidRDefault="00074D2B" w:rsidP="006D3F70">
            <w:pPr>
              <w:rPr>
                <w:u w:val="single"/>
              </w:rPr>
            </w:pPr>
            <w:r>
              <w:rPr>
                <w:u w:val="single"/>
              </w:rPr>
              <w:t xml:space="preserve">Component 1: Abolish </w:t>
            </w:r>
            <w:r w:rsidR="0093144A">
              <w:rPr>
                <w:u w:val="single"/>
              </w:rPr>
              <w:t>D</w:t>
            </w:r>
            <w:r>
              <w:rPr>
                <w:u w:val="single"/>
              </w:rPr>
              <w:t xml:space="preserve">ata </w:t>
            </w:r>
            <w:r w:rsidR="0093144A">
              <w:rPr>
                <w:u w:val="single"/>
              </w:rPr>
              <w:t>R</w:t>
            </w:r>
            <w:r>
              <w:rPr>
                <w:u w:val="single"/>
              </w:rPr>
              <w:t>etention</w:t>
            </w:r>
          </w:p>
          <w:p w:rsidR="007875B8" w:rsidRDefault="007875B8" w:rsidP="006D3F70">
            <w:pPr>
              <w:pStyle w:val="Bullet1"/>
            </w:pPr>
            <w:r w:rsidRPr="006D3F70">
              <w:t>The</w:t>
            </w:r>
            <w:r w:rsidRPr="00414E2D">
              <w:t xml:space="preserve"> proposal would </w:t>
            </w:r>
            <w:r>
              <w:t>abolish the Mandatory Data Retention Scheme announced in the 2015-16 Budget.</w:t>
            </w:r>
          </w:p>
          <w:p w:rsidR="00074D2B" w:rsidRDefault="00074D2B" w:rsidP="006D3F70">
            <w:pPr>
              <w:rPr>
                <w:u w:val="single"/>
              </w:rPr>
            </w:pPr>
            <w:r>
              <w:rPr>
                <w:u w:val="single"/>
              </w:rPr>
              <w:t>Component 2: Commissioner for digital rights</w:t>
            </w:r>
          </w:p>
          <w:p w:rsidR="00074D2B" w:rsidRDefault="00074D2B" w:rsidP="006D3F70">
            <w:pPr>
              <w:pStyle w:val="Bullet1"/>
            </w:pPr>
            <w:r>
              <w:t xml:space="preserve">The proposal would create an additional commissioner </w:t>
            </w:r>
            <w:r w:rsidRPr="006D3F70">
              <w:t>position</w:t>
            </w:r>
            <w:r>
              <w:t xml:space="preserve"> at the Human Rights Commission</w:t>
            </w:r>
            <w:r w:rsidR="00C244B5">
              <w:t xml:space="preserve"> that would be responsible for digital r</w:t>
            </w:r>
            <w:r>
              <w:t>ights.</w:t>
            </w:r>
          </w:p>
          <w:p w:rsidR="004D5525" w:rsidRDefault="007875B8" w:rsidP="006D3F70">
            <w:pPr>
              <w:pStyle w:val="BodyText"/>
              <w:spacing w:after="114"/>
            </w:pPr>
            <w:r w:rsidRPr="00BC3D20">
              <w:t>The proposal would have effect from</w:t>
            </w:r>
            <w:r>
              <w:t xml:space="preserve"> </w:t>
            </w:r>
            <w:r w:rsidRPr="00BC3D20">
              <w:t>1 September 201</w:t>
            </w:r>
            <w:r>
              <w:t>6</w:t>
            </w:r>
            <w:r w:rsidRPr="00BC3D20">
              <w:t>.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6D3F70">
            <w:pPr>
              <w:pStyle w:val="BodyText"/>
              <w:spacing w:after="114"/>
            </w:pPr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E91E96" w:rsidP="006D3F70">
            <w:pPr>
              <w:pStyle w:val="BodyText"/>
              <w:spacing w:after="114"/>
            </w:pPr>
            <w:r w:rsidRPr="00B724AC">
              <w:t>Senator Richard Di Natale, Australian Greens</w:t>
            </w:r>
          </w:p>
        </w:tc>
      </w:tr>
      <w:tr w:rsidR="007D3577" w:rsidTr="00060F22">
        <w:tc>
          <w:tcPr>
            <w:tcW w:w="3005" w:type="dxa"/>
          </w:tcPr>
          <w:p w:rsidR="007D3577" w:rsidRDefault="007D3577" w:rsidP="006D3F70">
            <w:pPr>
              <w:pStyle w:val="BodyText"/>
              <w:spacing w:after="114"/>
            </w:pPr>
            <w:r>
              <w:t>Date of public release of policy:</w:t>
            </w:r>
          </w:p>
        </w:tc>
        <w:tc>
          <w:tcPr>
            <w:tcW w:w="5335" w:type="dxa"/>
          </w:tcPr>
          <w:p w:rsidR="007D3577" w:rsidRDefault="00074D2B" w:rsidP="006D3F70">
            <w:pPr>
              <w:pStyle w:val="BodyText"/>
              <w:spacing w:after="114"/>
            </w:pPr>
            <w:r>
              <w:t xml:space="preserve">30 </w:t>
            </w:r>
            <w:r w:rsidR="00FE4489">
              <w:t>June 2016</w:t>
            </w:r>
          </w:p>
          <w:p w:rsidR="0093144A" w:rsidRPr="00C17112" w:rsidRDefault="00AF0234" w:rsidP="006D3F70">
            <w:pPr>
              <w:pStyle w:val="BodyText"/>
              <w:spacing w:after="114"/>
            </w:pPr>
            <w:hyperlink r:id="rId13" w:history="1">
              <w:r w:rsidR="00452855" w:rsidRPr="007479FF">
                <w:rPr>
                  <w:rStyle w:val="Hyperlink"/>
                </w:rPr>
                <w:t>http://greens.org.au/digital-rights-commissioner</w:t>
              </w:r>
            </w:hyperlink>
            <w:r w:rsidR="00452855">
              <w:t xml:space="preserve"> 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6D3F70">
            <w:pPr>
              <w:pStyle w:val="BodyText"/>
              <w:spacing w:after="114"/>
            </w:pPr>
            <w:r>
              <w:t>Date costing request received:</w:t>
            </w:r>
          </w:p>
        </w:tc>
        <w:tc>
          <w:tcPr>
            <w:tcW w:w="5335" w:type="dxa"/>
          </w:tcPr>
          <w:p w:rsidR="004D5525" w:rsidRDefault="00074D2B" w:rsidP="006D3F70">
            <w:pPr>
              <w:pStyle w:val="BodyText"/>
              <w:spacing w:after="114"/>
            </w:pPr>
            <w:r>
              <w:t>1 July</w:t>
            </w:r>
            <w:r w:rsidR="00E91E96">
              <w:t xml:space="preserve"> 2016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6D3F70">
            <w:pPr>
              <w:pStyle w:val="BodyText"/>
              <w:spacing w:after="114"/>
            </w:pPr>
            <w:r>
              <w:t>Date costing completed</w:t>
            </w:r>
            <w:r w:rsidR="005C0664">
              <w:t>:</w:t>
            </w:r>
          </w:p>
        </w:tc>
        <w:tc>
          <w:tcPr>
            <w:tcW w:w="5335" w:type="dxa"/>
          </w:tcPr>
          <w:p w:rsidR="004D5525" w:rsidRPr="00C17112" w:rsidRDefault="00074D2B" w:rsidP="006D3F70">
            <w:pPr>
              <w:pStyle w:val="BodyText"/>
              <w:spacing w:after="114"/>
            </w:pPr>
            <w:r>
              <w:t xml:space="preserve">1 July </w:t>
            </w:r>
            <w:r w:rsidR="00E91E96">
              <w:t>2016</w:t>
            </w:r>
          </w:p>
        </w:tc>
      </w:tr>
      <w:tr w:rsidR="004D5525" w:rsidTr="00D52D5F">
        <w:tc>
          <w:tcPr>
            <w:tcW w:w="3005" w:type="dxa"/>
          </w:tcPr>
          <w:p w:rsidR="004D5525" w:rsidRPr="00220BE5" w:rsidRDefault="004D5525" w:rsidP="006D3F70">
            <w:pPr>
              <w:pStyle w:val="BodyText"/>
              <w:spacing w:after="114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F4535C" w:rsidP="006D3F70">
            <w:pPr>
              <w:pStyle w:val="BodyText"/>
              <w:spacing w:after="114"/>
            </w:pPr>
            <w:r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7875B8" w:rsidRDefault="00074D2B" w:rsidP="007875B8">
      <w:r w:rsidRPr="00435426">
        <w:t xml:space="preserve">This proposal would be expected to increase </w:t>
      </w:r>
      <w:r w:rsidR="00435426">
        <w:t xml:space="preserve">both </w:t>
      </w:r>
      <w:r w:rsidRPr="00435426">
        <w:t xml:space="preserve">the fiscal </w:t>
      </w:r>
      <w:r w:rsidR="007875B8" w:rsidRPr="00435426">
        <w:t>and underlying cash balances by $</w:t>
      </w:r>
      <w:r w:rsidR="00435426" w:rsidRPr="00435426">
        <w:t>5</w:t>
      </w:r>
      <w:r w:rsidR="00435426" w:rsidRPr="00901E68">
        <w:t>4</w:t>
      </w:r>
      <w:r w:rsidR="00435426" w:rsidRPr="00435426">
        <w:t> </w:t>
      </w:r>
      <w:r w:rsidR="007875B8" w:rsidRPr="00435426">
        <w:t xml:space="preserve">million over the 2016-17 Budget forward estimates period.  </w:t>
      </w:r>
      <w:r w:rsidR="00DF13B5" w:rsidRPr="00435426">
        <w:t>These financial implications are</w:t>
      </w:r>
      <w:r w:rsidR="007875B8" w:rsidRPr="00435426">
        <w:t xml:space="preserve"> due to a </w:t>
      </w:r>
      <w:r w:rsidR="00435426" w:rsidRPr="00435426">
        <w:t xml:space="preserve">net </w:t>
      </w:r>
      <w:r w:rsidR="007875B8" w:rsidRPr="00435426">
        <w:t xml:space="preserve">decrease in </w:t>
      </w:r>
      <w:r w:rsidR="00435426" w:rsidRPr="00435426">
        <w:t xml:space="preserve">expenses </w:t>
      </w:r>
      <w:r w:rsidR="007875B8" w:rsidRPr="00435426">
        <w:t xml:space="preserve">and reflect a decrease in administered expenses of $56 million and a </w:t>
      </w:r>
      <w:r w:rsidR="00435426" w:rsidRPr="00435426">
        <w:t>net increase</w:t>
      </w:r>
      <w:r w:rsidR="007875B8" w:rsidRPr="00435426">
        <w:t xml:space="preserve"> in departmental expenses of $</w:t>
      </w:r>
      <w:r w:rsidR="00435426" w:rsidRPr="00435426">
        <w:t>2 </w:t>
      </w:r>
      <w:r w:rsidR="007875B8" w:rsidRPr="00435426">
        <w:t>million</w:t>
      </w:r>
      <w:r w:rsidR="00452855">
        <w:t xml:space="preserve"> over the 2016</w:t>
      </w:r>
      <w:r w:rsidR="00452855">
        <w:noBreakHyphen/>
        <w:t>17 </w:t>
      </w:r>
      <w:r w:rsidR="00DF13B5" w:rsidRPr="00435426">
        <w:t>Budget</w:t>
      </w:r>
      <w:r w:rsidR="00DF13B5">
        <w:t xml:space="preserve"> forward estimates period</w:t>
      </w:r>
      <w:r w:rsidR="007875B8" w:rsidRPr="00CC564B">
        <w:t>.</w:t>
      </w:r>
    </w:p>
    <w:p w:rsidR="007875B8" w:rsidRDefault="00310F69" w:rsidP="007875B8">
      <w:r>
        <w:t>D</w:t>
      </w:r>
      <w:r w:rsidR="007875B8">
        <w:t xml:space="preserve">etailed </w:t>
      </w:r>
      <w:r>
        <w:t>financial implications are provided</w:t>
      </w:r>
      <w:r w:rsidR="0043770C">
        <w:t xml:space="preserve"> </w:t>
      </w:r>
      <w:r w:rsidR="007875B8">
        <w:t xml:space="preserve">at </w:t>
      </w:r>
      <w:r w:rsidR="007875B8" w:rsidRPr="00BC4311">
        <w:rPr>
          <w:u w:val="single"/>
        </w:rPr>
        <w:t>Attachment A</w:t>
      </w:r>
      <w:r w:rsidR="007875B8">
        <w:t xml:space="preserve">. </w:t>
      </w:r>
    </w:p>
    <w:p w:rsidR="00074D2B" w:rsidRPr="000B66C8" w:rsidRDefault="00074D2B" w:rsidP="00901E68">
      <w:pPr>
        <w:pStyle w:val="Captionheading"/>
        <w:spacing w:before="114"/>
        <w:rPr>
          <w:b w:val="0"/>
          <w:bCs w:val="0"/>
          <w:color w:val="auto"/>
          <w:spacing w:val="0"/>
        </w:rPr>
      </w:pPr>
      <w:r w:rsidRPr="000B66C8">
        <w:rPr>
          <w:b w:val="0"/>
          <w:bCs w:val="0"/>
          <w:color w:val="auto"/>
          <w:spacing w:val="0"/>
        </w:rPr>
        <w:lastRenderedPageBreak/>
        <w:t xml:space="preserve">This proposal would be expected to have an ongoing impact beyond the 2016-17 Budget forward estimates </w:t>
      </w:r>
      <w:r w:rsidR="002B1570">
        <w:rPr>
          <w:b w:val="0"/>
          <w:bCs w:val="0"/>
          <w:color w:val="auto"/>
          <w:spacing w:val="0"/>
        </w:rPr>
        <w:t xml:space="preserve">period </w:t>
      </w:r>
      <w:r w:rsidR="00F34E9E">
        <w:rPr>
          <w:b w:val="0"/>
          <w:bCs w:val="0"/>
          <w:color w:val="auto"/>
          <w:spacing w:val="0"/>
        </w:rPr>
        <w:t>at a similar level to the 2019-20 estimates.  The ongoing impact relates</w:t>
      </w:r>
      <w:r>
        <w:rPr>
          <w:b w:val="0"/>
          <w:bCs w:val="0"/>
          <w:color w:val="auto"/>
          <w:spacing w:val="0"/>
        </w:rPr>
        <w:t xml:space="preserve"> only </w:t>
      </w:r>
      <w:r w:rsidR="00F34E9E">
        <w:rPr>
          <w:b w:val="0"/>
          <w:bCs w:val="0"/>
          <w:color w:val="auto"/>
          <w:spacing w:val="0"/>
        </w:rPr>
        <w:t>to</w:t>
      </w:r>
      <w:r>
        <w:rPr>
          <w:b w:val="0"/>
          <w:bCs w:val="0"/>
          <w:color w:val="auto"/>
          <w:spacing w:val="0"/>
        </w:rPr>
        <w:t xml:space="preserve"> the</w:t>
      </w:r>
      <w:r w:rsidR="00F34E9E">
        <w:rPr>
          <w:b w:val="0"/>
          <w:bCs w:val="0"/>
          <w:color w:val="auto"/>
          <w:spacing w:val="0"/>
        </w:rPr>
        <w:t xml:space="preserve"> </w:t>
      </w:r>
      <w:r w:rsidR="0093144A">
        <w:rPr>
          <w:b w:val="0"/>
          <w:bCs w:val="0"/>
          <w:color w:val="auto"/>
          <w:spacing w:val="0"/>
        </w:rPr>
        <w:t>proposed</w:t>
      </w:r>
      <w:r w:rsidR="00F34E9E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>commissioner for digital rights</w:t>
      </w:r>
      <w:r w:rsidR="000306A7">
        <w:rPr>
          <w:b w:val="0"/>
          <w:bCs w:val="0"/>
          <w:color w:val="auto"/>
          <w:spacing w:val="0"/>
        </w:rPr>
        <w:t xml:space="preserve"> (</w:t>
      </w:r>
      <w:r w:rsidR="00BB7BBE">
        <w:rPr>
          <w:b w:val="0"/>
          <w:bCs w:val="0"/>
          <w:color w:val="auto"/>
          <w:spacing w:val="0"/>
        </w:rPr>
        <w:t>C</w:t>
      </w:r>
      <w:r w:rsidR="000306A7">
        <w:rPr>
          <w:b w:val="0"/>
          <w:bCs w:val="0"/>
          <w:color w:val="auto"/>
          <w:spacing w:val="0"/>
        </w:rPr>
        <w:t>omponent 2)</w:t>
      </w:r>
      <w:r w:rsidRPr="000B66C8">
        <w:rPr>
          <w:b w:val="0"/>
          <w:bCs w:val="0"/>
          <w:color w:val="auto"/>
          <w:spacing w:val="0"/>
        </w:rPr>
        <w:t>.</w:t>
      </w:r>
    </w:p>
    <w:p w:rsidR="008D3909" w:rsidRDefault="00074D2B" w:rsidP="00002D5D">
      <w:pPr>
        <w:rPr>
          <w:lang w:eastAsia="en-AU"/>
        </w:rPr>
      </w:pPr>
      <w:r>
        <w:t xml:space="preserve">Component 1 of this </w:t>
      </w:r>
      <w:r w:rsidR="007875B8" w:rsidRPr="00C778F2">
        <w:rPr>
          <w:lang w:eastAsia="en-AU"/>
        </w:rPr>
        <w:t>costing is considered to be of high reliability as it is based on estimates provided by the Attorney-General’s Department.</w:t>
      </w:r>
    </w:p>
    <w:p w:rsidR="00074D2B" w:rsidRPr="00002D5D" w:rsidRDefault="00074D2B" w:rsidP="00002D5D">
      <w:pPr>
        <w:rPr>
          <w:highlight w:val="yellow"/>
        </w:rPr>
      </w:pPr>
      <w:r>
        <w:rPr>
          <w:lang w:eastAsia="en-AU"/>
        </w:rPr>
        <w:t xml:space="preserve">Component 2 of this costing is considered to </w:t>
      </w:r>
      <w:r w:rsidRPr="000B66C8">
        <w:t>be of high reliability as it is based on the financial implications of removing the previous Disability Commissioner in the 2014</w:t>
      </w:r>
      <w:r w:rsidR="0093144A">
        <w:noBreakHyphen/>
      </w:r>
      <w:r w:rsidRPr="000B66C8">
        <w:t>15</w:t>
      </w:r>
      <w:r w:rsidR="0093144A">
        <w:t> </w:t>
      </w:r>
      <w:r w:rsidRPr="000B66C8">
        <w:t>Budget.</w:t>
      </w:r>
    </w:p>
    <w:p w:rsidR="005E3562" w:rsidRPr="00FC6579" w:rsidRDefault="005E3562" w:rsidP="00FC6579">
      <w:pPr>
        <w:pStyle w:val="Captionheading"/>
      </w:pPr>
      <w:r w:rsidRPr="00FC6579">
        <w:t xml:space="preserve">Table </w:t>
      </w:r>
      <w:r w:rsidR="001A02D1" w:rsidRPr="00FC6579">
        <w:t>1</w:t>
      </w:r>
      <w:r w:rsidRPr="00FC6579">
        <w:t>: Financial implications (outturn prices</w:t>
      </w:r>
      <w:proofErr w:type="gramStart"/>
      <w:r w:rsidRPr="00FC6579">
        <w:t>)</w:t>
      </w:r>
      <w:r w:rsidRPr="00844776">
        <w:rPr>
          <w:vertAlign w:val="superscript"/>
        </w:rPr>
        <w:t>(</w:t>
      </w:r>
      <w:proofErr w:type="gramEnd"/>
      <w:r w:rsidRPr="00844776">
        <w:rPr>
          <w:vertAlign w:val="superscript"/>
        </w:rPr>
        <w:t>a)</w:t>
      </w:r>
      <w:r w:rsidR="00B07DDC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EA2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</w:tcPr>
          <w:p w:rsidR="00CA5D42" w:rsidRPr="00B73AC8" w:rsidRDefault="00CA5D42" w:rsidP="006D3F70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</w:tcPr>
          <w:p w:rsidR="00CA5D42" w:rsidRPr="00B73AC8" w:rsidRDefault="00CA5D42" w:rsidP="006D3F70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</w:tcPr>
          <w:p w:rsidR="00CA5D42" w:rsidRPr="00B73AC8" w:rsidRDefault="00CA5D42" w:rsidP="006D3F70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</w:tcPr>
          <w:p w:rsidR="00CA5D42" w:rsidRPr="00B73AC8" w:rsidRDefault="00CA5D42" w:rsidP="006D3F70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</w:tcPr>
          <w:p w:rsidR="00CA5D42" w:rsidRPr="00B73AC8" w:rsidRDefault="00CA5D42" w:rsidP="006D3F70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</w:tcPr>
          <w:p w:rsidR="00CA5D42" w:rsidRPr="00F97DFF" w:rsidRDefault="00CA5D42" w:rsidP="006D3F70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7875B8" w:rsidRPr="00B73AC8" w:rsidTr="00EA2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7875B8" w:rsidRPr="00B73AC8" w:rsidRDefault="007875B8" w:rsidP="006D3F70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7875B8" w:rsidRPr="00C778F2" w:rsidRDefault="007875B8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43.</w:t>
            </w:r>
            <w:r w:rsidR="00AE0FA2">
              <w:t>2</w:t>
            </w:r>
          </w:p>
        </w:tc>
        <w:tc>
          <w:tcPr>
            <w:tcW w:w="682" w:type="pct"/>
          </w:tcPr>
          <w:p w:rsidR="007875B8" w:rsidRPr="00C778F2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12.9</w:t>
            </w:r>
          </w:p>
        </w:tc>
        <w:tc>
          <w:tcPr>
            <w:tcW w:w="682" w:type="pct"/>
          </w:tcPr>
          <w:p w:rsidR="007875B8" w:rsidRPr="00C778F2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-1.0</w:t>
            </w:r>
          </w:p>
        </w:tc>
        <w:tc>
          <w:tcPr>
            <w:tcW w:w="682" w:type="pct"/>
          </w:tcPr>
          <w:p w:rsidR="007875B8" w:rsidRPr="00C778F2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-1.0</w:t>
            </w:r>
          </w:p>
        </w:tc>
        <w:tc>
          <w:tcPr>
            <w:tcW w:w="681" w:type="pct"/>
          </w:tcPr>
          <w:p w:rsidR="007875B8" w:rsidRPr="0023006D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54.0</w:t>
            </w:r>
          </w:p>
        </w:tc>
      </w:tr>
      <w:tr w:rsidR="007875B8" w:rsidRPr="00B73AC8" w:rsidTr="00EA2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7875B8" w:rsidRPr="00B73AC8" w:rsidRDefault="007875B8" w:rsidP="006D3F70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7875B8" w:rsidRPr="00C778F2" w:rsidRDefault="00AE0FA2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43.2</w:t>
            </w:r>
          </w:p>
        </w:tc>
        <w:tc>
          <w:tcPr>
            <w:tcW w:w="682" w:type="pct"/>
          </w:tcPr>
          <w:p w:rsidR="007875B8" w:rsidRPr="00C778F2" w:rsidRDefault="00AE0FA2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12.9</w:t>
            </w:r>
          </w:p>
        </w:tc>
        <w:tc>
          <w:tcPr>
            <w:tcW w:w="682" w:type="pct"/>
          </w:tcPr>
          <w:p w:rsidR="007875B8" w:rsidRPr="00C778F2" w:rsidRDefault="00AE0FA2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-1.0</w:t>
            </w:r>
          </w:p>
        </w:tc>
        <w:tc>
          <w:tcPr>
            <w:tcW w:w="682" w:type="pct"/>
          </w:tcPr>
          <w:p w:rsidR="007875B8" w:rsidRPr="00C778F2" w:rsidRDefault="00AE0FA2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-1.0</w:t>
            </w:r>
          </w:p>
        </w:tc>
        <w:tc>
          <w:tcPr>
            <w:tcW w:w="681" w:type="pct"/>
          </w:tcPr>
          <w:p w:rsidR="007875B8" w:rsidRPr="0023006D" w:rsidRDefault="00AE0FA2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54.0</w:t>
            </w:r>
          </w:p>
        </w:tc>
      </w:tr>
    </w:tbl>
    <w:p w:rsidR="00B07DDC" w:rsidRPr="0023006D" w:rsidRDefault="00B07DDC" w:rsidP="00C66177">
      <w:pPr>
        <w:pStyle w:val="Footnotes"/>
        <w:keepNext/>
        <w:keepLines/>
        <w:numPr>
          <w:ilvl w:val="0"/>
          <w:numId w:val="7"/>
        </w:numPr>
        <w:ind w:left="284" w:hanging="284"/>
        <w:rPr>
          <w:color w:val="000000" w:themeColor="text1"/>
        </w:rPr>
      </w:pPr>
      <w:r w:rsidRPr="0023006D">
        <w:rPr>
          <w:color w:val="000000" w:themeColor="text1"/>
        </w:rPr>
        <w:t>A positive number represents an increase in the relevant budget balance, a negative number a decrease</w:t>
      </w:r>
      <w:r w:rsidR="00901E68">
        <w:rPr>
          <w:color w:val="000000" w:themeColor="text1"/>
        </w:rPr>
        <w:t>.</w:t>
      </w:r>
    </w:p>
    <w:p w:rsidR="009D4063" w:rsidRDefault="00DF13B5" w:rsidP="00C66177">
      <w:pPr>
        <w:pStyle w:val="Footnotes"/>
        <w:keepNext/>
        <w:keepLines/>
        <w:numPr>
          <w:ilvl w:val="0"/>
          <w:numId w:val="7"/>
        </w:numPr>
        <w:ind w:left="284" w:hanging="284"/>
      </w:pPr>
      <w:r>
        <w:t xml:space="preserve">Figures may not sum to totals </w:t>
      </w:r>
      <w:r w:rsidR="003C6D25" w:rsidRPr="00B724AC">
        <w:t>due to rounding</w:t>
      </w:r>
      <w:r w:rsidR="003C6D25">
        <w:t>.</w:t>
      </w:r>
    </w:p>
    <w:p w:rsidR="00074D2B" w:rsidRPr="00FC6579" w:rsidRDefault="00074D2B" w:rsidP="00074D2B">
      <w:pPr>
        <w:pStyle w:val="Heading2"/>
      </w:pPr>
      <w:r w:rsidRPr="00FC6579">
        <w:t>Key assumptions</w:t>
      </w:r>
    </w:p>
    <w:p w:rsidR="00074D2B" w:rsidRDefault="00074D2B" w:rsidP="00074D2B">
      <w:r>
        <w:t>The Parliamentary Budget Office has made the following assumptions regarding this proposal:</w:t>
      </w:r>
    </w:p>
    <w:p w:rsidR="00901E68" w:rsidRDefault="00901E68" w:rsidP="00901E68">
      <w:pPr>
        <w:pStyle w:val="Bullet1"/>
      </w:pPr>
      <w:r>
        <w:t xml:space="preserve">For </w:t>
      </w:r>
      <w:r w:rsidR="00BB7BBE">
        <w:t>C</w:t>
      </w:r>
      <w:r>
        <w:t>omponent 1</w:t>
      </w:r>
      <w:r w:rsidR="00BB7BBE">
        <w:t>,</w:t>
      </w:r>
      <w:r>
        <w:t xml:space="preserve"> it was assumed that funding for the 2016-17 Budget year would be spread evenly throughout the year to account for the 1 September 2016 start date. </w:t>
      </w:r>
    </w:p>
    <w:p w:rsidR="00074D2B" w:rsidRDefault="000306A7" w:rsidP="00901E68">
      <w:pPr>
        <w:pStyle w:val="Bullet1"/>
      </w:pPr>
      <w:r>
        <w:t>For component 2, i</w:t>
      </w:r>
      <w:r w:rsidR="00074D2B" w:rsidRPr="000B66C8">
        <w:t>t has been assumed that the introduction of a</w:t>
      </w:r>
      <w:r w:rsidR="00074D2B">
        <w:t xml:space="preserve"> commissioner </w:t>
      </w:r>
      <w:r w:rsidR="00C244B5">
        <w:t>responsible for digital r</w:t>
      </w:r>
      <w:r w:rsidR="00074D2B" w:rsidRPr="000B66C8">
        <w:t xml:space="preserve">ights would be consistent with costs associated with the removal of the previous Disability Commissioner.  Support staff costs are assumed to be consistent with the </w:t>
      </w:r>
      <w:r w:rsidR="00074D2B">
        <w:t>National Wind Farm Commissioner</w:t>
      </w:r>
      <w:r w:rsidR="00074D2B" w:rsidRPr="000B66C8">
        <w:t>.</w:t>
      </w:r>
      <w:r w:rsidR="00C244B5">
        <w:t xml:space="preserve"> </w:t>
      </w:r>
    </w:p>
    <w:p w:rsidR="005E3562" w:rsidRPr="00FC6579" w:rsidRDefault="005E3562" w:rsidP="00E40B8B">
      <w:pPr>
        <w:pStyle w:val="Heading2"/>
      </w:pPr>
      <w:r w:rsidRPr="00FC6579">
        <w:t>Methodology</w:t>
      </w:r>
    </w:p>
    <w:p w:rsidR="00C244B5" w:rsidRDefault="004F25A9" w:rsidP="00F37624">
      <w:r w:rsidRPr="004F25A9">
        <w:t xml:space="preserve">Estimates </w:t>
      </w:r>
      <w:r w:rsidR="00C244B5">
        <w:t xml:space="preserve">for </w:t>
      </w:r>
      <w:r w:rsidR="00BB7BBE">
        <w:t>C</w:t>
      </w:r>
      <w:r w:rsidR="000306A7">
        <w:t xml:space="preserve">omponent 1 of </w:t>
      </w:r>
      <w:r w:rsidR="00C244B5">
        <w:t>th</w:t>
      </w:r>
      <w:r w:rsidR="0093144A">
        <w:t>e</w:t>
      </w:r>
      <w:r w:rsidR="00C244B5">
        <w:t xml:space="preserve"> proposal are based on estimates </w:t>
      </w:r>
      <w:r w:rsidRPr="004F25A9">
        <w:t>provided by the Attorney-General’s Department</w:t>
      </w:r>
      <w:r w:rsidR="00C244B5">
        <w:t xml:space="preserve"> relating to the implementation of mandatory telecommunications data retention. </w:t>
      </w:r>
      <w:r w:rsidR="00BB7BBE">
        <w:t xml:space="preserve"> </w:t>
      </w:r>
      <w:r w:rsidR="00C244B5">
        <w:t xml:space="preserve">The estimates provided by the </w:t>
      </w:r>
      <w:r w:rsidR="00C244B5" w:rsidRPr="004F25A9">
        <w:t>Attorney-General’s Department</w:t>
      </w:r>
      <w:r w:rsidRPr="004F25A9">
        <w:t xml:space="preserve"> were adjusted to allow for the proposal’s 1 September 2016 start date.</w:t>
      </w:r>
    </w:p>
    <w:p w:rsidR="005E3562" w:rsidRPr="00FC6579" w:rsidRDefault="005E3562" w:rsidP="00650D36">
      <w:pPr>
        <w:pStyle w:val="Heading2"/>
      </w:pPr>
      <w:r w:rsidRPr="00FC6579">
        <w:lastRenderedPageBreak/>
        <w:t>Data sources</w:t>
      </w:r>
    </w:p>
    <w:p w:rsidR="004F25A9" w:rsidRDefault="004F25A9" w:rsidP="00650D36">
      <w:pPr>
        <w:pStyle w:val="Bullet1"/>
        <w:keepNext/>
        <w:numPr>
          <w:ilvl w:val="0"/>
          <w:numId w:val="17"/>
        </w:numPr>
        <w:spacing w:before="114" w:after="114" w:line="240" w:lineRule="auto"/>
        <w:ind w:left="357" w:hanging="357"/>
      </w:pPr>
      <w:r>
        <w:t xml:space="preserve">The Attorney-General’s </w:t>
      </w:r>
      <w:r w:rsidR="00BB7BBE">
        <w:t>D</w:t>
      </w:r>
      <w:r>
        <w:t>epartment provided cost estima</w:t>
      </w:r>
      <w:r w:rsidR="00452855">
        <w:t xml:space="preserve">tes for the National Security </w:t>
      </w:r>
      <w:r>
        <w:t>Implementation of mandatory telecommunications data retention measure.</w:t>
      </w:r>
    </w:p>
    <w:p w:rsidR="00D632C0" w:rsidRDefault="004F25A9" w:rsidP="00650D36">
      <w:pPr>
        <w:pStyle w:val="Bullet1"/>
        <w:keepNext/>
        <w:numPr>
          <w:ilvl w:val="0"/>
          <w:numId w:val="17"/>
        </w:numPr>
        <w:spacing w:before="114" w:after="114" w:line="240" w:lineRule="auto"/>
        <w:ind w:left="357" w:hanging="357"/>
      </w:pPr>
      <w:r>
        <w:t>2015-16 Budget Paper No. 2, p</w:t>
      </w:r>
      <w:r w:rsidR="000306A7">
        <w:t xml:space="preserve">age </w:t>
      </w:r>
      <w:r>
        <w:t>63</w:t>
      </w:r>
      <w:r w:rsidR="00BB7BBE">
        <w:t>.</w:t>
      </w:r>
    </w:p>
    <w:p w:rsidR="00C244B5" w:rsidRDefault="00C244B5" w:rsidP="00650D36">
      <w:pPr>
        <w:pStyle w:val="ListParagraph"/>
        <w:keepNext/>
        <w:keepLines/>
        <w:numPr>
          <w:ilvl w:val="0"/>
          <w:numId w:val="17"/>
        </w:numPr>
        <w:ind w:left="357" w:hanging="357"/>
      </w:pPr>
      <w:r w:rsidRPr="000B66C8">
        <w:t>2014-15 Budget Paper No. 2, page 57</w:t>
      </w:r>
      <w:r w:rsidR="00BB7BBE">
        <w:t>.</w:t>
      </w:r>
    </w:p>
    <w:p w:rsidR="00616AB7" w:rsidRDefault="00616AB7" w:rsidP="00650D36"/>
    <w:p w:rsidR="00CA5D42" w:rsidRPr="00FC6579" w:rsidRDefault="00CA5D42" w:rsidP="00650D36">
      <w:pPr>
        <w:rPr>
          <w:highlight w:val="yellow"/>
        </w:rPr>
        <w:sectPr w:rsidR="00CA5D42" w:rsidRPr="00FC6579" w:rsidSect="00002D5D">
          <w:headerReference w:type="first" r:id="rId14"/>
          <w:footerReference w:type="first" r:id="rId15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1A02D1" w:rsidRPr="00FC6579" w:rsidRDefault="001A02D1" w:rsidP="002B3A8A">
      <w:pPr>
        <w:pStyle w:val="Heading1"/>
        <w:spacing w:before="120" w:after="0"/>
      </w:pPr>
      <w:r w:rsidRPr="00FC6579">
        <w:t>Attachment A:</w:t>
      </w:r>
      <w:r w:rsidR="00841C3A">
        <w:t xml:space="preserve"> </w:t>
      </w:r>
      <w:r w:rsidR="006E479E">
        <w:t xml:space="preserve">Digital Rights: </w:t>
      </w:r>
      <w:r w:rsidR="00D5096B">
        <w:t xml:space="preserve">Abolish </w:t>
      </w:r>
      <w:r w:rsidR="006E479E">
        <w:t>D</w:t>
      </w:r>
      <w:r w:rsidR="00D5096B">
        <w:t xml:space="preserve">ata </w:t>
      </w:r>
      <w:r w:rsidR="006E479E">
        <w:t>R</w:t>
      </w:r>
      <w:r w:rsidR="00D5096B">
        <w:t>etention</w:t>
      </w:r>
      <w:r w:rsidR="00440E32">
        <w:t>—financial</w:t>
      </w:r>
      <w:r w:rsidR="00841C3A">
        <w:t> </w:t>
      </w:r>
      <w:r w:rsidR="00440E32">
        <w:t>implications</w:t>
      </w:r>
    </w:p>
    <w:p w:rsidR="00EA5685" w:rsidRPr="00E40B8B" w:rsidRDefault="00EA5685" w:rsidP="00EA5685">
      <w:pPr>
        <w:pStyle w:val="Captionheading"/>
        <w:rPr>
          <w:vertAlign w:val="superscript"/>
        </w:rPr>
      </w:pPr>
      <w:r w:rsidRPr="00FC6579">
        <w:t xml:space="preserve">Table </w:t>
      </w:r>
      <w:r>
        <w:t>A</w:t>
      </w:r>
      <w:r w:rsidR="00861B13">
        <w:t>1</w:t>
      </w:r>
      <w:r w:rsidRPr="00FC6579">
        <w:t xml:space="preserve">: </w:t>
      </w:r>
      <w:r w:rsidR="006E479E">
        <w:t xml:space="preserve">Digital Rights: </w:t>
      </w:r>
      <w:r w:rsidR="00D5096B">
        <w:t xml:space="preserve">Abolish </w:t>
      </w:r>
      <w:r w:rsidR="0093144A">
        <w:t>D</w:t>
      </w:r>
      <w:r w:rsidR="00D5096B">
        <w:t xml:space="preserve">ata </w:t>
      </w:r>
      <w:r w:rsidR="0093144A">
        <w:t>R</w:t>
      </w:r>
      <w:r w:rsidR="00D5096B">
        <w:t>etention</w:t>
      </w:r>
      <w:r>
        <w:t>—Financial implications (outturn prices</w:t>
      </w:r>
      <w:proofErr w:type="gramStart"/>
      <w:r>
        <w:t>)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a)</w:t>
      </w:r>
      <w:r w:rsidR="00F4535C">
        <w:rPr>
          <w:vertAlign w:val="superscript"/>
        </w:rPr>
        <w:t>(b)</w:t>
      </w:r>
    </w:p>
    <w:tbl>
      <w:tblPr>
        <w:tblStyle w:val="TableGrid"/>
        <w:tblW w:w="4995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5"/>
        <w:gridCol w:w="1134"/>
        <w:gridCol w:w="1134"/>
        <w:gridCol w:w="1134"/>
        <w:gridCol w:w="1134"/>
        <w:gridCol w:w="1134"/>
      </w:tblGrid>
      <w:tr w:rsidR="00EA5685" w:rsidRPr="00EF1D6A" w:rsidTr="00060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A5685" w:rsidRPr="00EF1D6A" w:rsidRDefault="00EA5685" w:rsidP="006D3F70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A5685" w:rsidRPr="00C24267" w:rsidRDefault="00EA5685" w:rsidP="006D3F70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A5685" w:rsidRPr="00C24267" w:rsidRDefault="00EA5685" w:rsidP="006D3F70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A5685" w:rsidRPr="00C24267" w:rsidRDefault="00EA5685" w:rsidP="006D3F70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A5685" w:rsidRPr="00C24267" w:rsidRDefault="00EA5685" w:rsidP="006D3F70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A5685" w:rsidRPr="00AE30B5" w:rsidRDefault="00EA5685" w:rsidP="006D3F70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EA5685" w:rsidRPr="00EF1D6A" w:rsidTr="0001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EA5685" w:rsidRPr="00AE30B5" w:rsidRDefault="00EA5685" w:rsidP="006D3F70">
            <w:pPr>
              <w:pStyle w:val="TableHeadingCentred"/>
              <w:spacing w:line="240" w:lineRule="auto"/>
              <w:ind w:left="57" w:right="57"/>
              <w:jc w:val="left"/>
              <w:rPr>
                <w:b/>
              </w:rPr>
            </w:pPr>
            <w:r w:rsidRPr="00AE30B5">
              <w:rPr>
                <w:b/>
              </w:rPr>
              <w:t>Fiscal and underlying cash balances – expenses</w:t>
            </w:r>
            <w:r w:rsidR="00BF5034">
              <w:rPr>
                <w:b/>
              </w:rPr>
              <w:t>/outlays</w:t>
            </w:r>
          </w:p>
        </w:tc>
      </w:tr>
      <w:tr w:rsidR="00A0036F" w:rsidRPr="0066665A" w:rsidTr="00060F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A0036F" w:rsidRPr="00901E68" w:rsidRDefault="00DC45D5" w:rsidP="006D3F70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b/>
                <w:szCs w:val="20"/>
              </w:rPr>
            </w:pPr>
            <w:r w:rsidRPr="00901E68">
              <w:rPr>
                <w:b/>
                <w:szCs w:val="20"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A0036F" w:rsidRPr="00901E68" w:rsidRDefault="00A0036F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01E68">
              <w:rPr>
                <w:b/>
              </w:rPr>
              <w:t xml:space="preserve"> 43.1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A0036F" w:rsidRPr="00901E68" w:rsidRDefault="00A0036F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01E68">
              <w:rPr>
                <w:b/>
              </w:rPr>
              <w:t xml:space="preserve"> 13.2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A0036F" w:rsidRPr="00901E68" w:rsidRDefault="00A0036F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01E68">
              <w:rPr>
                <w:b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A0036F" w:rsidRPr="00901E68" w:rsidRDefault="00A0036F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01E68">
              <w:rPr>
                <w:b/>
              </w:rPr>
              <w:t xml:space="preserve"> -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A0036F" w:rsidRPr="00AE0FA2" w:rsidRDefault="00A0036F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E0FA2">
              <w:rPr>
                <w:b/>
              </w:rPr>
              <w:t xml:space="preserve"> 56.2 </w:t>
            </w:r>
          </w:p>
        </w:tc>
      </w:tr>
      <w:tr w:rsidR="00F06190" w:rsidRPr="0066665A" w:rsidTr="00060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Default="00AE0FA2" w:rsidP="006D3F70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Abolish </w:t>
            </w:r>
            <w:r w:rsidR="0093144A">
              <w:rPr>
                <w:i/>
                <w:szCs w:val="20"/>
              </w:rPr>
              <w:t>D</w:t>
            </w:r>
            <w:r>
              <w:rPr>
                <w:i/>
                <w:szCs w:val="20"/>
              </w:rPr>
              <w:t xml:space="preserve">ata </w:t>
            </w:r>
            <w:r w:rsidR="0093144A">
              <w:rPr>
                <w:i/>
                <w:szCs w:val="20"/>
              </w:rPr>
              <w:t>R</w:t>
            </w:r>
            <w:r>
              <w:rPr>
                <w:i/>
                <w:szCs w:val="20"/>
              </w:rPr>
              <w:t>etention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01E68">
              <w:rPr>
                <w:i/>
              </w:rPr>
              <w:t>43.1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01E68">
              <w:rPr>
                <w:i/>
              </w:rPr>
              <w:t>13.2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01E68"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01E68"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901E68">
              <w:rPr>
                <w:b/>
                <w:i/>
              </w:rPr>
              <w:t>56.2</w:t>
            </w:r>
          </w:p>
        </w:tc>
      </w:tr>
      <w:tr w:rsidR="00A0036F" w:rsidRPr="0066665A" w:rsidTr="00060F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A0036F" w:rsidRPr="00901E68" w:rsidRDefault="00DC45D5" w:rsidP="006D3F70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b/>
                <w:szCs w:val="20"/>
              </w:rPr>
            </w:pPr>
            <w:r w:rsidRPr="00901E68">
              <w:rPr>
                <w:b/>
                <w:szCs w:val="20"/>
              </w:rPr>
              <w:t>Departmental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A0036F" w:rsidRPr="00901E68" w:rsidRDefault="00DA1D85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A0036F" w:rsidRPr="00901E68" w:rsidRDefault="00DA1D85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A0036F" w:rsidRPr="00901E68" w:rsidRDefault="00DA1D85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A0036F" w:rsidRPr="006E1116" w:rsidRDefault="00DA1D85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A0036F" w:rsidRPr="00AE0FA2" w:rsidRDefault="00DA1D85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-2.2</w:t>
            </w:r>
          </w:p>
        </w:tc>
      </w:tr>
      <w:tr w:rsidR="00F06190" w:rsidRPr="0066665A" w:rsidTr="00060F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Default="00AE0FA2" w:rsidP="006D3F70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Abolish </w:t>
            </w:r>
            <w:r w:rsidR="0093144A">
              <w:rPr>
                <w:i/>
                <w:szCs w:val="20"/>
              </w:rPr>
              <w:t>D</w:t>
            </w:r>
            <w:r>
              <w:rPr>
                <w:i/>
                <w:szCs w:val="20"/>
              </w:rPr>
              <w:t xml:space="preserve">ata </w:t>
            </w:r>
            <w:r w:rsidR="0093144A">
              <w:rPr>
                <w:i/>
                <w:szCs w:val="20"/>
              </w:rPr>
              <w:t>R</w:t>
            </w:r>
            <w:r>
              <w:rPr>
                <w:i/>
                <w:szCs w:val="20"/>
              </w:rPr>
              <w:t>etention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01E68">
              <w:rPr>
                <w:i/>
              </w:rPr>
              <w:t>0.7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01E68">
              <w:rPr>
                <w:i/>
              </w:rPr>
              <w:t>0.6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01E68"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01E68">
              <w:rPr>
                <w:i/>
              </w:rPr>
              <w:t>-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901E68">
              <w:rPr>
                <w:b/>
                <w:i/>
              </w:rPr>
              <w:t>1.3</w:t>
            </w:r>
          </w:p>
        </w:tc>
      </w:tr>
      <w:tr w:rsidR="00F06190" w:rsidRPr="0066665A" w:rsidTr="00060F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Default="00AE0FA2" w:rsidP="006D3F70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i/>
                <w:szCs w:val="20"/>
              </w:rPr>
            </w:pPr>
            <w:r>
              <w:rPr>
                <w:i/>
                <w:szCs w:val="20"/>
              </w:rPr>
              <w:t>Commissioner for digital rights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01E68">
              <w:rPr>
                <w:i/>
              </w:rPr>
              <w:t>-0.6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01E68">
              <w:rPr>
                <w:i/>
              </w:rPr>
              <w:t>-0.9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01E68">
              <w:rPr>
                <w:i/>
              </w:rPr>
              <w:t>-1.0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01E68">
              <w:rPr>
                <w:i/>
              </w:rPr>
              <w:t>-1.0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F06190" w:rsidRPr="00901E68" w:rsidRDefault="00AE0FA2" w:rsidP="006D3F70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901E68">
              <w:rPr>
                <w:b/>
                <w:i/>
              </w:rPr>
              <w:t>-3.5</w:t>
            </w:r>
          </w:p>
        </w:tc>
      </w:tr>
      <w:tr w:rsidR="00A0036F" w:rsidRPr="0055406D" w:rsidTr="00EA5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A0036F" w:rsidRPr="0055406D" w:rsidRDefault="00A0036F" w:rsidP="006D3F70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A0036F" w:rsidRPr="00D5096B" w:rsidRDefault="00A0036F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5096B">
              <w:rPr>
                <w:b/>
              </w:rPr>
              <w:t xml:space="preserve"> 43.</w:t>
            </w:r>
            <w:r w:rsidR="00DA1D85">
              <w:rPr>
                <w:b/>
              </w:rPr>
              <w:t>2</w:t>
            </w:r>
            <w:r w:rsidR="00DA1D85" w:rsidRPr="00D5096B">
              <w:rPr>
                <w:b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A0036F" w:rsidRPr="00D5096B" w:rsidRDefault="00A0036F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5096B">
              <w:rPr>
                <w:b/>
              </w:rPr>
              <w:t xml:space="preserve"> </w:t>
            </w:r>
            <w:r w:rsidR="00DA1D85" w:rsidRPr="00D5096B">
              <w:rPr>
                <w:b/>
              </w:rPr>
              <w:t>1</w:t>
            </w:r>
            <w:r w:rsidR="00DA1D85">
              <w:rPr>
                <w:b/>
              </w:rPr>
              <w:t>2</w:t>
            </w:r>
            <w:r w:rsidRPr="00D5096B">
              <w:rPr>
                <w:b/>
              </w:rPr>
              <w:t>.</w:t>
            </w:r>
            <w:r w:rsidR="00DA1D85">
              <w:rPr>
                <w:b/>
              </w:rPr>
              <w:t>9</w:t>
            </w:r>
            <w:r w:rsidRPr="00D5096B">
              <w:rPr>
                <w:b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A0036F" w:rsidRPr="00D5096B" w:rsidRDefault="00A0036F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5096B">
              <w:rPr>
                <w:b/>
              </w:rPr>
              <w:t xml:space="preserve"> -</w:t>
            </w:r>
            <w:r w:rsidR="00DA1D85">
              <w:rPr>
                <w:b/>
              </w:rPr>
              <w:t>1.0</w:t>
            </w:r>
            <w:r w:rsidRPr="00D5096B">
              <w:rPr>
                <w:b/>
              </w:rPr>
              <w:t xml:space="preserve">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A0036F" w:rsidRPr="00D5096B" w:rsidRDefault="00A0036F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5096B">
              <w:rPr>
                <w:b/>
              </w:rPr>
              <w:t xml:space="preserve"> -</w:t>
            </w:r>
            <w:r w:rsidR="00DA1D85">
              <w:rPr>
                <w:b/>
              </w:rPr>
              <w:t>1.0</w:t>
            </w:r>
            <w:r w:rsidRPr="00D5096B">
              <w:rPr>
                <w:b/>
              </w:rPr>
              <w:t xml:space="preserve">  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A0036F" w:rsidRPr="00D5096B" w:rsidRDefault="00A0036F" w:rsidP="006D3F70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5096B">
              <w:rPr>
                <w:b/>
              </w:rPr>
              <w:t xml:space="preserve"> </w:t>
            </w:r>
            <w:r w:rsidR="00DA1D85" w:rsidRPr="00D5096B">
              <w:rPr>
                <w:b/>
              </w:rPr>
              <w:t>5</w:t>
            </w:r>
            <w:r w:rsidR="00DA1D85">
              <w:rPr>
                <w:b/>
              </w:rPr>
              <w:t>4</w:t>
            </w:r>
            <w:r w:rsidRPr="00D5096B">
              <w:rPr>
                <w:b/>
              </w:rPr>
              <w:t>.</w:t>
            </w:r>
            <w:r w:rsidR="00DA1D85">
              <w:rPr>
                <w:b/>
              </w:rPr>
              <w:t>0</w:t>
            </w:r>
            <w:r w:rsidR="00DA1D85" w:rsidRPr="00D5096B">
              <w:rPr>
                <w:b/>
              </w:rPr>
              <w:t xml:space="preserve"> </w:t>
            </w:r>
          </w:p>
        </w:tc>
      </w:tr>
    </w:tbl>
    <w:p w:rsidR="001A70FC" w:rsidRPr="006D3F70" w:rsidRDefault="00EA5685" w:rsidP="006D3F70">
      <w:pPr>
        <w:pStyle w:val="Footnotes"/>
        <w:numPr>
          <w:ilvl w:val="0"/>
          <w:numId w:val="15"/>
        </w:numPr>
        <w:ind w:left="284" w:hanging="284"/>
      </w:pPr>
      <w:r w:rsidRPr="006D3F70">
        <w:t xml:space="preserve">A </w:t>
      </w:r>
      <w:r w:rsidR="00C75444" w:rsidRPr="006D3F70">
        <w:t>positive number indicates an increase in revenue or decrease in expenses or net capital investment in accrual and cash terms.  A negative number indicates a decrease in revenue or an increase in expenses or net capital investment in accrual and cash terms</w:t>
      </w:r>
      <w:r w:rsidRPr="006D3F70">
        <w:t xml:space="preserve">.  </w:t>
      </w:r>
    </w:p>
    <w:p w:rsidR="00EA5685" w:rsidRPr="006D3F70" w:rsidRDefault="00CC047F" w:rsidP="006D3F70">
      <w:pPr>
        <w:pStyle w:val="Footnotes"/>
      </w:pPr>
      <w:r w:rsidRPr="006D3F70">
        <w:t>Figures may not sum to totals due to rounding.</w:t>
      </w:r>
    </w:p>
    <w:p w:rsidR="00A0036F" w:rsidRDefault="00DD1B3E" w:rsidP="006D3F70">
      <w:pPr>
        <w:pStyle w:val="Footnotes"/>
        <w:numPr>
          <w:ilvl w:val="0"/>
          <w:numId w:val="0"/>
        </w:numPr>
        <w:ind w:left="284" w:hanging="284"/>
      </w:pPr>
      <w:r w:rsidRPr="006D3F70">
        <w:t xml:space="preserve"> </w:t>
      </w:r>
      <w:r w:rsidR="00A0036F" w:rsidRPr="006D3F70">
        <w:t xml:space="preserve">- </w:t>
      </w:r>
      <w:r w:rsidR="00BB7BBE">
        <w:tab/>
      </w:r>
      <w:r w:rsidR="00A0036F" w:rsidRPr="006D3F70">
        <w:t>Indicates n</w:t>
      </w:r>
      <w:r w:rsidR="00A0036F" w:rsidRPr="001A70FC">
        <w:t>il.</w:t>
      </w:r>
    </w:p>
    <w:sectPr w:rsidR="00A0036F" w:rsidSect="00496230">
      <w:headerReference w:type="first" r:id="rId16"/>
      <w:footerReference w:type="first" r:id="rId17"/>
      <w:pgSz w:w="11907" w:h="16839" w:code="9"/>
      <w:pgMar w:top="1361" w:right="1797" w:bottom="147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4B3" w:rsidRDefault="002014B3" w:rsidP="008F588A">
      <w:pPr>
        <w:spacing w:line="240" w:lineRule="auto"/>
      </w:pPr>
      <w:r>
        <w:separator/>
      </w:r>
    </w:p>
    <w:p w:rsidR="002014B3" w:rsidRDefault="002014B3"/>
  </w:endnote>
  <w:endnote w:type="continuationSeparator" w:id="0">
    <w:p w:rsidR="002014B3" w:rsidRDefault="002014B3" w:rsidP="008F588A">
      <w:pPr>
        <w:spacing w:line="240" w:lineRule="auto"/>
      </w:pPr>
      <w:r>
        <w:continuationSeparator/>
      </w:r>
    </w:p>
    <w:p w:rsidR="002014B3" w:rsidRDefault="00201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4B3" w:rsidRPr="00C24267" w:rsidRDefault="002014B3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C17A3A">
      <w:rPr>
        <w:noProof/>
      </w:rPr>
      <w:t>4</w:t>
    </w:r>
    <w:r w:rsidRPr="00C24267">
      <w:fldChar w:fldCharType="end"/>
    </w:r>
    <w:r w:rsidRPr="00C24267">
      <w:t xml:space="preserve"> of </w:t>
    </w:r>
    <w:fldSimple w:instr=" NUMPAGES  \* Arabic  \* MERGEFORMAT ">
      <w:r w:rsidR="00C17A3A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4B3" w:rsidRPr="00C24267" w:rsidRDefault="002014B3" w:rsidP="00C24267">
    <w:pPr>
      <w:pStyle w:val="Letterfooter"/>
    </w:pPr>
    <w:r w:rsidRPr="00C24267">
      <w:t>Parliamentary Budget Office   PO Box 6010   Parliament House   Canberra ACT 2600</w:t>
    </w:r>
  </w:p>
  <w:p w:rsidR="002014B3" w:rsidRPr="00C24267" w:rsidRDefault="002014B3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4B3" w:rsidRPr="00C24267" w:rsidRDefault="002014B3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C17A3A">
      <w:rPr>
        <w:noProof/>
      </w:rPr>
      <w:t>2</w:t>
    </w:r>
    <w:r w:rsidRPr="00C24267">
      <w:fldChar w:fldCharType="end"/>
    </w:r>
    <w:r w:rsidRPr="00C24267">
      <w:t xml:space="preserve"> of </w:t>
    </w:r>
    <w:fldSimple w:instr=" NUMPAGES  \* Arabic  \* MERGEFORMAT ">
      <w:r w:rsidR="00C17A3A">
        <w:rPr>
          <w:noProof/>
        </w:rPr>
        <w:t>5</w:t>
      </w:r>
    </w:fldSimple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4B3" w:rsidRPr="00C24267" w:rsidRDefault="002014B3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650D36">
      <w:rPr>
        <w:noProof/>
      </w:rPr>
      <w:t>5</w:t>
    </w:r>
    <w:r w:rsidRPr="00C24267">
      <w:fldChar w:fldCharType="end"/>
    </w:r>
    <w:r w:rsidRPr="00C24267">
      <w:t xml:space="preserve"> of </w:t>
    </w:r>
    <w:fldSimple w:instr=" NUMPAGES  \* Arabic  \* MERGEFORMAT ">
      <w:r w:rsidR="00650D36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4B3" w:rsidRDefault="002014B3" w:rsidP="008F588A">
      <w:pPr>
        <w:spacing w:line="240" w:lineRule="auto"/>
      </w:pPr>
      <w:r>
        <w:separator/>
      </w:r>
    </w:p>
    <w:p w:rsidR="002014B3" w:rsidRDefault="002014B3"/>
  </w:footnote>
  <w:footnote w:type="continuationSeparator" w:id="0">
    <w:p w:rsidR="002014B3" w:rsidRDefault="002014B3" w:rsidP="008F588A">
      <w:pPr>
        <w:spacing w:line="240" w:lineRule="auto"/>
      </w:pPr>
      <w:r>
        <w:continuationSeparator/>
      </w:r>
    </w:p>
    <w:p w:rsidR="002014B3" w:rsidRDefault="002014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4B3" w:rsidRDefault="002014B3" w:rsidP="00CB40E1">
    <w:pPr>
      <w:pStyle w:val="Header"/>
    </w:pPr>
    <w:r>
      <w:rPr>
        <w:noProof/>
        <w:lang w:eastAsia="en-AU"/>
      </w:rPr>
      <w:drawing>
        <wp:inline distT="0" distB="0" distL="0" distR="0" wp14:anchorId="31B59815" wp14:editId="1E983526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14B3" w:rsidRPr="00DA1C8A" w:rsidRDefault="002014B3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4B3" w:rsidRPr="00C17112" w:rsidRDefault="002014B3" w:rsidP="00C17112">
    <w:pPr>
      <w:pStyle w:val="Header"/>
    </w:pPr>
    <w:r>
      <w:rPr>
        <w:noProof/>
        <w:lang w:eastAsia="en-AU"/>
      </w:rPr>
      <w:drawing>
        <wp:inline distT="0" distB="0" distL="0" distR="0" wp14:anchorId="4E660F38" wp14:editId="3C62B202">
          <wp:extent cx="2696845" cy="57213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230" w:rsidRPr="005C0664" w:rsidRDefault="00496230" w:rsidP="005C0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C5E12A0"/>
    <w:multiLevelType w:val="hybridMultilevel"/>
    <w:tmpl w:val="71E26D08"/>
    <w:lvl w:ilvl="0" w:tplc="003A2CD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03A2C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5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A5EA4"/>
    <w:multiLevelType w:val="hybridMultilevel"/>
    <w:tmpl w:val="980A4CD0"/>
    <w:lvl w:ilvl="0" w:tplc="0C090017">
      <w:start w:val="1"/>
      <w:numFmt w:val="lowerLetter"/>
      <w:lvlText w:val="%1)"/>
      <w:lvlJc w:val="left"/>
      <w:pPr>
        <w:ind w:left="38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64" w:hanging="360"/>
      </w:pPr>
    </w:lvl>
    <w:lvl w:ilvl="2" w:tplc="0C09001B" w:tentative="1">
      <w:start w:val="1"/>
      <w:numFmt w:val="lowerRoman"/>
      <w:lvlText w:val="%3."/>
      <w:lvlJc w:val="right"/>
      <w:pPr>
        <w:ind w:left="5284" w:hanging="180"/>
      </w:pPr>
    </w:lvl>
    <w:lvl w:ilvl="3" w:tplc="0C09000F" w:tentative="1">
      <w:start w:val="1"/>
      <w:numFmt w:val="decimal"/>
      <w:lvlText w:val="%4."/>
      <w:lvlJc w:val="left"/>
      <w:pPr>
        <w:ind w:left="6004" w:hanging="360"/>
      </w:pPr>
    </w:lvl>
    <w:lvl w:ilvl="4" w:tplc="0C090019" w:tentative="1">
      <w:start w:val="1"/>
      <w:numFmt w:val="lowerLetter"/>
      <w:lvlText w:val="%5."/>
      <w:lvlJc w:val="left"/>
      <w:pPr>
        <w:ind w:left="6724" w:hanging="360"/>
      </w:pPr>
    </w:lvl>
    <w:lvl w:ilvl="5" w:tplc="0C09001B" w:tentative="1">
      <w:start w:val="1"/>
      <w:numFmt w:val="lowerRoman"/>
      <w:lvlText w:val="%6."/>
      <w:lvlJc w:val="right"/>
      <w:pPr>
        <w:ind w:left="7444" w:hanging="180"/>
      </w:pPr>
    </w:lvl>
    <w:lvl w:ilvl="6" w:tplc="0C09000F" w:tentative="1">
      <w:start w:val="1"/>
      <w:numFmt w:val="decimal"/>
      <w:lvlText w:val="%7."/>
      <w:lvlJc w:val="left"/>
      <w:pPr>
        <w:ind w:left="8164" w:hanging="360"/>
      </w:pPr>
    </w:lvl>
    <w:lvl w:ilvl="7" w:tplc="0C090019" w:tentative="1">
      <w:start w:val="1"/>
      <w:numFmt w:val="lowerLetter"/>
      <w:lvlText w:val="%8."/>
      <w:lvlJc w:val="left"/>
      <w:pPr>
        <w:ind w:left="8884" w:hanging="360"/>
      </w:pPr>
    </w:lvl>
    <w:lvl w:ilvl="8" w:tplc="0C09001B" w:tentative="1">
      <w:start w:val="1"/>
      <w:numFmt w:val="lowerRoman"/>
      <w:lvlText w:val="%9."/>
      <w:lvlJc w:val="right"/>
      <w:pPr>
        <w:ind w:left="9604" w:hanging="180"/>
      </w:pPr>
    </w:lvl>
  </w:abstractNum>
  <w:abstractNum w:abstractNumId="9">
    <w:nsid w:val="459D6755"/>
    <w:multiLevelType w:val="hybridMultilevel"/>
    <w:tmpl w:val="FE3AA47C"/>
    <w:lvl w:ilvl="0" w:tplc="2AD21696">
      <w:start w:val="5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57387"/>
    <w:multiLevelType w:val="hybridMultilevel"/>
    <w:tmpl w:val="AA865388"/>
    <w:lvl w:ilvl="0" w:tplc="00C61172">
      <w:start w:val="5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2">
    <w:nsid w:val="745C3AB2"/>
    <w:multiLevelType w:val="hybridMultilevel"/>
    <w:tmpl w:val="5EB0E89C"/>
    <w:lvl w:ilvl="0" w:tplc="661CA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2"/>
  </w:num>
  <w:num w:numId="18">
    <w:abstractNumId w:val="2"/>
  </w:num>
  <w:num w:numId="19">
    <w:abstractNumId w:val="8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89"/>
    <w:rsid w:val="00002D5D"/>
    <w:rsid w:val="00010A6B"/>
    <w:rsid w:val="00015FB2"/>
    <w:rsid w:val="000306A7"/>
    <w:rsid w:val="00040DCE"/>
    <w:rsid w:val="00060F22"/>
    <w:rsid w:val="00074D2B"/>
    <w:rsid w:val="00096F3A"/>
    <w:rsid w:val="000C1A75"/>
    <w:rsid w:val="000E455D"/>
    <w:rsid w:val="000E72F6"/>
    <w:rsid w:val="000F2D15"/>
    <w:rsid w:val="0010430F"/>
    <w:rsid w:val="001278D0"/>
    <w:rsid w:val="0014239B"/>
    <w:rsid w:val="001A02D1"/>
    <w:rsid w:val="001A70FC"/>
    <w:rsid w:val="002014B3"/>
    <w:rsid w:val="002173EB"/>
    <w:rsid w:val="00220BE5"/>
    <w:rsid w:val="0023006D"/>
    <w:rsid w:val="002422A3"/>
    <w:rsid w:val="002B1570"/>
    <w:rsid w:val="002B3A8A"/>
    <w:rsid w:val="002B4B89"/>
    <w:rsid w:val="002E04D2"/>
    <w:rsid w:val="003017F8"/>
    <w:rsid w:val="0030426F"/>
    <w:rsid w:val="00310F69"/>
    <w:rsid w:val="00315E34"/>
    <w:rsid w:val="00326DE2"/>
    <w:rsid w:val="003A581E"/>
    <w:rsid w:val="003C1FE8"/>
    <w:rsid w:val="003C6D25"/>
    <w:rsid w:val="003D7744"/>
    <w:rsid w:val="003E4F5F"/>
    <w:rsid w:val="003E60D8"/>
    <w:rsid w:val="003F56D4"/>
    <w:rsid w:val="003F73CA"/>
    <w:rsid w:val="00410A2C"/>
    <w:rsid w:val="00416EFF"/>
    <w:rsid w:val="00435426"/>
    <w:rsid w:val="0043770C"/>
    <w:rsid w:val="00440E32"/>
    <w:rsid w:val="00452855"/>
    <w:rsid w:val="00461597"/>
    <w:rsid w:val="00485374"/>
    <w:rsid w:val="00496230"/>
    <w:rsid w:val="004C283B"/>
    <w:rsid w:val="004D13ED"/>
    <w:rsid w:val="004D5525"/>
    <w:rsid w:val="004F25A9"/>
    <w:rsid w:val="005035DA"/>
    <w:rsid w:val="00507897"/>
    <w:rsid w:val="00510A03"/>
    <w:rsid w:val="00515A85"/>
    <w:rsid w:val="005163C1"/>
    <w:rsid w:val="00545F24"/>
    <w:rsid w:val="0055581F"/>
    <w:rsid w:val="0056229A"/>
    <w:rsid w:val="00566BE6"/>
    <w:rsid w:val="00570154"/>
    <w:rsid w:val="00570B5A"/>
    <w:rsid w:val="00587422"/>
    <w:rsid w:val="005B1A4A"/>
    <w:rsid w:val="005B7B75"/>
    <w:rsid w:val="005C0664"/>
    <w:rsid w:val="005C6967"/>
    <w:rsid w:val="005E3562"/>
    <w:rsid w:val="005F7DE0"/>
    <w:rsid w:val="00616AB7"/>
    <w:rsid w:val="0062714D"/>
    <w:rsid w:val="00640346"/>
    <w:rsid w:val="00650D36"/>
    <w:rsid w:val="00660385"/>
    <w:rsid w:val="00662E65"/>
    <w:rsid w:val="0066665A"/>
    <w:rsid w:val="00692DD8"/>
    <w:rsid w:val="006A0E66"/>
    <w:rsid w:val="006D3F70"/>
    <w:rsid w:val="006D53CC"/>
    <w:rsid w:val="006E1116"/>
    <w:rsid w:val="006E479E"/>
    <w:rsid w:val="006F0CE9"/>
    <w:rsid w:val="007202A8"/>
    <w:rsid w:val="007229A9"/>
    <w:rsid w:val="00724703"/>
    <w:rsid w:val="0075706F"/>
    <w:rsid w:val="007875B8"/>
    <w:rsid w:val="007B029A"/>
    <w:rsid w:val="007D33AA"/>
    <w:rsid w:val="007D3577"/>
    <w:rsid w:val="007F7BCF"/>
    <w:rsid w:val="008030EC"/>
    <w:rsid w:val="00811D6D"/>
    <w:rsid w:val="00817E8E"/>
    <w:rsid w:val="00841C3A"/>
    <w:rsid w:val="00844776"/>
    <w:rsid w:val="00861B13"/>
    <w:rsid w:val="008850D9"/>
    <w:rsid w:val="008A4578"/>
    <w:rsid w:val="008B459F"/>
    <w:rsid w:val="008C03C3"/>
    <w:rsid w:val="008C0545"/>
    <w:rsid w:val="008D1A67"/>
    <w:rsid w:val="008D3909"/>
    <w:rsid w:val="008D6ECA"/>
    <w:rsid w:val="008F588A"/>
    <w:rsid w:val="008F7036"/>
    <w:rsid w:val="00901E68"/>
    <w:rsid w:val="00902D2D"/>
    <w:rsid w:val="00906F92"/>
    <w:rsid w:val="00915804"/>
    <w:rsid w:val="00916E6D"/>
    <w:rsid w:val="0093144A"/>
    <w:rsid w:val="00957285"/>
    <w:rsid w:val="009573AF"/>
    <w:rsid w:val="00962159"/>
    <w:rsid w:val="00977D7B"/>
    <w:rsid w:val="009963ED"/>
    <w:rsid w:val="009D4063"/>
    <w:rsid w:val="00A0036F"/>
    <w:rsid w:val="00A155D1"/>
    <w:rsid w:val="00A40D3A"/>
    <w:rsid w:val="00A41BD3"/>
    <w:rsid w:val="00A449C2"/>
    <w:rsid w:val="00A45DB0"/>
    <w:rsid w:val="00A65EA3"/>
    <w:rsid w:val="00A84B61"/>
    <w:rsid w:val="00AA3D6F"/>
    <w:rsid w:val="00AB51D0"/>
    <w:rsid w:val="00AB55AE"/>
    <w:rsid w:val="00AB6F7D"/>
    <w:rsid w:val="00AC7878"/>
    <w:rsid w:val="00AD493E"/>
    <w:rsid w:val="00AE0FA2"/>
    <w:rsid w:val="00AE30B5"/>
    <w:rsid w:val="00AE5755"/>
    <w:rsid w:val="00AF0234"/>
    <w:rsid w:val="00B027E5"/>
    <w:rsid w:val="00B06055"/>
    <w:rsid w:val="00B07DDC"/>
    <w:rsid w:val="00B44D8A"/>
    <w:rsid w:val="00B73AC8"/>
    <w:rsid w:val="00B747A7"/>
    <w:rsid w:val="00B97CAE"/>
    <w:rsid w:val="00BA2BBF"/>
    <w:rsid w:val="00BB7BBE"/>
    <w:rsid w:val="00BC559C"/>
    <w:rsid w:val="00BF5034"/>
    <w:rsid w:val="00C17112"/>
    <w:rsid w:val="00C17A3A"/>
    <w:rsid w:val="00C24267"/>
    <w:rsid w:val="00C244B5"/>
    <w:rsid w:val="00C45D0D"/>
    <w:rsid w:val="00C56AAF"/>
    <w:rsid w:val="00C66177"/>
    <w:rsid w:val="00C70555"/>
    <w:rsid w:val="00C75444"/>
    <w:rsid w:val="00CA12A0"/>
    <w:rsid w:val="00CA5D42"/>
    <w:rsid w:val="00CB40E1"/>
    <w:rsid w:val="00CC047F"/>
    <w:rsid w:val="00CF5EFF"/>
    <w:rsid w:val="00CF6DB6"/>
    <w:rsid w:val="00D134CA"/>
    <w:rsid w:val="00D5096B"/>
    <w:rsid w:val="00D52D5F"/>
    <w:rsid w:val="00D632C0"/>
    <w:rsid w:val="00D755F9"/>
    <w:rsid w:val="00D949A3"/>
    <w:rsid w:val="00D96012"/>
    <w:rsid w:val="00DA1C8A"/>
    <w:rsid w:val="00DA1D85"/>
    <w:rsid w:val="00DA3B55"/>
    <w:rsid w:val="00DB44F0"/>
    <w:rsid w:val="00DC45D5"/>
    <w:rsid w:val="00DD109E"/>
    <w:rsid w:val="00DD1B3E"/>
    <w:rsid w:val="00DD3E18"/>
    <w:rsid w:val="00DD5A86"/>
    <w:rsid w:val="00DE2B90"/>
    <w:rsid w:val="00DF13B5"/>
    <w:rsid w:val="00E07E7B"/>
    <w:rsid w:val="00E12103"/>
    <w:rsid w:val="00E15AAE"/>
    <w:rsid w:val="00E21184"/>
    <w:rsid w:val="00E40B8B"/>
    <w:rsid w:val="00E564DC"/>
    <w:rsid w:val="00E572AA"/>
    <w:rsid w:val="00E5742E"/>
    <w:rsid w:val="00E62D1D"/>
    <w:rsid w:val="00E91E96"/>
    <w:rsid w:val="00E95731"/>
    <w:rsid w:val="00EA265F"/>
    <w:rsid w:val="00EA5685"/>
    <w:rsid w:val="00ED43FF"/>
    <w:rsid w:val="00EE6600"/>
    <w:rsid w:val="00EF1D6A"/>
    <w:rsid w:val="00EF2E51"/>
    <w:rsid w:val="00F06190"/>
    <w:rsid w:val="00F16C15"/>
    <w:rsid w:val="00F21865"/>
    <w:rsid w:val="00F31E24"/>
    <w:rsid w:val="00F34E9E"/>
    <w:rsid w:val="00F37624"/>
    <w:rsid w:val="00F4535C"/>
    <w:rsid w:val="00F52474"/>
    <w:rsid w:val="00F5529D"/>
    <w:rsid w:val="00F5669E"/>
    <w:rsid w:val="00F75D33"/>
    <w:rsid w:val="00F954CF"/>
    <w:rsid w:val="00F97DFF"/>
    <w:rsid w:val="00FC6579"/>
    <w:rsid w:val="00FD3FB3"/>
    <w:rsid w:val="00FE1053"/>
    <w:rsid w:val="00FE4489"/>
    <w:rsid w:val="00FE6904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DA3B55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Proformatext">
    <w:name w:val="Pro forma text"/>
    <w:basedOn w:val="Normal"/>
    <w:rsid w:val="007875B8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4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44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DA3B55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Proformatext">
    <w:name w:val="Pro forma text"/>
    <w:basedOn w:val="Normal"/>
    <w:rsid w:val="007875B8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4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44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reens.org.au/digital-rights-commission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51BE1F-E873-4E48-AE78-E4AB3468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3</TotalTime>
  <Pages>5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GRN076 - Digital Rights: Abolish Data Retention - 1 July 2016</vt:lpstr>
    </vt:vector>
  </TitlesOfParts>
  <Company>Parliament of Australia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GRN076 - Digital Rights: Abolish Data Retention - 1 July 2016</dc:title>
  <dc:creator>Parliamentary Budget Office</dc:creator>
  <cp:lastModifiedBy>Milligan, Louise (PBO)</cp:lastModifiedBy>
  <cp:revision>7</cp:revision>
  <cp:lastPrinted>2016-07-01T05:12:00Z</cp:lastPrinted>
  <dcterms:created xsi:type="dcterms:W3CDTF">2016-07-01T06:32:00Z</dcterms:created>
  <dcterms:modified xsi:type="dcterms:W3CDTF">2016-07-01T06:36:00Z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