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CE" w:rsidRDefault="00467650" w:rsidP="00372AEB">
      <w:pPr>
        <w:pStyle w:val="Lettertext"/>
        <w:spacing w:before="1560"/>
      </w:pPr>
      <w:bookmarkStart w:id="0" w:name="_GoBack"/>
      <w:bookmarkEnd w:id="0"/>
      <w:r>
        <w:t>Senator Richard Di Natale</w:t>
      </w:r>
    </w:p>
    <w:p w:rsidR="00040DCE" w:rsidRPr="00002D5D" w:rsidRDefault="00467650" w:rsidP="00372AEB">
      <w:pPr>
        <w:pStyle w:val="Lettertext"/>
        <w:spacing w:before="0"/>
      </w:pPr>
      <w:r>
        <w:t>Leader of the Australian Greens</w:t>
      </w:r>
    </w:p>
    <w:p w:rsidR="00040DCE" w:rsidRPr="00002D5D" w:rsidRDefault="005C6967" w:rsidP="00372AEB">
      <w:pPr>
        <w:pStyle w:val="Lettertext"/>
        <w:spacing w:before="0"/>
      </w:pPr>
      <w:r>
        <w:t>Parliament House</w:t>
      </w:r>
    </w:p>
    <w:p w:rsidR="00040DCE" w:rsidRPr="00002D5D" w:rsidRDefault="005C6967" w:rsidP="00372AEB">
      <w:pPr>
        <w:pStyle w:val="Lettertext"/>
        <w:spacing w:before="0"/>
      </w:pPr>
      <w:r>
        <w:t>CANBERRA  ACT  2600</w:t>
      </w:r>
    </w:p>
    <w:p w:rsidR="00040DCE" w:rsidRPr="00002D5D" w:rsidRDefault="00040DCE" w:rsidP="00372AEB">
      <w:pPr>
        <w:pStyle w:val="Lettertext"/>
        <w:spacing w:before="480"/>
      </w:pPr>
      <w:r w:rsidRPr="00002D5D">
        <w:t xml:space="preserve">Dear </w:t>
      </w:r>
      <w:r w:rsidR="00467650">
        <w:t>Senator Di Natale</w:t>
      </w:r>
    </w:p>
    <w:p w:rsidR="00040DCE" w:rsidRPr="00002D5D" w:rsidRDefault="00040DCE" w:rsidP="00372AEB">
      <w:pPr>
        <w:pStyle w:val="Lettertext"/>
      </w:pPr>
      <w:r w:rsidRPr="00002D5D">
        <w:t xml:space="preserve">Please find attached a response to your costing request, </w:t>
      </w:r>
      <w:r w:rsidR="00CD4B37">
        <w:rPr>
          <w:i/>
        </w:rPr>
        <w:t>C</w:t>
      </w:r>
      <w:r w:rsidR="00467650">
        <w:rPr>
          <w:i/>
        </w:rPr>
        <w:t xml:space="preserve">ommunity </w:t>
      </w:r>
      <w:r w:rsidR="001B1705">
        <w:rPr>
          <w:i/>
        </w:rPr>
        <w:t>S</w:t>
      </w:r>
      <w:r w:rsidR="00467650">
        <w:rPr>
          <w:i/>
        </w:rPr>
        <w:t xml:space="preserve">ports </w:t>
      </w:r>
      <w:r w:rsidRPr="00002D5D">
        <w:t xml:space="preserve">(letter of </w:t>
      </w:r>
      <w:r w:rsidR="00CD4B37">
        <w:t>30</w:t>
      </w:r>
      <w:r w:rsidR="001B1705">
        <w:t> </w:t>
      </w:r>
      <w:r w:rsidR="00CD4B37">
        <w:t>June</w:t>
      </w:r>
      <w:r w:rsidR="001B1705">
        <w:t> </w:t>
      </w:r>
      <w:r w:rsidRPr="00002D5D">
        <w:t>2016).</w:t>
      </w:r>
    </w:p>
    <w:p w:rsidR="00040DCE" w:rsidRPr="00002D5D" w:rsidRDefault="00040DCE" w:rsidP="00372AEB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372AEB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372AEB">
      <w:pPr>
        <w:pStyle w:val="Lettertext"/>
      </w:pPr>
      <w:r w:rsidRPr="00002D5D">
        <w:t>Yours sincerely</w:t>
      </w:r>
    </w:p>
    <w:p w:rsidR="00040DCE" w:rsidRPr="00002D5D" w:rsidRDefault="00DA1C8A" w:rsidP="00372AEB">
      <w:pPr>
        <w:pStyle w:val="Lettertext"/>
        <w:spacing w:before="960"/>
      </w:pPr>
      <w:r w:rsidRPr="00002D5D">
        <w:t>Phil Bowen</w:t>
      </w:r>
    </w:p>
    <w:p w:rsidR="00096F3A" w:rsidRPr="00002D5D" w:rsidRDefault="00AF048B" w:rsidP="00AF048B">
      <w:pPr>
        <w:pStyle w:val="Lettertext"/>
        <w:spacing w:before="120"/>
      </w:pPr>
      <w:r>
        <w:t xml:space="preserve">30 </w:t>
      </w:r>
      <w:r w:rsidR="00467650">
        <w:t>June</w:t>
      </w:r>
      <w:r w:rsidR="00040DCE" w:rsidRPr="00002D5D">
        <w:t xml:space="preserve"> </w:t>
      </w:r>
      <w:r w:rsidR="00DA1C8A" w:rsidRPr="00002D5D"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AF048B">
      <w:pPr>
        <w:pStyle w:val="Heading1"/>
        <w:spacing w:before="360" w:after="240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RPr="00AF048B" w:rsidTr="00D5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Pr="00AF048B" w:rsidRDefault="004D5525" w:rsidP="00AF048B">
            <w:pPr>
              <w:rPr>
                <w:sz w:val="22"/>
              </w:rPr>
            </w:pPr>
            <w:r w:rsidRPr="00AF048B">
              <w:rPr>
                <w:sz w:val="22"/>
              </w:rPr>
              <w:t>Name of proposal:</w:t>
            </w:r>
          </w:p>
        </w:tc>
        <w:tc>
          <w:tcPr>
            <w:tcW w:w="5335" w:type="dxa"/>
          </w:tcPr>
          <w:p w:rsidR="004D5525" w:rsidRPr="00AF048B" w:rsidRDefault="007C2237" w:rsidP="00AF048B">
            <w:pPr>
              <w:rPr>
                <w:sz w:val="22"/>
              </w:rPr>
            </w:pPr>
            <w:r w:rsidRPr="00AF048B">
              <w:rPr>
                <w:sz w:val="22"/>
              </w:rPr>
              <w:t>C</w:t>
            </w:r>
            <w:r w:rsidR="00A96553" w:rsidRPr="00AF048B">
              <w:rPr>
                <w:sz w:val="22"/>
              </w:rPr>
              <w:t xml:space="preserve">ommunity </w:t>
            </w:r>
            <w:r w:rsidR="001B1705" w:rsidRPr="00AF048B">
              <w:rPr>
                <w:sz w:val="22"/>
              </w:rPr>
              <w:t>S</w:t>
            </w:r>
            <w:r w:rsidR="00A96553" w:rsidRPr="00AF048B">
              <w:rPr>
                <w:sz w:val="22"/>
              </w:rPr>
              <w:t>ports</w:t>
            </w:r>
          </w:p>
        </w:tc>
      </w:tr>
      <w:tr w:rsidR="004D5525" w:rsidTr="00A96553">
        <w:tc>
          <w:tcPr>
            <w:tcW w:w="3005" w:type="dxa"/>
          </w:tcPr>
          <w:p w:rsidR="004D5525" w:rsidRPr="00AF048B" w:rsidRDefault="004D5525" w:rsidP="00AF048B">
            <w:r w:rsidRPr="00AF048B">
              <w:t>Summary of proposal:</w:t>
            </w:r>
          </w:p>
        </w:tc>
        <w:tc>
          <w:tcPr>
            <w:tcW w:w="5335" w:type="dxa"/>
            <w:shd w:val="clear" w:color="auto" w:fill="auto"/>
          </w:tcPr>
          <w:p w:rsidR="00A96553" w:rsidRPr="00AF048B" w:rsidRDefault="004D5525" w:rsidP="00AF048B">
            <w:r w:rsidRPr="00AF048B">
              <w:t xml:space="preserve">The proposal </w:t>
            </w:r>
            <w:r w:rsidR="00FD21AE" w:rsidRPr="00AF048B">
              <w:t>has</w:t>
            </w:r>
            <w:r w:rsidR="00361443" w:rsidRPr="00AF048B">
              <w:t xml:space="preserve"> two components</w:t>
            </w:r>
            <w:r w:rsidR="00E90E0F" w:rsidRPr="00AF048B">
              <w:t>.</w:t>
            </w:r>
          </w:p>
          <w:p w:rsidR="00361443" w:rsidRPr="00AF048B" w:rsidRDefault="00361443" w:rsidP="00AF048B">
            <w:pPr>
              <w:rPr>
                <w:u w:val="single"/>
              </w:rPr>
            </w:pPr>
            <w:r w:rsidRPr="00AF048B">
              <w:rPr>
                <w:u w:val="single"/>
              </w:rPr>
              <w:t>Component 1: Community Sports Initiative</w:t>
            </w:r>
          </w:p>
          <w:p w:rsidR="00361443" w:rsidRPr="00AF048B" w:rsidRDefault="00361443" w:rsidP="00AF048B">
            <w:pPr>
              <w:pStyle w:val="Bullet1"/>
              <w:ind w:left="284" w:hanging="284"/>
            </w:pPr>
            <w:r w:rsidRPr="00AF048B">
              <w:t xml:space="preserve">$20 million over four years of the </w:t>
            </w:r>
            <w:r w:rsidR="00A95022" w:rsidRPr="00AF048B">
              <w:t>2016</w:t>
            </w:r>
            <w:r w:rsidR="00A95022" w:rsidRPr="00AF048B">
              <w:noBreakHyphen/>
              <w:t xml:space="preserve">17 Budget </w:t>
            </w:r>
            <w:r w:rsidRPr="00AF048B">
              <w:t>fo</w:t>
            </w:r>
            <w:r w:rsidRPr="00AF048B">
              <w:rPr>
                <w:rStyle w:val="Bullet1Char"/>
              </w:rPr>
              <w:t xml:space="preserve">rward estimates for a community sports initiative to address the barriers to participation for disadvantaged families </w:t>
            </w:r>
            <w:r w:rsidR="00FD21AE" w:rsidRPr="00AF048B">
              <w:rPr>
                <w:rStyle w:val="Bullet1Char"/>
              </w:rPr>
              <w:t>comprising</w:t>
            </w:r>
            <w:r w:rsidR="00FD21AE" w:rsidRPr="00AF048B">
              <w:t>:</w:t>
            </w:r>
          </w:p>
          <w:p w:rsidR="00361443" w:rsidRPr="00AF048B" w:rsidRDefault="00361443" w:rsidP="00AF048B">
            <w:pPr>
              <w:pStyle w:val="Bullet2"/>
              <w:ind w:left="568" w:hanging="284"/>
            </w:pPr>
            <w:r w:rsidRPr="00AF048B">
              <w:t>$10 million in direct financial support to families for costs associated with kids’ participation in sport such as membership fees</w:t>
            </w:r>
          </w:p>
          <w:p w:rsidR="00361443" w:rsidRPr="00AF048B" w:rsidRDefault="00361443" w:rsidP="00AF048B">
            <w:pPr>
              <w:pStyle w:val="Bullet2"/>
              <w:ind w:left="568" w:hanging="284"/>
            </w:pPr>
            <w:r w:rsidRPr="00AF048B">
              <w:t>$9.5 million in grants to help set up local sports libraries where kids and local sports programs can borrow equipment</w:t>
            </w:r>
          </w:p>
          <w:p w:rsidR="00361443" w:rsidRPr="00AF048B" w:rsidRDefault="00361443" w:rsidP="00AF048B">
            <w:pPr>
              <w:pStyle w:val="Bullet2"/>
              <w:ind w:left="568" w:hanging="284"/>
            </w:pPr>
            <w:r w:rsidRPr="00AF048B">
              <w:t>$500,000 in assistance to help volunteers and sports clubs navigate the legal and organisational barriers to volunteering, including a hotline and assistance with the cost of qualifications such as first aid certificates.</w:t>
            </w:r>
          </w:p>
          <w:p w:rsidR="00361443" w:rsidRPr="00AF048B" w:rsidRDefault="00361443" w:rsidP="00AF048B">
            <w:pPr>
              <w:rPr>
                <w:u w:val="single"/>
              </w:rPr>
            </w:pPr>
            <w:r w:rsidRPr="00AF048B">
              <w:rPr>
                <w:u w:val="single"/>
              </w:rPr>
              <w:t>Component 2: Reclink National Program</w:t>
            </w:r>
          </w:p>
          <w:p w:rsidR="00361443" w:rsidRPr="00AF048B" w:rsidRDefault="00361443" w:rsidP="00AF048B">
            <w:pPr>
              <w:pStyle w:val="Bullet1"/>
              <w:ind w:left="284" w:hanging="284"/>
            </w:pPr>
            <w:r w:rsidRPr="00AF048B">
              <w:t>$4 millio</w:t>
            </w:r>
            <w:r w:rsidRPr="00AF048B">
              <w:rPr>
                <w:rStyle w:val="Bullet1Char"/>
              </w:rPr>
              <w:t xml:space="preserve">n over four years of the </w:t>
            </w:r>
            <w:r w:rsidR="00A95022" w:rsidRPr="00AF048B">
              <w:rPr>
                <w:rStyle w:val="Bullet1Char"/>
              </w:rPr>
              <w:t>2016</w:t>
            </w:r>
            <w:r w:rsidR="00A95022" w:rsidRPr="00AF048B">
              <w:rPr>
                <w:rStyle w:val="Bullet1Char"/>
              </w:rPr>
              <w:noBreakHyphen/>
              <w:t xml:space="preserve">17 Budget </w:t>
            </w:r>
            <w:r w:rsidR="00FD21AE" w:rsidRPr="00AF048B">
              <w:rPr>
                <w:rStyle w:val="Bullet1Char"/>
              </w:rPr>
              <w:t>forward estimates as</w:t>
            </w:r>
            <w:r w:rsidRPr="00AF048B">
              <w:rPr>
                <w:rStyle w:val="Bullet1Char"/>
              </w:rPr>
              <w:t xml:space="preserve"> a grant for a new Reclink National Program targeting assistance to sports and recreation programs in regional an</w:t>
            </w:r>
            <w:r w:rsidRPr="00AF048B">
              <w:t>d rural communities with higher levels of disadvantage.</w:t>
            </w:r>
          </w:p>
          <w:p w:rsidR="004D5525" w:rsidRPr="00AF048B" w:rsidRDefault="004D5525" w:rsidP="00AF048B">
            <w:r w:rsidRPr="00AF048B">
              <w:t>The proposal would have effect from</w:t>
            </w:r>
            <w:r w:rsidR="00A96553" w:rsidRPr="00AF048B">
              <w:t xml:space="preserve">1 </w:t>
            </w:r>
            <w:r w:rsidR="00361443" w:rsidRPr="00AF048B">
              <w:t>September 2016</w:t>
            </w:r>
            <w:r w:rsidRPr="00AF048B">
              <w:t>.</w:t>
            </w:r>
          </w:p>
        </w:tc>
      </w:tr>
      <w:tr w:rsidR="004D5525" w:rsidTr="00D52D5F">
        <w:tc>
          <w:tcPr>
            <w:tcW w:w="3005" w:type="dxa"/>
          </w:tcPr>
          <w:p w:rsidR="004D5525" w:rsidRPr="00AF048B" w:rsidRDefault="004D5525" w:rsidP="00AF048B">
            <w:r w:rsidRPr="00AF048B">
              <w:t>Person/party requesting costing:</w:t>
            </w:r>
          </w:p>
        </w:tc>
        <w:tc>
          <w:tcPr>
            <w:tcW w:w="5335" w:type="dxa"/>
          </w:tcPr>
          <w:p w:rsidR="004D5525" w:rsidRPr="00AF048B" w:rsidRDefault="00A96553" w:rsidP="00AF048B">
            <w:r w:rsidRPr="00AF048B">
              <w:t>Senator Richard Di Natale, Australian Greens</w:t>
            </w:r>
          </w:p>
        </w:tc>
      </w:tr>
      <w:tr w:rsidR="007D3577" w:rsidTr="00060F22">
        <w:tc>
          <w:tcPr>
            <w:tcW w:w="3005" w:type="dxa"/>
          </w:tcPr>
          <w:p w:rsidR="007D3577" w:rsidRPr="00AF048B" w:rsidRDefault="007D3577" w:rsidP="00AF048B">
            <w:r w:rsidRPr="00AF048B">
              <w:t>Date of public release of policy:</w:t>
            </w:r>
          </w:p>
        </w:tc>
        <w:tc>
          <w:tcPr>
            <w:tcW w:w="5335" w:type="dxa"/>
          </w:tcPr>
          <w:p w:rsidR="007D3577" w:rsidRPr="00AF048B" w:rsidRDefault="007C2237" w:rsidP="00AF048B">
            <w:r w:rsidRPr="00AF048B">
              <w:t>11 June 2016</w:t>
            </w:r>
          </w:p>
          <w:p w:rsidR="007C2237" w:rsidRPr="00AF048B" w:rsidRDefault="00C548D8" w:rsidP="00AF048B">
            <w:hyperlink r:id="rId13" w:history="1">
              <w:r w:rsidR="007C2237" w:rsidRPr="00AF048B">
                <w:rPr>
                  <w:rStyle w:val="Hyperlink"/>
                </w:rPr>
                <w:t>http://greens.org.au/community-sport</w:t>
              </w:r>
            </w:hyperlink>
          </w:p>
        </w:tc>
      </w:tr>
      <w:tr w:rsidR="004D5525" w:rsidTr="00D52D5F">
        <w:tc>
          <w:tcPr>
            <w:tcW w:w="3005" w:type="dxa"/>
          </w:tcPr>
          <w:p w:rsidR="004D5525" w:rsidRPr="00AF048B" w:rsidRDefault="004D5525" w:rsidP="00AF048B">
            <w:r w:rsidRPr="00AF048B">
              <w:t>Date costing request received:</w:t>
            </w:r>
          </w:p>
        </w:tc>
        <w:tc>
          <w:tcPr>
            <w:tcW w:w="5335" w:type="dxa"/>
          </w:tcPr>
          <w:p w:rsidR="004D5525" w:rsidRPr="00AF048B" w:rsidRDefault="007C2237" w:rsidP="00AF048B">
            <w:r w:rsidRPr="00AF048B">
              <w:t>30 June 2016</w:t>
            </w:r>
          </w:p>
        </w:tc>
      </w:tr>
      <w:tr w:rsidR="004D5525" w:rsidTr="00D52D5F">
        <w:tc>
          <w:tcPr>
            <w:tcW w:w="3005" w:type="dxa"/>
          </w:tcPr>
          <w:p w:rsidR="004D5525" w:rsidRPr="00AF048B" w:rsidRDefault="004D5525" w:rsidP="00AF048B">
            <w:r w:rsidRPr="00AF048B">
              <w:t>Date costing completed</w:t>
            </w:r>
            <w:r w:rsidR="00AF048B" w:rsidRPr="00AF048B">
              <w:t>:</w:t>
            </w:r>
          </w:p>
        </w:tc>
        <w:tc>
          <w:tcPr>
            <w:tcW w:w="5335" w:type="dxa"/>
          </w:tcPr>
          <w:p w:rsidR="004D5525" w:rsidRPr="00AF048B" w:rsidRDefault="007C2237" w:rsidP="00AF048B">
            <w:r w:rsidRPr="00AF048B">
              <w:t>30 June 2016</w:t>
            </w:r>
          </w:p>
        </w:tc>
      </w:tr>
      <w:tr w:rsidR="004D5525" w:rsidTr="00D52D5F">
        <w:tc>
          <w:tcPr>
            <w:tcW w:w="3005" w:type="dxa"/>
          </w:tcPr>
          <w:p w:rsidR="004D5525" w:rsidRPr="00AF048B" w:rsidRDefault="004D5525" w:rsidP="00AF048B">
            <w:r w:rsidRPr="00AF048B">
              <w:t>Expiry date for the costing:</w:t>
            </w:r>
          </w:p>
        </w:tc>
        <w:tc>
          <w:tcPr>
            <w:tcW w:w="5335" w:type="dxa"/>
          </w:tcPr>
          <w:p w:rsidR="004D5525" w:rsidRPr="00AF048B" w:rsidRDefault="00F4535C" w:rsidP="00AF048B">
            <w:r w:rsidRPr="00AF048B"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lastRenderedPageBreak/>
        <w:t>Costing overview</w:t>
      </w:r>
    </w:p>
    <w:p w:rsidR="008030EC" w:rsidRDefault="00A96553" w:rsidP="000570AE">
      <w:r w:rsidRPr="00A96553">
        <w:t xml:space="preserve">This proposal would be expected to </w:t>
      </w:r>
      <w:r>
        <w:t>decrease both the fiscal and</w:t>
      </w:r>
      <w:r w:rsidR="000C7506">
        <w:t xml:space="preserve"> underlying cash balances by $24</w:t>
      </w:r>
      <w:r>
        <w:t xml:space="preserve"> million over the 2016-17 Budget forward estimates period.  </w:t>
      </w:r>
      <w:r w:rsidR="00772A8D">
        <w:t xml:space="preserve">This impact is due to an increase in administered </w:t>
      </w:r>
      <w:r w:rsidR="00CF38CD">
        <w:t>expen</w:t>
      </w:r>
      <w:r w:rsidR="001464CE">
        <w:t>ses</w:t>
      </w:r>
      <w:r w:rsidR="00CF38CD">
        <w:t xml:space="preserve"> </w:t>
      </w:r>
      <w:r w:rsidR="00835A9C">
        <w:t xml:space="preserve">of $23 million </w:t>
      </w:r>
      <w:r w:rsidR="00772A8D">
        <w:t xml:space="preserve">and </w:t>
      </w:r>
      <w:r w:rsidR="00CF38CD">
        <w:t xml:space="preserve">an increase </w:t>
      </w:r>
      <w:r w:rsidR="00772A8D">
        <w:t xml:space="preserve">in departmental </w:t>
      </w:r>
      <w:r w:rsidR="00CF38CD">
        <w:t>expen</w:t>
      </w:r>
      <w:r w:rsidR="001464CE">
        <w:t>ses</w:t>
      </w:r>
      <w:r w:rsidR="00835A9C" w:rsidRPr="00835A9C">
        <w:t xml:space="preserve"> </w:t>
      </w:r>
      <w:r w:rsidR="00835A9C">
        <w:t>of $1 million</w:t>
      </w:r>
      <w:r w:rsidR="00772A8D">
        <w:t>.</w:t>
      </w:r>
    </w:p>
    <w:p w:rsidR="008E7F3F" w:rsidRDefault="008E7F3F" w:rsidP="000570AE">
      <w:r>
        <w:t>The proposal would not have an impact beyond the 2016-17 Budget forward estimates period</w:t>
      </w:r>
      <w:r w:rsidR="001464CE">
        <w:t xml:space="preserve"> as funding for the proposal would terminate on 30 June 2020</w:t>
      </w:r>
      <w:r>
        <w:t>.   A detailed breakdown of the financial impacts</w:t>
      </w:r>
      <w:r w:rsidR="001464CE">
        <w:t xml:space="preserve"> for the total (Table A1) and by component (Tables A2 and A3)</w:t>
      </w:r>
      <w:r>
        <w:t xml:space="preserve"> is provided at </w:t>
      </w:r>
      <w:r w:rsidRPr="008E7F3F">
        <w:rPr>
          <w:u w:val="single"/>
        </w:rPr>
        <w:t>Attachment A</w:t>
      </w:r>
      <w:r>
        <w:t>.</w:t>
      </w:r>
    </w:p>
    <w:p w:rsidR="008E7F3F" w:rsidRPr="00A96553" w:rsidRDefault="008E7F3F" w:rsidP="000570AE">
      <w:r>
        <w:t>Both components are considered to be of high reliability as they are based on specified capped amounts and the application of administrative c</w:t>
      </w:r>
      <w:r w:rsidR="000570AE">
        <w:t>osts based on similar programs.</w:t>
      </w:r>
    </w:p>
    <w:p w:rsidR="005E3562" w:rsidRPr="00FC6579" w:rsidRDefault="005E3562" w:rsidP="00FC6579">
      <w:pPr>
        <w:pStyle w:val="Captionheading"/>
      </w:pPr>
      <w:r w:rsidRPr="00FC6579">
        <w:t xml:space="preserve">Table </w:t>
      </w:r>
      <w:r w:rsidR="001A02D1" w:rsidRPr="00FC6579">
        <w:t>1</w:t>
      </w:r>
      <w:r w:rsidRPr="00FC6579">
        <w:t>: Financial implications (outturn prices)</w:t>
      </w:r>
      <w:r w:rsidRPr="00844776">
        <w:rPr>
          <w:vertAlign w:val="superscript"/>
        </w:rPr>
        <w:t>(a)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057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vAlign w:val="center"/>
          </w:tcPr>
          <w:p w:rsidR="00CA5D42" w:rsidRPr="00B73AC8" w:rsidRDefault="00CA5D42" w:rsidP="000570AE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0570A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0570A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0570A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0570A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  <w:vAlign w:val="center"/>
          </w:tcPr>
          <w:p w:rsidR="00CA5D42" w:rsidRPr="00F97DFF" w:rsidRDefault="00CA5D42" w:rsidP="000570A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EA265F" w:rsidRPr="00B73AC8" w:rsidTr="00057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EA265F" w:rsidRPr="00B73AC8" w:rsidRDefault="00EA265F" w:rsidP="000570AE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EA265F" w:rsidRPr="00B73AC8" w:rsidRDefault="00DB15FD" w:rsidP="000570AE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7C2237">
              <w:rPr>
                <w:rFonts w:ascii="Calibri" w:hAnsi="Calibri"/>
                <w:szCs w:val="20"/>
              </w:rPr>
              <w:t>6.0</w:t>
            </w:r>
          </w:p>
        </w:tc>
        <w:tc>
          <w:tcPr>
            <w:tcW w:w="682" w:type="pct"/>
          </w:tcPr>
          <w:p w:rsidR="00EA265F" w:rsidRPr="00B73AC8" w:rsidRDefault="00A333CD" w:rsidP="000570AE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DB15FD">
              <w:rPr>
                <w:rFonts w:ascii="Calibri" w:hAnsi="Calibri"/>
                <w:szCs w:val="20"/>
              </w:rPr>
              <w:t>6.0</w:t>
            </w:r>
          </w:p>
        </w:tc>
        <w:tc>
          <w:tcPr>
            <w:tcW w:w="682" w:type="pct"/>
          </w:tcPr>
          <w:p w:rsidR="00EA265F" w:rsidRPr="00B73AC8" w:rsidRDefault="00A333CD" w:rsidP="000570AE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DB15FD">
              <w:rPr>
                <w:rFonts w:ascii="Calibri" w:hAnsi="Calibri"/>
                <w:szCs w:val="20"/>
              </w:rPr>
              <w:t>6.0</w:t>
            </w:r>
          </w:p>
        </w:tc>
        <w:tc>
          <w:tcPr>
            <w:tcW w:w="682" w:type="pct"/>
          </w:tcPr>
          <w:p w:rsidR="00EA265F" w:rsidRPr="00B73AC8" w:rsidRDefault="00A333CD" w:rsidP="000570AE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DB15FD">
              <w:rPr>
                <w:rFonts w:ascii="Calibri" w:hAnsi="Calibri"/>
                <w:szCs w:val="20"/>
              </w:rPr>
              <w:t>6.0</w:t>
            </w:r>
          </w:p>
        </w:tc>
        <w:tc>
          <w:tcPr>
            <w:tcW w:w="681" w:type="pct"/>
          </w:tcPr>
          <w:p w:rsidR="00EA265F" w:rsidRPr="00F97DFF" w:rsidRDefault="00A333CD" w:rsidP="000570AE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-</w:t>
            </w:r>
            <w:r w:rsidR="007C2237">
              <w:rPr>
                <w:rFonts w:ascii="Calibri" w:hAnsi="Calibri"/>
                <w:b/>
                <w:szCs w:val="20"/>
              </w:rPr>
              <w:t>24</w:t>
            </w:r>
            <w:r w:rsidR="00DB15FD">
              <w:rPr>
                <w:rFonts w:ascii="Calibri" w:hAnsi="Calibri"/>
                <w:b/>
                <w:szCs w:val="20"/>
              </w:rPr>
              <w:t>.0</w:t>
            </w:r>
          </w:p>
        </w:tc>
      </w:tr>
      <w:tr w:rsidR="00692DD8" w:rsidRPr="00B73AC8" w:rsidTr="00057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CA5D42" w:rsidRPr="00B73AC8" w:rsidRDefault="00CA5D42" w:rsidP="000570AE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CA5D42" w:rsidRPr="00B73AC8" w:rsidRDefault="00DB15FD" w:rsidP="000570AE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7C2237">
              <w:rPr>
                <w:rFonts w:ascii="Calibri" w:hAnsi="Calibri"/>
                <w:szCs w:val="20"/>
              </w:rPr>
              <w:t>6.0</w:t>
            </w:r>
          </w:p>
        </w:tc>
        <w:tc>
          <w:tcPr>
            <w:tcW w:w="682" w:type="pct"/>
          </w:tcPr>
          <w:p w:rsidR="00CA5D42" w:rsidRPr="00B73AC8" w:rsidRDefault="00A333CD" w:rsidP="000570AE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DB15FD">
              <w:rPr>
                <w:rFonts w:ascii="Calibri" w:hAnsi="Calibri"/>
                <w:szCs w:val="20"/>
              </w:rPr>
              <w:t>6.0</w:t>
            </w:r>
          </w:p>
        </w:tc>
        <w:tc>
          <w:tcPr>
            <w:tcW w:w="682" w:type="pct"/>
          </w:tcPr>
          <w:p w:rsidR="00CA5D42" w:rsidRPr="00B73AC8" w:rsidRDefault="00A333CD" w:rsidP="000570AE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DB15FD">
              <w:rPr>
                <w:rFonts w:ascii="Calibri" w:hAnsi="Calibri"/>
                <w:szCs w:val="20"/>
              </w:rPr>
              <w:t>6.0</w:t>
            </w:r>
          </w:p>
        </w:tc>
        <w:tc>
          <w:tcPr>
            <w:tcW w:w="682" w:type="pct"/>
          </w:tcPr>
          <w:p w:rsidR="00CA5D42" w:rsidRPr="00B73AC8" w:rsidRDefault="00A333CD" w:rsidP="000570AE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DB15FD">
              <w:rPr>
                <w:rFonts w:ascii="Calibri" w:hAnsi="Calibri"/>
                <w:szCs w:val="20"/>
              </w:rPr>
              <w:t>6.0</w:t>
            </w:r>
          </w:p>
        </w:tc>
        <w:tc>
          <w:tcPr>
            <w:tcW w:w="681" w:type="pct"/>
          </w:tcPr>
          <w:p w:rsidR="00CA5D42" w:rsidRPr="00F97DFF" w:rsidRDefault="00A333CD" w:rsidP="000570AE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-</w:t>
            </w:r>
            <w:r w:rsidR="007C2237">
              <w:rPr>
                <w:rFonts w:ascii="Calibri" w:hAnsi="Calibri"/>
                <w:b/>
                <w:szCs w:val="20"/>
              </w:rPr>
              <w:t>24</w:t>
            </w:r>
            <w:r w:rsidR="00DB15FD">
              <w:rPr>
                <w:rFonts w:ascii="Calibri" w:hAnsi="Calibri"/>
                <w:b/>
                <w:szCs w:val="20"/>
              </w:rPr>
              <w:t>.0</w:t>
            </w:r>
          </w:p>
        </w:tc>
      </w:tr>
    </w:tbl>
    <w:p w:rsidR="009D4063" w:rsidRDefault="00C9450E" w:rsidP="009D4063">
      <w:pPr>
        <w:pStyle w:val="Footnotes"/>
        <w:keepNext/>
        <w:keepLines/>
        <w:numPr>
          <w:ilvl w:val="0"/>
          <w:numId w:val="7"/>
        </w:numPr>
        <w:ind w:left="284" w:hanging="284"/>
      </w:pPr>
      <w:r>
        <w:t>A positive number indicates</w:t>
      </w:r>
      <w:r w:rsidR="00D805AE">
        <w:t xml:space="preserve"> an increase in the relevant budget balance, a negative number represents a decrease.</w:t>
      </w:r>
    </w:p>
    <w:p w:rsidR="008E7F3F" w:rsidRDefault="008E7F3F" w:rsidP="009D4063">
      <w:pPr>
        <w:pStyle w:val="Footnotes"/>
        <w:keepNext/>
        <w:keepLines/>
        <w:numPr>
          <w:ilvl w:val="0"/>
          <w:numId w:val="7"/>
        </w:numPr>
        <w:ind w:left="284" w:hanging="284"/>
      </w:pPr>
      <w:r>
        <w:t>Figures may not sum to totals due to rounding.</w:t>
      </w:r>
    </w:p>
    <w:p w:rsidR="008E7F3F" w:rsidRPr="00B93BEE" w:rsidRDefault="008E7F3F" w:rsidP="008E7F3F">
      <w:pPr>
        <w:pStyle w:val="Heading2"/>
      </w:pPr>
      <w:r w:rsidRPr="00B93BEE">
        <w:t>Key assumptions</w:t>
      </w:r>
    </w:p>
    <w:p w:rsidR="008E7F3F" w:rsidRPr="0028652C" w:rsidRDefault="008E7F3F" w:rsidP="00FA3493">
      <w:r w:rsidRPr="00B93BEE">
        <w:t>It has been assumed that</w:t>
      </w:r>
      <w:r w:rsidR="00FA3493">
        <w:t xml:space="preserve"> </w:t>
      </w:r>
      <w:r w:rsidRPr="0028652C">
        <w:t xml:space="preserve">despite the 1 September 2016 start date a full year of funding would be provided </w:t>
      </w:r>
      <w:r w:rsidR="00CF38CD">
        <w:t>during</w:t>
      </w:r>
      <w:r w:rsidR="00CF38CD" w:rsidRPr="0028652C">
        <w:t xml:space="preserve"> </w:t>
      </w:r>
      <w:r w:rsidRPr="0028652C">
        <w:t>2016</w:t>
      </w:r>
      <w:r w:rsidRPr="0028652C">
        <w:noBreakHyphen/>
        <w:t>17</w:t>
      </w:r>
      <w:r w:rsidR="00E90E0F">
        <w:t>.</w:t>
      </w:r>
    </w:p>
    <w:p w:rsidR="008E7F3F" w:rsidRPr="00B77A9E" w:rsidRDefault="008E7F3F" w:rsidP="00540FBA">
      <w:pPr>
        <w:pStyle w:val="Heading2"/>
        <w:keepNext w:val="0"/>
        <w:keepLines w:val="0"/>
      </w:pPr>
      <w:r w:rsidRPr="00B77A9E">
        <w:t>Methodology</w:t>
      </w:r>
    </w:p>
    <w:p w:rsidR="001464CE" w:rsidRDefault="001464CE" w:rsidP="000570AE">
      <w:r>
        <w:t>Departmental expenditure estimates are accommodated within the capped funding amounts as specified in the request.  These estimates are based on other like programs</w:t>
      </w:r>
      <w:r w:rsidR="006E2A80">
        <w:t>.</w:t>
      </w:r>
    </w:p>
    <w:p w:rsidR="00CE7E32" w:rsidRDefault="001464CE" w:rsidP="000570AE">
      <w:pPr>
        <w:rPr>
          <w:highlight w:val="yellow"/>
        </w:rPr>
      </w:pPr>
      <w:r>
        <w:t>Administered expenditure estimates are the remainder of the capped funding amounts after allowing for the estimated departmental expenditure.</w:t>
      </w:r>
    </w:p>
    <w:p w:rsidR="001464CE" w:rsidRPr="009045B2" w:rsidRDefault="001464CE" w:rsidP="000570AE">
      <w:pPr>
        <w:rPr>
          <w:highlight w:val="yellow"/>
        </w:rPr>
        <w:sectPr w:rsidR="001464CE" w:rsidRPr="009045B2" w:rsidSect="00002D5D">
          <w:headerReference w:type="first" r:id="rId14"/>
          <w:footerReference w:type="first" r:id="rId15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CE7E32" w:rsidRDefault="00CE7E32" w:rsidP="00540FBA">
      <w:pPr>
        <w:pStyle w:val="Heading1"/>
        <w:numPr>
          <w:ilvl w:val="0"/>
          <w:numId w:val="0"/>
        </w:numPr>
      </w:pPr>
      <w:r w:rsidRPr="00FC6579">
        <w:lastRenderedPageBreak/>
        <w:t>Attachment A:</w:t>
      </w:r>
      <w:r>
        <w:t xml:space="preserve"> Community Sports—financial implications</w:t>
      </w:r>
    </w:p>
    <w:p w:rsidR="00CE7E32" w:rsidRPr="00FC6579" w:rsidRDefault="00CE7E32" w:rsidP="00CE7E32">
      <w:pPr>
        <w:pStyle w:val="Captionheading"/>
      </w:pPr>
      <w:r w:rsidRPr="00FC6579">
        <w:t xml:space="preserve">Table </w:t>
      </w:r>
      <w:r>
        <w:t>A1</w:t>
      </w:r>
      <w:r w:rsidRPr="00FC6579">
        <w:t xml:space="preserve">: </w:t>
      </w:r>
      <w:r>
        <w:t>Combined impact of all components—F</w:t>
      </w:r>
      <w:r w:rsidRPr="00DE5D03">
        <w:t>inancial implications</w:t>
      </w:r>
      <w:r>
        <w:rPr>
          <w:vertAlign w:val="superscript"/>
        </w:rPr>
        <w:t>(a)(b)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5561E8" w:rsidRPr="00B73AC8" w:rsidTr="00057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vAlign w:val="center"/>
          </w:tcPr>
          <w:p w:rsidR="005561E8" w:rsidRPr="00B73AC8" w:rsidRDefault="005561E8" w:rsidP="000570AE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vAlign w:val="center"/>
          </w:tcPr>
          <w:p w:rsidR="005561E8" w:rsidRPr="00F34184" w:rsidRDefault="005561E8" w:rsidP="000570A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F34184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  <w:vAlign w:val="center"/>
          </w:tcPr>
          <w:p w:rsidR="005561E8" w:rsidRPr="00F34184" w:rsidRDefault="005561E8" w:rsidP="000570A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F34184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  <w:vAlign w:val="center"/>
          </w:tcPr>
          <w:p w:rsidR="005561E8" w:rsidRPr="00F34184" w:rsidRDefault="005561E8" w:rsidP="000570A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F34184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  <w:vAlign w:val="center"/>
          </w:tcPr>
          <w:p w:rsidR="005561E8" w:rsidRPr="00F34184" w:rsidRDefault="005561E8" w:rsidP="000570A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F34184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  <w:vAlign w:val="center"/>
          </w:tcPr>
          <w:p w:rsidR="005561E8" w:rsidRPr="00F97DFF" w:rsidRDefault="005561E8" w:rsidP="000570AE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CE7E32" w:rsidRPr="00B73AC8" w:rsidTr="00057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D7DDE9"/>
          </w:tcPr>
          <w:p w:rsidR="00CE7E32" w:rsidRDefault="00CE7E32" w:rsidP="000570AE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>
              <w:rPr>
                <w:b/>
              </w:rPr>
              <w:t>Impact on fiscal and underlying cash balances</w:t>
            </w:r>
          </w:p>
        </w:tc>
      </w:tr>
      <w:tr w:rsidR="00462185" w:rsidRPr="00B73AC8" w:rsidTr="00057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462185" w:rsidRPr="00D94017" w:rsidRDefault="00462185" w:rsidP="000570AE">
            <w:pPr>
              <w:spacing w:before="70" w:after="70" w:line="240" w:lineRule="auto"/>
              <w:ind w:left="57" w:right="57"/>
              <w:rPr>
                <w:szCs w:val="20"/>
              </w:rPr>
            </w:pPr>
            <w:r w:rsidRPr="00D94017">
              <w:rPr>
                <w:szCs w:val="20"/>
              </w:rPr>
              <w:t>Administered</w:t>
            </w:r>
          </w:p>
        </w:tc>
        <w:tc>
          <w:tcPr>
            <w:tcW w:w="682" w:type="pct"/>
          </w:tcPr>
          <w:p w:rsidR="00462185" w:rsidRPr="00B96506" w:rsidRDefault="00462185" w:rsidP="000570A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0000"/>
                <w:sz w:val="24"/>
                <w:szCs w:val="24"/>
              </w:rPr>
            </w:pPr>
            <w:r w:rsidRPr="00B96506">
              <w:rPr>
                <w:bCs/>
                <w:i/>
                <w:color w:val="000000"/>
              </w:rPr>
              <w:t>-5.</w:t>
            </w:r>
            <w:r w:rsidR="00794A2D" w:rsidRPr="00B96506">
              <w:rPr>
                <w:bCs/>
                <w:i/>
                <w:color w:val="000000"/>
              </w:rPr>
              <w:t>5</w:t>
            </w:r>
            <w:r w:rsidRPr="00B96506">
              <w:rPr>
                <w:bCs/>
                <w:i/>
                <w:color w:val="000000"/>
              </w:rPr>
              <w:t xml:space="preserve"> </w:t>
            </w:r>
          </w:p>
        </w:tc>
        <w:tc>
          <w:tcPr>
            <w:tcW w:w="682" w:type="pct"/>
          </w:tcPr>
          <w:p w:rsidR="00462185" w:rsidRPr="00B96506" w:rsidRDefault="00462185" w:rsidP="000570A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0000"/>
                <w:sz w:val="24"/>
                <w:szCs w:val="24"/>
              </w:rPr>
            </w:pPr>
            <w:r w:rsidRPr="00B96506">
              <w:rPr>
                <w:bCs/>
                <w:i/>
                <w:color w:val="000000"/>
              </w:rPr>
              <w:t>-5.</w:t>
            </w:r>
            <w:r w:rsidR="00794A2D" w:rsidRPr="00B96506">
              <w:rPr>
                <w:bCs/>
                <w:i/>
                <w:color w:val="000000"/>
              </w:rPr>
              <w:t>7</w:t>
            </w:r>
            <w:r w:rsidRPr="00B96506">
              <w:rPr>
                <w:bCs/>
                <w:i/>
                <w:color w:val="000000"/>
              </w:rPr>
              <w:t xml:space="preserve"> </w:t>
            </w:r>
          </w:p>
        </w:tc>
        <w:tc>
          <w:tcPr>
            <w:tcW w:w="682" w:type="pct"/>
          </w:tcPr>
          <w:p w:rsidR="00462185" w:rsidRPr="00B96506" w:rsidRDefault="00462185" w:rsidP="000570A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0000"/>
                <w:sz w:val="24"/>
                <w:szCs w:val="24"/>
              </w:rPr>
            </w:pPr>
            <w:r w:rsidRPr="00B96506">
              <w:rPr>
                <w:bCs/>
                <w:i/>
                <w:color w:val="000000"/>
              </w:rPr>
              <w:t>-5.</w:t>
            </w:r>
            <w:r w:rsidR="00794A2D" w:rsidRPr="00B96506">
              <w:rPr>
                <w:bCs/>
                <w:i/>
                <w:color w:val="000000"/>
              </w:rPr>
              <w:t>7</w:t>
            </w:r>
            <w:r w:rsidRPr="00B96506">
              <w:rPr>
                <w:bCs/>
                <w:i/>
                <w:color w:val="000000"/>
              </w:rPr>
              <w:t xml:space="preserve"> </w:t>
            </w:r>
          </w:p>
        </w:tc>
        <w:tc>
          <w:tcPr>
            <w:tcW w:w="682" w:type="pct"/>
          </w:tcPr>
          <w:p w:rsidR="00462185" w:rsidRPr="00B96506" w:rsidRDefault="00462185" w:rsidP="000570A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0000"/>
                <w:sz w:val="24"/>
                <w:szCs w:val="24"/>
              </w:rPr>
            </w:pPr>
            <w:r w:rsidRPr="00B96506">
              <w:rPr>
                <w:bCs/>
                <w:i/>
                <w:color w:val="000000"/>
              </w:rPr>
              <w:t>-5.</w:t>
            </w:r>
            <w:r w:rsidR="00794A2D" w:rsidRPr="00B96506">
              <w:rPr>
                <w:bCs/>
                <w:i/>
                <w:color w:val="000000"/>
              </w:rPr>
              <w:t>7</w:t>
            </w:r>
            <w:r w:rsidRPr="00B96506">
              <w:rPr>
                <w:bCs/>
                <w:i/>
                <w:color w:val="000000"/>
              </w:rPr>
              <w:t xml:space="preserve"> </w:t>
            </w:r>
          </w:p>
        </w:tc>
        <w:tc>
          <w:tcPr>
            <w:tcW w:w="681" w:type="pct"/>
          </w:tcPr>
          <w:p w:rsidR="00462185" w:rsidRPr="00B96506" w:rsidRDefault="00462185" w:rsidP="000570A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96506">
              <w:rPr>
                <w:b/>
                <w:bCs/>
                <w:i/>
                <w:color w:val="000000"/>
              </w:rPr>
              <w:t>-2</w:t>
            </w:r>
            <w:r w:rsidR="00794A2D" w:rsidRPr="00B96506">
              <w:rPr>
                <w:b/>
                <w:bCs/>
                <w:i/>
                <w:color w:val="000000"/>
              </w:rPr>
              <w:t>3</w:t>
            </w:r>
            <w:r w:rsidRPr="00B96506">
              <w:rPr>
                <w:b/>
                <w:bCs/>
                <w:i/>
                <w:color w:val="000000"/>
              </w:rPr>
              <w:t>.</w:t>
            </w:r>
            <w:r w:rsidR="00794A2D" w:rsidRPr="00B96506">
              <w:rPr>
                <w:b/>
                <w:bCs/>
                <w:i/>
                <w:color w:val="000000"/>
              </w:rPr>
              <w:t>0</w:t>
            </w:r>
            <w:r w:rsidRPr="00B96506">
              <w:rPr>
                <w:b/>
                <w:bCs/>
                <w:i/>
                <w:color w:val="000000"/>
              </w:rPr>
              <w:t xml:space="preserve"> </w:t>
            </w:r>
          </w:p>
        </w:tc>
      </w:tr>
      <w:tr w:rsidR="00462185" w:rsidRPr="00B73AC8" w:rsidTr="00057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462185" w:rsidRPr="00D94017" w:rsidRDefault="00462185" w:rsidP="000570AE">
            <w:pPr>
              <w:spacing w:before="70" w:after="70" w:line="240" w:lineRule="auto"/>
              <w:ind w:left="57" w:right="57"/>
              <w:rPr>
                <w:szCs w:val="20"/>
              </w:rPr>
            </w:pPr>
            <w:r w:rsidRPr="00D94017">
              <w:rPr>
                <w:szCs w:val="20"/>
              </w:rPr>
              <w:t>Departmental</w:t>
            </w:r>
          </w:p>
        </w:tc>
        <w:tc>
          <w:tcPr>
            <w:tcW w:w="682" w:type="pct"/>
          </w:tcPr>
          <w:p w:rsidR="00462185" w:rsidRPr="00B96506" w:rsidRDefault="00462185" w:rsidP="000570A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/>
                <w:sz w:val="24"/>
                <w:szCs w:val="24"/>
              </w:rPr>
            </w:pPr>
            <w:r w:rsidRPr="00B96506">
              <w:rPr>
                <w:bCs/>
                <w:i/>
                <w:color w:val="000000"/>
              </w:rPr>
              <w:t xml:space="preserve">-0.4 </w:t>
            </w:r>
          </w:p>
        </w:tc>
        <w:tc>
          <w:tcPr>
            <w:tcW w:w="682" w:type="pct"/>
          </w:tcPr>
          <w:p w:rsidR="00462185" w:rsidRPr="00B96506" w:rsidRDefault="00462185" w:rsidP="000570A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/>
                <w:sz w:val="24"/>
                <w:szCs w:val="24"/>
              </w:rPr>
            </w:pPr>
            <w:r w:rsidRPr="00B96506">
              <w:rPr>
                <w:bCs/>
                <w:i/>
                <w:color w:val="000000"/>
              </w:rPr>
              <w:t xml:space="preserve">-0.2 </w:t>
            </w:r>
          </w:p>
        </w:tc>
        <w:tc>
          <w:tcPr>
            <w:tcW w:w="682" w:type="pct"/>
          </w:tcPr>
          <w:p w:rsidR="00462185" w:rsidRPr="00B96506" w:rsidRDefault="00462185" w:rsidP="000570A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/>
                <w:sz w:val="24"/>
                <w:szCs w:val="24"/>
              </w:rPr>
            </w:pPr>
            <w:r w:rsidRPr="00B96506">
              <w:rPr>
                <w:bCs/>
                <w:i/>
                <w:color w:val="000000"/>
              </w:rPr>
              <w:t xml:space="preserve">-0.2 </w:t>
            </w:r>
          </w:p>
        </w:tc>
        <w:tc>
          <w:tcPr>
            <w:tcW w:w="682" w:type="pct"/>
          </w:tcPr>
          <w:p w:rsidR="00462185" w:rsidRPr="00B96506" w:rsidRDefault="00462185" w:rsidP="000570A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/>
                <w:sz w:val="24"/>
                <w:szCs w:val="24"/>
              </w:rPr>
            </w:pPr>
            <w:r w:rsidRPr="00B96506">
              <w:rPr>
                <w:bCs/>
                <w:i/>
                <w:color w:val="000000"/>
              </w:rPr>
              <w:t xml:space="preserve">-0.2 </w:t>
            </w:r>
          </w:p>
        </w:tc>
        <w:tc>
          <w:tcPr>
            <w:tcW w:w="681" w:type="pct"/>
          </w:tcPr>
          <w:p w:rsidR="00462185" w:rsidRPr="00B96506" w:rsidRDefault="00462185" w:rsidP="000570AE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96506">
              <w:rPr>
                <w:b/>
                <w:bCs/>
                <w:i/>
                <w:color w:val="000000"/>
              </w:rPr>
              <w:t>-1.</w:t>
            </w:r>
            <w:r w:rsidR="00794A2D" w:rsidRPr="00B96506">
              <w:rPr>
                <w:b/>
                <w:bCs/>
                <w:i/>
                <w:color w:val="000000"/>
              </w:rPr>
              <w:t>0</w:t>
            </w:r>
            <w:r w:rsidRPr="00B96506">
              <w:rPr>
                <w:b/>
                <w:bCs/>
                <w:i/>
                <w:color w:val="000000"/>
              </w:rPr>
              <w:t xml:space="preserve"> </w:t>
            </w:r>
          </w:p>
        </w:tc>
      </w:tr>
      <w:tr w:rsidR="00462185" w:rsidRPr="00B73AC8" w:rsidTr="00057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shd w:val="clear" w:color="auto" w:fill="D7DDE9"/>
          </w:tcPr>
          <w:p w:rsidR="00462185" w:rsidRPr="00D94017" w:rsidRDefault="00462185" w:rsidP="000570AE">
            <w:pPr>
              <w:spacing w:before="70" w:after="70" w:line="240" w:lineRule="auto"/>
              <w:ind w:left="57" w:right="57"/>
              <w:rPr>
                <w:b/>
                <w:szCs w:val="20"/>
              </w:rPr>
            </w:pPr>
            <w:r w:rsidRPr="00D94017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shd w:val="clear" w:color="auto" w:fill="D7DDE9"/>
          </w:tcPr>
          <w:p w:rsidR="00462185" w:rsidRPr="00CC1E09" w:rsidRDefault="00462185" w:rsidP="000570A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-6.0</w:t>
            </w:r>
          </w:p>
        </w:tc>
        <w:tc>
          <w:tcPr>
            <w:tcW w:w="682" w:type="pct"/>
            <w:shd w:val="clear" w:color="auto" w:fill="D7DDE9"/>
          </w:tcPr>
          <w:p w:rsidR="00462185" w:rsidRPr="00CC1E09" w:rsidRDefault="00462185" w:rsidP="000570A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-6.0</w:t>
            </w:r>
          </w:p>
        </w:tc>
        <w:tc>
          <w:tcPr>
            <w:tcW w:w="682" w:type="pct"/>
            <w:shd w:val="clear" w:color="auto" w:fill="D7DDE9"/>
          </w:tcPr>
          <w:p w:rsidR="00462185" w:rsidRPr="00CC1E09" w:rsidRDefault="00462185" w:rsidP="000570A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-6.0</w:t>
            </w:r>
          </w:p>
        </w:tc>
        <w:tc>
          <w:tcPr>
            <w:tcW w:w="682" w:type="pct"/>
            <w:shd w:val="clear" w:color="auto" w:fill="D7DDE9"/>
          </w:tcPr>
          <w:p w:rsidR="00462185" w:rsidRPr="00CC1E09" w:rsidRDefault="00462185" w:rsidP="000570A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-6.0</w:t>
            </w:r>
          </w:p>
        </w:tc>
        <w:tc>
          <w:tcPr>
            <w:tcW w:w="681" w:type="pct"/>
            <w:shd w:val="clear" w:color="auto" w:fill="D7DDE9"/>
          </w:tcPr>
          <w:p w:rsidR="00462185" w:rsidRPr="00CC1E09" w:rsidRDefault="00462185" w:rsidP="000570AE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-24.0</w:t>
            </w:r>
          </w:p>
        </w:tc>
      </w:tr>
    </w:tbl>
    <w:p w:rsidR="00CE7E32" w:rsidRPr="00B77A9E" w:rsidRDefault="00CE7E32" w:rsidP="00FB1952">
      <w:pPr>
        <w:pStyle w:val="Footnotes"/>
        <w:numPr>
          <w:ilvl w:val="0"/>
          <w:numId w:val="19"/>
        </w:numPr>
        <w:ind w:left="284" w:hanging="284"/>
      </w:pPr>
      <w:r w:rsidRPr="00DB3B7E">
        <w:t xml:space="preserve">A </w:t>
      </w:r>
      <w:r w:rsidR="008A69EC" w:rsidRPr="00DB3B7E">
        <w:t xml:space="preserve">positive number indicates an increase in revenue or decrease in expenses or net capital investment in accrual and cash terms. </w:t>
      </w:r>
      <w:r w:rsidR="008A69EC">
        <w:t xml:space="preserve"> </w:t>
      </w:r>
      <w:r w:rsidR="008A69EC" w:rsidRPr="00DB3B7E">
        <w:t>A negative number indicates a decrease in revenue or an increase in expenses or net capital investment in accrual and cash terms</w:t>
      </w:r>
      <w:r w:rsidRPr="00B77A9E">
        <w:t>.</w:t>
      </w:r>
    </w:p>
    <w:p w:rsidR="00CE7E32" w:rsidRDefault="00CE7E32" w:rsidP="00CE7E32">
      <w:pPr>
        <w:pStyle w:val="Footnotes"/>
      </w:pPr>
      <w:r w:rsidRPr="00B77A9E">
        <w:t>Figures ma</w:t>
      </w:r>
      <w:r>
        <w:t>y not sum to totals due to rounding.</w:t>
      </w:r>
    </w:p>
    <w:p w:rsidR="00FB1952" w:rsidRPr="00FC6579" w:rsidRDefault="00FB1952" w:rsidP="00FB1952">
      <w:pPr>
        <w:pStyle w:val="Captionheading"/>
      </w:pPr>
      <w:r w:rsidRPr="00FC6579">
        <w:t xml:space="preserve">Table </w:t>
      </w:r>
      <w:r>
        <w:t>A2</w:t>
      </w:r>
      <w:r w:rsidRPr="00FC6579">
        <w:t xml:space="preserve">: </w:t>
      </w:r>
      <w:r>
        <w:t xml:space="preserve">Component 1: </w:t>
      </w:r>
      <w:r w:rsidRPr="00FB1952">
        <w:t>Community Sports Initiative</w:t>
      </w:r>
      <w:r>
        <w:t>—F</w:t>
      </w:r>
      <w:r w:rsidRPr="00DE5D03">
        <w:t>inancial implications</w:t>
      </w:r>
      <w:r>
        <w:rPr>
          <w:vertAlign w:val="superscript"/>
        </w:rPr>
        <w:t>(a)(b)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5561E8" w:rsidRPr="00B73AC8" w:rsidTr="007E7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vAlign w:val="center"/>
          </w:tcPr>
          <w:p w:rsidR="005561E8" w:rsidRPr="00B73AC8" w:rsidRDefault="005561E8" w:rsidP="007E7017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vAlign w:val="center"/>
          </w:tcPr>
          <w:p w:rsidR="005561E8" w:rsidRPr="00B73AC8" w:rsidRDefault="005561E8" w:rsidP="007E7017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  <w:vAlign w:val="center"/>
          </w:tcPr>
          <w:p w:rsidR="005561E8" w:rsidRPr="00B73AC8" w:rsidRDefault="005561E8" w:rsidP="007E7017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  <w:vAlign w:val="center"/>
          </w:tcPr>
          <w:p w:rsidR="005561E8" w:rsidRPr="00B73AC8" w:rsidRDefault="005561E8" w:rsidP="007E7017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  <w:vAlign w:val="center"/>
          </w:tcPr>
          <w:p w:rsidR="005561E8" w:rsidRPr="00B73AC8" w:rsidRDefault="005561E8" w:rsidP="007E7017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  <w:vAlign w:val="center"/>
          </w:tcPr>
          <w:p w:rsidR="005561E8" w:rsidRPr="00F51DFF" w:rsidRDefault="005561E8" w:rsidP="007E7017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51DFF">
              <w:rPr>
                <w:b/>
              </w:rPr>
              <w:t>Total</w:t>
            </w:r>
            <w:r w:rsidRPr="00F51DFF">
              <w:rPr>
                <w:b/>
                <w:szCs w:val="20"/>
              </w:rPr>
              <w:t xml:space="preserve"> to 2019–20</w:t>
            </w:r>
          </w:p>
        </w:tc>
      </w:tr>
      <w:tr w:rsidR="00FB1952" w:rsidRPr="00B73AC8" w:rsidTr="007E7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D7DDE9"/>
          </w:tcPr>
          <w:p w:rsidR="00FB1952" w:rsidRPr="00F51DFF" w:rsidRDefault="00FB1952" w:rsidP="007E7017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F51DFF">
              <w:rPr>
                <w:b/>
              </w:rPr>
              <w:t>Impact on fiscal and underlying cash balances</w:t>
            </w:r>
          </w:p>
        </w:tc>
      </w:tr>
      <w:tr w:rsidR="00FB1952" w:rsidRPr="00B73AC8" w:rsidTr="007E7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E9ECF3"/>
          </w:tcPr>
          <w:p w:rsidR="00FB1952" w:rsidRPr="00F51DFF" w:rsidRDefault="00FB1952" w:rsidP="007E7017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F51DFF">
              <w:rPr>
                <w:b/>
                <w:szCs w:val="20"/>
              </w:rPr>
              <w:t>Administered</w:t>
            </w:r>
          </w:p>
        </w:tc>
      </w:tr>
      <w:tr w:rsidR="00794A2D" w:rsidRPr="00B73AC8" w:rsidTr="007E7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794A2D" w:rsidRPr="00F51DFF" w:rsidRDefault="00794A2D" w:rsidP="007E7017">
            <w:pPr>
              <w:spacing w:before="70" w:after="70" w:line="240" w:lineRule="auto"/>
              <w:ind w:left="57" w:right="57"/>
              <w:rPr>
                <w:i/>
                <w:szCs w:val="20"/>
              </w:rPr>
            </w:pPr>
            <w:r w:rsidRPr="00F51DFF">
              <w:rPr>
                <w:i/>
                <w:szCs w:val="20"/>
              </w:rPr>
              <w:t>Direct financial support to families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-2.2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-2.4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-2.4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-2.4 </w:t>
            </w:r>
          </w:p>
        </w:tc>
        <w:tc>
          <w:tcPr>
            <w:tcW w:w="681" w:type="pct"/>
          </w:tcPr>
          <w:p w:rsidR="00794A2D" w:rsidRP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794A2D">
              <w:rPr>
                <w:b/>
                <w:i/>
                <w:iCs/>
                <w:color w:val="000000"/>
              </w:rPr>
              <w:t xml:space="preserve">-9.5 </w:t>
            </w:r>
          </w:p>
        </w:tc>
      </w:tr>
      <w:tr w:rsidR="00794A2D" w:rsidRPr="00B73AC8" w:rsidTr="007E7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794A2D" w:rsidRPr="00F51DFF" w:rsidRDefault="00794A2D" w:rsidP="007E7017">
            <w:pPr>
              <w:spacing w:before="70" w:after="70" w:line="240" w:lineRule="auto"/>
              <w:ind w:left="57" w:right="57"/>
              <w:rPr>
                <w:i/>
                <w:szCs w:val="20"/>
              </w:rPr>
            </w:pPr>
            <w:r w:rsidRPr="00F51DFF">
              <w:rPr>
                <w:i/>
                <w:szCs w:val="20"/>
              </w:rPr>
              <w:t>Local sport libraries grants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-2.2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-2.2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-2.2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-2.2 </w:t>
            </w:r>
          </w:p>
        </w:tc>
        <w:tc>
          <w:tcPr>
            <w:tcW w:w="681" w:type="pct"/>
          </w:tcPr>
          <w:p w:rsidR="00794A2D" w:rsidRP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794A2D">
              <w:rPr>
                <w:b/>
                <w:i/>
                <w:iCs/>
                <w:color w:val="000000"/>
              </w:rPr>
              <w:t xml:space="preserve">-9.0 </w:t>
            </w:r>
          </w:p>
        </w:tc>
      </w:tr>
      <w:tr w:rsidR="00794A2D" w:rsidRPr="00B73AC8" w:rsidTr="007E7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794A2D" w:rsidRPr="00F51DFF" w:rsidRDefault="00794A2D" w:rsidP="007E7017">
            <w:pPr>
              <w:spacing w:before="70" w:after="70" w:line="240" w:lineRule="auto"/>
              <w:ind w:left="57" w:right="57"/>
              <w:rPr>
                <w:i/>
                <w:szCs w:val="20"/>
              </w:rPr>
            </w:pPr>
            <w:r w:rsidRPr="00F51DFF">
              <w:rPr>
                <w:i/>
                <w:szCs w:val="20"/>
              </w:rPr>
              <w:t>Volunteers assistance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-0.1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-0.1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-0.1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-0.1 </w:t>
            </w:r>
          </w:p>
        </w:tc>
        <w:tc>
          <w:tcPr>
            <w:tcW w:w="681" w:type="pct"/>
          </w:tcPr>
          <w:p w:rsidR="00794A2D" w:rsidRP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794A2D">
              <w:rPr>
                <w:b/>
                <w:i/>
                <w:iCs/>
                <w:color w:val="000000"/>
              </w:rPr>
              <w:t xml:space="preserve">-0.5 </w:t>
            </w:r>
          </w:p>
        </w:tc>
      </w:tr>
      <w:tr w:rsidR="00794A2D" w:rsidRPr="00F51DFF" w:rsidTr="007E7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794A2D" w:rsidRPr="00F51DFF" w:rsidRDefault="00794A2D" w:rsidP="007E7017">
            <w:pPr>
              <w:spacing w:before="70" w:after="70" w:line="240" w:lineRule="auto"/>
              <w:ind w:left="57" w:right="57"/>
              <w:rPr>
                <w:szCs w:val="20"/>
              </w:rPr>
            </w:pPr>
            <w:r w:rsidRPr="00F51DFF">
              <w:rPr>
                <w:szCs w:val="20"/>
              </w:rPr>
              <w:t>Total Administered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-4.5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-4.7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-4.7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-4.7 </w:t>
            </w:r>
          </w:p>
        </w:tc>
        <w:tc>
          <w:tcPr>
            <w:tcW w:w="681" w:type="pct"/>
          </w:tcPr>
          <w:p w:rsidR="00794A2D" w:rsidRP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 w:rsidRPr="00794A2D">
              <w:rPr>
                <w:b/>
                <w:bCs/>
                <w:color w:val="000000"/>
              </w:rPr>
              <w:t xml:space="preserve">-19.0 </w:t>
            </w:r>
          </w:p>
        </w:tc>
      </w:tr>
      <w:tr w:rsidR="00794A2D" w:rsidRPr="00B73AC8" w:rsidTr="007E7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E9ECF3"/>
          </w:tcPr>
          <w:p w:rsidR="00794A2D" w:rsidRPr="00F51DFF" w:rsidRDefault="00794A2D" w:rsidP="007E7017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F51DFF">
              <w:rPr>
                <w:b/>
                <w:szCs w:val="20"/>
              </w:rPr>
              <w:t>Departmental</w:t>
            </w:r>
          </w:p>
        </w:tc>
      </w:tr>
      <w:tr w:rsidR="00794A2D" w:rsidRPr="00B73AC8" w:rsidTr="007E7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794A2D" w:rsidRPr="00F51DFF" w:rsidRDefault="00794A2D" w:rsidP="007E7017">
            <w:pPr>
              <w:spacing w:before="70" w:after="70" w:line="240" w:lineRule="auto"/>
              <w:ind w:left="57" w:right="57"/>
              <w:rPr>
                <w:i/>
                <w:szCs w:val="20"/>
              </w:rPr>
            </w:pPr>
            <w:r w:rsidRPr="00F51DFF">
              <w:rPr>
                <w:i/>
                <w:szCs w:val="20"/>
              </w:rPr>
              <w:t>Direct financial support to families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-0.3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-0.1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-0.1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-0.1 </w:t>
            </w:r>
          </w:p>
        </w:tc>
        <w:tc>
          <w:tcPr>
            <w:tcW w:w="681" w:type="pct"/>
          </w:tcPr>
          <w:p w:rsidR="00794A2D" w:rsidRPr="00794A2D" w:rsidRDefault="00794A2D" w:rsidP="007E701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794A2D">
              <w:rPr>
                <w:b/>
                <w:i/>
                <w:iCs/>
                <w:color w:val="000000"/>
              </w:rPr>
              <w:t xml:space="preserve">-0.5 </w:t>
            </w:r>
          </w:p>
        </w:tc>
      </w:tr>
      <w:tr w:rsidR="00794A2D" w:rsidRPr="00B73AC8" w:rsidTr="007E7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794A2D" w:rsidRPr="00F51DFF" w:rsidRDefault="00794A2D" w:rsidP="007E7017">
            <w:pPr>
              <w:spacing w:before="70" w:after="70" w:line="240" w:lineRule="auto"/>
              <w:ind w:left="57" w:right="57"/>
              <w:rPr>
                <w:i/>
                <w:szCs w:val="20"/>
              </w:rPr>
            </w:pPr>
            <w:r w:rsidRPr="00F51DFF">
              <w:rPr>
                <w:i/>
                <w:szCs w:val="20"/>
              </w:rPr>
              <w:t>Local sport libraries grants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-0.1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-0.1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-0.1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-0.1 </w:t>
            </w:r>
          </w:p>
        </w:tc>
        <w:tc>
          <w:tcPr>
            <w:tcW w:w="681" w:type="pct"/>
          </w:tcPr>
          <w:p w:rsidR="00794A2D" w:rsidRP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794A2D">
              <w:rPr>
                <w:b/>
                <w:i/>
                <w:iCs/>
                <w:color w:val="000000"/>
              </w:rPr>
              <w:t xml:space="preserve">-0.5 </w:t>
            </w:r>
          </w:p>
        </w:tc>
      </w:tr>
      <w:tr w:rsidR="00794A2D" w:rsidRPr="00B73AC8" w:rsidTr="007E7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794A2D" w:rsidRPr="00F51DFF" w:rsidRDefault="00794A2D" w:rsidP="007E7017">
            <w:pPr>
              <w:spacing w:before="70" w:after="70" w:line="240" w:lineRule="auto"/>
              <w:ind w:left="57" w:right="57"/>
              <w:rPr>
                <w:i/>
                <w:szCs w:val="20"/>
              </w:rPr>
            </w:pPr>
            <w:r w:rsidRPr="00F51DFF">
              <w:rPr>
                <w:i/>
                <w:szCs w:val="20"/>
              </w:rPr>
              <w:t>Volunteers assistance</w:t>
            </w:r>
          </w:p>
        </w:tc>
        <w:tc>
          <w:tcPr>
            <w:tcW w:w="682" w:type="pct"/>
          </w:tcPr>
          <w:p w:rsidR="00794A2D" w:rsidRPr="00CF73C4" w:rsidRDefault="00794A2D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Cs w:val="20"/>
              </w:rPr>
            </w:pPr>
            <w:r w:rsidRPr="00CF73C4">
              <w:rPr>
                <w:rFonts w:ascii="Calibri" w:hAnsi="Calibri"/>
                <w:i/>
                <w:szCs w:val="20"/>
              </w:rPr>
              <w:t>..</w:t>
            </w:r>
          </w:p>
        </w:tc>
        <w:tc>
          <w:tcPr>
            <w:tcW w:w="682" w:type="pct"/>
          </w:tcPr>
          <w:p w:rsidR="00794A2D" w:rsidRPr="00CF73C4" w:rsidRDefault="00794A2D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Cs w:val="20"/>
              </w:rPr>
            </w:pPr>
            <w:r w:rsidRPr="00CF73C4">
              <w:rPr>
                <w:rFonts w:ascii="Calibri" w:hAnsi="Calibri"/>
                <w:i/>
                <w:szCs w:val="20"/>
              </w:rPr>
              <w:t>..</w:t>
            </w:r>
          </w:p>
        </w:tc>
        <w:tc>
          <w:tcPr>
            <w:tcW w:w="682" w:type="pct"/>
          </w:tcPr>
          <w:p w:rsidR="00794A2D" w:rsidRPr="00CF73C4" w:rsidRDefault="00794A2D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Cs w:val="20"/>
              </w:rPr>
            </w:pPr>
            <w:r w:rsidRPr="00CF73C4">
              <w:rPr>
                <w:rFonts w:ascii="Calibri" w:hAnsi="Calibri"/>
                <w:i/>
                <w:szCs w:val="20"/>
              </w:rPr>
              <w:t>..</w:t>
            </w:r>
          </w:p>
        </w:tc>
        <w:tc>
          <w:tcPr>
            <w:tcW w:w="682" w:type="pct"/>
          </w:tcPr>
          <w:p w:rsidR="00794A2D" w:rsidRPr="00CF73C4" w:rsidRDefault="00794A2D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Cs w:val="20"/>
              </w:rPr>
            </w:pPr>
            <w:r w:rsidRPr="00CF73C4">
              <w:rPr>
                <w:rFonts w:ascii="Calibri" w:hAnsi="Calibri"/>
                <w:i/>
                <w:szCs w:val="20"/>
              </w:rPr>
              <w:t>..</w:t>
            </w:r>
          </w:p>
        </w:tc>
        <w:tc>
          <w:tcPr>
            <w:tcW w:w="681" w:type="pct"/>
          </w:tcPr>
          <w:p w:rsidR="00794A2D" w:rsidRPr="00F51DFF" w:rsidRDefault="00794A2D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szCs w:val="20"/>
              </w:rPr>
            </w:pPr>
            <w:r w:rsidRPr="00F51DFF">
              <w:rPr>
                <w:rFonts w:ascii="Calibri" w:hAnsi="Calibri"/>
                <w:b/>
                <w:i/>
                <w:szCs w:val="20"/>
              </w:rPr>
              <w:t>..</w:t>
            </w:r>
          </w:p>
        </w:tc>
      </w:tr>
      <w:tr w:rsidR="00794A2D" w:rsidRPr="00F51DFF" w:rsidTr="007E7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794A2D" w:rsidRPr="00F51DFF" w:rsidRDefault="00794A2D" w:rsidP="007E7017">
            <w:pPr>
              <w:spacing w:before="70" w:after="70" w:line="240" w:lineRule="auto"/>
              <w:ind w:left="57" w:right="57"/>
              <w:rPr>
                <w:szCs w:val="20"/>
              </w:rPr>
            </w:pPr>
            <w:r w:rsidRPr="00F51DFF">
              <w:rPr>
                <w:szCs w:val="20"/>
              </w:rPr>
              <w:t>Total Departmental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-0.4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-0.2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-0.2 </w:t>
            </w:r>
          </w:p>
        </w:tc>
        <w:tc>
          <w:tcPr>
            <w:tcW w:w="682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-0.2 </w:t>
            </w:r>
          </w:p>
        </w:tc>
        <w:tc>
          <w:tcPr>
            <w:tcW w:w="681" w:type="pct"/>
          </w:tcPr>
          <w:p w:rsidR="00794A2D" w:rsidRDefault="00794A2D" w:rsidP="007E7017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-1.0 </w:t>
            </w:r>
          </w:p>
        </w:tc>
      </w:tr>
      <w:tr w:rsidR="00794A2D" w:rsidRPr="00B73AC8" w:rsidTr="007E7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shd w:val="clear" w:color="auto" w:fill="D7DDE9"/>
          </w:tcPr>
          <w:p w:rsidR="00794A2D" w:rsidRPr="00D94017" w:rsidRDefault="00794A2D" w:rsidP="007E7017">
            <w:pPr>
              <w:spacing w:before="70" w:after="70" w:line="240" w:lineRule="auto"/>
              <w:ind w:left="57" w:right="57"/>
              <w:rPr>
                <w:b/>
                <w:szCs w:val="20"/>
              </w:rPr>
            </w:pPr>
            <w:r w:rsidRPr="00D94017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shd w:val="clear" w:color="auto" w:fill="D7DDE9"/>
          </w:tcPr>
          <w:p w:rsidR="00794A2D" w:rsidRPr="00D24FA9" w:rsidRDefault="00794A2D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D24FA9">
              <w:rPr>
                <w:rFonts w:ascii="Calibri" w:hAnsi="Calibri"/>
                <w:b/>
                <w:szCs w:val="20"/>
              </w:rPr>
              <w:t>-5.0</w:t>
            </w:r>
          </w:p>
        </w:tc>
        <w:tc>
          <w:tcPr>
            <w:tcW w:w="682" w:type="pct"/>
            <w:shd w:val="clear" w:color="auto" w:fill="D7DDE9"/>
          </w:tcPr>
          <w:p w:rsidR="00794A2D" w:rsidRPr="00D24FA9" w:rsidRDefault="00794A2D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D24FA9">
              <w:rPr>
                <w:rFonts w:ascii="Calibri" w:hAnsi="Calibri"/>
                <w:b/>
                <w:szCs w:val="20"/>
              </w:rPr>
              <w:t>-5.0</w:t>
            </w:r>
          </w:p>
        </w:tc>
        <w:tc>
          <w:tcPr>
            <w:tcW w:w="682" w:type="pct"/>
            <w:shd w:val="clear" w:color="auto" w:fill="D7DDE9"/>
          </w:tcPr>
          <w:p w:rsidR="00794A2D" w:rsidRPr="00D24FA9" w:rsidRDefault="00794A2D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D24FA9">
              <w:rPr>
                <w:rFonts w:ascii="Calibri" w:hAnsi="Calibri"/>
                <w:b/>
                <w:szCs w:val="20"/>
              </w:rPr>
              <w:t>-5.0</w:t>
            </w:r>
          </w:p>
        </w:tc>
        <w:tc>
          <w:tcPr>
            <w:tcW w:w="682" w:type="pct"/>
            <w:shd w:val="clear" w:color="auto" w:fill="D7DDE9"/>
          </w:tcPr>
          <w:p w:rsidR="00794A2D" w:rsidRPr="00D24FA9" w:rsidRDefault="00794A2D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D24FA9">
              <w:rPr>
                <w:rFonts w:ascii="Calibri" w:hAnsi="Calibri"/>
                <w:b/>
                <w:szCs w:val="20"/>
              </w:rPr>
              <w:t>-5.0</w:t>
            </w:r>
          </w:p>
        </w:tc>
        <w:tc>
          <w:tcPr>
            <w:tcW w:w="681" w:type="pct"/>
            <w:shd w:val="clear" w:color="auto" w:fill="D7DDE9"/>
          </w:tcPr>
          <w:p w:rsidR="00794A2D" w:rsidRPr="00F51DFF" w:rsidRDefault="00794A2D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51DFF">
              <w:rPr>
                <w:rFonts w:ascii="Calibri" w:hAnsi="Calibri"/>
                <w:b/>
                <w:szCs w:val="20"/>
              </w:rPr>
              <w:t>-20.0</w:t>
            </w:r>
          </w:p>
        </w:tc>
      </w:tr>
    </w:tbl>
    <w:p w:rsidR="00FB1952" w:rsidRPr="00B77A9E" w:rsidRDefault="00FB1952" w:rsidP="00FB1952">
      <w:pPr>
        <w:pStyle w:val="Footnotes"/>
        <w:numPr>
          <w:ilvl w:val="0"/>
          <w:numId w:val="20"/>
        </w:numPr>
        <w:ind w:left="284" w:hanging="284"/>
      </w:pPr>
      <w:r w:rsidRPr="00DB3B7E">
        <w:t xml:space="preserve">A </w:t>
      </w:r>
      <w:r w:rsidR="008A69EC" w:rsidRPr="00DB3B7E">
        <w:t xml:space="preserve">positive number indicates an increase in revenue or decrease in expenses or net capital investment in accrual and cash terms. </w:t>
      </w:r>
      <w:r w:rsidR="008A69EC">
        <w:t xml:space="preserve"> </w:t>
      </w:r>
      <w:r w:rsidR="008A69EC" w:rsidRPr="00DB3B7E">
        <w:t>A negative number indicates a decrease in revenue or an increase in expenses or net capital investment in accrual and cash terms</w:t>
      </w:r>
      <w:r w:rsidRPr="00B77A9E">
        <w:t>.</w:t>
      </w:r>
    </w:p>
    <w:p w:rsidR="00FB1952" w:rsidRDefault="00FB1952" w:rsidP="00FB1952">
      <w:pPr>
        <w:pStyle w:val="Footnotes"/>
      </w:pPr>
      <w:r w:rsidRPr="00B77A9E">
        <w:t>Figures ma</w:t>
      </w:r>
      <w:r>
        <w:t>y not sum to totals due to rounding.</w:t>
      </w:r>
    </w:p>
    <w:p w:rsidR="0055556C" w:rsidRDefault="0055556C" w:rsidP="005561E8">
      <w:pPr>
        <w:pStyle w:val="Footnotes"/>
        <w:numPr>
          <w:ilvl w:val="0"/>
          <w:numId w:val="0"/>
        </w:numPr>
        <w:ind w:left="284" w:hanging="284"/>
      </w:pPr>
      <w:r>
        <w:t>..</w:t>
      </w:r>
      <w:r>
        <w:tab/>
        <w:t>Not zero but rounded to zero.</w:t>
      </w:r>
    </w:p>
    <w:p w:rsidR="00FB1952" w:rsidRPr="00FC6579" w:rsidRDefault="00FB1952" w:rsidP="00FB1952">
      <w:pPr>
        <w:pStyle w:val="Captionheading"/>
      </w:pPr>
      <w:r w:rsidRPr="00FC6579">
        <w:lastRenderedPageBreak/>
        <w:t xml:space="preserve">Table </w:t>
      </w:r>
      <w:r>
        <w:t>A3</w:t>
      </w:r>
      <w:r w:rsidRPr="00FC6579">
        <w:t xml:space="preserve">: </w:t>
      </w:r>
      <w:r>
        <w:t xml:space="preserve">Component 2: </w:t>
      </w:r>
      <w:r w:rsidRPr="00FB1952">
        <w:t>Reclink National Program</w:t>
      </w:r>
      <w:r>
        <w:t>—F</w:t>
      </w:r>
      <w:r w:rsidRPr="00DE5D03">
        <w:t>inancial implications</w:t>
      </w:r>
      <w:r>
        <w:rPr>
          <w:vertAlign w:val="superscript"/>
        </w:rPr>
        <w:t>(a)(b)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5561E8" w:rsidRPr="00B73AC8" w:rsidTr="007E7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vAlign w:val="center"/>
          </w:tcPr>
          <w:p w:rsidR="005561E8" w:rsidRPr="00B73AC8" w:rsidRDefault="005561E8" w:rsidP="007E7017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vAlign w:val="center"/>
          </w:tcPr>
          <w:p w:rsidR="005561E8" w:rsidRPr="007E7017" w:rsidRDefault="005561E8" w:rsidP="007E7017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7E7017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  <w:vAlign w:val="center"/>
          </w:tcPr>
          <w:p w:rsidR="005561E8" w:rsidRPr="007E7017" w:rsidRDefault="005561E8" w:rsidP="007E7017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7E7017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  <w:vAlign w:val="center"/>
          </w:tcPr>
          <w:p w:rsidR="005561E8" w:rsidRPr="007E7017" w:rsidRDefault="005561E8" w:rsidP="007E7017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7E7017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  <w:vAlign w:val="center"/>
          </w:tcPr>
          <w:p w:rsidR="005561E8" w:rsidRPr="007E7017" w:rsidRDefault="005561E8" w:rsidP="007E7017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7E7017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  <w:vAlign w:val="center"/>
          </w:tcPr>
          <w:p w:rsidR="005561E8" w:rsidRPr="00F97DFF" w:rsidRDefault="005561E8" w:rsidP="007E7017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FB1952" w:rsidRPr="00B73AC8" w:rsidTr="007E7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D7DDE9"/>
          </w:tcPr>
          <w:p w:rsidR="00FB1952" w:rsidRDefault="00FB1952" w:rsidP="007E7017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>
              <w:rPr>
                <w:b/>
              </w:rPr>
              <w:t>Impact on fiscal and underlying cash balances</w:t>
            </w:r>
          </w:p>
        </w:tc>
      </w:tr>
      <w:tr w:rsidR="00FB1952" w:rsidRPr="00B73AC8" w:rsidTr="007E7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E9ECF3"/>
          </w:tcPr>
          <w:p w:rsidR="00FB1952" w:rsidRPr="00FB1952" w:rsidRDefault="00FB1952" w:rsidP="007E7017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FB1952">
              <w:rPr>
                <w:b/>
                <w:szCs w:val="20"/>
              </w:rPr>
              <w:t>Administered</w:t>
            </w:r>
          </w:p>
        </w:tc>
      </w:tr>
      <w:tr w:rsidR="00FB1952" w:rsidRPr="00B73AC8" w:rsidTr="007E7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FB1952" w:rsidRPr="00D94017" w:rsidRDefault="00732E2C" w:rsidP="007E7017">
            <w:pPr>
              <w:spacing w:before="70" w:after="70" w:line="240" w:lineRule="auto"/>
              <w:ind w:left="57" w:right="57"/>
              <w:rPr>
                <w:szCs w:val="20"/>
              </w:rPr>
            </w:pPr>
            <w:r>
              <w:rPr>
                <w:szCs w:val="20"/>
              </w:rPr>
              <w:t>Reclink</w:t>
            </w:r>
            <w:r w:rsidR="005561E8">
              <w:rPr>
                <w:szCs w:val="20"/>
              </w:rPr>
              <w:t xml:space="preserve"> National Program</w:t>
            </w:r>
          </w:p>
        </w:tc>
        <w:tc>
          <w:tcPr>
            <w:tcW w:w="682" w:type="pct"/>
          </w:tcPr>
          <w:p w:rsidR="00FB1952" w:rsidRPr="00B73AC8" w:rsidRDefault="00FB1952" w:rsidP="007E7017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732E2C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.0</w:t>
            </w:r>
          </w:p>
        </w:tc>
        <w:tc>
          <w:tcPr>
            <w:tcW w:w="682" w:type="pct"/>
          </w:tcPr>
          <w:p w:rsidR="00FB1952" w:rsidRPr="00B73AC8" w:rsidRDefault="00FB1952" w:rsidP="007E7017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732E2C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.0</w:t>
            </w:r>
          </w:p>
        </w:tc>
        <w:tc>
          <w:tcPr>
            <w:tcW w:w="682" w:type="pct"/>
          </w:tcPr>
          <w:p w:rsidR="00FB1952" w:rsidRPr="00B73AC8" w:rsidRDefault="00FB1952" w:rsidP="007E7017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732E2C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.0</w:t>
            </w:r>
          </w:p>
        </w:tc>
        <w:tc>
          <w:tcPr>
            <w:tcW w:w="682" w:type="pct"/>
          </w:tcPr>
          <w:p w:rsidR="00FB1952" w:rsidRPr="00B73AC8" w:rsidRDefault="00FB1952" w:rsidP="007E7017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  <w:r w:rsidR="00732E2C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.0</w:t>
            </w:r>
          </w:p>
        </w:tc>
        <w:tc>
          <w:tcPr>
            <w:tcW w:w="681" w:type="pct"/>
          </w:tcPr>
          <w:p w:rsidR="00FB1952" w:rsidRPr="00F97DFF" w:rsidRDefault="00FB1952" w:rsidP="007E7017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-4.0</w:t>
            </w:r>
          </w:p>
        </w:tc>
      </w:tr>
      <w:tr w:rsidR="00732E2C" w:rsidRPr="00B73AC8" w:rsidTr="007E7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shd w:val="clear" w:color="auto" w:fill="D7DDE9"/>
          </w:tcPr>
          <w:p w:rsidR="00732E2C" w:rsidRPr="00D94017" w:rsidRDefault="00732E2C" w:rsidP="007E7017">
            <w:pPr>
              <w:spacing w:before="70" w:after="70" w:line="240" w:lineRule="auto"/>
              <w:ind w:left="57" w:right="57"/>
              <w:rPr>
                <w:b/>
                <w:szCs w:val="20"/>
              </w:rPr>
            </w:pPr>
            <w:r w:rsidRPr="00D94017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shd w:val="clear" w:color="auto" w:fill="D7DDE9"/>
          </w:tcPr>
          <w:p w:rsidR="00732E2C" w:rsidRPr="005B1F81" w:rsidRDefault="00732E2C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5B1F81">
              <w:rPr>
                <w:rFonts w:ascii="Calibri" w:hAnsi="Calibri"/>
                <w:b/>
                <w:szCs w:val="20"/>
              </w:rPr>
              <w:t>-1.0</w:t>
            </w:r>
          </w:p>
        </w:tc>
        <w:tc>
          <w:tcPr>
            <w:tcW w:w="682" w:type="pct"/>
            <w:shd w:val="clear" w:color="auto" w:fill="D7DDE9"/>
          </w:tcPr>
          <w:p w:rsidR="00732E2C" w:rsidRPr="005B1F81" w:rsidRDefault="00732E2C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5B1F81">
              <w:rPr>
                <w:rFonts w:ascii="Calibri" w:hAnsi="Calibri"/>
                <w:b/>
                <w:szCs w:val="20"/>
              </w:rPr>
              <w:t>-1.0</w:t>
            </w:r>
          </w:p>
        </w:tc>
        <w:tc>
          <w:tcPr>
            <w:tcW w:w="682" w:type="pct"/>
            <w:shd w:val="clear" w:color="auto" w:fill="D7DDE9"/>
          </w:tcPr>
          <w:p w:rsidR="00732E2C" w:rsidRPr="005B1F81" w:rsidRDefault="00732E2C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5B1F81">
              <w:rPr>
                <w:rFonts w:ascii="Calibri" w:hAnsi="Calibri"/>
                <w:b/>
                <w:szCs w:val="20"/>
              </w:rPr>
              <w:t>-1.0</w:t>
            </w:r>
          </w:p>
        </w:tc>
        <w:tc>
          <w:tcPr>
            <w:tcW w:w="682" w:type="pct"/>
            <w:shd w:val="clear" w:color="auto" w:fill="D7DDE9"/>
          </w:tcPr>
          <w:p w:rsidR="00732E2C" w:rsidRPr="005B1F81" w:rsidRDefault="00732E2C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5B1F81">
              <w:rPr>
                <w:rFonts w:ascii="Calibri" w:hAnsi="Calibri"/>
                <w:b/>
                <w:szCs w:val="20"/>
              </w:rPr>
              <w:t>-1.0</w:t>
            </w:r>
          </w:p>
        </w:tc>
        <w:tc>
          <w:tcPr>
            <w:tcW w:w="681" w:type="pct"/>
            <w:shd w:val="clear" w:color="auto" w:fill="D7DDE9"/>
          </w:tcPr>
          <w:p w:rsidR="00732E2C" w:rsidRPr="00F97DFF" w:rsidRDefault="00732E2C" w:rsidP="007E7017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-4.0</w:t>
            </w:r>
          </w:p>
        </w:tc>
      </w:tr>
    </w:tbl>
    <w:p w:rsidR="00FB1952" w:rsidRPr="00B77A9E" w:rsidRDefault="00FB1952" w:rsidP="00FB1952">
      <w:pPr>
        <w:pStyle w:val="Footnotes"/>
        <w:numPr>
          <w:ilvl w:val="0"/>
          <w:numId w:val="21"/>
        </w:numPr>
        <w:ind w:left="284" w:hanging="284"/>
      </w:pPr>
      <w:r w:rsidRPr="00DB3B7E">
        <w:t xml:space="preserve">A </w:t>
      </w:r>
      <w:r w:rsidR="008A69EC" w:rsidRPr="00DB3B7E">
        <w:t xml:space="preserve">positive number indicates an increase in revenue or decrease in expenses or net capital investment in accrual and cash terms. </w:t>
      </w:r>
      <w:r w:rsidR="008A69EC">
        <w:t xml:space="preserve"> </w:t>
      </w:r>
      <w:r w:rsidR="008A69EC" w:rsidRPr="00DB3B7E">
        <w:t>A negative number indicates a decrease in revenue or an increase in expenses or net capital investment in accrual and cash terms</w:t>
      </w:r>
      <w:r w:rsidRPr="00B77A9E">
        <w:t>.</w:t>
      </w:r>
    </w:p>
    <w:p w:rsidR="008E7F3F" w:rsidRDefault="00FB1952" w:rsidP="004100C1">
      <w:pPr>
        <w:pStyle w:val="Footnotes"/>
      </w:pPr>
      <w:r w:rsidRPr="00B77A9E">
        <w:t>Figures ma</w:t>
      </w:r>
      <w:r>
        <w:t>y not sum to totals due to rounding.</w:t>
      </w:r>
    </w:p>
    <w:sectPr w:rsidR="008E7F3F" w:rsidSect="00335934">
      <w:headerReference w:type="first" r:id="rId16"/>
      <w:footerReference w:type="first" r:id="rId17"/>
      <w:pgSz w:w="11906" w:h="16838"/>
      <w:pgMar w:top="1361" w:right="1797" w:bottom="147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650" w:rsidRDefault="00467650" w:rsidP="008F588A">
      <w:pPr>
        <w:spacing w:line="240" w:lineRule="auto"/>
      </w:pPr>
      <w:r>
        <w:separator/>
      </w:r>
    </w:p>
    <w:p w:rsidR="00467650" w:rsidRDefault="00467650"/>
  </w:endnote>
  <w:endnote w:type="continuationSeparator" w:id="0">
    <w:p w:rsidR="00467650" w:rsidRDefault="00467650" w:rsidP="008F588A">
      <w:pPr>
        <w:spacing w:line="240" w:lineRule="auto"/>
      </w:pPr>
      <w:r>
        <w:continuationSeparator/>
      </w:r>
    </w:p>
    <w:p w:rsidR="00467650" w:rsidRDefault="00467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Pr="00C24267" w:rsidRDefault="00060F22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C548D8">
      <w:rPr>
        <w:noProof/>
      </w:rPr>
      <w:t>3</w:t>
    </w:r>
    <w:r w:rsidRPr="00C24267">
      <w:fldChar w:fldCharType="end"/>
    </w:r>
    <w:r w:rsidRPr="00C24267">
      <w:t xml:space="preserve"> of </w:t>
    </w:r>
    <w:fldSimple w:instr=" NUMPAGES  \* Arabic  \* MERGEFORMAT ">
      <w:r w:rsidR="00C548D8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Pr="00C24267" w:rsidRDefault="00060F22" w:rsidP="00C24267">
    <w:pPr>
      <w:pStyle w:val="Letterfooter"/>
    </w:pPr>
    <w:r w:rsidRPr="00C24267">
      <w:t>Parliamentary Budget Office   PO Box 6010   Parliament House   Canberra ACT 2600</w:t>
    </w:r>
  </w:p>
  <w:p w:rsidR="00060F22" w:rsidRPr="00C24267" w:rsidRDefault="00060F22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32" w:rsidRPr="00C24267" w:rsidRDefault="00CE7E32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C548D8">
      <w:rPr>
        <w:noProof/>
      </w:rPr>
      <w:t>2</w:t>
    </w:r>
    <w:r w:rsidRPr="00C24267">
      <w:fldChar w:fldCharType="end"/>
    </w:r>
    <w:r w:rsidRPr="00C24267">
      <w:t xml:space="preserve"> of </w:t>
    </w:r>
    <w:fldSimple w:instr=" NUMPAGES  \* Arabic  \* MERGEFORMAT ">
      <w:r w:rsidR="00C548D8">
        <w:rPr>
          <w:noProof/>
        </w:rPr>
        <w:t>5</w:t>
      </w:r>
    </w:fldSimple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75" w:rsidRPr="00C24267" w:rsidRDefault="005B7B75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C548D8">
      <w:rPr>
        <w:noProof/>
      </w:rPr>
      <w:t>4</w:t>
    </w:r>
    <w:r w:rsidRPr="00C24267">
      <w:fldChar w:fldCharType="end"/>
    </w:r>
    <w:r w:rsidRPr="00C24267">
      <w:t xml:space="preserve"> of </w:t>
    </w:r>
    <w:fldSimple w:instr=" NUMPAGES  \* Arabic  \* MERGEFORMAT ">
      <w:r w:rsidR="00C548D8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650" w:rsidRDefault="00467650" w:rsidP="008F588A">
      <w:pPr>
        <w:spacing w:line="240" w:lineRule="auto"/>
      </w:pPr>
      <w:r>
        <w:separator/>
      </w:r>
    </w:p>
    <w:p w:rsidR="00467650" w:rsidRDefault="00467650"/>
  </w:footnote>
  <w:footnote w:type="continuationSeparator" w:id="0">
    <w:p w:rsidR="00467650" w:rsidRDefault="00467650" w:rsidP="008F588A">
      <w:pPr>
        <w:spacing w:line="240" w:lineRule="auto"/>
      </w:pPr>
      <w:r>
        <w:continuationSeparator/>
      </w:r>
    </w:p>
    <w:p w:rsidR="00467650" w:rsidRDefault="004676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Default="00060F22" w:rsidP="00CB40E1">
    <w:pPr>
      <w:pStyle w:val="Header"/>
    </w:pPr>
    <w:r>
      <w:rPr>
        <w:noProof/>
        <w:lang w:eastAsia="en-AU"/>
      </w:rPr>
      <w:drawing>
        <wp:inline distT="0" distB="0" distL="0" distR="0" wp14:anchorId="4A95A56E" wp14:editId="69F837E3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0F22" w:rsidRPr="00DA1C8A" w:rsidRDefault="00060F22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32" w:rsidRPr="00C17112" w:rsidRDefault="00CE7E32" w:rsidP="00C17112">
    <w:pPr>
      <w:pStyle w:val="Header"/>
    </w:pPr>
    <w:r>
      <w:rPr>
        <w:noProof/>
        <w:lang w:eastAsia="en-AU"/>
      </w:rPr>
      <w:drawing>
        <wp:inline distT="0" distB="0" distL="0" distR="0" wp14:anchorId="57923B21" wp14:editId="1FF34D69">
          <wp:extent cx="2696845" cy="57213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75" w:rsidRPr="00AF048B" w:rsidRDefault="005B7B75" w:rsidP="00AF0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3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4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28C95C10"/>
    <w:multiLevelType w:val="hybridMultilevel"/>
    <w:tmpl w:val="533C9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9">
    <w:nsid w:val="745C3AB2"/>
    <w:multiLevelType w:val="hybridMultilevel"/>
    <w:tmpl w:val="5EB0E89C"/>
    <w:lvl w:ilvl="0" w:tplc="661CA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6"/>
  </w:num>
  <w:num w:numId="18">
    <w:abstractNumId w:val="9"/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50"/>
    <w:rsid w:val="00002D5D"/>
    <w:rsid w:val="00014AFB"/>
    <w:rsid w:val="00014E0E"/>
    <w:rsid w:val="00015FB2"/>
    <w:rsid w:val="00024933"/>
    <w:rsid w:val="00040DCE"/>
    <w:rsid w:val="000570AE"/>
    <w:rsid w:val="00060F22"/>
    <w:rsid w:val="00096F3A"/>
    <w:rsid w:val="000C1A75"/>
    <w:rsid w:val="000C7506"/>
    <w:rsid w:val="001278D0"/>
    <w:rsid w:val="0014239B"/>
    <w:rsid w:val="001464CE"/>
    <w:rsid w:val="001A02D1"/>
    <w:rsid w:val="001B1114"/>
    <w:rsid w:val="001B1705"/>
    <w:rsid w:val="001F7D6A"/>
    <w:rsid w:val="00220BE5"/>
    <w:rsid w:val="002422A3"/>
    <w:rsid w:val="00244642"/>
    <w:rsid w:val="002921FE"/>
    <w:rsid w:val="00315E34"/>
    <w:rsid w:val="00326DE2"/>
    <w:rsid w:val="00335934"/>
    <w:rsid w:val="00356291"/>
    <w:rsid w:val="00361443"/>
    <w:rsid w:val="0036685D"/>
    <w:rsid w:val="00372AEB"/>
    <w:rsid w:val="003A4060"/>
    <w:rsid w:val="003B474B"/>
    <w:rsid w:val="003D7744"/>
    <w:rsid w:val="003E4F5F"/>
    <w:rsid w:val="003F73CA"/>
    <w:rsid w:val="004100C1"/>
    <w:rsid w:val="00410A2C"/>
    <w:rsid w:val="00440E32"/>
    <w:rsid w:val="00461597"/>
    <w:rsid w:val="00462185"/>
    <w:rsid w:val="00467650"/>
    <w:rsid w:val="00485374"/>
    <w:rsid w:val="004B067B"/>
    <w:rsid w:val="004C283B"/>
    <w:rsid w:val="004D13ED"/>
    <w:rsid w:val="004D5525"/>
    <w:rsid w:val="005035DA"/>
    <w:rsid w:val="00507897"/>
    <w:rsid w:val="00515A85"/>
    <w:rsid w:val="00540FBA"/>
    <w:rsid w:val="00545F24"/>
    <w:rsid w:val="0055556C"/>
    <w:rsid w:val="0055581F"/>
    <w:rsid w:val="005561E8"/>
    <w:rsid w:val="0056229A"/>
    <w:rsid w:val="00570154"/>
    <w:rsid w:val="00570B5A"/>
    <w:rsid w:val="00587422"/>
    <w:rsid w:val="005B1A4A"/>
    <w:rsid w:val="005B1F81"/>
    <w:rsid w:val="005B7B75"/>
    <w:rsid w:val="005C6967"/>
    <w:rsid w:val="005E3562"/>
    <w:rsid w:val="005F7DE0"/>
    <w:rsid w:val="00640346"/>
    <w:rsid w:val="00660385"/>
    <w:rsid w:val="00662E65"/>
    <w:rsid w:val="0066665A"/>
    <w:rsid w:val="00692DD8"/>
    <w:rsid w:val="006E2A80"/>
    <w:rsid w:val="006E4C70"/>
    <w:rsid w:val="006F0CE9"/>
    <w:rsid w:val="00704EB6"/>
    <w:rsid w:val="007202A8"/>
    <w:rsid w:val="007229A9"/>
    <w:rsid w:val="00732E2C"/>
    <w:rsid w:val="00772A8D"/>
    <w:rsid w:val="00794A2D"/>
    <w:rsid w:val="007B029A"/>
    <w:rsid w:val="007C2237"/>
    <w:rsid w:val="007D33AA"/>
    <w:rsid w:val="007D3577"/>
    <w:rsid w:val="007D64CD"/>
    <w:rsid w:val="007E7017"/>
    <w:rsid w:val="007F77EF"/>
    <w:rsid w:val="007F7BCF"/>
    <w:rsid w:val="008030EC"/>
    <w:rsid w:val="00811D6D"/>
    <w:rsid w:val="00817E8E"/>
    <w:rsid w:val="00835A9C"/>
    <w:rsid w:val="00841C3A"/>
    <w:rsid w:val="00843473"/>
    <w:rsid w:val="00844776"/>
    <w:rsid w:val="008850D9"/>
    <w:rsid w:val="008908AF"/>
    <w:rsid w:val="008A4578"/>
    <w:rsid w:val="008A69EC"/>
    <w:rsid w:val="008C03C3"/>
    <w:rsid w:val="008C371E"/>
    <w:rsid w:val="008C46B8"/>
    <w:rsid w:val="008D3909"/>
    <w:rsid w:val="008D6ECA"/>
    <w:rsid w:val="008E7F3F"/>
    <w:rsid w:val="008F16AC"/>
    <w:rsid w:val="008F588A"/>
    <w:rsid w:val="00902D2D"/>
    <w:rsid w:val="009045B2"/>
    <w:rsid w:val="009074EA"/>
    <w:rsid w:val="00915804"/>
    <w:rsid w:val="00957285"/>
    <w:rsid w:val="009573AF"/>
    <w:rsid w:val="00977D7B"/>
    <w:rsid w:val="00980E66"/>
    <w:rsid w:val="009963ED"/>
    <w:rsid w:val="009D4063"/>
    <w:rsid w:val="00A333CD"/>
    <w:rsid w:val="00A41BD3"/>
    <w:rsid w:val="00A449C2"/>
    <w:rsid w:val="00A65EA3"/>
    <w:rsid w:val="00A7322F"/>
    <w:rsid w:val="00A95022"/>
    <w:rsid w:val="00A96553"/>
    <w:rsid w:val="00AA3D6F"/>
    <w:rsid w:val="00AB55AE"/>
    <w:rsid w:val="00AB6F7D"/>
    <w:rsid w:val="00AC7878"/>
    <w:rsid w:val="00AD493E"/>
    <w:rsid w:val="00AD5692"/>
    <w:rsid w:val="00AE30B5"/>
    <w:rsid w:val="00AE5755"/>
    <w:rsid w:val="00AF048B"/>
    <w:rsid w:val="00B06055"/>
    <w:rsid w:val="00B44D8A"/>
    <w:rsid w:val="00B73AC8"/>
    <w:rsid w:val="00B747A7"/>
    <w:rsid w:val="00B96506"/>
    <w:rsid w:val="00BA2BBF"/>
    <w:rsid w:val="00BC559C"/>
    <w:rsid w:val="00C17112"/>
    <w:rsid w:val="00C24267"/>
    <w:rsid w:val="00C26776"/>
    <w:rsid w:val="00C548D8"/>
    <w:rsid w:val="00C9450E"/>
    <w:rsid w:val="00CA12A0"/>
    <w:rsid w:val="00CA5D42"/>
    <w:rsid w:val="00CB40E1"/>
    <w:rsid w:val="00CD4B37"/>
    <w:rsid w:val="00CE7E32"/>
    <w:rsid w:val="00CF38CD"/>
    <w:rsid w:val="00CF6DB6"/>
    <w:rsid w:val="00CF73C4"/>
    <w:rsid w:val="00CF7D9A"/>
    <w:rsid w:val="00D134CA"/>
    <w:rsid w:val="00D24FA9"/>
    <w:rsid w:val="00D52D5F"/>
    <w:rsid w:val="00D747D2"/>
    <w:rsid w:val="00D805AE"/>
    <w:rsid w:val="00D949A3"/>
    <w:rsid w:val="00DA1506"/>
    <w:rsid w:val="00DA1C8A"/>
    <w:rsid w:val="00DA3B55"/>
    <w:rsid w:val="00DB15FD"/>
    <w:rsid w:val="00DB44F0"/>
    <w:rsid w:val="00DD109E"/>
    <w:rsid w:val="00DD24B1"/>
    <w:rsid w:val="00DD3E18"/>
    <w:rsid w:val="00E12103"/>
    <w:rsid w:val="00E15AAE"/>
    <w:rsid w:val="00E21184"/>
    <w:rsid w:val="00E40B8B"/>
    <w:rsid w:val="00E5742E"/>
    <w:rsid w:val="00E90E0F"/>
    <w:rsid w:val="00EA265F"/>
    <w:rsid w:val="00EA5685"/>
    <w:rsid w:val="00ED43FF"/>
    <w:rsid w:val="00EE6600"/>
    <w:rsid w:val="00EF1D6A"/>
    <w:rsid w:val="00EF2E51"/>
    <w:rsid w:val="00F21865"/>
    <w:rsid w:val="00F31E24"/>
    <w:rsid w:val="00F34184"/>
    <w:rsid w:val="00F4057F"/>
    <w:rsid w:val="00F4535C"/>
    <w:rsid w:val="00F51DFF"/>
    <w:rsid w:val="00F52474"/>
    <w:rsid w:val="00F5529D"/>
    <w:rsid w:val="00F5669E"/>
    <w:rsid w:val="00F75D33"/>
    <w:rsid w:val="00F9365E"/>
    <w:rsid w:val="00F954CF"/>
    <w:rsid w:val="00F97DFF"/>
    <w:rsid w:val="00FA3493"/>
    <w:rsid w:val="00FB1952"/>
    <w:rsid w:val="00FB4527"/>
    <w:rsid w:val="00FC6579"/>
    <w:rsid w:val="00FD21AE"/>
    <w:rsid w:val="00FD3FB3"/>
    <w:rsid w:val="00FE1053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E7E3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AF048B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8F16AC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AF048B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8F16AC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8F16AC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8F16AC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E7E3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AF048B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8F16AC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AF048B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8F16AC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8F16AC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8F16AC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reens.org.au/community-spor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F45B5E-A7F2-488E-9980-CB802BFC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163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GRN073 - Community Sports - 30 June 2016</vt:lpstr>
    </vt:vector>
  </TitlesOfParts>
  <Company>Parliament of Australia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GRN073 - Community Sports - 30 June 2016</dc:title>
  <dc:creator>Parliamentary Budget Office</dc:creator>
  <cp:lastModifiedBy>Milligan, Louise (PBO)</cp:lastModifiedBy>
  <cp:revision>50</cp:revision>
  <cp:lastPrinted>2016-06-30T11:25:00Z</cp:lastPrinted>
  <dcterms:created xsi:type="dcterms:W3CDTF">2016-06-30T06:10:00Z</dcterms:created>
  <dcterms:modified xsi:type="dcterms:W3CDTF">2016-06-30T11:50:00Z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