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DCE" w:rsidRPr="00002D5D" w:rsidRDefault="00000D93" w:rsidP="00000D93">
      <w:pPr>
        <w:spacing w:before="1560"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Senator Richard Di Natale</w:t>
      </w:r>
    </w:p>
    <w:p w:rsidR="00040DCE" w:rsidRPr="00002D5D" w:rsidRDefault="00000D93" w:rsidP="00C17112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Leader of the Australian Greens</w:t>
      </w:r>
    </w:p>
    <w:p w:rsidR="00040DCE" w:rsidRPr="00002D5D" w:rsidRDefault="005C6967" w:rsidP="00C17112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Parliament House</w:t>
      </w:r>
    </w:p>
    <w:p w:rsidR="00040DCE" w:rsidRPr="00002D5D" w:rsidRDefault="005C6967" w:rsidP="00C17112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CANBERRA  ACT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2600</w:t>
      </w:r>
    </w:p>
    <w:p w:rsidR="00040DCE" w:rsidRPr="00002D5D" w:rsidRDefault="00040DCE" w:rsidP="00040DCE">
      <w:pPr>
        <w:spacing w:before="480" w:line="240" w:lineRule="auto"/>
        <w:rPr>
          <w:rFonts w:ascii="Times New Roman" w:hAnsi="Times New Roman" w:cs="Times New Roman"/>
          <w:sz w:val="24"/>
          <w:szCs w:val="24"/>
        </w:rPr>
      </w:pPr>
      <w:r w:rsidRPr="00002D5D">
        <w:rPr>
          <w:rFonts w:ascii="Times New Roman" w:hAnsi="Times New Roman" w:cs="Times New Roman"/>
          <w:sz w:val="24"/>
          <w:szCs w:val="24"/>
        </w:rPr>
        <w:t xml:space="preserve">Dear </w:t>
      </w:r>
      <w:r w:rsidR="00000D93">
        <w:rPr>
          <w:rFonts w:ascii="Times New Roman" w:hAnsi="Times New Roman" w:cs="Times New Roman"/>
          <w:sz w:val="24"/>
          <w:szCs w:val="24"/>
        </w:rPr>
        <w:t>Senator Di Natale</w:t>
      </w:r>
    </w:p>
    <w:p w:rsidR="00040DCE" w:rsidRPr="00002D5D" w:rsidRDefault="00040DCE" w:rsidP="00C17112">
      <w:pPr>
        <w:pStyle w:val="Lettertext"/>
      </w:pPr>
      <w:r w:rsidRPr="00002D5D">
        <w:t xml:space="preserve">Please find attached a response to your costing request, </w:t>
      </w:r>
      <w:r w:rsidR="004951DD">
        <w:rPr>
          <w:i/>
        </w:rPr>
        <w:t>A</w:t>
      </w:r>
      <w:r w:rsidR="001A4096">
        <w:rPr>
          <w:i/>
        </w:rPr>
        <w:t xml:space="preserve"> L</w:t>
      </w:r>
      <w:r w:rsidR="004951DD">
        <w:rPr>
          <w:i/>
        </w:rPr>
        <w:t xml:space="preserve">iving </w:t>
      </w:r>
      <w:r w:rsidR="001A4096">
        <w:rPr>
          <w:i/>
        </w:rPr>
        <w:t>Wage for A</w:t>
      </w:r>
      <w:r w:rsidR="004951DD">
        <w:rPr>
          <w:i/>
        </w:rPr>
        <w:t>rtists</w:t>
      </w:r>
      <w:r w:rsidR="004951DD">
        <w:t xml:space="preserve"> (letter of </w:t>
      </w:r>
      <w:r w:rsidR="00F37E93">
        <w:t>30</w:t>
      </w:r>
      <w:r w:rsidR="004951DD">
        <w:t xml:space="preserve"> June </w:t>
      </w:r>
      <w:r w:rsidRPr="00002D5D">
        <w:t>2016).</w:t>
      </w:r>
    </w:p>
    <w:p w:rsidR="00040DCE" w:rsidRPr="00002D5D" w:rsidRDefault="00040DCE" w:rsidP="00C17112">
      <w:pPr>
        <w:pStyle w:val="Lettertext"/>
      </w:pPr>
      <w:r w:rsidRPr="00002D5D">
        <w:t>The response to this request will be released on the PBO website (</w:t>
      </w:r>
      <w:hyperlink r:id="rId9" w:history="1">
        <w:r w:rsidRPr="00002D5D">
          <w:rPr>
            <w:rStyle w:val="Hyperlink"/>
          </w:rPr>
          <w:t>www.</w:t>
        </w:r>
        <w:r w:rsidR="00B44D8A">
          <w:rPr>
            <w:rStyle w:val="Hyperlink"/>
          </w:rPr>
          <w:t>pbo.gov.au</w:t>
        </w:r>
      </w:hyperlink>
      <w:r w:rsidRPr="00002D5D">
        <w:t>).</w:t>
      </w:r>
    </w:p>
    <w:p w:rsidR="00040DCE" w:rsidRPr="00002D5D" w:rsidRDefault="00040DCE" w:rsidP="00C17112">
      <w:pPr>
        <w:pStyle w:val="Lettertext"/>
      </w:pPr>
      <w:r w:rsidRPr="00002D5D">
        <w:t xml:space="preserve">If you have any queries about this costing, please </w:t>
      </w:r>
      <w:r w:rsidR="00F75D33">
        <w:t>contact Colin </w:t>
      </w:r>
      <w:r w:rsidR="003D7744">
        <w:t>Brown on (02) </w:t>
      </w:r>
      <w:r w:rsidRPr="00002D5D">
        <w:t>6277</w:t>
      </w:r>
      <w:r w:rsidR="003D7744">
        <w:t> </w:t>
      </w:r>
      <w:r w:rsidRPr="00002D5D">
        <w:t>9530.</w:t>
      </w:r>
    </w:p>
    <w:p w:rsidR="00040DCE" w:rsidRPr="00002D5D" w:rsidRDefault="00040DCE" w:rsidP="00C17112">
      <w:pPr>
        <w:pStyle w:val="Lettertext"/>
      </w:pPr>
      <w:r w:rsidRPr="00002D5D">
        <w:t>Yours sincerely</w:t>
      </w:r>
    </w:p>
    <w:p w:rsidR="00040DCE" w:rsidRPr="00002D5D" w:rsidRDefault="00DA1C8A" w:rsidP="00C17112">
      <w:pPr>
        <w:spacing w:before="960" w:after="0" w:line="240" w:lineRule="auto"/>
        <w:rPr>
          <w:rFonts w:ascii="Times New Roman" w:hAnsi="Times New Roman" w:cs="Times New Roman"/>
          <w:sz w:val="24"/>
          <w:szCs w:val="24"/>
        </w:rPr>
      </w:pPr>
      <w:r w:rsidRPr="00002D5D">
        <w:rPr>
          <w:rFonts w:ascii="Times New Roman" w:hAnsi="Times New Roman" w:cs="Times New Roman"/>
          <w:sz w:val="24"/>
          <w:szCs w:val="24"/>
        </w:rPr>
        <w:t>Phil Bowen</w:t>
      </w:r>
    </w:p>
    <w:p w:rsidR="00096F3A" w:rsidRPr="00002D5D" w:rsidRDefault="00B20BF8" w:rsidP="00B20BF8">
      <w:p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 </w:t>
      </w:r>
      <w:r w:rsidR="00571CE4">
        <w:rPr>
          <w:rFonts w:ascii="Times New Roman" w:hAnsi="Times New Roman" w:cs="Times New Roman"/>
          <w:sz w:val="24"/>
          <w:szCs w:val="24"/>
        </w:rPr>
        <w:t xml:space="preserve">June </w:t>
      </w:r>
      <w:r w:rsidR="00DA1C8A" w:rsidRPr="00002D5D">
        <w:rPr>
          <w:rFonts w:ascii="Times New Roman" w:hAnsi="Times New Roman" w:cs="Times New Roman"/>
          <w:sz w:val="24"/>
          <w:szCs w:val="24"/>
        </w:rPr>
        <w:t>2016</w:t>
      </w:r>
    </w:p>
    <w:p w:rsidR="00040DCE" w:rsidRPr="00002D5D" w:rsidRDefault="00040DCE" w:rsidP="00040DC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40DCE" w:rsidRPr="00002D5D" w:rsidRDefault="00040DCE" w:rsidP="00040DCE">
      <w:pPr>
        <w:pStyle w:val="BodyText"/>
        <w:rPr>
          <w:rFonts w:ascii="Times New Roman" w:hAnsi="Times New Roman" w:cs="Times New Roman"/>
          <w:sz w:val="24"/>
          <w:szCs w:val="24"/>
        </w:rPr>
        <w:sectPr w:rsidR="00040DCE" w:rsidRPr="00002D5D" w:rsidSect="00002D5D">
          <w:footerReference w:type="default" r:id="rId10"/>
          <w:headerReference w:type="first" r:id="rId11"/>
          <w:footerReference w:type="first" r:id="rId12"/>
          <w:pgSz w:w="11906" w:h="16838"/>
          <w:pgMar w:top="1361" w:right="1797" w:bottom="1474" w:left="1797" w:header="709" w:footer="709" w:gutter="0"/>
          <w:cols w:space="708"/>
          <w:titlePg/>
          <w:docGrid w:linePitch="360"/>
        </w:sectPr>
      </w:pPr>
    </w:p>
    <w:p w:rsidR="008F588A" w:rsidRDefault="008F588A" w:rsidP="00002D5D">
      <w:pPr>
        <w:pStyle w:val="Heading1"/>
      </w:pPr>
      <w:r w:rsidRPr="00002D5D">
        <w:lastRenderedPageBreak/>
        <w:t xml:space="preserve">Policy costing—during the caretaker period for </w:t>
      </w:r>
      <w:r w:rsidR="007D33AA" w:rsidRPr="00002D5D">
        <w:t>the 2016</w:t>
      </w:r>
      <w:r w:rsidR="00002D5D" w:rsidRPr="00002D5D">
        <w:t> </w:t>
      </w:r>
      <w:r w:rsidRPr="00002D5D">
        <w:t>general election</w:t>
      </w:r>
    </w:p>
    <w:tbl>
      <w:tblPr>
        <w:tblStyle w:val="Style1"/>
        <w:tblW w:w="8340" w:type="dxa"/>
        <w:tblLook w:val="04A0" w:firstRow="1" w:lastRow="0" w:firstColumn="1" w:lastColumn="0" w:noHBand="0" w:noVBand="1"/>
      </w:tblPr>
      <w:tblGrid>
        <w:gridCol w:w="3005"/>
        <w:gridCol w:w="5335"/>
      </w:tblGrid>
      <w:tr w:rsidR="004D5525" w:rsidTr="00D52D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05" w:type="dxa"/>
          </w:tcPr>
          <w:p w:rsidR="004D5525" w:rsidRDefault="004D5525" w:rsidP="004D5525">
            <w:pPr>
              <w:pStyle w:val="BodyText"/>
            </w:pPr>
            <w:r>
              <w:t>Name of proposal:</w:t>
            </w:r>
          </w:p>
        </w:tc>
        <w:tc>
          <w:tcPr>
            <w:tcW w:w="5335" w:type="dxa"/>
          </w:tcPr>
          <w:p w:rsidR="004D5525" w:rsidRDefault="001A4096" w:rsidP="001A4096">
            <w:pPr>
              <w:pStyle w:val="BodyText"/>
            </w:pPr>
            <w:r>
              <w:t>A Living W</w:t>
            </w:r>
            <w:r w:rsidR="005F6504">
              <w:t xml:space="preserve">age for </w:t>
            </w:r>
            <w:r>
              <w:t>A</w:t>
            </w:r>
            <w:r w:rsidR="005F6504">
              <w:t>rtists</w:t>
            </w:r>
          </w:p>
        </w:tc>
      </w:tr>
      <w:tr w:rsidR="004D5525" w:rsidTr="00D52D5F">
        <w:tc>
          <w:tcPr>
            <w:tcW w:w="3005" w:type="dxa"/>
          </w:tcPr>
          <w:p w:rsidR="004D5525" w:rsidRDefault="004D5525" w:rsidP="004D5525">
            <w:pPr>
              <w:pStyle w:val="BodyText"/>
            </w:pPr>
            <w:r>
              <w:t>Summary of proposal:</w:t>
            </w:r>
          </w:p>
        </w:tc>
        <w:tc>
          <w:tcPr>
            <w:tcW w:w="5335" w:type="dxa"/>
          </w:tcPr>
          <w:p w:rsidR="005F6504" w:rsidRDefault="005F6504" w:rsidP="008667CB">
            <w:r>
              <w:t>Thi</w:t>
            </w:r>
            <w:r w:rsidR="008667CB">
              <w:t>s proposal has two components</w:t>
            </w:r>
            <w:r w:rsidR="0069746A">
              <w:t>.</w:t>
            </w:r>
          </w:p>
          <w:p w:rsidR="008667CB" w:rsidRPr="008667CB" w:rsidRDefault="008667CB" w:rsidP="008667CB">
            <w:pPr>
              <w:rPr>
                <w:u w:val="single"/>
              </w:rPr>
            </w:pPr>
            <w:r w:rsidRPr="008667CB">
              <w:rPr>
                <w:u w:val="single"/>
              </w:rPr>
              <w:t xml:space="preserve">Component 1: Centrelink mutual obligation requirement </w:t>
            </w:r>
          </w:p>
          <w:p w:rsidR="005F6504" w:rsidRDefault="008667CB" w:rsidP="008667CB">
            <w:r>
              <w:t xml:space="preserve">This component would </w:t>
            </w:r>
            <w:r w:rsidR="005F6504">
              <w:t>allow artistic activities that provide community benefit to be eligible for Centrelink mutual obligation requirements</w:t>
            </w:r>
            <w:r>
              <w:t>.</w:t>
            </w:r>
          </w:p>
          <w:p w:rsidR="008667CB" w:rsidRPr="008667CB" w:rsidRDefault="008667CB" w:rsidP="008667CB">
            <w:pPr>
              <w:rPr>
                <w:u w:val="single"/>
              </w:rPr>
            </w:pPr>
            <w:r w:rsidRPr="008667CB">
              <w:rPr>
                <w:u w:val="single"/>
              </w:rPr>
              <w:t>Component 2: Low-income artist superannuation supplement</w:t>
            </w:r>
          </w:p>
          <w:p w:rsidR="005F6504" w:rsidRDefault="00E61DB7" w:rsidP="008667CB">
            <w:r>
              <w:t>Where</w:t>
            </w:r>
            <w:r w:rsidR="005F6504">
              <w:t xml:space="preserve"> a working artist meets the eligibility criteria for the Low Income Superannuation Tax Offset (LISTO) announced in the 2016</w:t>
            </w:r>
            <w:r w:rsidR="00D30A75">
              <w:noBreakHyphen/>
            </w:r>
            <w:r w:rsidR="005F6504">
              <w:t xml:space="preserve">17 Budget, </w:t>
            </w:r>
            <w:r w:rsidR="00AC195D">
              <w:t xml:space="preserve">this component would also make them </w:t>
            </w:r>
            <w:r w:rsidR="005F6504">
              <w:t>eligible to receive an additional annual government superannuation payment of $500.</w:t>
            </w:r>
          </w:p>
          <w:p w:rsidR="004D5525" w:rsidRDefault="005F6504" w:rsidP="005F6504">
            <w:pPr>
              <w:pStyle w:val="BodyText"/>
            </w:pPr>
            <w:r>
              <w:t>The proposal would have effect from 1 July 2017.</w:t>
            </w:r>
          </w:p>
        </w:tc>
      </w:tr>
      <w:tr w:rsidR="004D5525" w:rsidTr="00D52D5F">
        <w:tc>
          <w:tcPr>
            <w:tcW w:w="3005" w:type="dxa"/>
          </w:tcPr>
          <w:p w:rsidR="004D5525" w:rsidRDefault="004D5525" w:rsidP="004D5525">
            <w:pPr>
              <w:pStyle w:val="BodyText"/>
            </w:pPr>
            <w:r>
              <w:t>Person/party requesting costing:</w:t>
            </w:r>
          </w:p>
        </w:tc>
        <w:tc>
          <w:tcPr>
            <w:tcW w:w="5335" w:type="dxa"/>
          </w:tcPr>
          <w:p w:rsidR="004D5525" w:rsidRDefault="005F6504" w:rsidP="004D5525">
            <w:pPr>
              <w:pStyle w:val="BodyText"/>
            </w:pPr>
            <w:r>
              <w:t>Senator Richard Di Natale, Australian Greens</w:t>
            </w:r>
          </w:p>
        </w:tc>
      </w:tr>
      <w:tr w:rsidR="007D3577" w:rsidTr="00060F22">
        <w:tc>
          <w:tcPr>
            <w:tcW w:w="3005" w:type="dxa"/>
          </w:tcPr>
          <w:p w:rsidR="007D3577" w:rsidRDefault="007D3577" w:rsidP="00060F22">
            <w:pPr>
              <w:pStyle w:val="BodyText"/>
            </w:pPr>
            <w:r>
              <w:t>Date of public release of policy:</w:t>
            </w:r>
          </w:p>
        </w:tc>
        <w:tc>
          <w:tcPr>
            <w:tcW w:w="5335" w:type="dxa"/>
          </w:tcPr>
          <w:p w:rsidR="007D3577" w:rsidRDefault="00F37E93" w:rsidP="00F37E93">
            <w:pPr>
              <w:pStyle w:val="BodyText"/>
            </w:pPr>
            <w:r>
              <w:t>8 June 2016</w:t>
            </w:r>
          </w:p>
          <w:p w:rsidR="00F37E93" w:rsidRPr="00C17112" w:rsidRDefault="0068593B" w:rsidP="00F37E93">
            <w:pPr>
              <w:pStyle w:val="BodyText"/>
            </w:pPr>
            <w:hyperlink r:id="rId13" w:history="1">
              <w:r w:rsidR="00F37E93" w:rsidRPr="001E3671">
                <w:rPr>
                  <w:rStyle w:val="Hyperlink"/>
                  <w:rFonts w:cs="Helvetica"/>
                  <w:color w:val="2398C9"/>
                  <w:bdr w:val="none" w:sz="0" w:space="0" w:color="auto" w:frame="1"/>
                  <w:shd w:val="clear" w:color="auto" w:fill="FFFFFF"/>
                </w:rPr>
                <w:t>http://www.adambandt.com/160608</w:t>
              </w:r>
            </w:hyperlink>
          </w:p>
        </w:tc>
      </w:tr>
      <w:tr w:rsidR="004D5525" w:rsidTr="00D52D5F">
        <w:tc>
          <w:tcPr>
            <w:tcW w:w="3005" w:type="dxa"/>
          </w:tcPr>
          <w:p w:rsidR="004D5525" w:rsidRDefault="004D5525" w:rsidP="004D5525">
            <w:pPr>
              <w:pStyle w:val="BodyText"/>
            </w:pPr>
            <w:r>
              <w:t>Date costing request received:</w:t>
            </w:r>
          </w:p>
        </w:tc>
        <w:tc>
          <w:tcPr>
            <w:tcW w:w="5335" w:type="dxa"/>
          </w:tcPr>
          <w:p w:rsidR="004D5525" w:rsidRDefault="00F37E93" w:rsidP="004D5525">
            <w:pPr>
              <w:pStyle w:val="BodyText"/>
            </w:pPr>
            <w:r>
              <w:t>30 June 2016</w:t>
            </w:r>
          </w:p>
        </w:tc>
      </w:tr>
      <w:tr w:rsidR="004D5525" w:rsidTr="00D52D5F">
        <w:tc>
          <w:tcPr>
            <w:tcW w:w="3005" w:type="dxa"/>
          </w:tcPr>
          <w:p w:rsidR="004D5525" w:rsidRDefault="004D5525" w:rsidP="004D5525">
            <w:pPr>
              <w:pStyle w:val="BodyText"/>
            </w:pPr>
            <w:r>
              <w:t>Date costing completed</w:t>
            </w:r>
            <w:r w:rsidR="00B20BF8">
              <w:t>:</w:t>
            </w:r>
          </w:p>
        </w:tc>
        <w:tc>
          <w:tcPr>
            <w:tcW w:w="5335" w:type="dxa"/>
          </w:tcPr>
          <w:p w:rsidR="004D5525" w:rsidRPr="00C17112" w:rsidRDefault="00E61DB7" w:rsidP="00E61DB7">
            <w:pPr>
              <w:pStyle w:val="BodyText"/>
            </w:pPr>
            <w:r>
              <w:t>30 June</w:t>
            </w:r>
            <w:r w:rsidR="005F6504">
              <w:t xml:space="preserve"> 2016</w:t>
            </w:r>
          </w:p>
        </w:tc>
      </w:tr>
      <w:tr w:rsidR="004D5525" w:rsidTr="00D52D5F">
        <w:tc>
          <w:tcPr>
            <w:tcW w:w="3005" w:type="dxa"/>
          </w:tcPr>
          <w:p w:rsidR="004D5525" w:rsidRPr="00220BE5" w:rsidRDefault="004D5525" w:rsidP="004D5525">
            <w:pPr>
              <w:pStyle w:val="BodyText"/>
            </w:pPr>
            <w:r w:rsidRPr="00220BE5">
              <w:t>Expiry date for the costing:</w:t>
            </w:r>
          </w:p>
        </w:tc>
        <w:tc>
          <w:tcPr>
            <w:tcW w:w="5335" w:type="dxa"/>
          </w:tcPr>
          <w:p w:rsidR="004D5525" w:rsidRPr="00220BE5" w:rsidRDefault="00F4535C" w:rsidP="00220BE5">
            <w:pPr>
              <w:pStyle w:val="BodyText"/>
            </w:pPr>
            <w:r>
              <w:t>Release of the next economic and fiscal outlook report</w:t>
            </w:r>
          </w:p>
        </w:tc>
      </w:tr>
    </w:tbl>
    <w:p w:rsidR="0055581F" w:rsidRPr="00002D5D" w:rsidRDefault="008030EC" w:rsidP="00B20BF8">
      <w:pPr>
        <w:pStyle w:val="Heading2"/>
      </w:pPr>
      <w:r w:rsidRPr="00002D5D">
        <w:lastRenderedPageBreak/>
        <w:t>Costing overview</w:t>
      </w:r>
    </w:p>
    <w:p w:rsidR="00D37094" w:rsidRDefault="00D37094" w:rsidP="00B20BF8">
      <w:pPr>
        <w:pStyle w:val="Captionheading"/>
        <w:keepLines/>
        <w:rPr>
          <w:b w:val="0"/>
          <w:bCs w:val="0"/>
          <w:color w:val="auto"/>
          <w:spacing w:val="0"/>
        </w:rPr>
      </w:pPr>
      <w:r w:rsidRPr="00D37094">
        <w:rPr>
          <w:b w:val="0"/>
          <w:bCs w:val="0"/>
          <w:color w:val="auto"/>
          <w:spacing w:val="0"/>
        </w:rPr>
        <w:t>This proposal would be expected to decrease the fiscal balance by $74 million and decrease the underlying cash balance by $64 million over the 2016</w:t>
      </w:r>
      <w:r w:rsidR="00300F3E">
        <w:rPr>
          <w:b w:val="0"/>
          <w:bCs w:val="0"/>
          <w:color w:val="auto"/>
          <w:spacing w:val="0"/>
        </w:rPr>
        <w:noBreakHyphen/>
      </w:r>
      <w:r w:rsidRPr="00D37094">
        <w:rPr>
          <w:b w:val="0"/>
          <w:bCs w:val="0"/>
          <w:color w:val="auto"/>
          <w:spacing w:val="0"/>
        </w:rPr>
        <w:t xml:space="preserve">17 Budget forward estimates period.  This reflects an increase in expenses over this period. </w:t>
      </w:r>
    </w:p>
    <w:p w:rsidR="00E61DB7" w:rsidRPr="00F9360A" w:rsidRDefault="00E61DB7" w:rsidP="00B20BF8">
      <w:pPr>
        <w:keepNext/>
        <w:keepLines/>
      </w:pPr>
      <w:r>
        <w:t>T</w:t>
      </w:r>
      <w:r w:rsidRPr="00F9360A">
        <w:t>he fiscal and underlying cash balance impacts</w:t>
      </w:r>
      <w:r>
        <w:t xml:space="preserve"> differ due to the timing profile of the superannuation supplement.  For Government superannuation contributions, t</w:t>
      </w:r>
      <w:r w:rsidRPr="00F9360A">
        <w:t>he fiscal balance impact</w:t>
      </w:r>
      <w:r>
        <w:t xml:space="preserve"> typically </w:t>
      </w:r>
      <w:r w:rsidRPr="00F9360A">
        <w:t xml:space="preserve">occurs in the year in which a person qualifies for the supplement.  The underlying cash balance impact occurs when the </w:t>
      </w:r>
      <w:r w:rsidR="00D2489C" w:rsidRPr="007F1D37">
        <w:t xml:space="preserve">Australian Taxation Office </w:t>
      </w:r>
      <w:r w:rsidR="00D2489C">
        <w:t>(</w:t>
      </w:r>
      <w:r w:rsidRPr="00F9360A">
        <w:t>ATO</w:t>
      </w:r>
      <w:r w:rsidR="00D2489C">
        <w:t>)</w:t>
      </w:r>
      <w:r w:rsidRPr="00F9360A">
        <w:t xml:space="preserve"> is able to consolidate taxpayer information and pay the supplement, which generally happens within two years after qualifying for the payment.</w:t>
      </w:r>
    </w:p>
    <w:p w:rsidR="00E61DB7" w:rsidRDefault="00E61DB7" w:rsidP="00E61DB7">
      <w:pPr>
        <w:pStyle w:val="ListParagraph"/>
        <w:keepLines/>
        <w:spacing w:before="120" w:after="120" w:line="240" w:lineRule="auto"/>
        <w:ind w:left="0"/>
      </w:pPr>
      <w:r>
        <w:t>Detailed financial implications of the proposal are provided</w:t>
      </w:r>
      <w:r w:rsidRPr="00551D4D">
        <w:t xml:space="preserve"> at</w:t>
      </w:r>
      <w:r>
        <w:t xml:space="preserve"> </w:t>
      </w:r>
      <w:r w:rsidRPr="00A939FF">
        <w:rPr>
          <w:u w:val="single"/>
        </w:rPr>
        <w:t>Attachment A</w:t>
      </w:r>
      <w:r>
        <w:t>.</w:t>
      </w:r>
    </w:p>
    <w:p w:rsidR="00E61DB7" w:rsidRPr="00D30A75" w:rsidRDefault="00E61DB7" w:rsidP="00E61DB7">
      <w:r>
        <w:t>This proposal is expected to have ongoing impacts beyond the 2016</w:t>
      </w:r>
      <w:r>
        <w:noBreakHyphen/>
        <w:t xml:space="preserve">17 Budget forward estimates period.   The mutual obligation component would change with payments.  The </w:t>
      </w:r>
      <w:r>
        <w:rPr>
          <w:rFonts w:cs="Times New Roman"/>
        </w:rPr>
        <w:t xml:space="preserve">impact of the superannuation supplement would be expected to </w:t>
      </w:r>
      <w:r w:rsidRPr="00D30A75">
        <w:t xml:space="preserve">decrease as incomes </w:t>
      </w:r>
      <w:r>
        <w:t>grow, reducing</w:t>
      </w:r>
      <w:r w:rsidRPr="00D30A75">
        <w:t xml:space="preserve"> the number of people below the non</w:t>
      </w:r>
      <w:r w:rsidRPr="00D30A75">
        <w:noBreakHyphen/>
        <w:t xml:space="preserve">indexed LISTO </w:t>
      </w:r>
      <w:r>
        <w:t xml:space="preserve">income </w:t>
      </w:r>
      <w:r w:rsidRPr="00D30A75">
        <w:t xml:space="preserve">eligibility threshold.  </w:t>
      </w:r>
    </w:p>
    <w:p w:rsidR="00E61DB7" w:rsidRPr="007F1D37" w:rsidRDefault="00E61DB7" w:rsidP="00E61DB7">
      <w:r w:rsidRPr="007F1D37">
        <w:t>Departmental expenses were estimated to be around $9 million over the 2016-17 Budget forward estimates period.  This would enable the Department of Human Services (DHS) to assess eligibility and process claims and enable the ATO to implement</w:t>
      </w:r>
      <w:r w:rsidR="00B20BF8">
        <w:t xml:space="preserve"> the superannuation supplement.</w:t>
      </w:r>
    </w:p>
    <w:p w:rsidR="00E61DB7" w:rsidRDefault="00E61DB7" w:rsidP="00E61DB7">
      <w:pPr>
        <w:rPr>
          <w:lang w:eastAsia="en-AU"/>
        </w:rPr>
      </w:pPr>
      <w:r>
        <w:t xml:space="preserve">This costing is considered to have low to medium reliability.  </w:t>
      </w:r>
      <w:r>
        <w:rPr>
          <w:lang w:eastAsia="en-AU"/>
        </w:rPr>
        <w:t xml:space="preserve">The estimates are sensitive to changes in population and income growth, </w:t>
      </w:r>
      <w:r>
        <w:t>payment increases, claim probability</w:t>
      </w:r>
      <w:r>
        <w:rPr>
          <w:lang w:eastAsia="en-AU"/>
        </w:rPr>
        <w:t xml:space="preserve"> and any changes in behaviour that result from the proposed policy.</w:t>
      </w:r>
    </w:p>
    <w:p w:rsidR="005E3562" w:rsidRPr="00FC6579" w:rsidRDefault="005E3562" w:rsidP="00D37094">
      <w:pPr>
        <w:pStyle w:val="Captionheading"/>
        <w:spacing w:before="240" w:after="120"/>
      </w:pPr>
      <w:r w:rsidRPr="00FC6579">
        <w:t xml:space="preserve">Table </w:t>
      </w:r>
      <w:r w:rsidR="001A02D1" w:rsidRPr="00FC6579">
        <w:t>1</w:t>
      </w:r>
      <w:r w:rsidRPr="00FC6579">
        <w:t>: Financi</w:t>
      </w:r>
      <w:r w:rsidR="00252272">
        <w:t xml:space="preserve">al </w:t>
      </w:r>
      <w:proofErr w:type="gramStart"/>
      <w:r w:rsidR="00252272">
        <w:t>implications</w:t>
      </w:r>
      <w:r w:rsidRPr="00844776">
        <w:rPr>
          <w:vertAlign w:val="superscript"/>
        </w:rPr>
        <w:t>(</w:t>
      </w:r>
      <w:proofErr w:type="gramEnd"/>
      <w:r w:rsidRPr="00844776">
        <w:rPr>
          <w:vertAlign w:val="superscript"/>
        </w:rPr>
        <w:t>a)</w:t>
      </w:r>
      <w:r w:rsidR="00F60F73">
        <w:rPr>
          <w:vertAlign w:val="superscript"/>
        </w:rPr>
        <w:t>(b)</w:t>
      </w:r>
    </w:p>
    <w:tbl>
      <w:tblPr>
        <w:tblStyle w:val="TableGrid"/>
        <w:tblW w:w="4993" w:type="pct"/>
        <w:tblLook w:val="04A0" w:firstRow="1" w:lastRow="0" w:firstColumn="1" w:lastColumn="0" w:noHBand="0" w:noVBand="1"/>
      </w:tblPr>
      <w:tblGrid>
        <w:gridCol w:w="2645"/>
        <w:gridCol w:w="1134"/>
        <w:gridCol w:w="1133"/>
        <w:gridCol w:w="1133"/>
        <w:gridCol w:w="1133"/>
        <w:gridCol w:w="1132"/>
      </w:tblGrid>
      <w:tr w:rsidR="00692DD8" w:rsidRPr="00B73AC8" w:rsidTr="00EA26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1" w:type="pct"/>
          </w:tcPr>
          <w:p w:rsidR="00CA5D42" w:rsidRPr="00B73AC8" w:rsidRDefault="00CA5D42" w:rsidP="00B20BF8">
            <w:pPr>
              <w:pStyle w:val="TableText"/>
              <w:keepNext/>
              <w:keepLines/>
              <w:spacing w:line="240" w:lineRule="auto"/>
              <w:ind w:left="57" w:right="57"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Impact on</w:t>
            </w:r>
            <w:r w:rsidR="00461597">
              <w:rPr>
                <w:rFonts w:ascii="Calibri" w:hAnsi="Calibri"/>
                <w:szCs w:val="20"/>
              </w:rPr>
              <w:t xml:space="preserve"> ($m)</w:t>
            </w:r>
          </w:p>
        </w:tc>
        <w:tc>
          <w:tcPr>
            <w:tcW w:w="682" w:type="pct"/>
          </w:tcPr>
          <w:p w:rsidR="00CA5D42" w:rsidRPr="00B73AC8" w:rsidRDefault="00CA5D42" w:rsidP="00B20BF8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2016–17</w:t>
            </w:r>
          </w:p>
        </w:tc>
        <w:tc>
          <w:tcPr>
            <w:tcW w:w="682" w:type="pct"/>
          </w:tcPr>
          <w:p w:rsidR="00CA5D42" w:rsidRPr="00B73AC8" w:rsidRDefault="00CA5D42" w:rsidP="00B20BF8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2017–18</w:t>
            </w:r>
          </w:p>
        </w:tc>
        <w:tc>
          <w:tcPr>
            <w:tcW w:w="682" w:type="pct"/>
          </w:tcPr>
          <w:p w:rsidR="00CA5D42" w:rsidRPr="00B73AC8" w:rsidRDefault="00CA5D42" w:rsidP="00B20BF8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2018–19</w:t>
            </w:r>
          </w:p>
        </w:tc>
        <w:tc>
          <w:tcPr>
            <w:tcW w:w="682" w:type="pct"/>
          </w:tcPr>
          <w:p w:rsidR="00CA5D42" w:rsidRPr="00B73AC8" w:rsidRDefault="00CA5D42" w:rsidP="00B20BF8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2019–20</w:t>
            </w:r>
          </w:p>
        </w:tc>
        <w:tc>
          <w:tcPr>
            <w:tcW w:w="681" w:type="pct"/>
          </w:tcPr>
          <w:p w:rsidR="00CA5D42" w:rsidRPr="00F97DFF" w:rsidRDefault="00CA5D42" w:rsidP="00B20BF8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Cs w:val="20"/>
              </w:rPr>
            </w:pPr>
            <w:r w:rsidRPr="00F97DFF">
              <w:rPr>
                <w:rFonts w:ascii="Calibri" w:hAnsi="Calibri"/>
                <w:b/>
                <w:szCs w:val="20"/>
              </w:rPr>
              <w:t>Total</w:t>
            </w:r>
          </w:p>
        </w:tc>
      </w:tr>
      <w:tr w:rsidR="00D37094" w:rsidRPr="00B73AC8" w:rsidTr="00D37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pct"/>
          </w:tcPr>
          <w:p w:rsidR="00D37094" w:rsidRPr="00B73AC8" w:rsidRDefault="00D37094" w:rsidP="00B20BF8">
            <w:pPr>
              <w:pStyle w:val="TableTextCentred"/>
              <w:keepNext/>
              <w:keepLines/>
              <w:spacing w:line="240" w:lineRule="auto"/>
              <w:ind w:left="57" w:right="57"/>
              <w:jc w:val="left"/>
              <w:rPr>
                <w:szCs w:val="20"/>
              </w:rPr>
            </w:pPr>
            <w:r w:rsidRPr="00B73AC8">
              <w:rPr>
                <w:szCs w:val="20"/>
              </w:rPr>
              <w:t>Fiscal balance</w:t>
            </w:r>
          </w:p>
        </w:tc>
        <w:tc>
          <w:tcPr>
            <w:tcW w:w="682" w:type="pct"/>
          </w:tcPr>
          <w:p w:rsidR="00D37094" w:rsidRPr="006D4A91" w:rsidRDefault="00D37094" w:rsidP="00B20BF8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A91">
              <w:t>-</w:t>
            </w:r>
          </w:p>
        </w:tc>
        <w:tc>
          <w:tcPr>
            <w:tcW w:w="682" w:type="pct"/>
          </w:tcPr>
          <w:p w:rsidR="00D37094" w:rsidRPr="006D4A91" w:rsidRDefault="00D37094" w:rsidP="00B20BF8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A91">
              <w:t>-28</w:t>
            </w:r>
            <w:r w:rsidR="002A62F7">
              <w:t>.0</w:t>
            </w:r>
          </w:p>
        </w:tc>
        <w:tc>
          <w:tcPr>
            <w:tcW w:w="682" w:type="pct"/>
          </w:tcPr>
          <w:p w:rsidR="00D37094" w:rsidRPr="006D4A91" w:rsidRDefault="00D37094" w:rsidP="00B20BF8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A91">
              <w:t>-23</w:t>
            </w:r>
            <w:r w:rsidR="002A62F7">
              <w:t>.0</w:t>
            </w:r>
          </w:p>
        </w:tc>
        <w:tc>
          <w:tcPr>
            <w:tcW w:w="682" w:type="pct"/>
          </w:tcPr>
          <w:p w:rsidR="00D37094" w:rsidRPr="006D4A91" w:rsidRDefault="00D37094" w:rsidP="00B20BF8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A91">
              <w:t>-23</w:t>
            </w:r>
            <w:r w:rsidR="002A62F7">
              <w:t>.0</w:t>
            </w:r>
          </w:p>
        </w:tc>
        <w:tc>
          <w:tcPr>
            <w:tcW w:w="681" w:type="pct"/>
          </w:tcPr>
          <w:p w:rsidR="00D37094" w:rsidRPr="00D37094" w:rsidRDefault="00D37094" w:rsidP="00B20BF8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37094">
              <w:rPr>
                <w:b/>
              </w:rPr>
              <w:t>-74</w:t>
            </w:r>
            <w:r w:rsidR="002A62F7">
              <w:rPr>
                <w:b/>
              </w:rPr>
              <w:t>.0</w:t>
            </w:r>
          </w:p>
        </w:tc>
      </w:tr>
      <w:tr w:rsidR="00D37094" w:rsidRPr="00B73AC8" w:rsidTr="00D370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pct"/>
          </w:tcPr>
          <w:p w:rsidR="00D37094" w:rsidRPr="00B73AC8" w:rsidRDefault="00D37094" w:rsidP="00B20BF8">
            <w:pPr>
              <w:pStyle w:val="TableTextCentred"/>
              <w:keepNext/>
              <w:keepLines/>
              <w:spacing w:line="240" w:lineRule="auto"/>
              <w:ind w:left="57" w:right="57"/>
              <w:jc w:val="left"/>
              <w:rPr>
                <w:szCs w:val="20"/>
              </w:rPr>
            </w:pPr>
            <w:r w:rsidRPr="00B73AC8">
              <w:rPr>
                <w:szCs w:val="20"/>
              </w:rPr>
              <w:t>Underlying cash balance</w:t>
            </w:r>
          </w:p>
        </w:tc>
        <w:tc>
          <w:tcPr>
            <w:tcW w:w="682" w:type="pct"/>
          </w:tcPr>
          <w:p w:rsidR="00D37094" w:rsidRPr="006D4A91" w:rsidRDefault="00D37094" w:rsidP="00B20BF8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A91">
              <w:t>-</w:t>
            </w:r>
          </w:p>
        </w:tc>
        <w:tc>
          <w:tcPr>
            <w:tcW w:w="682" w:type="pct"/>
          </w:tcPr>
          <w:p w:rsidR="00D37094" w:rsidRPr="006D4A91" w:rsidRDefault="00D37094" w:rsidP="00B20BF8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A91">
              <w:t>-18</w:t>
            </w:r>
            <w:r w:rsidR="002A62F7">
              <w:t>.0</w:t>
            </w:r>
          </w:p>
        </w:tc>
        <w:tc>
          <w:tcPr>
            <w:tcW w:w="682" w:type="pct"/>
          </w:tcPr>
          <w:p w:rsidR="00D37094" w:rsidRPr="006D4A91" w:rsidRDefault="00D37094" w:rsidP="00B20BF8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A91">
              <w:t>-23</w:t>
            </w:r>
            <w:r w:rsidR="002A62F7">
              <w:t>.0</w:t>
            </w:r>
          </w:p>
        </w:tc>
        <w:tc>
          <w:tcPr>
            <w:tcW w:w="682" w:type="pct"/>
          </w:tcPr>
          <w:p w:rsidR="00D37094" w:rsidRPr="006D4A91" w:rsidRDefault="00D37094" w:rsidP="00B20BF8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A91">
              <w:t>-23</w:t>
            </w:r>
            <w:r w:rsidR="002A62F7">
              <w:t>.0</w:t>
            </w:r>
          </w:p>
        </w:tc>
        <w:tc>
          <w:tcPr>
            <w:tcW w:w="681" w:type="pct"/>
          </w:tcPr>
          <w:p w:rsidR="00D37094" w:rsidRPr="00D37094" w:rsidRDefault="00D37094" w:rsidP="00B20BF8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37094">
              <w:rPr>
                <w:b/>
              </w:rPr>
              <w:t>-64</w:t>
            </w:r>
            <w:r w:rsidR="002A62F7">
              <w:rPr>
                <w:b/>
              </w:rPr>
              <w:t>.0</w:t>
            </w:r>
          </w:p>
        </w:tc>
      </w:tr>
    </w:tbl>
    <w:p w:rsidR="00AC195D" w:rsidRPr="00AC195D" w:rsidRDefault="00AC195D" w:rsidP="00B20BF8">
      <w:pPr>
        <w:pStyle w:val="Footnotes"/>
        <w:ind w:left="284" w:hanging="284"/>
      </w:pPr>
      <w:r w:rsidRPr="00AC195D">
        <w:t>A positive number indicates an increase in the relevant budget balance, a negative number a decrease.</w:t>
      </w:r>
    </w:p>
    <w:p w:rsidR="00AC195D" w:rsidRPr="00AC195D" w:rsidRDefault="00AC195D" w:rsidP="00B20BF8">
      <w:pPr>
        <w:pStyle w:val="Footnotes"/>
        <w:spacing w:before="0"/>
        <w:ind w:left="284" w:hanging="284"/>
      </w:pPr>
      <w:r w:rsidRPr="00AC195D">
        <w:t>Figures may not sum to totals due to rounding.</w:t>
      </w:r>
    </w:p>
    <w:p w:rsidR="009D4063" w:rsidRDefault="00D37094" w:rsidP="00B20BF8">
      <w:pPr>
        <w:pStyle w:val="Footnotes"/>
        <w:numPr>
          <w:ilvl w:val="0"/>
          <w:numId w:val="18"/>
        </w:numPr>
        <w:spacing w:before="0"/>
        <w:ind w:left="284" w:hanging="284"/>
      </w:pPr>
      <w:r>
        <w:t>Indicates a nil value</w:t>
      </w:r>
      <w:r w:rsidR="00B20BF8">
        <w:t>.</w:t>
      </w:r>
    </w:p>
    <w:p w:rsidR="00D30A75" w:rsidRPr="0003435A" w:rsidRDefault="00D30A75" w:rsidP="00D30A75">
      <w:pPr>
        <w:pStyle w:val="Heading2"/>
        <w:numPr>
          <w:ilvl w:val="0"/>
          <w:numId w:val="0"/>
        </w:numPr>
      </w:pPr>
      <w:r>
        <w:t>Key assumptions</w:t>
      </w:r>
    </w:p>
    <w:p w:rsidR="00D30A75" w:rsidRPr="00B4297E" w:rsidRDefault="00B4297E" w:rsidP="007F1D37">
      <w:pPr>
        <w:pStyle w:val="Bullet1"/>
      </w:pPr>
      <w:r w:rsidRPr="00B4297E">
        <w:t>A</w:t>
      </w:r>
      <w:r w:rsidR="00D30A75" w:rsidRPr="00B4297E">
        <w:t xml:space="preserve"> proportion of low-income artists </w:t>
      </w:r>
      <w:r w:rsidRPr="00B4297E">
        <w:t>are assumed to</w:t>
      </w:r>
      <w:r w:rsidR="00D30A75" w:rsidRPr="00B4297E">
        <w:t xml:space="preserve"> already receive income support payments from Centrelink.</w:t>
      </w:r>
    </w:p>
    <w:p w:rsidR="00AC195D" w:rsidRPr="007F1D37" w:rsidRDefault="00AC195D" w:rsidP="00AC195D">
      <w:pPr>
        <w:pStyle w:val="Bullet1"/>
      </w:pPr>
      <w:r w:rsidRPr="007F1D37">
        <w:t>It is assumed that the artist population in each age group increased at the same rate as overall population growth in each age group between 2011 and 2015.</w:t>
      </w:r>
    </w:p>
    <w:p w:rsidR="00D30A75" w:rsidRPr="007F1D37" w:rsidRDefault="008C5FB8" w:rsidP="007F1D37">
      <w:pPr>
        <w:pStyle w:val="Bullet1"/>
      </w:pPr>
      <w:r w:rsidRPr="007F1D37">
        <w:t>It is assumed that</w:t>
      </w:r>
      <w:r w:rsidR="00D30A75" w:rsidRPr="007F1D37">
        <w:t xml:space="preserve"> there would be no behavioural change in response to the introduction of </w:t>
      </w:r>
      <w:r w:rsidR="008667CB" w:rsidRPr="007F1D37">
        <w:t>a</w:t>
      </w:r>
      <w:r w:rsidR="00D30A75" w:rsidRPr="007F1D37">
        <w:t xml:space="preserve"> new superannuation supplement for artists.</w:t>
      </w:r>
    </w:p>
    <w:p w:rsidR="00D30A75" w:rsidRPr="007F1D37" w:rsidRDefault="00D30A75" w:rsidP="007F1D37">
      <w:pPr>
        <w:pStyle w:val="Bullet1"/>
      </w:pPr>
      <w:r w:rsidRPr="007F1D37">
        <w:lastRenderedPageBreak/>
        <w:t>It is assumed that payments of the low-income artist superannuation supplement would have the same timing profile as similar Government superannuation payments.</w:t>
      </w:r>
    </w:p>
    <w:p w:rsidR="00D30A75" w:rsidRPr="007F1D37" w:rsidRDefault="00D30A75" w:rsidP="007F1D37">
      <w:pPr>
        <w:pStyle w:val="Bullet1"/>
      </w:pPr>
      <w:r w:rsidRPr="007F1D37">
        <w:t xml:space="preserve">The </w:t>
      </w:r>
      <w:r w:rsidR="000F7916">
        <w:t>superannuation supplement</w:t>
      </w:r>
      <w:r w:rsidR="000F7916" w:rsidRPr="007F1D37">
        <w:t xml:space="preserve"> </w:t>
      </w:r>
      <w:r w:rsidRPr="007F1D37">
        <w:t>is assumed to be non</w:t>
      </w:r>
      <w:r w:rsidRPr="007F1D37">
        <w:noBreakHyphen/>
        <w:t>taxable.</w:t>
      </w:r>
    </w:p>
    <w:p w:rsidR="00D30A75" w:rsidRDefault="00D30A75" w:rsidP="00D30A75">
      <w:pPr>
        <w:pStyle w:val="Heading2"/>
        <w:numPr>
          <w:ilvl w:val="0"/>
          <w:numId w:val="0"/>
        </w:numPr>
      </w:pPr>
      <w:r>
        <w:t>Methodology</w:t>
      </w:r>
    </w:p>
    <w:p w:rsidR="005437FD" w:rsidRDefault="005437FD" w:rsidP="005437FD">
      <w:pPr>
        <w:pStyle w:val="Bullet1"/>
      </w:pPr>
      <w:r>
        <w:t>To calculate the mutual obligation component, d</w:t>
      </w:r>
      <w:r w:rsidR="00D30A75">
        <w:t xml:space="preserve">ata on the number of artists in Australia by age and income </w:t>
      </w:r>
      <w:r w:rsidR="00C80FB5">
        <w:t>was</w:t>
      </w:r>
      <w:r w:rsidR="00D30A75">
        <w:t xml:space="preserve"> obtained from the Australian Bureau of Statistics (ABS).  </w:t>
      </w:r>
      <w:r>
        <w:t xml:space="preserve">The cost of </w:t>
      </w:r>
      <w:r w:rsidR="006500C5">
        <w:t xml:space="preserve">this component of </w:t>
      </w:r>
      <w:r>
        <w:t xml:space="preserve">the proposal for each year </w:t>
      </w:r>
      <w:r w:rsidR="00AC195D">
        <w:t>is</w:t>
      </w:r>
      <w:r>
        <w:t xml:space="preserve"> calculated by multiplying the estimated number of new recipients that would become eligible under this proposal by their estimated average social security payment consistent with the pa</w:t>
      </w:r>
      <w:r w:rsidR="00B20BF8">
        <w:t>rameters in the 2016</w:t>
      </w:r>
      <w:r w:rsidR="00B20BF8">
        <w:noBreakHyphen/>
        <w:t>17 Budget.</w:t>
      </w:r>
    </w:p>
    <w:p w:rsidR="00AC195D" w:rsidRPr="007F1D37" w:rsidRDefault="00AC195D" w:rsidP="00AC195D">
      <w:pPr>
        <w:pStyle w:val="Bullet2"/>
      </w:pPr>
      <w:r w:rsidRPr="007F1D37">
        <w:t xml:space="preserve">The definition of artist is taken from the </w:t>
      </w:r>
      <w:r w:rsidRPr="007F1D37">
        <w:rPr>
          <w:i/>
        </w:rPr>
        <w:t xml:space="preserve">Australian and New Zealand Standard Classification of Occupations </w:t>
      </w:r>
      <w:r w:rsidRPr="007F1D37">
        <w:t xml:space="preserve">and includes all occupations defined as Arts Professionals and some occupations defined as Media Professionals (authors, directors, art directors </w:t>
      </w:r>
      <w:r w:rsidR="00B20BF8">
        <w:t>and directors of photography).</w:t>
      </w:r>
    </w:p>
    <w:p w:rsidR="00D30A75" w:rsidRDefault="00D30A75" w:rsidP="005437FD">
      <w:pPr>
        <w:pStyle w:val="Bullet2"/>
      </w:pPr>
      <w:r>
        <w:t xml:space="preserve">The amount and type of payments to eligible artists </w:t>
      </w:r>
      <w:r w:rsidR="00AC195D">
        <w:t>are</w:t>
      </w:r>
      <w:r>
        <w:t xml:space="preserve"> estimated using data from the Department of Social Services (DSS) and the Department of Employment (DoE) about their age, income, marital/de-facto status, whether or not they have children and whether or not they are a jo</w:t>
      </w:r>
      <w:r w:rsidR="00B20BF8">
        <w:t>b-seeker or full-time student.</w:t>
      </w:r>
    </w:p>
    <w:p w:rsidR="00D30A75" w:rsidRDefault="00D30A75" w:rsidP="005437FD">
      <w:pPr>
        <w:pStyle w:val="Bullet2"/>
      </w:pPr>
      <w:r>
        <w:t xml:space="preserve">Departmental expenses </w:t>
      </w:r>
      <w:r w:rsidR="00AC195D">
        <w:t>are</w:t>
      </w:r>
      <w:r>
        <w:t xml:space="preserve"> calculated by multiplying the expected number of new recipients of each payment type by their respective unit cost as specified by the DHS.</w:t>
      </w:r>
    </w:p>
    <w:p w:rsidR="00D30A75" w:rsidRDefault="00D30A75" w:rsidP="005437FD">
      <w:pPr>
        <w:pStyle w:val="Bullet2"/>
      </w:pPr>
      <w:r>
        <w:t xml:space="preserve">Estimates of Centrelink payments </w:t>
      </w:r>
      <w:r w:rsidR="00AC195D">
        <w:t>are</w:t>
      </w:r>
      <w:r>
        <w:t xml:space="preserve"> rounded to the nearest $5 million.  Estimates of departmental expenses </w:t>
      </w:r>
      <w:r w:rsidR="00AC195D">
        <w:t>are</w:t>
      </w:r>
      <w:r>
        <w:t xml:space="preserve"> rounded to the nearest $1 million.</w:t>
      </w:r>
    </w:p>
    <w:p w:rsidR="00B4297E" w:rsidRDefault="005437FD" w:rsidP="00B4297E">
      <w:pPr>
        <w:pStyle w:val="Bullet1"/>
      </w:pPr>
      <w:r>
        <w:t>For the</w:t>
      </w:r>
      <w:r w:rsidR="00FB3C19">
        <w:t xml:space="preserve"> low-income artist</w:t>
      </w:r>
      <w:r>
        <w:t xml:space="preserve"> superannuation supplement, i</w:t>
      </w:r>
      <w:r w:rsidR="00D30A75">
        <w:t xml:space="preserve">ndividuals who are eligible for the LISTO </w:t>
      </w:r>
      <w:r w:rsidR="00B4297E">
        <w:t xml:space="preserve">and whose primary occupation </w:t>
      </w:r>
      <w:r w:rsidR="00AC195D">
        <w:t>is</w:t>
      </w:r>
      <w:r w:rsidR="00B4297E">
        <w:t xml:space="preserve"> artist </w:t>
      </w:r>
      <w:r w:rsidR="00AC195D">
        <w:t>are</w:t>
      </w:r>
      <w:r w:rsidR="00B4297E">
        <w:t xml:space="preserve"> </w:t>
      </w:r>
      <w:r w:rsidR="00D30A75">
        <w:t>identified usi</w:t>
      </w:r>
      <w:r w:rsidR="00B4297E">
        <w:t>ng a 16 per cent sample of 2012</w:t>
      </w:r>
      <w:r w:rsidR="00B4297E">
        <w:noBreakHyphen/>
      </w:r>
      <w:r w:rsidR="00D30A75">
        <w:t>13 personal income tax and superannuation returns.  Multiplying the number of eligible recipients by the dollar amount of the new superannuation supplement provide</w:t>
      </w:r>
      <w:r w:rsidR="00AC195D">
        <w:t>s</w:t>
      </w:r>
      <w:r w:rsidR="00D30A75">
        <w:t xml:space="preserve"> estimates of the total increase in government funded superannuation payments as a result of this proposal.</w:t>
      </w:r>
    </w:p>
    <w:p w:rsidR="00D30A75" w:rsidRDefault="00D30A75" w:rsidP="00B4297E">
      <w:pPr>
        <w:pStyle w:val="Bullet2"/>
      </w:pPr>
      <w:r>
        <w:t xml:space="preserve">Estimates of the cumulative increases in superannuation funds under management for each year </w:t>
      </w:r>
      <w:r w:rsidR="00AC195D">
        <w:t>are</w:t>
      </w:r>
      <w:r>
        <w:t xml:space="preserve"> then used to estimate the increase in superannuation earnings tax (which </w:t>
      </w:r>
      <w:r w:rsidR="00F60F73">
        <w:t>is rounded to zero</w:t>
      </w:r>
      <w:r>
        <w:t>).</w:t>
      </w:r>
    </w:p>
    <w:p w:rsidR="00D30A75" w:rsidRDefault="00D30A75" w:rsidP="00B4297E">
      <w:pPr>
        <w:pStyle w:val="Bullet2"/>
      </w:pPr>
      <w:r>
        <w:t xml:space="preserve">Estimates of superannuation supplement payments </w:t>
      </w:r>
      <w:r w:rsidR="00AC195D">
        <w:t>are</w:t>
      </w:r>
      <w:r>
        <w:t xml:space="preserve"> rounded to the nearest $5</w:t>
      </w:r>
      <w:r w:rsidR="00B20BF8">
        <w:t> </w:t>
      </w:r>
      <w:r>
        <w:t xml:space="preserve">million.  Estimates of departmental expenses </w:t>
      </w:r>
      <w:r w:rsidR="00AC195D">
        <w:t>are</w:t>
      </w:r>
      <w:r w:rsidR="00B20BF8">
        <w:t xml:space="preserve"> rounded to the nearest $1 </w:t>
      </w:r>
      <w:r>
        <w:t>million.</w:t>
      </w:r>
    </w:p>
    <w:p w:rsidR="00D30A75" w:rsidRDefault="00D30A75" w:rsidP="00B20BF8">
      <w:pPr>
        <w:pStyle w:val="Heading2"/>
        <w:numPr>
          <w:ilvl w:val="0"/>
          <w:numId w:val="0"/>
        </w:numPr>
      </w:pPr>
      <w:r>
        <w:lastRenderedPageBreak/>
        <w:t>Data sources</w:t>
      </w:r>
    </w:p>
    <w:p w:rsidR="00D30A75" w:rsidRDefault="00D30A75" w:rsidP="00B20BF8">
      <w:pPr>
        <w:pStyle w:val="Bullet1"/>
        <w:keepNext/>
      </w:pPr>
      <w:r>
        <w:t>ABS, Employment in Culture, Australia, 2011 (Cat 6273.0).</w:t>
      </w:r>
    </w:p>
    <w:p w:rsidR="00D30A75" w:rsidRDefault="00D30A75" w:rsidP="00B20BF8">
      <w:pPr>
        <w:pStyle w:val="Bullet1"/>
        <w:keepNext/>
      </w:pPr>
      <w:r>
        <w:t>ABS, Australian Demographic Statistics, September 2015 (Cat 3101.0).</w:t>
      </w:r>
    </w:p>
    <w:p w:rsidR="00D30A75" w:rsidRDefault="00D30A75" w:rsidP="00B4297E">
      <w:pPr>
        <w:pStyle w:val="Bullet1"/>
      </w:pPr>
      <w:r>
        <w:t>Data on marital/de-facto status, dependent children and living arrangements was obtained from the DSS and the DoE.</w:t>
      </w:r>
    </w:p>
    <w:p w:rsidR="00D30A75" w:rsidRDefault="00D30A75" w:rsidP="00B4297E">
      <w:pPr>
        <w:pStyle w:val="Bullet1"/>
      </w:pPr>
      <w:r>
        <w:t>Data on the proportions of individuals receiving study-related social security payments was obtained from the DSS.</w:t>
      </w:r>
    </w:p>
    <w:p w:rsidR="00D30A75" w:rsidRDefault="00D30A75" w:rsidP="00B4297E">
      <w:pPr>
        <w:pStyle w:val="Bullet1"/>
      </w:pPr>
      <w:r>
        <w:t>2016</w:t>
      </w:r>
      <w:r w:rsidR="00300F3E">
        <w:noBreakHyphen/>
      </w:r>
      <w:r>
        <w:t>17 Budget.</w:t>
      </w:r>
    </w:p>
    <w:p w:rsidR="00D30A75" w:rsidRDefault="00D30A75" w:rsidP="00B4297E">
      <w:pPr>
        <w:pStyle w:val="Bullet1"/>
      </w:pPr>
      <w:r>
        <w:t>DHS unit pricing data as of the 2016-17 Budget.</w:t>
      </w:r>
    </w:p>
    <w:p w:rsidR="00D30A75" w:rsidRDefault="00D30A75" w:rsidP="00B4297E">
      <w:pPr>
        <w:pStyle w:val="Bullet1"/>
      </w:pPr>
      <w:r w:rsidRPr="00AF7755">
        <w:t xml:space="preserve">De-identified 16 per cent samples of personal income tax and superannuation returns for </w:t>
      </w:r>
      <w:r>
        <w:t>2012</w:t>
      </w:r>
      <w:r>
        <w:noBreakHyphen/>
        <w:t>13 were provided by the ATO.</w:t>
      </w:r>
    </w:p>
    <w:p w:rsidR="00B83174" w:rsidRDefault="00B83174" w:rsidP="00A939FF">
      <w:pPr>
        <w:pStyle w:val="ListParagraph"/>
        <w:keepLines/>
        <w:spacing w:before="120" w:after="120" w:line="240" w:lineRule="auto"/>
        <w:ind w:left="0"/>
      </w:pPr>
    </w:p>
    <w:p w:rsidR="00CA5D42" w:rsidRPr="00FC6579" w:rsidRDefault="00CA5D42" w:rsidP="00B83174">
      <w:pPr>
        <w:pStyle w:val="Bullet3"/>
        <w:numPr>
          <w:ilvl w:val="0"/>
          <w:numId w:val="0"/>
        </w:numPr>
        <w:ind w:left="1361" w:hanging="454"/>
        <w:rPr>
          <w:highlight w:val="yellow"/>
        </w:rPr>
        <w:sectPr w:rsidR="00CA5D42" w:rsidRPr="00FC6579" w:rsidSect="00002D5D">
          <w:headerReference w:type="first" r:id="rId14"/>
          <w:footerReference w:type="first" r:id="rId15"/>
          <w:pgSz w:w="11906" w:h="16838"/>
          <w:pgMar w:top="1361" w:right="1797" w:bottom="1474" w:left="1797" w:header="709" w:footer="709" w:gutter="0"/>
          <w:cols w:space="708"/>
          <w:titlePg/>
          <w:docGrid w:linePitch="360"/>
        </w:sectPr>
      </w:pPr>
    </w:p>
    <w:p w:rsidR="001A02D1" w:rsidRPr="00FC6579" w:rsidRDefault="001A02D1" w:rsidP="00FC6579">
      <w:pPr>
        <w:pStyle w:val="Heading1"/>
      </w:pPr>
      <w:r w:rsidRPr="00FC6579">
        <w:lastRenderedPageBreak/>
        <w:t>Attachment A:</w:t>
      </w:r>
      <w:r w:rsidR="00933BBD">
        <w:t xml:space="preserve"> </w:t>
      </w:r>
      <w:r w:rsidR="00AF0BE5">
        <w:t>A living wage for artists</w:t>
      </w:r>
      <w:r w:rsidR="00440E32">
        <w:t>—financial</w:t>
      </w:r>
      <w:r w:rsidR="00841C3A">
        <w:t> </w:t>
      </w:r>
      <w:r w:rsidR="00440E32">
        <w:t>implications</w:t>
      </w:r>
    </w:p>
    <w:p w:rsidR="00EA265F" w:rsidRDefault="00EA265F" w:rsidP="00AF0BE5">
      <w:pPr>
        <w:pStyle w:val="Captionheading"/>
        <w:spacing w:before="240" w:after="120"/>
        <w:rPr>
          <w:vertAlign w:val="superscript"/>
        </w:rPr>
      </w:pPr>
      <w:r w:rsidRPr="00FC5643">
        <w:t xml:space="preserve">Table </w:t>
      </w:r>
      <w:r>
        <w:t>A1</w:t>
      </w:r>
      <w:r w:rsidR="006C4475">
        <w:t>: A living wage for artists</w:t>
      </w:r>
      <w:r w:rsidR="00EA5685">
        <w:t>—</w:t>
      </w:r>
      <w:r>
        <w:t xml:space="preserve">Fiscal </w:t>
      </w:r>
      <w:proofErr w:type="gramStart"/>
      <w:r>
        <w:t>balance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a)</w:t>
      </w:r>
      <w:r w:rsidR="00B4297E">
        <w:rPr>
          <w:vertAlign w:val="superscript"/>
        </w:rPr>
        <w:t>(b)</w:t>
      </w:r>
    </w:p>
    <w:tbl>
      <w:tblPr>
        <w:tblStyle w:val="TableGrid"/>
        <w:tblW w:w="4995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Look w:val="04A0" w:firstRow="1" w:lastRow="0" w:firstColumn="1" w:lastColumn="0" w:noHBand="0" w:noVBand="1"/>
      </w:tblPr>
      <w:tblGrid>
        <w:gridCol w:w="2645"/>
        <w:gridCol w:w="1134"/>
        <w:gridCol w:w="1134"/>
        <w:gridCol w:w="1134"/>
        <w:gridCol w:w="1134"/>
        <w:gridCol w:w="1134"/>
      </w:tblGrid>
      <w:tr w:rsidR="006C4475" w:rsidRPr="00EF1D6A" w:rsidTr="00BA43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6C4475" w:rsidRPr="00B20BF8" w:rsidRDefault="006C4475" w:rsidP="00B20BF8">
            <w:pPr>
              <w:pStyle w:val="TableText"/>
              <w:keepNext/>
              <w:keepLines/>
              <w:spacing w:line="240" w:lineRule="auto"/>
              <w:ind w:left="57" w:right="57"/>
              <w:rPr>
                <w:rFonts w:ascii="Calibri" w:hAnsi="Calibri"/>
                <w:szCs w:val="20"/>
              </w:rPr>
            </w:pPr>
            <w:r w:rsidRPr="00B20BF8">
              <w:rPr>
                <w:rFonts w:ascii="Calibri" w:hAnsi="Calibri"/>
                <w:szCs w:val="20"/>
              </w:rPr>
              <w:t>($m)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6C4475" w:rsidRPr="00B20BF8" w:rsidRDefault="006C4475" w:rsidP="00B20BF8">
            <w:pPr>
              <w:pStyle w:val="TableHeadingCentred"/>
              <w:spacing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B20BF8">
              <w:t>2016–17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6C4475" w:rsidRPr="00B20BF8" w:rsidRDefault="006C4475" w:rsidP="00B20BF8">
            <w:pPr>
              <w:pStyle w:val="TableHeadingCentred"/>
              <w:spacing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B20BF8">
              <w:t>2017–18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6C4475" w:rsidRPr="00B20BF8" w:rsidRDefault="006C4475" w:rsidP="00B20BF8">
            <w:pPr>
              <w:pStyle w:val="TableHeadingCentred"/>
              <w:spacing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B20BF8">
              <w:t>2018–19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6C4475" w:rsidRPr="00B20BF8" w:rsidRDefault="006C4475" w:rsidP="00B20BF8">
            <w:pPr>
              <w:pStyle w:val="TableHeadingCentred"/>
              <w:spacing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B20BF8">
              <w:t>2019–20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6C4475" w:rsidRPr="00AE30B5" w:rsidRDefault="006C4475" w:rsidP="00B20BF8">
            <w:pPr>
              <w:pStyle w:val="TableHeadingCentred"/>
              <w:spacing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  <w:vertAlign w:val="superscript"/>
              </w:rPr>
            </w:pPr>
            <w:r w:rsidRPr="00AE30B5">
              <w:rPr>
                <w:b/>
              </w:rPr>
              <w:t>Total</w:t>
            </w:r>
            <w:r w:rsidRPr="00AE30B5">
              <w:rPr>
                <w:b/>
                <w:szCs w:val="20"/>
              </w:rPr>
              <w:t xml:space="preserve"> to 2019–20</w:t>
            </w:r>
          </w:p>
        </w:tc>
      </w:tr>
      <w:tr w:rsidR="006C4475" w:rsidRPr="0066665A" w:rsidTr="00BA4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6C4475" w:rsidRPr="006C4475" w:rsidRDefault="006C4475" w:rsidP="00B20BF8">
            <w:pPr>
              <w:pStyle w:val="TableTextRight"/>
              <w:spacing w:line="240" w:lineRule="auto"/>
              <w:ind w:left="57" w:right="57"/>
              <w:jc w:val="left"/>
              <w:rPr>
                <w:i w:val="0"/>
              </w:rPr>
            </w:pPr>
            <w:r w:rsidRPr="006C4475">
              <w:rPr>
                <w:i w:val="0"/>
              </w:rPr>
              <w:t>Revenue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6C4475" w:rsidRPr="006C4475" w:rsidRDefault="006C4475" w:rsidP="00B20BF8">
            <w:pPr>
              <w:pStyle w:val="TableTextRight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  <w:r w:rsidRPr="006C4475">
              <w:rPr>
                <w:i w:val="0"/>
              </w:rPr>
              <w:t>-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6C4475" w:rsidRPr="006C4475" w:rsidRDefault="006C4475" w:rsidP="00B20BF8">
            <w:pPr>
              <w:pStyle w:val="TableTextRight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  <w:r w:rsidRPr="006C4475">
              <w:rPr>
                <w:i w:val="0"/>
              </w:rPr>
              <w:t>-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6C4475" w:rsidRPr="006C4475" w:rsidRDefault="006C4475" w:rsidP="00B20BF8">
            <w:pPr>
              <w:pStyle w:val="TableTextRight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  <w:r w:rsidRPr="006C4475">
              <w:rPr>
                <w:i w:val="0"/>
              </w:rPr>
              <w:t>..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6C4475" w:rsidRPr="006C4475" w:rsidRDefault="006C4475" w:rsidP="00B20BF8">
            <w:pPr>
              <w:pStyle w:val="TableTextRight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  <w:r w:rsidRPr="006C4475">
              <w:rPr>
                <w:i w:val="0"/>
              </w:rPr>
              <w:t>..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6C4475" w:rsidRPr="006C4475" w:rsidRDefault="006C4475" w:rsidP="00B20BF8">
            <w:pPr>
              <w:pStyle w:val="TableTextRight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 w:val="0"/>
              </w:rPr>
            </w:pPr>
            <w:r w:rsidRPr="006C4475">
              <w:rPr>
                <w:b/>
                <w:i w:val="0"/>
              </w:rPr>
              <w:t>..</w:t>
            </w:r>
          </w:p>
        </w:tc>
      </w:tr>
      <w:tr w:rsidR="006C4475" w:rsidRPr="0066665A" w:rsidTr="00F60F7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6C4475" w:rsidRPr="006C4475" w:rsidRDefault="00D2489C" w:rsidP="00B20BF8">
            <w:pPr>
              <w:pStyle w:val="TableTextRight"/>
              <w:spacing w:line="240" w:lineRule="auto"/>
              <w:ind w:left="57" w:right="57"/>
              <w:jc w:val="left"/>
              <w:rPr>
                <w:i w:val="0"/>
              </w:rPr>
            </w:pPr>
            <w:r>
              <w:rPr>
                <w:i w:val="0"/>
              </w:rPr>
              <w:t xml:space="preserve">Administered </w:t>
            </w:r>
            <w:r w:rsidR="006C4475" w:rsidRPr="006C4475">
              <w:rPr>
                <w:i w:val="0"/>
              </w:rPr>
              <w:t>Expense</w:t>
            </w:r>
            <w:r w:rsidR="00264198">
              <w:rPr>
                <w:i w:val="0"/>
              </w:rPr>
              <w:t>s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6C4475" w:rsidRPr="006C4475" w:rsidRDefault="006C4475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6C4475">
              <w:rPr>
                <w:i w:val="0"/>
              </w:rPr>
              <w:t>-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6C4475" w:rsidRPr="006C4475" w:rsidRDefault="006C4475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6C4475">
              <w:rPr>
                <w:i w:val="0"/>
              </w:rPr>
              <w:t>-2</w:t>
            </w:r>
            <w:r w:rsidR="00D2489C">
              <w:rPr>
                <w:i w:val="0"/>
              </w:rPr>
              <w:t>5</w:t>
            </w:r>
            <w:r w:rsidRPr="006C4475">
              <w:rPr>
                <w:i w:val="0"/>
              </w:rPr>
              <w:t>.0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6C4475" w:rsidRPr="006C4475" w:rsidRDefault="006C4475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6C4475">
              <w:rPr>
                <w:i w:val="0"/>
              </w:rPr>
              <w:t>-2</w:t>
            </w:r>
            <w:r w:rsidR="00D2489C">
              <w:rPr>
                <w:i w:val="0"/>
              </w:rPr>
              <w:t>0</w:t>
            </w:r>
            <w:r w:rsidRPr="006C4475">
              <w:rPr>
                <w:i w:val="0"/>
              </w:rPr>
              <w:t>.0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6C4475" w:rsidRPr="006C4475" w:rsidRDefault="006C4475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6C4475">
              <w:rPr>
                <w:i w:val="0"/>
              </w:rPr>
              <w:t>-2</w:t>
            </w:r>
            <w:r w:rsidR="00D2489C">
              <w:rPr>
                <w:i w:val="0"/>
              </w:rPr>
              <w:t>0</w:t>
            </w:r>
            <w:r w:rsidRPr="006C4475">
              <w:rPr>
                <w:i w:val="0"/>
              </w:rPr>
              <w:t>.0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6C4475" w:rsidRPr="006C4475" w:rsidRDefault="006C4475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6C4475">
              <w:rPr>
                <w:b/>
                <w:i w:val="0"/>
              </w:rPr>
              <w:t>-</w:t>
            </w:r>
            <w:r w:rsidR="00D2489C">
              <w:rPr>
                <w:b/>
                <w:i w:val="0"/>
              </w:rPr>
              <w:t>65</w:t>
            </w:r>
            <w:r w:rsidRPr="006C4475">
              <w:rPr>
                <w:b/>
                <w:i w:val="0"/>
              </w:rPr>
              <w:t>.0</w:t>
            </w:r>
          </w:p>
        </w:tc>
      </w:tr>
      <w:tr w:rsidR="006C4475" w:rsidRPr="006C4475" w:rsidTr="0074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C4475" w:rsidRPr="006C4475" w:rsidRDefault="006C4475" w:rsidP="00B20BF8">
            <w:pPr>
              <w:pStyle w:val="TableTextRight"/>
              <w:spacing w:line="240" w:lineRule="auto"/>
              <w:ind w:left="57" w:right="57"/>
              <w:jc w:val="left"/>
            </w:pPr>
            <w:r w:rsidRPr="006C4475">
              <w:t>Centrelink mutual obligation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C4475" w:rsidRPr="006C4475" w:rsidRDefault="006C4475" w:rsidP="00B20BF8">
            <w:pPr>
              <w:pStyle w:val="TableTextRight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4475">
              <w:t>-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C4475" w:rsidRPr="006C4475" w:rsidRDefault="006C4475" w:rsidP="00B20BF8">
            <w:pPr>
              <w:pStyle w:val="TableTextRight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4475">
              <w:t>-15.0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C4475" w:rsidRPr="006C4475" w:rsidRDefault="006C4475" w:rsidP="00B20BF8">
            <w:pPr>
              <w:pStyle w:val="TableTextRight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4475">
              <w:t>-15.0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C4475" w:rsidRPr="006C4475" w:rsidRDefault="006C4475" w:rsidP="00B20BF8">
            <w:pPr>
              <w:pStyle w:val="TableTextRight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4475">
              <w:t>-15.0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C4475" w:rsidRPr="006C4475" w:rsidRDefault="006C4475" w:rsidP="00B20BF8">
            <w:pPr>
              <w:pStyle w:val="TableTextRight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C4475">
              <w:rPr>
                <w:b/>
              </w:rPr>
              <w:t>-45.0</w:t>
            </w:r>
          </w:p>
        </w:tc>
      </w:tr>
      <w:tr w:rsidR="006C4475" w:rsidRPr="006C4475" w:rsidTr="00BA43B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C4475" w:rsidRPr="006C4475" w:rsidRDefault="006C4475" w:rsidP="00B20BF8">
            <w:pPr>
              <w:pStyle w:val="TableTextRight"/>
              <w:spacing w:line="240" w:lineRule="auto"/>
              <w:ind w:left="57" w:right="57"/>
              <w:jc w:val="left"/>
            </w:pPr>
            <w:r>
              <w:t>S</w:t>
            </w:r>
            <w:r w:rsidRPr="006C4475">
              <w:t>uperannuation supplement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C4475" w:rsidRPr="006C4475" w:rsidRDefault="006C4475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4475">
              <w:t>-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C4475" w:rsidRPr="006C4475" w:rsidRDefault="006C4475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4475">
              <w:t>-10.0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C4475" w:rsidRPr="006C4475" w:rsidRDefault="006C4475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4475">
              <w:t>-5.0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C4475" w:rsidRPr="006C4475" w:rsidRDefault="006C4475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4475">
              <w:t>-5.0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C4475" w:rsidRPr="006C4475" w:rsidRDefault="006C4475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C4475">
              <w:rPr>
                <w:b/>
              </w:rPr>
              <w:t>-20.0</w:t>
            </w:r>
          </w:p>
        </w:tc>
      </w:tr>
      <w:tr w:rsidR="006C4475" w:rsidRPr="006C4475" w:rsidTr="00BA4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6C4475" w:rsidRPr="00264198" w:rsidRDefault="006C4475" w:rsidP="00B20BF8">
            <w:pPr>
              <w:pStyle w:val="TableTextRight"/>
              <w:spacing w:line="240" w:lineRule="auto"/>
              <w:ind w:left="57" w:right="57"/>
              <w:jc w:val="left"/>
              <w:rPr>
                <w:i w:val="0"/>
              </w:rPr>
            </w:pPr>
            <w:r w:rsidRPr="00264198">
              <w:rPr>
                <w:i w:val="0"/>
              </w:rPr>
              <w:t>Departmental</w:t>
            </w:r>
            <w:r w:rsidR="00D2489C">
              <w:rPr>
                <w:i w:val="0"/>
              </w:rPr>
              <w:t xml:space="preserve"> Expense</w:t>
            </w:r>
            <w:r w:rsidR="00264198">
              <w:rPr>
                <w:i w:val="0"/>
              </w:rPr>
              <w:t>s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6C4475" w:rsidRPr="00264198" w:rsidRDefault="006C4475" w:rsidP="00B20BF8">
            <w:pPr>
              <w:pStyle w:val="TableTextRight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  <w:r w:rsidRPr="00264198">
              <w:rPr>
                <w:i w:val="0"/>
              </w:rPr>
              <w:t>-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6C4475" w:rsidRPr="00264198" w:rsidRDefault="006C4475" w:rsidP="00B20BF8">
            <w:pPr>
              <w:pStyle w:val="TableTextRight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  <w:r w:rsidRPr="00264198">
              <w:rPr>
                <w:i w:val="0"/>
              </w:rPr>
              <w:t>-3.0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6C4475" w:rsidRPr="00264198" w:rsidRDefault="006C4475" w:rsidP="00B20BF8">
            <w:pPr>
              <w:pStyle w:val="TableTextRight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  <w:r w:rsidRPr="00264198">
              <w:rPr>
                <w:i w:val="0"/>
              </w:rPr>
              <w:t>-3.0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6C4475" w:rsidRPr="00264198" w:rsidRDefault="006C4475" w:rsidP="00B20BF8">
            <w:pPr>
              <w:pStyle w:val="TableTextRight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  <w:r w:rsidRPr="00264198">
              <w:rPr>
                <w:i w:val="0"/>
              </w:rPr>
              <w:t>-3.0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6C4475" w:rsidRPr="00BA43B2" w:rsidRDefault="006C4475" w:rsidP="00B20BF8">
            <w:pPr>
              <w:pStyle w:val="TableTextRight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 w:val="0"/>
              </w:rPr>
            </w:pPr>
            <w:r w:rsidRPr="00264198">
              <w:rPr>
                <w:b/>
                <w:i w:val="0"/>
              </w:rPr>
              <w:t>-9</w:t>
            </w:r>
            <w:r w:rsidRPr="00BA43B2">
              <w:rPr>
                <w:b/>
                <w:i w:val="0"/>
              </w:rPr>
              <w:t>.0</w:t>
            </w:r>
          </w:p>
        </w:tc>
      </w:tr>
      <w:tr w:rsidR="006C4475" w:rsidRPr="006C4475" w:rsidTr="00747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6C4475" w:rsidRPr="006C4475" w:rsidRDefault="006C4475" w:rsidP="00B20BF8">
            <w:pPr>
              <w:pStyle w:val="TableTextRight"/>
              <w:spacing w:line="240" w:lineRule="auto"/>
              <w:ind w:left="57" w:right="57"/>
              <w:jc w:val="left"/>
              <w:rPr>
                <w:b/>
                <w:i w:val="0"/>
              </w:rPr>
            </w:pPr>
            <w:r w:rsidRPr="006C4475">
              <w:rPr>
                <w:b/>
                <w:i w:val="0"/>
              </w:rPr>
              <w:t>Total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6C4475" w:rsidRPr="006C4475" w:rsidRDefault="006C4475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6C4475">
              <w:rPr>
                <w:b/>
                <w:i w:val="0"/>
              </w:rPr>
              <w:t>-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6C4475" w:rsidRPr="006C4475" w:rsidRDefault="006C4475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6C4475">
              <w:rPr>
                <w:b/>
                <w:i w:val="0"/>
              </w:rPr>
              <w:t>-28.0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6C4475" w:rsidRPr="006C4475" w:rsidRDefault="006C4475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6C4475">
              <w:rPr>
                <w:b/>
                <w:i w:val="0"/>
              </w:rPr>
              <w:t>-23.0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6C4475" w:rsidRPr="006C4475" w:rsidRDefault="006C4475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6C4475">
              <w:rPr>
                <w:b/>
                <w:i w:val="0"/>
              </w:rPr>
              <w:t>-23.0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6C4475" w:rsidRPr="006C4475" w:rsidRDefault="006C4475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6C4475">
              <w:rPr>
                <w:b/>
                <w:i w:val="0"/>
              </w:rPr>
              <w:t>-74.0</w:t>
            </w:r>
          </w:p>
        </w:tc>
      </w:tr>
    </w:tbl>
    <w:p w:rsidR="006C4475" w:rsidRPr="006C4475" w:rsidRDefault="006C4475" w:rsidP="00B20BF8">
      <w:pPr>
        <w:pStyle w:val="TableText"/>
        <w:numPr>
          <w:ilvl w:val="0"/>
          <w:numId w:val="36"/>
        </w:numPr>
        <w:ind w:left="284" w:right="0" w:hanging="284"/>
      </w:pPr>
      <w:r w:rsidRPr="006C4475">
        <w:t xml:space="preserve">A positive number for the fiscal balance indicates an increase in revenue or a decrease in expenses or net capital investment in accrual terms.  A negative number for the fiscal balance indicates a decrease in revenue or an increase in expenses or net capital investment in accrual terms.   </w:t>
      </w:r>
    </w:p>
    <w:p w:rsidR="006C4475" w:rsidRPr="006C4475" w:rsidRDefault="006C4475" w:rsidP="00B20BF8">
      <w:pPr>
        <w:pStyle w:val="TableText"/>
        <w:numPr>
          <w:ilvl w:val="0"/>
          <w:numId w:val="36"/>
        </w:numPr>
        <w:ind w:left="284" w:right="0" w:hanging="284"/>
      </w:pPr>
      <w:r w:rsidRPr="006C4475">
        <w:t>Figures may not sum to totals due to rounding.</w:t>
      </w:r>
    </w:p>
    <w:p w:rsidR="006C4475" w:rsidRPr="006C4475" w:rsidRDefault="006C4475" w:rsidP="00B20BF8">
      <w:pPr>
        <w:pStyle w:val="TableText"/>
        <w:numPr>
          <w:ilvl w:val="0"/>
          <w:numId w:val="18"/>
        </w:numPr>
        <w:spacing w:before="120"/>
        <w:ind w:left="284" w:right="0" w:hanging="284"/>
      </w:pPr>
      <w:r w:rsidRPr="006C4475">
        <w:t>Indicates a nil value.</w:t>
      </w:r>
    </w:p>
    <w:p w:rsidR="006C4475" w:rsidRPr="006C4475" w:rsidRDefault="006C4475" w:rsidP="00B20BF8">
      <w:pPr>
        <w:pStyle w:val="TableText"/>
        <w:spacing w:before="120"/>
        <w:ind w:left="284" w:right="0" w:hanging="284"/>
      </w:pPr>
      <w:r w:rsidRPr="006C4475">
        <w:t>..</w:t>
      </w:r>
      <w:r w:rsidR="00B20BF8">
        <w:tab/>
      </w:r>
      <w:r w:rsidRPr="006C4475">
        <w:t>Indicates the value is not zero but rounded to zero.</w:t>
      </w:r>
    </w:p>
    <w:p w:rsidR="006C4475" w:rsidRDefault="006C4475" w:rsidP="006C4475">
      <w:pPr>
        <w:pStyle w:val="Captionheading"/>
        <w:spacing w:before="240" w:after="120"/>
        <w:rPr>
          <w:vertAlign w:val="superscript"/>
        </w:rPr>
      </w:pPr>
      <w:r w:rsidRPr="00FC5643">
        <w:t xml:space="preserve">Table </w:t>
      </w:r>
      <w:r>
        <w:t>A2: A living wage for artists</w:t>
      </w:r>
      <w:r w:rsidRPr="00393BB6">
        <w:t xml:space="preserve"> </w:t>
      </w:r>
      <w:r>
        <w:t xml:space="preserve">—Underlying cash </w:t>
      </w:r>
      <w:proofErr w:type="gramStart"/>
      <w:r>
        <w:t>balance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a)(b)</w:t>
      </w:r>
    </w:p>
    <w:tbl>
      <w:tblPr>
        <w:tblStyle w:val="TableGrid"/>
        <w:tblW w:w="4995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Look w:val="04A0" w:firstRow="1" w:lastRow="0" w:firstColumn="1" w:lastColumn="0" w:noHBand="0" w:noVBand="1"/>
      </w:tblPr>
      <w:tblGrid>
        <w:gridCol w:w="2645"/>
        <w:gridCol w:w="1134"/>
        <w:gridCol w:w="1134"/>
        <w:gridCol w:w="1134"/>
        <w:gridCol w:w="1134"/>
        <w:gridCol w:w="1134"/>
      </w:tblGrid>
      <w:tr w:rsidR="006C4475" w:rsidRPr="00EF1D6A" w:rsidTr="00BA43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6C4475" w:rsidRPr="00B20BF8" w:rsidRDefault="006C4475" w:rsidP="00B20BF8">
            <w:pPr>
              <w:pStyle w:val="TableText"/>
              <w:keepNext/>
              <w:keepLines/>
              <w:spacing w:line="240" w:lineRule="auto"/>
              <w:ind w:left="57" w:right="57"/>
              <w:rPr>
                <w:rFonts w:ascii="Calibri" w:hAnsi="Calibri"/>
                <w:szCs w:val="20"/>
              </w:rPr>
            </w:pPr>
            <w:r w:rsidRPr="00B20BF8">
              <w:rPr>
                <w:rFonts w:ascii="Calibri" w:hAnsi="Calibri"/>
                <w:szCs w:val="20"/>
              </w:rPr>
              <w:t>($m)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6C4475" w:rsidRPr="00B20BF8" w:rsidRDefault="006C4475" w:rsidP="00B20BF8">
            <w:pPr>
              <w:pStyle w:val="TableHeadingCentred"/>
              <w:spacing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B20BF8">
              <w:t>2016–17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6C4475" w:rsidRPr="00B20BF8" w:rsidRDefault="006C4475" w:rsidP="00B20BF8">
            <w:pPr>
              <w:pStyle w:val="TableHeadingCentred"/>
              <w:spacing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B20BF8">
              <w:t>2017–18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6C4475" w:rsidRPr="00B20BF8" w:rsidRDefault="006C4475" w:rsidP="00B20BF8">
            <w:pPr>
              <w:pStyle w:val="TableHeadingCentred"/>
              <w:spacing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B20BF8">
              <w:t>2018–19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6C4475" w:rsidRPr="00B20BF8" w:rsidRDefault="006C4475" w:rsidP="00B20BF8">
            <w:pPr>
              <w:pStyle w:val="TableHeadingCentred"/>
              <w:spacing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B20BF8">
              <w:t>2019–20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6C4475" w:rsidRPr="00AE30B5" w:rsidRDefault="006C4475" w:rsidP="00B20BF8">
            <w:pPr>
              <w:pStyle w:val="TableHeadingCentred"/>
              <w:spacing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  <w:vertAlign w:val="superscript"/>
              </w:rPr>
            </w:pPr>
            <w:r w:rsidRPr="00AE30B5">
              <w:rPr>
                <w:b/>
              </w:rPr>
              <w:t>Total</w:t>
            </w:r>
            <w:r w:rsidRPr="00AE30B5">
              <w:rPr>
                <w:b/>
                <w:szCs w:val="20"/>
              </w:rPr>
              <w:t xml:space="preserve"> to 2019–20</w:t>
            </w:r>
          </w:p>
        </w:tc>
      </w:tr>
      <w:tr w:rsidR="006C4475" w:rsidRPr="0066665A" w:rsidTr="00BA4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6C4475" w:rsidRPr="006C4475" w:rsidRDefault="00264198" w:rsidP="00B20BF8">
            <w:pPr>
              <w:pStyle w:val="TableTextRight"/>
              <w:spacing w:line="240" w:lineRule="auto"/>
              <w:ind w:left="57" w:right="57"/>
              <w:jc w:val="left"/>
              <w:rPr>
                <w:i w:val="0"/>
              </w:rPr>
            </w:pPr>
            <w:r>
              <w:rPr>
                <w:i w:val="0"/>
              </w:rPr>
              <w:t>Receipts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6C4475" w:rsidRPr="006C4475" w:rsidRDefault="006C4475" w:rsidP="00B20BF8">
            <w:pPr>
              <w:pStyle w:val="TableTextRight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  <w:r w:rsidRPr="006C4475">
              <w:rPr>
                <w:i w:val="0"/>
              </w:rPr>
              <w:t>-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6C4475" w:rsidRPr="006C4475" w:rsidRDefault="006C4475" w:rsidP="00B20BF8">
            <w:pPr>
              <w:pStyle w:val="TableTextRight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  <w:r w:rsidRPr="006C4475">
              <w:rPr>
                <w:i w:val="0"/>
              </w:rPr>
              <w:t>-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6C4475" w:rsidRPr="006C4475" w:rsidRDefault="006C4475" w:rsidP="00B20BF8">
            <w:pPr>
              <w:pStyle w:val="TableTextRight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  <w:r w:rsidRPr="006C4475">
              <w:rPr>
                <w:i w:val="0"/>
              </w:rPr>
              <w:t>..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6C4475" w:rsidRPr="006C4475" w:rsidRDefault="006C4475" w:rsidP="00B20BF8">
            <w:pPr>
              <w:pStyle w:val="TableTextRight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  <w:r w:rsidRPr="006C4475">
              <w:rPr>
                <w:i w:val="0"/>
              </w:rPr>
              <w:t>..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6C4475" w:rsidRPr="006C4475" w:rsidRDefault="006C4475" w:rsidP="00B20BF8">
            <w:pPr>
              <w:pStyle w:val="TableTextRight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 w:val="0"/>
              </w:rPr>
            </w:pPr>
            <w:r w:rsidRPr="006C4475">
              <w:rPr>
                <w:b/>
                <w:i w:val="0"/>
              </w:rPr>
              <w:t>..</w:t>
            </w:r>
          </w:p>
        </w:tc>
      </w:tr>
      <w:tr w:rsidR="006C4475" w:rsidRPr="0066665A" w:rsidTr="00F60F7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6C4475" w:rsidRPr="006C4475" w:rsidRDefault="00DC7095" w:rsidP="00B20BF8">
            <w:pPr>
              <w:pStyle w:val="TableTextRight"/>
              <w:spacing w:line="240" w:lineRule="auto"/>
              <w:ind w:left="57" w:right="57"/>
              <w:jc w:val="left"/>
              <w:rPr>
                <w:i w:val="0"/>
              </w:rPr>
            </w:pPr>
            <w:r>
              <w:rPr>
                <w:i w:val="0"/>
              </w:rPr>
              <w:t xml:space="preserve">Administered </w:t>
            </w:r>
            <w:r w:rsidR="00264198">
              <w:rPr>
                <w:i w:val="0"/>
              </w:rPr>
              <w:t>Outlays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6C4475" w:rsidRPr="006C4475" w:rsidRDefault="006C4475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6C4475">
              <w:rPr>
                <w:i w:val="0"/>
              </w:rPr>
              <w:t>-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6C4475" w:rsidRPr="006C4475" w:rsidRDefault="006C4475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6C4475">
              <w:rPr>
                <w:i w:val="0"/>
              </w:rPr>
              <w:t>-</w:t>
            </w:r>
            <w:r w:rsidR="00264198" w:rsidRPr="006C4475">
              <w:rPr>
                <w:i w:val="0"/>
              </w:rPr>
              <w:t>1</w:t>
            </w:r>
            <w:r w:rsidR="00264198">
              <w:rPr>
                <w:i w:val="0"/>
              </w:rPr>
              <w:t>5</w:t>
            </w:r>
            <w:r w:rsidRPr="006C4475">
              <w:rPr>
                <w:i w:val="0"/>
              </w:rPr>
              <w:t>.0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6C4475" w:rsidRPr="006C4475" w:rsidRDefault="006C4475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6C4475">
              <w:rPr>
                <w:i w:val="0"/>
              </w:rPr>
              <w:t>-</w:t>
            </w:r>
            <w:r w:rsidR="00264198" w:rsidRPr="006C4475">
              <w:rPr>
                <w:i w:val="0"/>
              </w:rPr>
              <w:t>2</w:t>
            </w:r>
            <w:r w:rsidR="00264198">
              <w:rPr>
                <w:i w:val="0"/>
              </w:rPr>
              <w:t>0</w:t>
            </w:r>
            <w:r w:rsidRPr="006C4475">
              <w:rPr>
                <w:i w:val="0"/>
              </w:rPr>
              <w:t>.0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6C4475" w:rsidRPr="006C4475" w:rsidRDefault="006C4475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6C4475">
              <w:rPr>
                <w:i w:val="0"/>
              </w:rPr>
              <w:t>-</w:t>
            </w:r>
            <w:r w:rsidR="00264198" w:rsidRPr="006C4475">
              <w:rPr>
                <w:i w:val="0"/>
              </w:rPr>
              <w:t>2</w:t>
            </w:r>
            <w:r w:rsidR="00264198">
              <w:rPr>
                <w:i w:val="0"/>
              </w:rPr>
              <w:t>0</w:t>
            </w:r>
            <w:r w:rsidRPr="006C4475">
              <w:rPr>
                <w:i w:val="0"/>
              </w:rPr>
              <w:t>.0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6C4475" w:rsidRPr="006C4475" w:rsidRDefault="006C4475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6C4475">
              <w:rPr>
                <w:b/>
                <w:i w:val="0"/>
              </w:rPr>
              <w:t>-</w:t>
            </w:r>
            <w:r w:rsidR="00264198">
              <w:rPr>
                <w:b/>
                <w:i w:val="0"/>
              </w:rPr>
              <w:t>55</w:t>
            </w:r>
            <w:r w:rsidRPr="006C4475">
              <w:rPr>
                <w:b/>
                <w:i w:val="0"/>
              </w:rPr>
              <w:t>.0</w:t>
            </w:r>
          </w:p>
        </w:tc>
      </w:tr>
      <w:tr w:rsidR="006C4475" w:rsidRPr="006C4475" w:rsidTr="0074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C4475" w:rsidRPr="006C4475" w:rsidRDefault="006C4475" w:rsidP="00B20BF8">
            <w:pPr>
              <w:pStyle w:val="TableTextRight"/>
              <w:spacing w:line="240" w:lineRule="auto"/>
              <w:ind w:left="57" w:right="57"/>
              <w:jc w:val="left"/>
            </w:pPr>
            <w:r w:rsidRPr="006C4475">
              <w:t>Centrelink mutual obligation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C4475" w:rsidRPr="006C4475" w:rsidRDefault="006C4475" w:rsidP="00B20BF8">
            <w:pPr>
              <w:pStyle w:val="TableTextRight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4475">
              <w:t>-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C4475" w:rsidRPr="006C4475" w:rsidRDefault="006C4475" w:rsidP="00B20BF8">
            <w:pPr>
              <w:pStyle w:val="TableTextRight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4475">
              <w:t>-15.0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C4475" w:rsidRPr="006C4475" w:rsidRDefault="006C4475" w:rsidP="00B20BF8">
            <w:pPr>
              <w:pStyle w:val="TableTextRight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4475">
              <w:t>-15.0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C4475" w:rsidRPr="006C4475" w:rsidRDefault="006C4475" w:rsidP="00B20BF8">
            <w:pPr>
              <w:pStyle w:val="TableTextRight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4475">
              <w:t>-15.0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C4475" w:rsidRPr="006C4475" w:rsidRDefault="006C4475" w:rsidP="00B20BF8">
            <w:pPr>
              <w:pStyle w:val="TableTextRight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C4475">
              <w:rPr>
                <w:b/>
              </w:rPr>
              <w:t>-45.0</w:t>
            </w:r>
          </w:p>
        </w:tc>
      </w:tr>
      <w:tr w:rsidR="006C4475" w:rsidRPr="006C4475" w:rsidTr="00BA43B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C4475" w:rsidRPr="006C4475" w:rsidRDefault="006C4475" w:rsidP="00B20BF8">
            <w:pPr>
              <w:pStyle w:val="TableTextRight"/>
              <w:spacing w:line="240" w:lineRule="auto"/>
              <w:ind w:left="57" w:right="57"/>
              <w:jc w:val="left"/>
            </w:pPr>
            <w:r>
              <w:t>S</w:t>
            </w:r>
            <w:r w:rsidRPr="006C4475">
              <w:t>uperannuation supplement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C4475" w:rsidRPr="006C4475" w:rsidRDefault="006C4475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4475">
              <w:t>-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C4475" w:rsidRPr="006C4475" w:rsidRDefault="006C4475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4475">
              <w:t>-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C4475" w:rsidRPr="006C4475" w:rsidRDefault="006C4475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4475">
              <w:t>-5.0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C4475" w:rsidRPr="006C4475" w:rsidRDefault="006C4475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4475">
              <w:t>-5.0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C4475" w:rsidRPr="006C4475" w:rsidRDefault="006C4475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C4475">
              <w:rPr>
                <w:b/>
              </w:rPr>
              <w:t>-10.0</w:t>
            </w:r>
          </w:p>
        </w:tc>
      </w:tr>
      <w:tr w:rsidR="006C4475" w:rsidRPr="006C4475" w:rsidTr="00BA4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6C4475" w:rsidRPr="00BA43B2" w:rsidRDefault="006C4475" w:rsidP="00B20BF8">
            <w:pPr>
              <w:pStyle w:val="TableTextRight"/>
              <w:spacing w:line="240" w:lineRule="auto"/>
              <w:ind w:left="57" w:right="57"/>
              <w:jc w:val="left"/>
              <w:rPr>
                <w:i w:val="0"/>
              </w:rPr>
            </w:pPr>
            <w:r w:rsidRPr="00BA43B2">
              <w:rPr>
                <w:i w:val="0"/>
              </w:rPr>
              <w:t>Departmental</w:t>
            </w:r>
            <w:r w:rsidR="00264198">
              <w:rPr>
                <w:i w:val="0"/>
              </w:rPr>
              <w:t xml:space="preserve"> Outlays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6C4475" w:rsidRPr="00BA43B2" w:rsidRDefault="006C4475" w:rsidP="00B20BF8">
            <w:pPr>
              <w:pStyle w:val="TableTextRight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  <w:r w:rsidRPr="00BA43B2">
              <w:rPr>
                <w:i w:val="0"/>
              </w:rPr>
              <w:t>-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6C4475" w:rsidRPr="00BA43B2" w:rsidRDefault="006C4475" w:rsidP="00B20BF8">
            <w:pPr>
              <w:pStyle w:val="TableTextRight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  <w:r w:rsidRPr="00BA43B2">
              <w:rPr>
                <w:i w:val="0"/>
              </w:rPr>
              <w:t>-3.0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6C4475" w:rsidRPr="00BA43B2" w:rsidRDefault="006C4475" w:rsidP="00B20BF8">
            <w:pPr>
              <w:pStyle w:val="TableTextRight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  <w:r w:rsidRPr="00BA43B2">
              <w:rPr>
                <w:i w:val="0"/>
              </w:rPr>
              <w:t>-3.0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6C4475" w:rsidRPr="00BA43B2" w:rsidRDefault="006C4475" w:rsidP="00B20BF8">
            <w:pPr>
              <w:pStyle w:val="TableTextRight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  <w:r w:rsidRPr="00BA43B2">
              <w:rPr>
                <w:i w:val="0"/>
              </w:rPr>
              <w:t>-3.0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6C4475" w:rsidRPr="00BA43B2" w:rsidRDefault="006C4475" w:rsidP="00B20BF8">
            <w:pPr>
              <w:pStyle w:val="TableTextRight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 w:val="0"/>
              </w:rPr>
            </w:pPr>
            <w:r w:rsidRPr="00BA43B2">
              <w:rPr>
                <w:b/>
                <w:i w:val="0"/>
              </w:rPr>
              <w:t>-9.0</w:t>
            </w:r>
          </w:p>
        </w:tc>
      </w:tr>
      <w:tr w:rsidR="006C4475" w:rsidRPr="006C4475" w:rsidTr="00747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6C4475" w:rsidRPr="006C4475" w:rsidRDefault="006C4475" w:rsidP="00B20BF8">
            <w:pPr>
              <w:pStyle w:val="TableTextRight"/>
              <w:spacing w:line="240" w:lineRule="auto"/>
              <w:ind w:left="57" w:right="57"/>
              <w:jc w:val="left"/>
              <w:rPr>
                <w:b/>
                <w:i w:val="0"/>
              </w:rPr>
            </w:pPr>
            <w:r w:rsidRPr="006C4475">
              <w:rPr>
                <w:b/>
                <w:i w:val="0"/>
              </w:rPr>
              <w:t>Total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6C4475" w:rsidRPr="006C4475" w:rsidRDefault="006C4475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6C4475">
              <w:rPr>
                <w:b/>
                <w:i w:val="0"/>
              </w:rPr>
              <w:t>-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6C4475" w:rsidRPr="006C4475" w:rsidRDefault="006C4475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6C4475">
              <w:rPr>
                <w:b/>
                <w:i w:val="0"/>
              </w:rPr>
              <w:t>-18.0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6C4475" w:rsidRPr="006C4475" w:rsidRDefault="006C4475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6C4475">
              <w:rPr>
                <w:b/>
                <w:i w:val="0"/>
              </w:rPr>
              <w:t>-23.0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6C4475" w:rsidRPr="006C4475" w:rsidRDefault="006C4475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6C4475">
              <w:rPr>
                <w:b/>
                <w:i w:val="0"/>
              </w:rPr>
              <w:t>-23.0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6C4475" w:rsidRPr="006C4475" w:rsidRDefault="006C4475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6C4475">
              <w:rPr>
                <w:b/>
                <w:i w:val="0"/>
              </w:rPr>
              <w:t>-64.0</w:t>
            </w:r>
          </w:p>
        </w:tc>
      </w:tr>
    </w:tbl>
    <w:p w:rsidR="006C4475" w:rsidRPr="00DB3B7E" w:rsidRDefault="006C4475" w:rsidP="00B20BF8">
      <w:pPr>
        <w:pStyle w:val="TableText"/>
        <w:numPr>
          <w:ilvl w:val="0"/>
          <w:numId w:val="40"/>
        </w:numPr>
        <w:ind w:left="284" w:right="0" w:hanging="284"/>
      </w:pPr>
      <w:r w:rsidRPr="00DB3B7E">
        <w:t xml:space="preserve">A positive number for the underlying cash balance indicates an increase in receipts or a decrease in outlays or net capital investment in cash terms. </w:t>
      </w:r>
      <w:r>
        <w:t xml:space="preserve"> </w:t>
      </w:r>
      <w:r w:rsidRPr="00DB3B7E">
        <w:t xml:space="preserve">A negative number for the </w:t>
      </w:r>
      <w:r>
        <w:t>underlying cash</w:t>
      </w:r>
      <w:r w:rsidRPr="00DB3B7E">
        <w:t xml:space="preserve"> balance indicates a decrease in receipts or an increase in outlays or net capital investment in cash terms.</w:t>
      </w:r>
    </w:p>
    <w:p w:rsidR="006C4475" w:rsidRPr="006C4475" w:rsidRDefault="006C4475" w:rsidP="00B20BF8">
      <w:pPr>
        <w:pStyle w:val="TableText"/>
        <w:numPr>
          <w:ilvl w:val="0"/>
          <w:numId w:val="36"/>
        </w:numPr>
        <w:ind w:left="284" w:right="0" w:hanging="284"/>
      </w:pPr>
      <w:r w:rsidRPr="006C4475">
        <w:t>Figures may not sum to totals due to rounding.</w:t>
      </w:r>
    </w:p>
    <w:p w:rsidR="006C4475" w:rsidRPr="006C4475" w:rsidRDefault="006C4475" w:rsidP="00B20BF8">
      <w:pPr>
        <w:pStyle w:val="TableText"/>
        <w:numPr>
          <w:ilvl w:val="0"/>
          <w:numId w:val="18"/>
        </w:numPr>
        <w:spacing w:before="120"/>
        <w:ind w:left="284" w:right="0" w:hanging="284"/>
      </w:pPr>
      <w:r w:rsidRPr="006C4475">
        <w:t>Indicates a nil value.</w:t>
      </w:r>
    </w:p>
    <w:p w:rsidR="006C4475" w:rsidRPr="006C4475" w:rsidRDefault="006C4475" w:rsidP="00B20BF8">
      <w:pPr>
        <w:pStyle w:val="TableText"/>
        <w:spacing w:before="120"/>
        <w:ind w:left="284" w:right="0" w:hanging="284"/>
      </w:pPr>
      <w:r w:rsidRPr="006C4475">
        <w:t>..</w:t>
      </w:r>
      <w:r w:rsidR="00B20BF8">
        <w:tab/>
      </w:r>
      <w:r w:rsidRPr="006C4475">
        <w:t>Indicates the value is not zero but rounded to zero.</w:t>
      </w:r>
    </w:p>
    <w:p w:rsidR="00300F3E" w:rsidRPr="005C354E" w:rsidRDefault="00DE1DFD" w:rsidP="00300F3E">
      <w:pPr>
        <w:pStyle w:val="Captionheading"/>
      </w:pPr>
      <w:r>
        <w:lastRenderedPageBreak/>
        <w:t xml:space="preserve">Table </w:t>
      </w:r>
      <w:r w:rsidR="00553FF8">
        <w:t>A3</w:t>
      </w:r>
      <w:r>
        <w:t xml:space="preserve">:  </w:t>
      </w:r>
      <w:r w:rsidR="00300F3E">
        <w:t>Component 1:</w:t>
      </w:r>
      <w:r w:rsidR="00300F3E" w:rsidRPr="00617B23">
        <w:t xml:space="preserve"> </w:t>
      </w:r>
      <w:r w:rsidR="00300F3E">
        <w:t>Centrelink mutual obligation</w:t>
      </w:r>
      <w:r w:rsidR="00FB3C19">
        <w:t xml:space="preserve"> requirement</w:t>
      </w:r>
      <w:r w:rsidR="00300F3E" w:rsidRPr="005C354E">
        <w:t>—Financial implications</w:t>
      </w:r>
      <w:r w:rsidR="000F7916">
        <w:t xml:space="preserve"> (outturn prices</w:t>
      </w:r>
      <w:proofErr w:type="gramStart"/>
      <w:r w:rsidR="000F7916">
        <w:t>)</w:t>
      </w:r>
      <w:r w:rsidR="00300F3E" w:rsidRPr="005C354E">
        <w:rPr>
          <w:vertAlign w:val="superscript"/>
        </w:rPr>
        <w:t>(</w:t>
      </w:r>
      <w:proofErr w:type="gramEnd"/>
      <w:r w:rsidR="00300F3E" w:rsidRPr="005C354E">
        <w:rPr>
          <w:vertAlign w:val="superscript"/>
        </w:rPr>
        <w:t>a)(b)</w:t>
      </w:r>
    </w:p>
    <w:tbl>
      <w:tblPr>
        <w:tblStyle w:val="TableGrid"/>
        <w:tblW w:w="4995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Look w:val="04A0" w:firstRow="1" w:lastRow="0" w:firstColumn="1" w:lastColumn="0" w:noHBand="0" w:noVBand="1"/>
      </w:tblPr>
      <w:tblGrid>
        <w:gridCol w:w="2645"/>
        <w:gridCol w:w="1134"/>
        <w:gridCol w:w="1134"/>
        <w:gridCol w:w="1134"/>
        <w:gridCol w:w="1134"/>
        <w:gridCol w:w="1134"/>
      </w:tblGrid>
      <w:tr w:rsidR="00300F3E" w:rsidRPr="00EF1D6A" w:rsidTr="00747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300F3E" w:rsidRPr="00B20BF8" w:rsidRDefault="00300F3E" w:rsidP="00B20BF8">
            <w:pPr>
              <w:pStyle w:val="TableText"/>
              <w:keepNext/>
              <w:keepLines/>
              <w:spacing w:line="240" w:lineRule="auto"/>
              <w:ind w:left="57" w:right="57"/>
              <w:rPr>
                <w:rFonts w:ascii="Calibri" w:hAnsi="Calibri"/>
                <w:szCs w:val="20"/>
              </w:rPr>
            </w:pPr>
            <w:r w:rsidRPr="00B20BF8">
              <w:rPr>
                <w:rFonts w:ascii="Calibri" w:hAnsi="Calibri"/>
                <w:szCs w:val="20"/>
              </w:rPr>
              <w:t>($m)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300F3E" w:rsidRPr="00B20BF8" w:rsidRDefault="00300F3E" w:rsidP="00B20BF8">
            <w:pPr>
              <w:pStyle w:val="TableHeadingCentred"/>
              <w:spacing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B20BF8">
              <w:t>2016–17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300F3E" w:rsidRPr="00B20BF8" w:rsidRDefault="00300F3E" w:rsidP="00B20BF8">
            <w:pPr>
              <w:pStyle w:val="TableHeadingCentred"/>
              <w:spacing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B20BF8">
              <w:t>2017–18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300F3E" w:rsidRPr="00B20BF8" w:rsidRDefault="00300F3E" w:rsidP="00B20BF8">
            <w:pPr>
              <w:pStyle w:val="TableHeadingCentred"/>
              <w:spacing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B20BF8">
              <w:t>2018–19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300F3E" w:rsidRPr="00B20BF8" w:rsidRDefault="00300F3E" w:rsidP="00B20BF8">
            <w:pPr>
              <w:pStyle w:val="TableHeadingCentred"/>
              <w:spacing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B20BF8">
              <w:t>2019–20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300F3E" w:rsidRPr="00AE30B5" w:rsidRDefault="00300F3E" w:rsidP="00B20BF8">
            <w:pPr>
              <w:pStyle w:val="TableHeadingCentred"/>
              <w:spacing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  <w:vertAlign w:val="superscript"/>
              </w:rPr>
            </w:pPr>
            <w:r w:rsidRPr="00AE30B5">
              <w:rPr>
                <w:b/>
              </w:rPr>
              <w:t>Total</w:t>
            </w:r>
            <w:r w:rsidRPr="00AE30B5">
              <w:rPr>
                <w:b/>
                <w:szCs w:val="20"/>
              </w:rPr>
              <w:t xml:space="preserve"> to 2019–20</w:t>
            </w:r>
          </w:p>
        </w:tc>
      </w:tr>
      <w:tr w:rsidR="00FB3C19" w:rsidRPr="00AE30B5" w:rsidTr="00FB3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9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FB3C19" w:rsidRPr="00AE30B5" w:rsidRDefault="00FB3C19" w:rsidP="00B20BF8">
            <w:pPr>
              <w:pStyle w:val="TableHeadingCentred"/>
              <w:spacing w:line="240" w:lineRule="auto"/>
              <w:ind w:left="57" w:right="57"/>
              <w:jc w:val="left"/>
              <w:rPr>
                <w:b/>
              </w:rPr>
            </w:pPr>
            <w:r>
              <w:rPr>
                <w:b/>
              </w:rPr>
              <w:t>Impact on f</w:t>
            </w:r>
            <w:r w:rsidRPr="00AE30B5">
              <w:rPr>
                <w:b/>
              </w:rPr>
              <w:t>isc</w:t>
            </w:r>
            <w:r>
              <w:rPr>
                <w:b/>
              </w:rPr>
              <w:t>al and underlying cash balances</w:t>
            </w:r>
          </w:p>
        </w:tc>
      </w:tr>
      <w:tr w:rsidR="00300F3E" w:rsidRPr="0066665A" w:rsidTr="00BA43B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300F3E" w:rsidRPr="006C4475" w:rsidRDefault="00300F3E" w:rsidP="00B20BF8">
            <w:pPr>
              <w:pStyle w:val="TableTextRight"/>
              <w:spacing w:line="240" w:lineRule="auto"/>
              <w:ind w:left="57" w:right="57"/>
              <w:jc w:val="left"/>
              <w:rPr>
                <w:i w:val="0"/>
              </w:rPr>
            </w:pPr>
            <w:r w:rsidRPr="006C4475">
              <w:rPr>
                <w:i w:val="0"/>
              </w:rPr>
              <w:t>Expense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300F3E" w:rsidRPr="00300F3E" w:rsidRDefault="00300F3E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300F3E">
              <w:rPr>
                <w:i w:val="0"/>
              </w:rPr>
              <w:t xml:space="preserve"> -  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300F3E" w:rsidRPr="00300F3E" w:rsidRDefault="00300F3E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300F3E">
              <w:rPr>
                <w:i w:val="0"/>
              </w:rPr>
              <w:t xml:space="preserve">-17.0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300F3E" w:rsidRPr="00300F3E" w:rsidRDefault="00300F3E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300F3E">
              <w:rPr>
                <w:i w:val="0"/>
              </w:rPr>
              <w:t xml:space="preserve">-17.0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300F3E" w:rsidRPr="00300F3E" w:rsidRDefault="00300F3E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300F3E">
              <w:rPr>
                <w:i w:val="0"/>
              </w:rPr>
              <w:t xml:space="preserve">-17.0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300F3E" w:rsidRPr="00300F3E" w:rsidRDefault="00300F3E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300F3E">
              <w:rPr>
                <w:b/>
                <w:i w:val="0"/>
              </w:rPr>
              <w:t xml:space="preserve">-51.0 </w:t>
            </w:r>
          </w:p>
        </w:tc>
      </w:tr>
      <w:tr w:rsidR="00300F3E" w:rsidRPr="006C4475" w:rsidTr="0074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300F3E" w:rsidRPr="006C4475" w:rsidRDefault="00300F3E" w:rsidP="00B20BF8">
            <w:pPr>
              <w:pStyle w:val="TableTextRight"/>
              <w:spacing w:line="240" w:lineRule="auto"/>
              <w:ind w:left="57" w:right="57"/>
              <w:jc w:val="left"/>
            </w:pPr>
            <w:r>
              <w:t>Administered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300F3E" w:rsidRPr="00364F55" w:rsidRDefault="00300F3E" w:rsidP="00B20BF8">
            <w:pPr>
              <w:pStyle w:val="TableTextRight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4F55">
              <w:t xml:space="preserve"> -  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300F3E" w:rsidRPr="00364F55" w:rsidRDefault="00300F3E" w:rsidP="00B20BF8">
            <w:pPr>
              <w:pStyle w:val="TableTextRight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4F55">
              <w:t xml:space="preserve">-15.0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300F3E" w:rsidRPr="00364F55" w:rsidRDefault="00300F3E" w:rsidP="00B20BF8">
            <w:pPr>
              <w:pStyle w:val="TableTextRight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4F55">
              <w:t xml:space="preserve">-15.0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300F3E" w:rsidRPr="00364F55" w:rsidRDefault="00300F3E" w:rsidP="00B20BF8">
            <w:pPr>
              <w:pStyle w:val="TableTextRight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4F55">
              <w:t xml:space="preserve">-15.0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300F3E" w:rsidRPr="00300F3E" w:rsidRDefault="00300F3E" w:rsidP="00B20BF8">
            <w:pPr>
              <w:pStyle w:val="TableTextRight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00F3E">
              <w:rPr>
                <w:b/>
              </w:rPr>
              <w:t xml:space="preserve">-45.0 </w:t>
            </w:r>
          </w:p>
        </w:tc>
      </w:tr>
      <w:tr w:rsidR="00300F3E" w:rsidRPr="006C4475" w:rsidTr="00747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300F3E" w:rsidRPr="006C4475" w:rsidRDefault="00300F3E" w:rsidP="00B20BF8">
            <w:pPr>
              <w:pStyle w:val="TableTextRight"/>
              <w:spacing w:line="240" w:lineRule="auto"/>
              <w:ind w:left="57" w:right="57"/>
              <w:jc w:val="left"/>
            </w:pPr>
            <w:r w:rsidRPr="006C4475">
              <w:t>Departmental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300F3E" w:rsidRPr="00364F55" w:rsidRDefault="00300F3E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4F55">
              <w:t xml:space="preserve"> -  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300F3E" w:rsidRPr="00364F55" w:rsidRDefault="00300F3E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4F55">
              <w:t xml:space="preserve">-2.0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300F3E" w:rsidRPr="00364F55" w:rsidRDefault="00300F3E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4F55">
              <w:t xml:space="preserve">-2.0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300F3E" w:rsidRPr="00364F55" w:rsidRDefault="00300F3E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4F55">
              <w:t xml:space="preserve">-2.0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300F3E" w:rsidRPr="00300F3E" w:rsidRDefault="00300F3E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00F3E">
              <w:rPr>
                <w:b/>
              </w:rPr>
              <w:t xml:space="preserve">-6.0 </w:t>
            </w:r>
          </w:p>
        </w:tc>
      </w:tr>
      <w:tr w:rsidR="00300F3E" w:rsidRPr="006C4475" w:rsidTr="0074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300F3E" w:rsidRPr="006C4475" w:rsidRDefault="00300F3E" w:rsidP="00B20BF8">
            <w:pPr>
              <w:pStyle w:val="TableTextRight"/>
              <w:spacing w:line="240" w:lineRule="auto"/>
              <w:ind w:left="57" w:right="57"/>
              <w:jc w:val="left"/>
              <w:rPr>
                <w:b/>
                <w:i w:val="0"/>
              </w:rPr>
            </w:pPr>
            <w:r w:rsidRPr="006C4475">
              <w:rPr>
                <w:b/>
                <w:i w:val="0"/>
              </w:rPr>
              <w:t>Total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300F3E" w:rsidRPr="00300F3E" w:rsidRDefault="00300F3E" w:rsidP="00B20BF8">
            <w:pPr>
              <w:pStyle w:val="TableTextRight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 w:val="0"/>
              </w:rPr>
            </w:pPr>
            <w:r w:rsidRPr="00300F3E">
              <w:rPr>
                <w:b/>
                <w:i w:val="0"/>
              </w:rPr>
              <w:t>-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300F3E" w:rsidRPr="00300F3E" w:rsidRDefault="00300F3E" w:rsidP="00B20BF8">
            <w:pPr>
              <w:pStyle w:val="TableTextRight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 w:val="0"/>
              </w:rPr>
            </w:pPr>
            <w:r w:rsidRPr="00300F3E">
              <w:rPr>
                <w:b/>
                <w:i w:val="0"/>
              </w:rPr>
              <w:t xml:space="preserve">-17.0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300F3E" w:rsidRPr="00300F3E" w:rsidRDefault="00300F3E" w:rsidP="00B20BF8">
            <w:pPr>
              <w:pStyle w:val="TableTextRight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 w:val="0"/>
              </w:rPr>
            </w:pPr>
            <w:r w:rsidRPr="00300F3E">
              <w:rPr>
                <w:b/>
                <w:i w:val="0"/>
              </w:rPr>
              <w:t xml:space="preserve">-17.0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300F3E" w:rsidRPr="00300F3E" w:rsidRDefault="00300F3E" w:rsidP="00B20BF8">
            <w:pPr>
              <w:pStyle w:val="TableTextRight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 w:val="0"/>
              </w:rPr>
            </w:pPr>
            <w:r w:rsidRPr="00300F3E">
              <w:rPr>
                <w:b/>
                <w:i w:val="0"/>
              </w:rPr>
              <w:t xml:space="preserve">-17.0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300F3E" w:rsidRPr="00300F3E" w:rsidRDefault="00300F3E" w:rsidP="00B20BF8">
            <w:pPr>
              <w:pStyle w:val="TableTextRight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 w:val="0"/>
              </w:rPr>
            </w:pPr>
            <w:r w:rsidRPr="00300F3E">
              <w:rPr>
                <w:b/>
                <w:i w:val="0"/>
              </w:rPr>
              <w:t xml:space="preserve">-51.0 </w:t>
            </w:r>
          </w:p>
        </w:tc>
      </w:tr>
    </w:tbl>
    <w:p w:rsidR="00300F3E" w:rsidRPr="00300F3E" w:rsidRDefault="00300F3E" w:rsidP="00B20BF8">
      <w:pPr>
        <w:pStyle w:val="TableText"/>
        <w:numPr>
          <w:ilvl w:val="0"/>
          <w:numId w:val="42"/>
        </w:numPr>
        <w:ind w:left="284" w:right="0" w:hanging="284"/>
      </w:pPr>
      <w:r w:rsidRPr="00300F3E">
        <w:t>A negative number indicates a decrease in revenue or an increase in expenses or net capital investment in accrual and cash terms. The impacts on fiscal and underlying cash balances are equal.</w:t>
      </w:r>
    </w:p>
    <w:p w:rsidR="00300F3E" w:rsidRPr="00300F3E" w:rsidRDefault="00300F3E" w:rsidP="00B20BF8">
      <w:pPr>
        <w:pStyle w:val="TableText"/>
        <w:numPr>
          <w:ilvl w:val="0"/>
          <w:numId w:val="40"/>
        </w:numPr>
        <w:ind w:left="284" w:right="0" w:hanging="284"/>
      </w:pPr>
      <w:r w:rsidRPr="00300F3E">
        <w:t>Figures may not sum to total due to rounding.</w:t>
      </w:r>
    </w:p>
    <w:p w:rsidR="00300F3E" w:rsidRPr="006C4475" w:rsidRDefault="00300F3E" w:rsidP="00B20BF8">
      <w:pPr>
        <w:pStyle w:val="TableText"/>
        <w:numPr>
          <w:ilvl w:val="0"/>
          <w:numId w:val="18"/>
        </w:numPr>
        <w:spacing w:before="120"/>
        <w:ind w:left="284" w:right="0" w:hanging="284"/>
      </w:pPr>
      <w:r w:rsidRPr="006C4475">
        <w:t>Indicates a nil value.</w:t>
      </w:r>
    </w:p>
    <w:p w:rsidR="00A323A9" w:rsidRPr="00BD56F0" w:rsidRDefault="00A323A9" w:rsidP="00A323A9">
      <w:pPr>
        <w:keepNext/>
        <w:spacing w:before="340"/>
        <w:rPr>
          <w:b/>
          <w:bCs/>
          <w:color w:val="1F497D" w:themeColor="text2"/>
          <w:spacing w:val="-4"/>
        </w:rPr>
      </w:pPr>
      <w:r w:rsidRPr="00BD56F0">
        <w:rPr>
          <w:b/>
          <w:bCs/>
          <w:color w:val="1F497D" w:themeColor="text2"/>
          <w:spacing w:val="-4"/>
        </w:rPr>
        <w:t>Table A</w:t>
      </w:r>
      <w:r>
        <w:rPr>
          <w:b/>
          <w:bCs/>
          <w:color w:val="1F497D" w:themeColor="text2"/>
          <w:spacing w:val="-4"/>
        </w:rPr>
        <w:t xml:space="preserve">4: Component 2: </w:t>
      </w:r>
      <w:r w:rsidR="00FB3C19">
        <w:rPr>
          <w:b/>
          <w:bCs/>
          <w:color w:val="1F497D" w:themeColor="text2"/>
          <w:spacing w:val="-4"/>
        </w:rPr>
        <w:t>Low-income a</w:t>
      </w:r>
      <w:r>
        <w:rPr>
          <w:b/>
          <w:bCs/>
          <w:color w:val="1F497D" w:themeColor="text2"/>
          <w:spacing w:val="-4"/>
        </w:rPr>
        <w:t>rtist superannuation supplement</w:t>
      </w:r>
      <w:r w:rsidR="003D653F">
        <w:rPr>
          <w:b/>
          <w:bCs/>
          <w:color w:val="1F497D" w:themeColor="text2"/>
          <w:spacing w:val="-4"/>
        </w:rPr>
        <w:t>—Financial </w:t>
      </w:r>
      <w:proofErr w:type="gramStart"/>
      <w:r w:rsidRPr="005C354E">
        <w:rPr>
          <w:b/>
          <w:bCs/>
          <w:color w:val="1F497D" w:themeColor="text2"/>
          <w:spacing w:val="-4"/>
        </w:rPr>
        <w:t>implications</w:t>
      </w:r>
      <w:r w:rsidRPr="005C354E">
        <w:rPr>
          <w:b/>
          <w:bCs/>
          <w:color w:val="1F497D" w:themeColor="text2"/>
          <w:spacing w:val="-4"/>
          <w:vertAlign w:val="superscript"/>
        </w:rPr>
        <w:t>(</w:t>
      </w:r>
      <w:proofErr w:type="gramEnd"/>
      <w:r w:rsidRPr="005C354E">
        <w:rPr>
          <w:b/>
          <w:bCs/>
          <w:color w:val="1F497D" w:themeColor="text2"/>
          <w:spacing w:val="-4"/>
          <w:vertAlign w:val="superscript"/>
        </w:rPr>
        <w:t>a)(b)</w:t>
      </w:r>
    </w:p>
    <w:tbl>
      <w:tblPr>
        <w:tblStyle w:val="TableGrid4"/>
        <w:tblW w:w="5000" w:type="pct"/>
        <w:tblLook w:val="0680" w:firstRow="0" w:lastRow="0" w:firstColumn="1" w:lastColumn="0" w:noHBand="1" w:noVBand="1"/>
      </w:tblPr>
      <w:tblGrid>
        <w:gridCol w:w="2376"/>
        <w:gridCol w:w="1190"/>
        <w:gridCol w:w="1190"/>
        <w:gridCol w:w="1190"/>
        <w:gridCol w:w="1190"/>
        <w:gridCol w:w="1187"/>
      </w:tblGrid>
      <w:tr w:rsidR="00A323A9" w:rsidRPr="00BD56F0" w:rsidTr="00A323A9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pct"/>
            <w:shd w:val="clear" w:color="auto" w:fill="D7DDE9"/>
          </w:tcPr>
          <w:p w:rsidR="00A323A9" w:rsidRPr="007E13CE" w:rsidRDefault="00A323A9" w:rsidP="00B20BF8">
            <w:pPr>
              <w:spacing w:before="70" w:after="70" w:line="240" w:lineRule="auto"/>
              <w:ind w:left="57" w:right="57"/>
              <w:rPr>
                <w:rFonts w:asciiTheme="minorHAnsi" w:eastAsiaTheme="minorHAnsi" w:hAnsiTheme="minorHAnsi" w:cstheme="minorBidi"/>
                <w:szCs w:val="20"/>
                <w:lang w:eastAsia="en-US"/>
              </w:rPr>
            </w:pPr>
            <w:r w:rsidRPr="007E13CE">
              <w:rPr>
                <w:rFonts w:asciiTheme="minorHAnsi" w:eastAsiaTheme="minorHAnsi" w:hAnsiTheme="minorHAnsi" w:cstheme="minorBidi"/>
                <w:szCs w:val="20"/>
                <w:lang w:eastAsia="en-US"/>
              </w:rPr>
              <w:t>($m)</w:t>
            </w:r>
          </w:p>
        </w:tc>
        <w:tc>
          <w:tcPr>
            <w:tcW w:w="715" w:type="pct"/>
            <w:shd w:val="clear" w:color="auto" w:fill="D7DDE9"/>
          </w:tcPr>
          <w:p w:rsidR="00A323A9" w:rsidRPr="007E13CE" w:rsidRDefault="00A323A9" w:rsidP="00B20BF8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E13CE">
              <w:rPr>
                <w:szCs w:val="20"/>
              </w:rPr>
              <w:t>2016–17</w:t>
            </w:r>
          </w:p>
        </w:tc>
        <w:tc>
          <w:tcPr>
            <w:tcW w:w="715" w:type="pct"/>
            <w:shd w:val="clear" w:color="auto" w:fill="D7DDE9"/>
          </w:tcPr>
          <w:p w:rsidR="00A323A9" w:rsidRPr="007E13CE" w:rsidRDefault="00A323A9" w:rsidP="00B20BF8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E13CE">
              <w:rPr>
                <w:szCs w:val="20"/>
              </w:rPr>
              <w:t>2017–18</w:t>
            </w:r>
          </w:p>
        </w:tc>
        <w:tc>
          <w:tcPr>
            <w:tcW w:w="715" w:type="pct"/>
            <w:shd w:val="clear" w:color="auto" w:fill="D7DDE9"/>
          </w:tcPr>
          <w:p w:rsidR="00A323A9" w:rsidRPr="007E13CE" w:rsidRDefault="00A323A9" w:rsidP="00B20BF8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E13CE">
              <w:rPr>
                <w:szCs w:val="20"/>
              </w:rPr>
              <w:t>2018–19</w:t>
            </w:r>
          </w:p>
        </w:tc>
        <w:tc>
          <w:tcPr>
            <w:tcW w:w="715" w:type="pct"/>
            <w:shd w:val="clear" w:color="auto" w:fill="D7DDE9"/>
          </w:tcPr>
          <w:p w:rsidR="00A323A9" w:rsidRPr="007E13CE" w:rsidRDefault="00A323A9" w:rsidP="00B20BF8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E13CE">
              <w:rPr>
                <w:szCs w:val="20"/>
              </w:rPr>
              <w:t>2019–20</w:t>
            </w:r>
          </w:p>
        </w:tc>
        <w:tc>
          <w:tcPr>
            <w:tcW w:w="713" w:type="pct"/>
            <w:shd w:val="clear" w:color="auto" w:fill="D7DDE9"/>
          </w:tcPr>
          <w:p w:rsidR="00A323A9" w:rsidRPr="007E13CE" w:rsidRDefault="00A323A9" w:rsidP="00B20BF8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7E13CE">
              <w:rPr>
                <w:b/>
                <w:szCs w:val="20"/>
              </w:rPr>
              <w:t>Total to 2019–20</w:t>
            </w:r>
          </w:p>
        </w:tc>
      </w:tr>
      <w:tr w:rsidR="00A323A9" w:rsidRPr="00BD56F0" w:rsidTr="00747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E9ECF3"/>
          </w:tcPr>
          <w:p w:rsidR="00A323A9" w:rsidRPr="007E13CE" w:rsidRDefault="00A323A9" w:rsidP="00B20BF8">
            <w:pPr>
              <w:spacing w:before="70" w:after="70" w:line="240" w:lineRule="auto"/>
              <w:ind w:left="57" w:right="57"/>
              <w:rPr>
                <w:rFonts w:asciiTheme="minorHAnsi" w:eastAsiaTheme="minorHAnsi" w:hAnsiTheme="minorHAnsi"/>
                <w:b/>
                <w:szCs w:val="20"/>
                <w:lang w:eastAsia="en-US"/>
              </w:rPr>
            </w:pPr>
            <w:r w:rsidRPr="007E13CE">
              <w:rPr>
                <w:rFonts w:asciiTheme="minorHAnsi" w:eastAsiaTheme="minorHAnsi" w:hAnsiTheme="minorHAnsi"/>
                <w:b/>
                <w:szCs w:val="20"/>
                <w:lang w:eastAsia="en-US"/>
              </w:rPr>
              <w:t>Fiscal balance</w:t>
            </w:r>
          </w:p>
        </w:tc>
      </w:tr>
      <w:tr w:rsidR="00A323A9" w:rsidRPr="00BD56F0" w:rsidTr="00A323A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pct"/>
          </w:tcPr>
          <w:p w:rsidR="00A323A9" w:rsidRPr="00C17112" w:rsidRDefault="00A323A9" w:rsidP="00B20BF8">
            <w:pPr>
              <w:pStyle w:val="TableTextCentred"/>
              <w:keepNext/>
              <w:keepLines/>
              <w:spacing w:line="240" w:lineRule="auto"/>
              <w:ind w:left="57" w:right="57"/>
              <w:jc w:val="left"/>
              <w:rPr>
                <w:szCs w:val="20"/>
              </w:rPr>
            </w:pPr>
            <w:r>
              <w:rPr>
                <w:szCs w:val="20"/>
              </w:rPr>
              <w:t>Revenue</w:t>
            </w:r>
          </w:p>
        </w:tc>
        <w:tc>
          <w:tcPr>
            <w:tcW w:w="715" w:type="pct"/>
          </w:tcPr>
          <w:p w:rsidR="00A323A9" w:rsidRPr="00A323A9" w:rsidRDefault="00A323A9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A323A9">
              <w:rPr>
                <w:i w:val="0"/>
              </w:rPr>
              <w:t>-</w:t>
            </w:r>
          </w:p>
        </w:tc>
        <w:tc>
          <w:tcPr>
            <w:tcW w:w="715" w:type="pct"/>
          </w:tcPr>
          <w:p w:rsidR="00A323A9" w:rsidRPr="00A323A9" w:rsidRDefault="00A323A9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A323A9">
              <w:rPr>
                <w:i w:val="0"/>
              </w:rPr>
              <w:t>-</w:t>
            </w:r>
          </w:p>
        </w:tc>
        <w:tc>
          <w:tcPr>
            <w:tcW w:w="715" w:type="pct"/>
          </w:tcPr>
          <w:p w:rsidR="00A323A9" w:rsidRPr="00A323A9" w:rsidRDefault="00A323A9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A323A9">
              <w:rPr>
                <w:i w:val="0"/>
              </w:rPr>
              <w:t>..</w:t>
            </w:r>
          </w:p>
        </w:tc>
        <w:tc>
          <w:tcPr>
            <w:tcW w:w="715" w:type="pct"/>
          </w:tcPr>
          <w:p w:rsidR="00A323A9" w:rsidRPr="00A323A9" w:rsidRDefault="00A323A9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A323A9">
              <w:rPr>
                <w:i w:val="0"/>
              </w:rPr>
              <w:t>..</w:t>
            </w:r>
          </w:p>
        </w:tc>
        <w:tc>
          <w:tcPr>
            <w:tcW w:w="713" w:type="pct"/>
          </w:tcPr>
          <w:p w:rsidR="00A323A9" w:rsidRPr="00A323A9" w:rsidRDefault="00A323A9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A323A9">
              <w:rPr>
                <w:b/>
                <w:i w:val="0"/>
              </w:rPr>
              <w:t>..</w:t>
            </w:r>
          </w:p>
        </w:tc>
      </w:tr>
      <w:tr w:rsidR="00A323A9" w:rsidRPr="00BD56F0" w:rsidTr="00F60F7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pct"/>
            <w:shd w:val="clear" w:color="auto" w:fill="E9ECF3"/>
          </w:tcPr>
          <w:p w:rsidR="00A323A9" w:rsidRPr="00C17112" w:rsidRDefault="00A323A9" w:rsidP="00B20BF8">
            <w:pPr>
              <w:pStyle w:val="TableTextCentred"/>
              <w:keepNext/>
              <w:keepLines/>
              <w:spacing w:line="240" w:lineRule="auto"/>
              <w:ind w:left="57" w:right="57"/>
              <w:jc w:val="left"/>
              <w:rPr>
                <w:szCs w:val="20"/>
              </w:rPr>
            </w:pPr>
            <w:r>
              <w:rPr>
                <w:szCs w:val="20"/>
              </w:rPr>
              <w:t>Expense</w:t>
            </w:r>
          </w:p>
        </w:tc>
        <w:tc>
          <w:tcPr>
            <w:tcW w:w="715" w:type="pct"/>
            <w:shd w:val="clear" w:color="auto" w:fill="E9ECF3"/>
          </w:tcPr>
          <w:p w:rsidR="00A323A9" w:rsidRPr="00A323A9" w:rsidRDefault="00A323A9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A323A9">
              <w:rPr>
                <w:i w:val="0"/>
              </w:rPr>
              <w:t>-</w:t>
            </w:r>
          </w:p>
        </w:tc>
        <w:tc>
          <w:tcPr>
            <w:tcW w:w="715" w:type="pct"/>
            <w:shd w:val="clear" w:color="auto" w:fill="E9ECF3"/>
          </w:tcPr>
          <w:p w:rsidR="00A323A9" w:rsidRPr="00A323A9" w:rsidRDefault="00A323A9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A323A9">
              <w:rPr>
                <w:i w:val="0"/>
              </w:rPr>
              <w:t xml:space="preserve">-11.0 </w:t>
            </w:r>
          </w:p>
        </w:tc>
        <w:tc>
          <w:tcPr>
            <w:tcW w:w="715" w:type="pct"/>
            <w:shd w:val="clear" w:color="auto" w:fill="E9ECF3"/>
          </w:tcPr>
          <w:p w:rsidR="00A323A9" w:rsidRPr="00A323A9" w:rsidRDefault="00A323A9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A323A9">
              <w:rPr>
                <w:i w:val="0"/>
              </w:rPr>
              <w:t xml:space="preserve">-6.0 </w:t>
            </w:r>
          </w:p>
        </w:tc>
        <w:tc>
          <w:tcPr>
            <w:tcW w:w="715" w:type="pct"/>
            <w:shd w:val="clear" w:color="auto" w:fill="E9ECF3"/>
          </w:tcPr>
          <w:p w:rsidR="00A323A9" w:rsidRPr="00A323A9" w:rsidRDefault="00A323A9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A323A9">
              <w:rPr>
                <w:i w:val="0"/>
              </w:rPr>
              <w:t xml:space="preserve">-6.0 </w:t>
            </w:r>
          </w:p>
        </w:tc>
        <w:tc>
          <w:tcPr>
            <w:tcW w:w="713" w:type="pct"/>
            <w:shd w:val="clear" w:color="auto" w:fill="E9ECF3"/>
          </w:tcPr>
          <w:p w:rsidR="00A323A9" w:rsidRPr="00A323A9" w:rsidRDefault="00A323A9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A323A9">
              <w:rPr>
                <w:b/>
                <w:i w:val="0"/>
              </w:rPr>
              <w:t xml:space="preserve">-23.0 </w:t>
            </w:r>
          </w:p>
        </w:tc>
      </w:tr>
      <w:tr w:rsidR="00A323A9" w:rsidRPr="00BD56F0" w:rsidTr="00A323A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pct"/>
          </w:tcPr>
          <w:p w:rsidR="00A323A9" w:rsidRPr="00A323A9" w:rsidRDefault="00A323A9" w:rsidP="00B20BF8">
            <w:pPr>
              <w:spacing w:before="70" w:after="70" w:line="240" w:lineRule="auto"/>
              <w:ind w:left="57" w:right="57"/>
              <w:rPr>
                <w:i/>
                <w:szCs w:val="20"/>
              </w:rPr>
            </w:pPr>
            <w:r w:rsidRPr="00A323A9">
              <w:rPr>
                <w:rFonts w:asciiTheme="minorHAnsi" w:eastAsiaTheme="minorHAnsi" w:hAnsiTheme="minorHAnsi" w:cstheme="minorBidi"/>
                <w:i/>
                <w:szCs w:val="20"/>
                <w:lang w:eastAsia="en-US"/>
              </w:rPr>
              <w:t>Administered</w:t>
            </w:r>
          </w:p>
        </w:tc>
        <w:tc>
          <w:tcPr>
            <w:tcW w:w="715" w:type="pct"/>
          </w:tcPr>
          <w:p w:rsidR="00A323A9" w:rsidRPr="007F0D0F" w:rsidRDefault="00A323A9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0D0F">
              <w:t>-</w:t>
            </w:r>
          </w:p>
        </w:tc>
        <w:tc>
          <w:tcPr>
            <w:tcW w:w="715" w:type="pct"/>
          </w:tcPr>
          <w:p w:rsidR="00A323A9" w:rsidRPr="007F0D0F" w:rsidRDefault="00A323A9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0D0F">
              <w:t xml:space="preserve">-10.0 </w:t>
            </w:r>
          </w:p>
        </w:tc>
        <w:tc>
          <w:tcPr>
            <w:tcW w:w="715" w:type="pct"/>
          </w:tcPr>
          <w:p w:rsidR="00A323A9" w:rsidRPr="007F0D0F" w:rsidRDefault="00A323A9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0D0F">
              <w:t xml:space="preserve">-5.0 </w:t>
            </w:r>
          </w:p>
        </w:tc>
        <w:tc>
          <w:tcPr>
            <w:tcW w:w="715" w:type="pct"/>
          </w:tcPr>
          <w:p w:rsidR="00A323A9" w:rsidRPr="007F0D0F" w:rsidRDefault="00A323A9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0D0F">
              <w:t xml:space="preserve">-5.0 </w:t>
            </w:r>
          </w:p>
        </w:tc>
        <w:tc>
          <w:tcPr>
            <w:tcW w:w="713" w:type="pct"/>
          </w:tcPr>
          <w:p w:rsidR="00A323A9" w:rsidRPr="00A323A9" w:rsidRDefault="00A323A9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323A9">
              <w:rPr>
                <w:b/>
              </w:rPr>
              <w:t xml:space="preserve">-20.0 </w:t>
            </w:r>
          </w:p>
        </w:tc>
      </w:tr>
      <w:tr w:rsidR="00A323A9" w:rsidRPr="00BD56F0" w:rsidTr="00A323A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pct"/>
          </w:tcPr>
          <w:p w:rsidR="00A323A9" w:rsidRPr="00A323A9" w:rsidRDefault="00A323A9" w:rsidP="00B20BF8">
            <w:pPr>
              <w:spacing w:before="70" w:after="70" w:line="240" w:lineRule="auto"/>
              <w:ind w:left="57" w:right="57"/>
              <w:rPr>
                <w:rFonts w:asciiTheme="minorHAnsi" w:eastAsiaTheme="minorHAnsi" w:hAnsiTheme="minorHAnsi" w:cstheme="minorBidi"/>
                <w:i/>
                <w:szCs w:val="20"/>
                <w:lang w:eastAsia="en-US"/>
              </w:rPr>
            </w:pPr>
            <w:r w:rsidRPr="00A323A9">
              <w:rPr>
                <w:rFonts w:asciiTheme="minorHAnsi" w:eastAsiaTheme="minorHAnsi" w:hAnsiTheme="minorHAnsi" w:cstheme="minorBidi"/>
                <w:i/>
                <w:szCs w:val="20"/>
                <w:lang w:eastAsia="en-US"/>
              </w:rPr>
              <w:t>Departmental</w:t>
            </w:r>
          </w:p>
        </w:tc>
        <w:tc>
          <w:tcPr>
            <w:tcW w:w="715" w:type="pct"/>
          </w:tcPr>
          <w:p w:rsidR="00A323A9" w:rsidRPr="007F0D0F" w:rsidRDefault="00A323A9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0D0F">
              <w:t>-</w:t>
            </w:r>
          </w:p>
        </w:tc>
        <w:tc>
          <w:tcPr>
            <w:tcW w:w="715" w:type="pct"/>
          </w:tcPr>
          <w:p w:rsidR="00A323A9" w:rsidRPr="007F0D0F" w:rsidRDefault="00A323A9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0D0F">
              <w:t xml:space="preserve">-1.0 </w:t>
            </w:r>
          </w:p>
        </w:tc>
        <w:tc>
          <w:tcPr>
            <w:tcW w:w="715" w:type="pct"/>
          </w:tcPr>
          <w:p w:rsidR="00A323A9" w:rsidRPr="007F0D0F" w:rsidRDefault="00A323A9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0D0F">
              <w:t xml:space="preserve">-1.0 </w:t>
            </w:r>
          </w:p>
        </w:tc>
        <w:tc>
          <w:tcPr>
            <w:tcW w:w="715" w:type="pct"/>
          </w:tcPr>
          <w:p w:rsidR="00A323A9" w:rsidRPr="007F0D0F" w:rsidRDefault="00A323A9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0D0F">
              <w:t xml:space="preserve">-1.0 </w:t>
            </w:r>
          </w:p>
        </w:tc>
        <w:tc>
          <w:tcPr>
            <w:tcW w:w="713" w:type="pct"/>
          </w:tcPr>
          <w:p w:rsidR="00A323A9" w:rsidRPr="00A323A9" w:rsidRDefault="00A323A9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323A9">
              <w:rPr>
                <w:b/>
              </w:rPr>
              <w:t xml:space="preserve">-3.0 </w:t>
            </w:r>
          </w:p>
        </w:tc>
      </w:tr>
      <w:tr w:rsidR="00A323A9" w:rsidRPr="00BD56F0" w:rsidTr="00A323A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pct"/>
            <w:shd w:val="clear" w:color="auto" w:fill="D7DDE9"/>
          </w:tcPr>
          <w:p w:rsidR="00A323A9" w:rsidRPr="007E13CE" w:rsidRDefault="00A323A9" w:rsidP="00B20BF8">
            <w:pPr>
              <w:spacing w:before="70" w:after="70" w:line="240" w:lineRule="auto"/>
              <w:ind w:left="57" w:right="57"/>
              <w:rPr>
                <w:rFonts w:asciiTheme="minorHAnsi" w:eastAsiaTheme="minorHAnsi" w:hAnsiTheme="minorHAnsi" w:cstheme="minorBidi"/>
                <w:b/>
                <w:szCs w:val="20"/>
                <w:lang w:eastAsia="en-US"/>
              </w:rPr>
            </w:pPr>
            <w:r w:rsidRPr="007E13CE">
              <w:rPr>
                <w:rFonts w:asciiTheme="minorHAnsi" w:eastAsiaTheme="minorHAnsi" w:hAnsiTheme="minorHAnsi" w:cstheme="minorBidi"/>
                <w:b/>
                <w:szCs w:val="20"/>
                <w:lang w:eastAsia="en-US"/>
              </w:rPr>
              <w:t>Total</w:t>
            </w:r>
          </w:p>
        </w:tc>
        <w:tc>
          <w:tcPr>
            <w:tcW w:w="715" w:type="pct"/>
            <w:shd w:val="clear" w:color="auto" w:fill="D7DDE9"/>
          </w:tcPr>
          <w:p w:rsidR="00A323A9" w:rsidRPr="00A323A9" w:rsidRDefault="00A323A9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A323A9">
              <w:rPr>
                <w:b/>
                <w:i w:val="0"/>
              </w:rPr>
              <w:t>-</w:t>
            </w:r>
          </w:p>
        </w:tc>
        <w:tc>
          <w:tcPr>
            <w:tcW w:w="715" w:type="pct"/>
            <w:shd w:val="clear" w:color="auto" w:fill="D7DDE9"/>
          </w:tcPr>
          <w:p w:rsidR="00A323A9" w:rsidRPr="00A323A9" w:rsidRDefault="00A323A9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A323A9">
              <w:rPr>
                <w:b/>
                <w:i w:val="0"/>
              </w:rPr>
              <w:t>-11.0</w:t>
            </w:r>
          </w:p>
        </w:tc>
        <w:tc>
          <w:tcPr>
            <w:tcW w:w="715" w:type="pct"/>
            <w:shd w:val="clear" w:color="auto" w:fill="D7DDE9"/>
          </w:tcPr>
          <w:p w:rsidR="00A323A9" w:rsidRPr="00A323A9" w:rsidRDefault="00A323A9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A323A9">
              <w:rPr>
                <w:b/>
                <w:i w:val="0"/>
              </w:rPr>
              <w:t>-6.0</w:t>
            </w:r>
          </w:p>
        </w:tc>
        <w:tc>
          <w:tcPr>
            <w:tcW w:w="715" w:type="pct"/>
            <w:shd w:val="clear" w:color="auto" w:fill="D7DDE9"/>
          </w:tcPr>
          <w:p w:rsidR="00A323A9" w:rsidRPr="00A323A9" w:rsidRDefault="00A323A9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A323A9">
              <w:rPr>
                <w:b/>
                <w:i w:val="0"/>
              </w:rPr>
              <w:t>-6.0</w:t>
            </w:r>
          </w:p>
        </w:tc>
        <w:tc>
          <w:tcPr>
            <w:tcW w:w="713" w:type="pct"/>
            <w:shd w:val="clear" w:color="auto" w:fill="D7DDE9"/>
          </w:tcPr>
          <w:p w:rsidR="00A323A9" w:rsidRPr="00A323A9" w:rsidRDefault="00A323A9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A323A9">
              <w:rPr>
                <w:b/>
                <w:i w:val="0"/>
              </w:rPr>
              <w:t>-23.0</w:t>
            </w:r>
          </w:p>
        </w:tc>
      </w:tr>
      <w:tr w:rsidR="00A323A9" w:rsidRPr="00BD56F0" w:rsidTr="00747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E9ECF3"/>
          </w:tcPr>
          <w:p w:rsidR="00A323A9" w:rsidRPr="007E13CE" w:rsidRDefault="00A323A9" w:rsidP="00B20BF8">
            <w:pPr>
              <w:spacing w:before="70" w:after="70" w:line="240" w:lineRule="auto"/>
              <w:ind w:left="57" w:right="57"/>
              <w:rPr>
                <w:rFonts w:asciiTheme="minorHAnsi" w:eastAsiaTheme="minorHAnsi" w:hAnsiTheme="minorHAnsi"/>
                <w:b/>
                <w:szCs w:val="20"/>
                <w:lang w:eastAsia="en-US"/>
              </w:rPr>
            </w:pPr>
            <w:r w:rsidRPr="007E13CE">
              <w:rPr>
                <w:rFonts w:asciiTheme="minorHAnsi" w:eastAsiaTheme="minorHAnsi" w:hAnsiTheme="minorHAnsi"/>
                <w:b/>
                <w:szCs w:val="20"/>
                <w:lang w:eastAsia="en-US"/>
              </w:rPr>
              <w:t>Underlying cash balance</w:t>
            </w:r>
          </w:p>
        </w:tc>
      </w:tr>
      <w:tr w:rsidR="00A323A9" w:rsidRPr="00BD56F0" w:rsidTr="00A323A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pct"/>
          </w:tcPr>
          <w:p w:rsidR="00A323A9" w:rsidRPr="00C17112" w:rsidRDefault="00A323A9" w:rsidP="00B20BF8">
            <w:pPr>
              <w:pStyle w:val="TableTextCentred"/>
              <w:keepNext/>
              <w:keepLines/>
              <w:spacing w:line="240" w:lineRule="auto"/>
              <w:ind w:left="57" w:right="57"/>
              <w:jc w:val="left"/>
              <w:rPr>
                <w:szCs w:val="20"/>
              </w:rPr>
            </w:pPr>
            <w:r>
              <w:rPr>
                <w:szCs w:val="20"/>
              </w:rPr>
              <w:t>Receipts</w:t>
            </w:r>
          </w:p>
        </w:tc>
        <w:tc>
          <w:tcPr>
            <w:tcW w:w="715" w:type="pct"/>
          </w:tcPr>
          <w:p w:rsidR="00A323A9" w:rsidRPr="00A323A9" w:rsidRDefault="00A323A9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A323A9">
              <w:rPr>
                <w:i w:val="0"/>
              </w:rPr>
              <w:t>-</w:t>
            </w:r>
          </w:p>
        </w:tc>
        <w:tc>
          <w:tcPr>
            <w:tcW w:w="715" w:type="pct"/>
          </w:tcPr>
          <w:p w:rsidR="00A323A9" w:rsidRPr="00A323A9" w:rsidRDefault="00A323A9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A323A9">
              <w:rPr>
                <w:i w:val="0"/>
              </w:rPr>
              <w:t>-</w:t>
            </w:r>
          </w:p>
        </w:tc>
        <w:tc>
          <w:tcPr>
            <w:tcW w:w="715" w:type="pct"/>
          </w:tcPr>
          <w:p w:rsidR="00A323A9" w:rsidRPr="00A323A9" w:rsidRDefault="00A323A9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A323A9">
              <w:rPr>
                <w:i w:val="0"/>
              </w:rPr>
              <w:t>..</w:t>
            </w:r>
          </w:p>
        </w:tc>
        <w:tc>
          <w:tcPr>
            <w:tcW w:w="715" w:type="pct"/>
          </w:tcPr>
          <w:p w:rsidR="00A323A9" w:rsidRPr="00A323A9" w:rsidRDefault="00A323A9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A323A9">
              <w:rPr>
                <w:i w:val="0"/>
              </w:rPr>
              <w:t>..</w:t>
            </w:r>
          </w:p>
        </w:tc>
        <w:tc>
          <w:tcPr>
            <w:tcW w:w="713" w:type="pct"/>
          </w:tcPr>
          <w:p w:rsidR="00A323A9" w:rsidRPr="00A323A9" w:rsidRDefault="00A323A9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A323A9">
              <w:rPr>
                <w:b/>
                <w:i w:val="0"/>
              </w:rPr>
              <w:t>..</w:t>
            </w:r>
          </w:p>
        </w:tc>
      </w:tr>
      <w:tr w:rsidR="00A323A9" w:rsidRPr="00BD56F0" w:rsidTr="00F60F7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pct"/>
            <w:shd w:val="clear" w:color="auto" w:fill="E9ECF3"/>
          </w:tcPr>
          <w:p w:rsidR="00A323A9" w:rsidRPr="00C17112" w:rsidRDefault="00A323A9" w:rsidP="00B20BF8">
            <w:pPr>
              <w:pStyle w:val="TableTextCentred"/>
              <w:keepNext/>
              <w:keepLines/>
              <w:spacing w:line="240" w:lineRule="auto"/>
              <w:ind w:left="57" w:right="57"/>
              <w:jc w:val="left"/>
              <w:rPr>
                <w:szCs w:val="20"/>
              </w:rPr>
            </w:pPr>
            <w:r>
              <w:rPr>
                <w:szCs w:val="20"/>
              </w:rPr>
              <w:t>Outlays</w:t>
            </w:r>
          </w:p>
        </w:tc>
        <w:tc>
          <w:tcPr>
            <w:tcW w:w="715" w:type="pct"/>
            <w:shd w:val="clear" w:color="auto" w:fill="E9ECF3"/>
          </w:tcPr>
          <w:p w:rsidR="00A323A9" w:rsidRPr="00A323A9" w:rsidRDefault="00A323A9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A323A9">
              <w:rPr>
                <w:i w:val="0"/>
              </w:rPr>
              <w:t>-</w:t>
            </w:r>
          </w:p>
        </w:tc>
        <w:tc>
          <w:tcPr>
            <w:tcW w:w="715" w:type="pct"/>
            <w:shd w:val="clear" w:color="auto" w:fill="E9ECF3"/>
          </w:tcPr>
          <w:p w:rsidR="00A323A9" w:rsidRPr="00A323A9" w:rsidRDefault="00A323A9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A323A9">
              <w:rPr>
                <w:i w:val="0"/>
              </w:rPr>
              <w:t>-1.0</w:t>
            </w:r>
          </w:p>
        </w:tc>
        <w:tc>
          <w:tcPr>
            <w:tcW w:w="715" w:type="pct"/>
            <w:shd w:val="clear" w:color="auto" w:fill="E9ECF3"/>
          </w:tcPr>
          <w:p w:rsidR="00A323A9" w:rsidRPr="00A323A9" w:rsidRDefault="00A323A9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A323A9">
              <w:rPr>
                <w:i w:val="0"/>
              </w:rPr>
              <w:t>-6.0</w:t>
            </w:r>
          </w:p>
        </w:tc>
        <w:tc>
          <w:tcPr>
            <w:tcW w:w="715" w:type="pct"/>
            <w:shd w:val="clear" w:color="auto" w:fill="E9ECF3"/>
          </w:tcPr>
          <w:p w:rsidR="00A323A9" w:rsidRPr="00A323A9" w:rsidRDefault="00A323A9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A323A9">
              <w:rPr>
                <w:i w:val="0"/>
              </w:rPr>
              <w:t>-6.0</w:t>
            </w:r>
          </w:p>
        </w:tc>
        <w:tc>
          <w:tcPr>
            <w:tcW w:w="713" w:type="pct"/>
            <w:shd w:val="clear" w:color="auto" w:fill="E9ECF3"/>
          </w:tcPr>
          <w:p w:rsidR="00A323A9" w:rsidRPr="00A323A9" w:rsidRDefault="00A323A9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A323A9">
              <w:rPr>
                <w:b/>
                <w:i w:val="0"/>
              </w:rPr>
              <w:t>-13.0</w:t>
            </w:r>
          </w:p>
        </w:tc>
      </w:tr>
      <w:tr w:rsidR="00A323A9" w:rsidRPr="00BD56F0" w:rsidTr="00A323A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pct"/>
          </w:tcPr>
          <w:p w:rsidR="00A323A9" w:rsidRPr="00A323A9" w:rsidRDefault="00A323A9" w:rsidP="00B20BF8">
            <w:pPr>
              <w:spacing w:before="70" w:after="70" w:line="240" w:lineRule="auto"/>
              <w:ind w:left="57" w:right="57"/>
              <w:rPr>
                <w:i/>
                <w:szCs w:val="20"/>
              </w:rPr>
            </w:pPr>
            <w:r w:rsidRPr="00A323A9">
              <w:rPr>
                <w:rFonts w:asciiTheme="minorHAnsi" w:eastAsiaTheme="minorHAnsi" w:hAnsiTheme="minorHAnsi" w:cstheme="minorBidi"/>
                <w:i/>
                <w:szCs w:val="20"/>
                <w:lang w:eastAsia="en-US"/>
              </w:rPr>
              <w:t>Administered</w:t>
            </w:r>
          </w:p>
        </w:tc>
        <w:tc>
          <w:tcPr>
            <w:tcW w:w="715" w:type="pct"/>
          </w:tcPr>
          <w:p w:rsidR="00A323A9" w:rsidRPr="00A323A9" w:rsidRDefault="00A323A9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23A9">
              <w:t>-</w:t>
            </w:r>
          </w:p>
        </w:tc>
        <w:tc>
          <w:tcPr>
            <w:tcW w:w="715" w:type="pct"/>
          </w:tcPr>
          <w:p w:rsidR="00A323A9" w:rsidRPr="00A323A9" w:rsidRDefault="00A323A9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23A9">
              <w:t xml:space="preserve"> -   </w:t>
            </w:r>
          </w:p>
        </w:tc>
        <w:tc>
          <w:tcPr>
            <w:tcW w:w="715" w:type="pct"/>
          </w:tcPr>
          <w:p w:rsidR="00A323A9" w:rsidRPr="00A323A9" w:rsidRDefault="00A323A9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23A9">
              <w:t xml:space="preserve">-5.0 </w:t>
            </w:r>
          </w:p>
        </w:tc>
        <w:tc>
          <w:tcPr>
            <w:tcW w:w="715" w:type="pct"/>
          </w:tcPr>
          <w:p w:rsidR="00A323A9" w:rsidRPr="00A323A9" w:rsidRDefault="00A323A9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23A9">
              <w:t xml:space="preserve">-5.0 </w:t>
            </w:r>
          </w:p>
        </w:tc>
        <w:tc>
          <w:tcPr>
            <w:tcW w:w="713" w:type="pct"/>
          </w:tcPr>
          <w:p w:rsidR="00A323A9" w:rsidRPr="00A323A9" w:rsidRDefault="00A323A9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323A9">
              <w:rPr>
                <w:b/>
              </w:rPr>
              <w:t xml:space="preserve">-10.0 </w:t>
            </w:r>
          </w:p>
        </w:tc>
      </w:tr>
      <w:tr w:rsidR="00A323A9" w:rsidRPr="00BD56F0" w:rsidTr="00A323A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pct"/>
          </w:tcPr>
          <w:p w:rsidR="00A323A9" w:rsidRPr="00A323A9" w:rsidRDefault="00A323A9" w:rsidP="00B20BF8">
            <w:pPr>
              <w:spacing w:before="70" w:after="70" w:line="240" w:lineRule="auto"/>
              <w:ind w:left="57" w:right="57"/>
              <w:rPr>
                <w:rFonts w:asciiTheme="minorHAnsi" w:eastAsiaTheme="minorHAnsi" w:hAnsiTheme="minorHAnsi" w:cstheme="minorBidi"/>
                <w:i/>
                <w:szCs w:val="20"/>
                <w:lang w:eastAsia="en-US"/>
              </w:rPr>
            </w:pPr>
            <w:r w:rsidRPr="00A323A9">
              <w:rPr>
                <w:rFonts w:asciiTheme="minorHAnsi" w:eastAsiaTheme="minorHAnsi" w:hAnsiTheme="minorHAnsi" w:cstheme="minorBidi"/>
                <w:i/>
                <w:szCs w:val="20"/>
                <w:lang w:eastAsia="en-US"/>
              </w:rPr>
              <w:t>Departmental</w:t>
            </w:r>
          </w:p>
        </w:tc>
        <w:tc>
          <w:tcPr>
            <w:tcW w:w="715" w:type="pct"/>
          </w:tcPr>
          <w:p w:rsidR="00A323A9" w:rsidRPr="00A323A9" w:rsidRDefault="00A323A9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23A9">
              <w:t>-</w:t>
            </w:r>
          </w:p>
        </w:tc>
        <w:tc>
          <w:tcPr>
            <w:tcW w:w="715" w:type="pct"/>
          </w:tcPr>
          <w:p w:rsidR="00A323A9" w:rsidRPr="00A323A9" w:rsidRDefault="00A323A9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23A9">
              <w:t xml:space="preserve">-1.0 </w:t>
            </w:r>
          </w:p>
        </w:tc>
        <w:tc>
          <w:tcPr>
            <w:tcW w:w="715" w:type="pct"/>
          </w:tcPr>
          <w:p w:rsidR="00A323A9" w:rsidRPr="00A323A9" w:rsidRDefault="00A323A9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23A9">
              <w:t xml:space="preserve">-1.0 </w:t>
            </w:r>
          </w:p>
        </w:tc>
        <w:tc>
          <w:tcPr>
            <w:tcW w:w="715" w:type="pct"/>
          </w:tcPr>
          <w:p w:rsidR="00A323A9" w:rsidRPr="00A323A9" w:rsidRDefault="00A323A9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23A9">
              <w:t xml:space="preserve">-1.0 </w:t>
            </w:r>
          </w:p>
        </w:tc>
        <w:tc>
          <w:tcPr>
            <w:tcW w:w="713" w:type="pct"/>
          </w:tcPr>
          <w:p w:rsidR="00A323A9" w:rsidRPr="00A323A9" w:rsidRDefault="00A323A9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323A9">
              <w:rPr>
                <w:b/>
              </w:rPr>
              <w:t xml:space="preserve">-3.0 </w:t>
            </w:r>
          </w:p>
        </w:tc>
      </w:tr>
      <w:tr w:rsidR="00A323A9" w:rsidRPr="00BD56F0" w:rsidTr="00A323A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pct"/>
            <w:shd w:val="clear" w:color="auto" w:fill="D7DDE9"/>
          </w:tcPr>
          <w:p w:rsidR="00A323A9" w:rsidRPr="007E13CE" w:rsidRDefault="00A323A9" w:rsidP="00B20BF8">
            <w:pPr>
              <w:spacing w:before="70" w:after="70" w:line="240" w:lineRule="auto"/>
              <w:ind w:left="57" w:right="57"/>
              <w:rPr>
                <w:rFonts w:asciiTheme="minorHAnsi" w:eastAsiaTheme="minorHAnsi" w:hAnsiTheme="minorHAnsi" w:cstheme="minorBidi"/>
                <w:b/>
                <w:szCs w:val="20"/>
                <w:lang w:eastAsia="en-US"/>
              </w:rPr>
            </w:pPr>
            <w:r w:rsidRPr="007E13CE">
              <w:rPr>
                <w:rFonts w:asciiTheme="minorHAnsi" w:eastAsiaTheme="minorHAnsi" w:hAnsiTheme="minorHAnsi" w:cstheme="minorBidi"/>
                <w:b/>
                <w:szCs w:val="20"/>
                <w:lang w:eastAsia="en-US"/>
              </w:rPr>
              <w:t>Total</w:t>
            </w:r>
          </w:p>
        </w:tc>
        <w:tc>
          <w:tcPr>
            <w:tcW w:w="715" w:type="pct"/>
            <w:shd w:val="clear" w:color="auto" w:fill="D7DDE9"/>
          </w:tcPr>
          <w:p w:rsidR="00A323A9" w:rsidRPr="00A323A9" w:rsidRDefault="00A323A9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A323A9">
              <w:rPr>
                <w:b/>
                <w:i w:val="0"/>
              </w:rPr>
              <w:t>-</w:t>
            </w:r>
          </w:p>
        </w:tc>
        <w:tc>
          <w:tcPr>
            <w:tcW w:w="715" w:type="pct"/>
            <w:shd w:val="clear" w:color="auto" w:fill="D7DDE9"/>
          </w:tcPr>
          <w:p w:rsidR="00A323A9" w:rsidRPr="00A323A9" w:rsidRDefault="00A323A9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A323A9">
              <w:rPr>
                <w:b/>
                <w:i w:val="0"/>
              </w:rPr>
              <w:t>-1.0</w:t>
            </w:r>
          </w:p>
        </w:tc>
        <w:tc>
          <w:tcPr>
            <w:tcW w:w="715" w:type="pct"/>
            <w:shd w:val="clear" w:color="auto" w:fill="D7DDE9"/>
          </w:tcPr>
          <w:p w:rsidR="00A323A9" w:rsidRPr="00A323A9" w:rsidRDefault="00A323A9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A323A9">
              <w:rPr>
                <w:b/>
                <w:i w:val="0"/>
              </w:rPr>
              <w:t>-6.0</w:t>
            </w:r>
          </w:p>
        </w:tc>
        <w:tc>
          <w:tcPr>
            <w:tcW w:w="715" w:type="pct"/>
            <w:shd w:val="clear" w:color="auto" w:fill="D7DDE9"/>
          </w:tcPr>
          <w:p w:rsidR="00A323A9" w:rsidRPr="00A323A9" w:rsidRDefault="00A323A9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A323A9">
              <w:rPr>
                <w:b/>
                <w:i w:val="0"/>
              </w:rPr>
              <w:t>-6.0</w:t>
            </w:r>
          </w:p>
        </w:tc>
        <w:tc>
          <w:tcPr>
            <w:tcW w:w="713" w:type="pct"/>
            <w:shd w:val="clear" w:color="auto" w:fill="D7DDE9"/>
          </w:tcPr>
          <w:p w:rsidR="00A323A9" w:rsidRPr="00A323A9" w:rsidRDefault="00A323A9" w:rsidP="00B20BF8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A323A9">
              <w:rPr>
                <w:b/>
                <w:i w:val="0"/>
              </w:rPr>
              <w:t>-13.0</w:t>
            </w:r>
          </w:p>
        </w:tc>
      </w:tr>
    </w:tbl>
    <w:p w:rsidR="00A323A9" w:rsidRPr="00BD56F0" w:rsidRDefault="00A323A9" w:rsidP="00B20BF8">
      <w:pPr>
        <w:pStyle w:val="Footnotes"/>
        <w:numPr>
          <w:ilvl w:val="0"/>
          <w:numId w:val="7"/>
        </w:numPr>
        <w:ind w:left="284" w:hanging="284"/>
      </w:pPr>
      <w:r w:rsidRPr="000654BE">
        <w:t>A negative number indicates a decrease in revenue or an increase in expenses or net capital investment in accrual and cash terms</w:t>
      </w:r>
      <w:r w:rsidRPr="00BD56F0">
        <w:t>.</w:t>
      </w:r>
    </w:p>
    <w:p w:rsidR="00A323A9" w:rsidRPr="00C14ECE" w:rsidRDefault="00A323A9" w:rsidP="00B20BF8">
      <w:pPr>
        <w:numPr>
          <w:ilvl w:val="0"/>
          <w:numId w:val="6"/>
        </w:numPr>
        <w:spacing w:before="113" w:after="0" w:line="260" w:lineRule="atLeast"/>
        <w:ind w:left="284" w:hanging="284"/>
        <w:rPr>
          <w:sz w:val="20"/>
          <w:szCs w:val="20"/>
        </w:rPr>
      </w:pPr>
      <w:r w:rsidRPr="00BD56F0">
        <w:rPr>
          <w:sz w:val="20"/>
          <w:szCs w:val="20"/>
        </w:rPr>
        <w:t>Figures may not sum to totals due to rounding.</w:t>
      </w:r>
    </w:p>
    <w:p w:rsidR="00A323A9" w:rsidRPr="00507D60" w:rsidRDefault="00A323A9" w:rsidP="00B20BF8">
      <w:pPr>
        <w:pStyle w:val="Footnotes"/>
        <w:numPr>
          <w:ilvl w:val="0"/>
          <w:numId w:val="18"/>
        </w:numPr>
        <w:ind w:left="284" w:hanging="284"/>
      </w:pPr>
      <w:r w:rsidRPr="00507D60">
        <w:t>Indicates a nil value.</w:t>
      </w:r>
    </w:p>
    <w:p w:rsidR="00A323A9" w:rsidRPr="00507D60" w:rsidRDefault="00A323A9" w:rsidP="00B20BF8">
      <w:pPr>
        <w:pStyle w:val="Footnotes"/>
        <w:numPr>
          <w:ilvl w:val="0"/>
          <w:numId w:val="0"/>
        </w:numPr>
        <w:ind w:left="284" w:hanging="284"/>
      </w:pPr>
      <w:r w:rsidRPr="00507D60">
        <w:t>..</w:t>
      </w:r>
      <w:r w:rsidR="00B20BF8">
        <w:tab/>
      </w:r>
      <w:r w:rsidRPr="00507D60">
        <w:t>Indicates the value is not zero but rounded to zero.</w:t>
      </w:r>
    </w:p>
    <w:sectPr w:rsidR="00A323A9" w:rsidRPr="00507D60" w:rsidSect="00237DE5">
      <w:headerReference w:type="first" r:id="rId16"/>
      <w:footerReference w:type="first" r:id="rId17"/>
      <w:pgSz w:w="11907" w:h="16839" w:code="9"/>
      <w:pgMar w:top="1361" w:right="1797" w:bottom="1474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A75" w:rsidRDefault="00D30A75" w:rsidP="008F588A">
      <w:pPr>
        <w:spacing w:line="240" w:lineRule="auto"/>
      </w:pPr>
      <w:r>
        <w:separator/>
      </w:r>
    </w:p>
    <w:p w:rsidR="00D30A75" w:rsidRDefault="00D30A75"/>
  </w:endnote>
  <w:endnote w:type="continuationSeparator" w:id="0">
    <w:p w:rsidR="00D30A75" w:rsidRDefault="00D30A75" w:rsidP="008F588A">
      <w:pPr>
        <w:spacing w:line="240" w:lineRule="auto"/>
      </w:pPr>
      <w:r>
        <w:continuationSeparator/>
      </w:r>
    </w:p>
    <w:p w:rsidR="00D30A75" w:rsidRDefault="00D30A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A75" w:rsidRPr="00C24267" w:rsidRDefault="00D30A75" w:rsidP="00C24267">
    <w:pPr>
      <w:pStyle w:val="Footer"/>
    </w:pPr>
    <w:r w:rsidRPr="00C24267">
      <w:t xml:space="preserve">Page </w:t>
    </w:r>
    <w:r w:rsidRPr="00C24267">
      <w:fldChar w:fldCharType="begin"/>
    </w:r>
    <w:r w:rsidRPr="00C24267">
      <w:instrText xml:space="preserve"> PAGE  \* Arabic  \* MERGEFORMAT </w:instrText>
    </w:r>
    <w:r w:rsidRPr="00C24267">
      <w:fldChar w:fldCharType="separate"/>
    </w:r>
    <w:r w:rsidR="0068593B">
      <w:rPr>
        <w:noProof/>
      </w:rPr>
      <w:t>4</w:t>
    </w:r>
    <w:r w:rsidRPr="00C24267">
      <w:fldChar w:fldCharType="end"/>
    </w:r>
    <w:r w:rsidRPr="00C24267">
      <w:t xml:space="preserve"> of </w:t>
    </w:r>
    <w:r w:rsidR="0068593B">
      <w:fldChar w:fldCharType="begin"/>
    </w:r>
    <w:r w:rsidR="0068593B">
      <w:instrText xml:space="preserve"> NUMPAGES  \* Arabic  \* MERGEFORMAT </w:instrText>
    </w:r>
    <w:r w:rsidR="0068593B">
      <w:fldChar w:fldCharType="separate"/>
    </w:r>
    <w:r w:rsidR="0068593B">
      <w:rPr>
        <w:noProof/>
      </w:rPr>
      <w:t>7</w:t>
    </w:r>
    <w:r w:rsidR="0068593B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A75" w:rsidRPr="00C24267" w:rsidRDefault="00D30A75" w:rsidP="00C24267">
    <w:pPr>
      <w:pStyle w:val="Letterfooter"/>
    </w:pPr>
    <w:r w:rsidRPr="00C24267">
      <w:t>Parliamentary Budget Office   PO Box 6010   Parliament House   Canberra ACT 2600</w:t>
    </w:r>
  </w:p>
  <w:p w:rsidR="00D30A75" w:rsidRPr="00C24267" w:rsidRDefault="00D30A75" w:rsidP="00C24267">
    <w:pPr>
      <w:pStyle w:val="Letterfooter"/>
    </w:pPr>
    <w:r w:rsidRPr="00C24267">
      <w:t>Tel: 02 6277 9500   Web: www.pbo.gov.au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A75" w:rsidRPr="00C24267" w:rsidRDefault="00D30A75" w:rsidP="00C24267">
    <w:pPr>
      <w:pStyle w:val="Footer"/>
    </w:pPr>
    <w:r w:rsidRPr="00C24267">
      <w:t xml:space="preserve">Page </w:t>
    </w:r>
    <w:r w:rsidRPr="00C24267">
      <w:fldChar w:fldCharType="begin"/>
    </w:r>
    <w:r w:rsidRPr="00C24267">
      <w:instrText xml:space="preserve"> PAGE  \* Arabic  \* MERGEFORMAT </w:instrText>
    </w:r>
    <w:r w:rsidRPr="00C24267">
      <w:fldChar w:fldCharType="separate"/>
    </w:r>
    <w:r w:rsidR="0068593B">
      <w:rPr>
        <w:noProof/>
      </w:rPr>
      <w:t>2</w:t>
    </w:r>
    <w:r w:rsidRPr="00C24267">
      <w:fldChar w:fldCharType="end"/>
    </w:r>
    <w:r w:rsidRPr="00C24267">
      <w:t xml:space="preserve"> of </w:t>
    </w:r>
    <w:r w:rsidR="0068593B">
      <w:fldChar w:fldCharType="begin"/>
    </w:r>
    <w:r w:rsidR="0068593B">
      <w:instrText xml:space="preserve"> NUMPAGES  \* Arabic  \* MERGEFORMAT </w:instrText>
    </w:r>
    <w:r w:rsidR="0068593B">
      <w:fldChar w:fldCharType="separate"/>
    </w:r>
    <w:r w:rsidR="0068593B">
      <w:rPr>
        <w:noProof/>
      </w:rPr>
      <w:t>7</w:t>
    </w:r>
    <w:r w:rsidR="0068593B"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A75" w:rsidRPr="00C24267" w:rsidRDefault="00D30A75" w:rsidP="00C24267">
    <w:pPr>
      <w:pStyle w:val="Footer"/>
    </w:pPr>
    <w:r w:rsidRPr="00C24267">
      <w:t xml:space="preserve">Page </w:t>
    </w:r>
    <w:r w:rsidRPr="00C24267">
      <w:fldChar w:fldCharType="begin"/>
    </w:r>
    <w:r w:rsidRPr="00C24267">
      <w:instrText xml:space="preserve"> PAGE  \* Arabic  \* MERGEFORMAT </w:instrText>
    </w:r>
    <w:r w:rsidRPr="00C24267">
      <w:fldChar w:fldCharType="separate"/>
    </w:r>
    <w:r w:rsidR="0068593B">
      <w:rPr>
        <w:noProof/>
      </w:rPr>
      <w:t>6</w:t>
    </w:r>
    <w:r w:rsidRPr="00C24267">
      <w:fldChar w:fldCharType="end"/>
    </w:r>
    <w:r w:rsidRPr="00C24267">
      <w:t xml:space="preserve"> of </w:t>
    </w:r>
    <w:r w:rsidR="0068593B">
      <w:fldChar w:fldCharType="begin"/>
    </w:r>
    <w:r w:rsidR="0068593B">
      <w:instrText xml:space="preserve"> NUMPAGES  \* Arabic  \* MERGEFORMAT </w:instrText>
    </w:r>
    <w:r w:rsidR="0068593B">
      <w:fldChar w:fldCharType="separate"/>
    </w:r>
    <w:r w:rsidR="0068593B">
      <w:rPr>
        <w:noProof/>
      </w:rPr>
      <w:t>7</w:t>
    </w:r>
    <w:r w:rsidR="0068593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A75" w:rsidRDefault="00D30A75" w:rsidP="008F588A">
      <w:pPr>
        <w:spacing w:line="240" w:lineRule="auto"/>
      </w:pPr>
      <w:r>
        <w:separator/>
      </w:r>
    </w:p>
    <w:p w:rsidR="00D30A75" w:rsidRDefault="00D30A75"/>
  </w:footnote>
  <w:footnote w:type="continuationSeparator" w:id="0">
    <w:p w:rsidR="00D30A75" w:rsidRDefault="00D30A75" w:rsidP="008F588A">
      <w:pPr>
        <w:spacing w:line="240" w:lineRule="auto"/>
      </w:pPr>
      <w:r>
        <w:continuationSeparator/>
      </w:r>
    </w:p>
    <w:p w:rsidR="00D30A75" w:rsidRDefault="00D30A7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A75" w:rsidRDefault="00D30A75" w:rsidP="00CB40E1">
    <w:pPr>
      <w:pStyle w:val="Header"/>
    </w:pPr>
    <w:r>
      <w:rPr>
        <w:noProof/>
        <w:lang w:eastAsia="en-AU"/>
      </w:rPr>
      <w:drawing>
        <wp:inline distT="0" distB="0" distL="0" distR="0" wp14:anchorId="166CC723" wp14:editId="662056F7">
          <wp:extent cx="2696845" cy="572135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30A75" w:rsidRPr="00DA1C8A" w:rsidRDefault="00D30A75" w:rsidP="00002D5D">
    <w:pPr>
      <w:pStyle w:val="PBOheader"/>
      <w:spacing w:before="720"/>
      <w:ind w:left="5783"/>
      <w:rPr>
        <w:b w:val="0"/>
      </w:rPr>
    </w:pPr>
    <w:r>
      <w:t>P</w:t>
    </w:r>
    <w:r w:rsidRPr="009030A0">
      <w:t>hil Bowen PSM FCPA</w:t>
    </w:r>
    <w:r>
      <w:br/>
    </w:r>
    <w:r w:rsidRPr="009030A0">
      <w:t>Parliamentary Budget Officer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A75" w:rsidRPr="00C17112" w:rsidRDefault="00D30A75" w:rsidP="00C17112">
    <w:pPr>
      <w:pStyle w:val="Header"/>
    </w:pPr>
    <w:r>
      <w:rPr>
        <w:noProof/>
        <w:lang w:eastAsia="en-AU"/>
      </w:rPr>
      <w:drawing>
        <wp:inline distT="0" distB="0" distL="0" distR="0" wp14:anchorId="3131CE73" wp14:editId="5EC9EADE">
          <wp:extent cx="2696845" cy="572135"/>
          <wp:effectExtent l="0" t="0" r="825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A75" w:rsidRPr="00B20BF8" w:rsidRDefault="00D30A75" w:rsidP="00B20B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1905B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8B37FE"/>
    <w:multiLevelType w:val="multilevel"/>
    <w:tmpl w:val="EB047CCE"/>
    <w:name w:val="Bullets"/>
    <w:lvl w:ilvl="0">
      <w:start w:val="1"/>
      <w:numFmt w:val="bullet"/>
      <w:pStyle w:val="ListBullet"/>
      <w:lvlText w:val="•"/>
      <w:lvlJc w:val="left"/>
      <w:pPr>
        <w:tabs>
          <w:tab w:val="num" w:pos="454"/>
        </w:tabs>
        <w:ind w:left="454" w:hanging="454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907"/>
        </w:tabs>
        <w:ind w:left="907" w:hanging="453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2">
      <w:start w:val="1"/>
      <w:numFmt w:val="bullet"/>
      <w:pStyle w:val="ListBullet3"/>
      <w:lvlText w:val="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color w:val="auto"/>
        <w:spacing w:val="0"/>
        <w:w w:val="100"/>
        <w:position w:val="1"/>
        <w:sz w:val="22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2">
    <w:nsid w:val="0C5E12A0"/>
    <w:multiLevelType w:val="hybridMultilevel"/>
    <w:tmpl w:val="71E26D08"/>
    <w:lvl w:ilvl="0" w:tplc="003A2CD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03A2CD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45448"/>
    <w:multiLevelType w:val="multilevel"/>
    <w:tmpl w:val="1CA8BD68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4">
    <w:nsid w:val="194A695C"/>
    <w:multiLevelType w:val="multilevel"/>
    <w:tmpl w:val="5E16FD12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5">
    <w:nsid w:val="19DE2101"/>
    <w:multiLevelType w:val="hybridMultilevel"/>
    <w:tmpl w:val="0030AC0C"/>
    <w:lvl w:ilvl="0" w:tplc="C5946D62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>
    <w:nsid w:val="1C076A25"/>
    <w:multiLevelType w:val="hybridMultilevel"/>
    <w:tmpl w:val="95044DA8"/>
    <w:lvl w:ilvl="0" w:tplc="EE4A1AEE">
      <w:start w:val="1"/>
      <w:numFmt w:val="lowerLetter"/>
      <w:lvlText w:val="(%1)"/>
      <w:lvlJc w:val="left"/>
      <w:pPr>
        <w:ind w:left="720" w:hanging="360"/>
      </w:pPr>
      <w:rPr>
        <w:rFonts w:asciiTheme="minorHAnsi" w:hAnsiTheme="minorHAnsi"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A6BE0"/>
    <w:multiLevelType w:val="hybridMultilevel"/>
    <w:tmpl w:val="7EDAD71E"/>
    <w:lvl w:ilvl="0" w:tplc="C5946D62">
      <w:start w:val="1"/>
      <w:numFmt w:val="lowerLetter"/>
      <w:lvlText w:val="(%1)"/>
      <w:lvlJc w:val="left"/>
      <w:pPr>
        <w:ind w:left="9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6" w:hanging="360"/>
      </w:pPr>
    </w:lvl>
    <w:lvl w:ilvl="2" w:tplc="0C09001B" w:tentative="1">
      <w:start w:val="1"/>
      <w:numFmt w:val="lowerRoman"/>
      <w:lvlText w:val="%3."/>
      <w:lvlJc w:val="right"/>
      <w:pPr>
        <w:ind w:left="2386" w:hanging="180"/>
      </w:pPr>
    </w:lvl>
    <w:lvl w:ilvl="3" w:tplc="0C09000F" w:tentative="1">
      <w:start w:val="1"/>
      <w:numFmt w:val="decimal"/>
      <w:lvlText w:val="%4."/>
      <w:lvlJc w:val="left"/>
      <w:pPr>
        <w:ind w:left="3106" w:hanging="360"/>
      </w:pPr>
    </w:lvl>
    <w:lvl w:ilvl="4" w:tplc="0C090019" w:tentative="1">
      <w:start w:val="1"/>
      <w:numFmt w:val="lowerLetter"/>
      <w:lvlText w:val="%5."/>
      <w:lvlJc w:val="left"/>
      <w:pPr>
        <w:ind w:left="3826" w:hanging="360"/>
      </w:pPr>
    </w:lvl>
    <w:lvl w:ilvl="5" w:tplc="0C09001B" w:tentative="1">
      <w:start w:val="1"/>
      <w:numFmt w:val="lowerRoman"/>
      <w:lvlText w:val="%6."/>
      <w:lvlJc w:val="right"/>
      <w:pPr>
        <w:ind w:left="4546" w:hanging="180"/>
      </w:pPr>
    </w:lvl>
    <w:lvl w:ilvl="6" w:tplc="0C09000F" w:tentative="1">
      <w:start w:val="1"/>
      <w:numFmt w:val="decimal"/>
      <w:lvlText w:val="%7."/>
      <w:lvlJc w:val="left"/>
      <w:pPr>
        <w:ind w:left="5266" w:hanging="360"/>
      </w:pPr>
    </w:lvl>
    <w:lvl w:ilvl="7" w:tplc="0C090019" w:tentative="1">
      <w:start w:val="1"/>
      <w:numFmt w:val="lowerLetter"/>
      <w:lvlText w:val="%8."/>
      <w:lvlJc w:val="left"/>
      <w:pPr>
        <w:ind w:left="5986" w:hanging="360"/>
      </w:pPr>
    </w:lvl>
    <w:lvl w:ilvl="8" w:tplc="0C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8">
    <w:nsid w:val="30E45E35"/>
    <w:multiLevelType w:val="hybridMultilevel"/>
    <w:tmpl w:val="60A06D20"/>
    <w:lvl w:ilvl="0" w:tplc="EE46B378">
      <w:start w:val="1"/>
      <w:numFmt w:val="lowerLetter"/>
      <w:pStyle w:val="Footnotes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967" w:hanging="360"/>
      </w:pPr>
    </w:lvl>
    <w:lvl w:ilvl="2" w:tplc="0C09001B" w:tentative="1">
      <w:start w:val="1"/>
      <w:numFmt w:val="lowerRoman"/>
      <w:lvlText w:val="%3."/>
      <w:lvlJc w:val="right"/>
      <w:pPr>
        <w:ind w:left="1687" w:hanging="180"/>
      </w:pPr>
    </w:lvl>
    <w:lvl w:ilvl="3" w:tplc="0C09000F" w:tentative="1">
      <w:start w:val="1"/>
      <w:numFmt w:val="decimal"/>
      <w:lvlText w:val="%4."/>
      <w:lvlJc w:val="left"/>
      <w:pPr>
        <w:ind w:left="2407" w:hanging="360"/>
      </w:pPr>
    </w:lvl>
    <w:lvl w:ilvl="4" w:tplc="0C090019" w:tentative="1">
      <w:start w:val="1"/>
      <w:numFmt w:val="lowerLetter"/>
      <w:lvlText w:val="%5."/>
      <w:lvlJc w:val="left"/>
      <w:pPr>
        <w:ind w:left="3127" w:hanging="360"/>
      </w:pPr>
    </w:lvl>
    <w:lvl w:ilvl="5" w:tplc="0C09001B" w:tentative="1">
      <w:start w:val="1"/>
      <w:numFmt w:val="lowerRoman"/>
      <w:lvlText w:val="%6."/>
      <w:lvlJc w:val="right"/>
      <w:pPr>
        <w:ind w:left="3847" w:hanging="180"/>
      </w:pPr>
    </w:lvl>
    <w:lvl w:ilvl="6" w:tplc="0C09000F" w:tentative="1">
      <w:start w:val="1"/>
      <w:numFmt w:val="decimal"/>
      <w:lvlText w:val="%7."/>
      <w:lvlJc w:val="left"/>
      <w:pPr>
        <w:ind w:left="4567" w:hanging="360"/>
      </w:pPr>
    </w:lvl>
    <w:lvl w:ilvl="7" w:tplc="0C090019" w:tentative="1">
      <w:start w:val="1"/>
      <w:numFmt w:val="lowerLetter"/>
      <w:lvlText w:val="%8."/>
      <w:lvlJc w:val="left"/>
      <w:pPr>
        <w:ind w:left="5287" w:hanging="360"/>
      </w:pPr>
    </w:lvl>
    <w:lvl w:ilvl="8" w:tplc="0C0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9">
    <w:nsid w:val="386B2B3F"/>
    <w:multiLevelType w:val="hybridMultilevel"/>
    <w:tmpl w:val="E6B66286"/>
    <w:lvl w:ilvl="0" w:tplc="C5C24E6C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7B7ABA"/>
    <w:multiLevelType w:val="hybridMultilevel"/>
    <w:tmpl w:val="0004F682"/>
    <w:lvl w:ilvl="0" w:tplc="F54E42C8">
      <w:start w:val="1"/>
      <w:numFmt w:val="lowerLetter"/>
      <w:lvlText w:val="(%1)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967" w:hanging="360"/>
      </w:pPr>
    </w:lvl>
    <w:lvl w:ilvl="2" w:tplc="0C09001B">
      <w:start w:val="1"/>
      <w:numFmt w:val="lowerRoman"/>
      <w:lvlText w:val="%3."/>
      <w:lvlJc w:val="right"/>
      <w:pPr>
        <w:ind w:left="1687" w:hanging="180"/>
      </w:pPr>
    </w:lvl>
    <w:lvl w:ilvl="3" w:tplc="0C09000F">
      <w:start w:val="1"/>
      <w:numFmt w:val="decimal"/>
      <w:lvlText w:val="%4."/>
      <w:lvlJc w:val="left"/>
      <w:pPr>
        <w:ind w:left="2407" w:hanging="360"/>
      </w:pPr>
    </w:lvl>
    <w:lvl w:ilvl="4" w:tplc="0C090019">
      <w:start w:val="1"/>
      <w:numFmt w:val="lowerLetter"/>
      <w:lvlText w:val="%5."/>
      <w:lvlJc w:val="left"/>
      <w:pPr>
        <w:ind w:left="3127" w:hanging="360"/>
      </w:pPr>
    </w:lvl>
    <w:lvl w:ilvl="5" w:tplc="0C09001B">
      <w:start w:val="1"/>
      <w:numFmt w:val="lowerRoman"/>
      <w:lvlText w:val="%6."/>
      <w:lvlJc w:val="right"/>
      <w:pPr>
        <w:ind w:left="3847" w:hanging="180"/>
      </w:pPr>
    </w:lvl>
    <w:lvl w:ilvl="6" w:tplc="0C09000F">
      <w:start w:val="1"/>
      <w:numFmt w:val="decimal"/>
      <w:lvlText w:val="%7."/>
      <w:lvlJc w:val="left"/>
      <w:pPr>
        <w:ind w:left="4567" w:hanging="360"/>
      </w:pPr>
    </w:lvl>
    <w:lvl w:ilvl="7" w:tplc="0C090019">
      <w:start w:val="1"/>
      <w:numFmt w:val="lowerLetter"/>
      <w:lvlText w:val="%8."/>
      <w:lvlJc w:val="left"/>
      <w:pPr>
        <w:ind w:left="5287" w:hanging="360"/>
      </w:pPr>
    </w:lvl>
    <w:lvl w:ilvl="8" w:tplc="0C09001B">
      <w:start w:val="1"/>
      <w:numFmt w:val="lowerRoman"/>
      <w:lvlText w:val="%9."/>
      <w:lvlJc w:val="right"/>
      <w:pPr>
        <w:ind w:left="6007" w:hanging="180"/>
      </w:pPr>
    </w:lvl>
  </w:abstractNum>
  <w:abstractNum w:abstractNumId="11">
    <w:nsid w:val="3B2E19AC"/>
    <w:multiLevelType w:val="singleLevel"/>
    <w:tmpl w:val="032CEB48"/>
    <w:lvl w:ilvl="0">
      <w:start w:val="1"/>
      <w:numFmt w:val="lowerLetter"/>
      <w:lvlRestart w:val="0"/>
      <w:pStyle w:val="ChartandTableFootnoteAlpha"/>
      <w:lvlText w:val="(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color w:val="000000"/>
        <w:sz w:val="18"/>
        <w:szCs w:val="18"/>
      </w:rPr>
    </w:lvl>
  </w:abstractNum>
  <w:abstractNum w:abstractNumId="12">
    <w:nsid w:val="51FB5A9F"/>
    <w:multiLevelType w:val="hybridMultilevel"/>
    <w:tmpl w:val="31E68E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E0D5A83"/>
    <w:multiLevelType w:val="hybridMultilevel"/>
    <w:tmpl w:val="6E2644F4"/>
    <w:lvl w:ilvl="0" w:tplc="0EC4ED84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F05006"/>
    <w:multiLevelType w:val="hybridMultilevel"/>
    <w:tmpl w:val="63BCBA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CE2F93"/>
    <w:multiLevelType w:val="multilevel"/>
    <w:tmpl w:val="850CAC36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1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16">
    <w:nsid w:val="79EA63D9"/>
    <w:multiLevelType w:val="hybridMultilevel"/>
    <w:tmpl w:val="92E4AE7E"/>
    <w:lvl w:ilvl="0" w:tplc="CC7AE5C8">
      <w:start w:val="1"/>
      <w:numFmt w:val="lowerLetter"/>
      <w:lvlText w:val="(%1)"/>
      <w:lvlJc w:val="left"/>
      <w:pPr>
        <w:ind w:left="360" w:hanging="360"/>
      </w:pPr>
      <w:rPr>
        <w:rFonts w:asciiTheme="minorHAnsi" w:hAnsiTheme="minorHAnsi" w:hint="default"/>
      </w:rPr>
    </w:lvl>
    <w:lvl w:ilvl="1" w:tplc="0C090019">
      <w:start w:val="1"/>
      <w:numFmt w:val="lowerLetter"/>
      <w:lvlText w:val="%2."/>
      <w:lvlJc w:val="left"/>
      <w:pPr>
        <w:ind w:left="967" w:hanging="360"/>
      </w:pPr>
    </w:lvl>
    <w:lvl w:ilvl="2" w:tplc="0C09001B">
      <w:start w:val="1"/>
      <w:numFmt w:val="lowerRoman"/>
      <w:lvlText w:val="%3."/>
      <w:lvlJc w:val="right"/>
      <w:pPr>
        <w:ind w:left="1687" w:hanging="180"/>
      </w:pPr>
    </w:lvl>
    <w:lvl w:ilvl="3" w:tplc="0C09000F">
      <w:start w:val="1"/>
      <w:numFmt w:val="decimal"/>
      <w:lvlText w:val="%4."/>
      <w:lvlJc w:val="left"/>
      <w:pPr>
        <w:ind w:left="2407" w:hanging="360"/>
      </w:pPr>
    </w:lvl>
    <w:lvl w:ilvl="4" w:tplc="0C090019">
      <w:start w:val="1"/>
      <w:numFmt w:val="lowerLetter"/>
      <w:lvlText w:val="%5."/>
      <w:lvlJc w:val="left"/>
      <w:pPr>
        <w:ind w:left="3127" w:hanging="360"/>
      </w:pPr>
    </w:lvl>
    <w:lvl w:ilvl="5" w:tplc="0C09001B">
      <w:start w:val="1"/>
      <w:numFmt w:val="lowerRoman"/>
      <w:lvlText w:val="%6."/>
      <w:lvlJc w:val="right"/>
      <w:pPr>
        <w:ind w:left="3847" w:hanging="180"/>
      </w:pPr>
    </w:lvl>
    <w:lvl w:ilvl="6" w:tplc="0C09000F">
      <w:start w:val="1"/>
      <w:numFmt w:val="decimal"/>
      <w:lvlText w:val="%7."/>
      <w:lvlJc w:val="left"/>
      <w:pPr>
        <w:ind w:left="4567" w:hanging="360"/>
      </w:pPr>
    </w:lvl>
    <w:lvl w:ilvl="7" w:tplc="0C090019">
      <w:start w:val="1"/>
      <w:numFmt w:val="lowerLetter"/>
      <w:lvlText w:val="%8."/>
      <w:lvlJc w:val="left"/>
      <w:pPr>
        <w:ind w:left="5287" w:hanging="360"/>
      </w:pPr>
    </w:lvl>
    <w:lvl w:ilvl="8" w:tplc="0C09001B">
      <w:start w:val="1"/>
      <w:numFmt w:val="lowerRoman"/>
      <w:lvlText w:val="%9."/>
      <w:lvlJc w:val="right"/>
      <w:pPr>
        <w:ind w:left="6007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15"/>
  </w:num>
  <w:num w:numId="6">
    <w:abstractNumId w:val="8"/>
  </w:num>
  <w:num w:numId="7">
    <w:abstractNumId w:val="8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1"/>
  </w:num>
  <w:num w:numId="12">
    <w:abstractNumId w:val="0"/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8"/>
    <w:lvlOverride w:ilvl="0">
      <w:startOverride w:val="1"/>
    </w:lvlOverride>
  </w:num>
  <w:num w:numId="17">
    <w:abstractNumId w:val="9"/>
  </w:num>
  <w:num w:numId="18">
    <w:abstractNumId w:val="13"/>
  </w:num>
  <w:num w:numId="19">
    <w:abstractNumId w:val="11"/>
    <w:lvlOverride w:ilvl="0">
      <w:startOverride w:val="1"/>
    </w:lvlOverride>
  </w:num>
  <w:num w:numId="20">
    <w:abstractNumId w:val="3"/>
  </w:num>
  <w:num w:numId="21">
    <w:abstractNumId w:val="8"/>
  </w:num>
  <w:num w:numId="22">
    <w:abstractNumId w:val="3"/>
  </w:num>
  <w:num w:numId="23">
    <w:abstractNumId w:val="3"/>
  </w:num>
  <w:num w:numId="24">
    <w:abstractNumId w:val="3"/>
  </w:num>
  <w:num w:numId="25">
    <w:abstractNumId w:val="14"/>
  </w:num>
  <w:num w:numId="26">
    <w:abstractNumId w:val="2"/>
  </w:num>
  <w:num w:numId="27">
    <w:abstractNumId w:val="12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11"/>
    <w:lvlOverride w:ilvl="0">
      <w:startOverride w:val="1"/>
    </w:lvlOverride>
  </w:num>
  <w:num w:numId="33">
    <w:abstractNumId w:val="4"/>
  </w:num>
  <w:num w:numId="34">
    <w:abstractNumId w:val="6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</w:num>
  <w:num w:numId="37">
    <w:abstractNumId w:val="16"/>
  </w:num>
  <w:num w:numId="38">
    <w:abstractNumId w:val="16"/>
    <w:lvlOverride w:ilvl="0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1"/>
    </w:lvlOverride>
  </w:num>
  <w:num w:numId="41">
    <w:abstractNumId w:val="8"/>
    <w:lvlOverride w:ilvl="0">
      <w:startOverride w:val="1"/>
    </w:lvlOverride>
  </w:num>
  <w:num w:numId="42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attachedTemplate r:id="rId1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D93"/>
    <w:rsid w:val="00000D93"/>
    <w:rsid w:val="00002D5D"/>
    <w:rsid w:val="00015FB2"/>
    <w:rsid w:val="0003435A"/>
    <w:rsid w:val="00040DCE"/>
    <w:rsid w:val="000558F0"/>
    <w:rsid w:val="00060F22"/>
    <w:rsid w:val="00096F3A"/>
    <w:rsid w:val="000B4DDA"/>
    <w:rsid w:val="000C1A75"/>
    <w:rsid w:val="000F7916"/>
    <w:rsid w:val="00106937"/>
    <w:rsid w:val="00124BE5"/>
    <w:rsid w:val="001278D0"/>
    <w:rsid w:val="0014239B"/>
    <w:rsid w:val="00176304"/>
    <w:rsid w:val="001A02D1"/>
    <w:rsid w:val="001A4096"/>
    <w:rsid w:val="001D175D"/>
    <w:rsid w:val="001D2502"/>
    <w:rsid w:val="001E222F"/>
    <w:rsid w:val="00220BE5"/>
    <w:rsid w:val="0023719D"/>
    <w:rsid w:val="00237DE5"/>
    <w:rsid w:val="002422A3"/>
    <w:rsid w:val="00252272"/>
    <w:rsid w:val="0026366C"/>
    <w:rsid w:val="00264198"/>
    <w:rsid w:val="002A62F7"/>
    <w:rsid w:val="002A7683"/>
    <w:rsid w:val="00300F3E"/>
    <w:rsid w:val="00315E34"/>
    <w:rsid w:val="00326DE2"/>
    <w:rsid w:val="00331DDC"/>
    <w:rsid w:val="00393BB6"/>
    <w:rsid w:val="003D653F"/>
    <w:rsid w:val="003D7744"/>
    <w:rsid w:val="003E4F5F"/>
    <w:rsid w:val="003F73CA"/>
    <w:rsid w:val="00410A2C"/>
    <w:rsid w:val="00437BA0"/>
    <w:rsid w:val="00440E32"/>
    <w:rsid w:val="00461597"/>
    <w:rsid w:val="00485374"/>
    <w:rsid w:val="004951DD"/>
    <w:rsid w:val="004C283B"/>
    <w:rsid w:val="004C4570"/>
    <w:rsid w:val="004D13ED"/>
    <w:rsid w:val="004D5525"/>
    <w:rsid w:val="005035DA"/>
    <w:rsid w:val="00507897"/>
    <w:rsid w:val="00507D60"/>
    <w:rsid w:val="00515A85"/>
    <w:rsid w:val="0053384B"/>
    <w:rsid w:val="005437FD"/>
    <w:rsid w:val="00544B9F"/>
    <w:rsid w:val="00545F24"/>
    <w:rsid w:val="005518FD"/>
    <w:rsid w:val="00553FF8"/>
    <w:rsid w:val="0055581F"/>
    <w:rsid w:val="0056229A"/>
    <w:rsid w:val="00570154"/>
    <w:rsid w:val="00570B5A"/>
    <w:rsid w:val="00571CE4"/>
    <w:rsid w:val="00587422"/>
    <w:rsid w:val="005B1A4A"/>
    <w:rsid w:val="005B7B75"/>
    <w:rsid w:val="005C6967"/>
    <w:rsid w:val="005E3562"/>
    <w:rsid w:val="005F6504"/>
    <w:rsid w:val="005F7DE0"/>
    <w:rsid w:val="00635A74"/>
    <w:rsid w:val="00640346"/>
    <w:rsid w:val="006500C5"/>
    <w:rsid w:val="00660385"/>
    <w:rsid w:val="006607F8"/>
    <w:rsid w:val="00662E65"/>
    <w:rsid w:val="0066665A"/>
    <w:rsid w:val="0068593B"/>
    <w:rsid w:val="00692DD8"/>
    <w:rsid w:val="0069746A"/>
    <w:rsid w:val="006B3FEA"/>
    <w:rsid w:val="006C4475"/>
    <w:rsid w:val="006F0CE9"/>
    <w:rsid w:val="006F4CE6"/>
    <w:rsid w:val="007202A8"/>
    <w:rsid w:val="007229A9"/>
    <w:rsid w:val="00723C07"/>
    <w:rsid w:val="007A5D4A"/>
    <w:rsid w:val="007B029A"/>
    <w:rsid w:val="007B13A7"/>
    <w:rsid w:val="007C5301"/>
    <w:rsid w:val="007C573E"/>
    <w:rsid w:val="007D33AA"/>
    <w:rsid w:val="007D3577"/>
    <w:rsid w:val="007F1D37"/>
    <w:rsid w:val="007F7BCF"/>
    <w:rsid w:val="008014A7"/>
    <w:rsid w:val="008030EC"/>
    <w:rsid w:val="00811D6D"/>
    <w:rsid w:val="00817E8E"/>
    <w:rsid w:val="00833E13"/>
    <w:rsid w:val="00841C3A"/>
    <w:rsid w:val="00844776"/>
    <w:rsid w:val="008667CB"/>
    <w:rsid w:val="008850D9"/>
    <w:rsid w:val="008A2427"/>
    <w:rsid w:val="008A4578"/>
    <w:rsid w:val="008C03C3"/>
    <w:rsid w:val="008C5FB8"/>
    <w:rsid w:val="008D3909"/>
    <w:rsid w:val="008D6ECA"/>
    <w:rsid w:val="008F588A"/>
    <w:rsid w:val="008F5FAB"/>
    <w:rsid w:val="00902D2D"/>
    <w:rsid w:val="00915804"/>
    <w:rsid w:val="00922A2C"/>
    <w:rsid w:val="00933BBD"/>
    <w:rsid w:val="00954E92"/>
    <w:rsid w:val="00957285"/>
    <w:rsid w:val="009573AF"/>
    <w:rsid w:val="00970009"/>
    <w:rsid w:val="009755FE"/>
    <w:rsid w:val="00977D7B"/>
    <w:rsid w:val="009963ED"/>
    <w:rsid w:val="009D3030"/>
    <w:rsid w:val="009D4063"/>
    <w:rsid w:val="00A323A9"/>
    <w:rsid w:val="00A41BD3"/>
    <w:rsid w:val="00A449C2"/>
    <w:rsid w:val="00A56088"/>
    <w:rsid w:val="00A65EA3"/>
    <w:rsid w:val="00A67820"/>
    <w:rsid w:val="00A7322F"/>
    <w:rsid w:val="00A939FF"/>
    <w:rsid w:val="00AA3D6F"/>
    <w:rsid w:val="00AB133C"/>
    <w:rsid w:val="00AB55AE"/>
    <w:rsid w:val="00AB6F7D"/>
    <w:rsid w:val="00AC195D"/>
    <w:rsid w:val="00AC7878"/>
    <w:rsid w:val="00AD493E"/>
    <w:rsid w:val="00AE30B5"/>
    <w:rsid w:val="00AE48CF"/>
    <w:rsid w:val="00AE5755"/>
    <w:rsid w:val="00AF0BE5"/>
    <w:rsid w:val="00B02261"/>
    <w:rsid w:val="00B06055"/>
    <w:rsid w:val="00B20BF8"/>
    <w:rsid w:val="00B42531"/>
    <w:rsid w:val="00B4297E"/>
    <w:rsid w:val="00B44D8A"/>
    <w:rsid w:val="00B60FBC"/>
    <w:rsid w:val="00B73AC8"/>
    <w:rsid w:val="00B747A7"/>
    <w:rsid w:val="00B83174"/>
    <w:rsid w:val="00BA2BBF"/>
    <w:rsid w:val="00BA43B2"/>
    <w:rsid w:val="00BC29E4"/>
    <w:rsid w:val="00BC559C"/>
    <w:rsid w:val="00BE1BEC"/>
    <w:rsid w:val="00C06567"/>
    <w:rsid w:val="00C17112"/>
    <w:rsid w:val="00C24267"/>
    <w:rsid w:val="00C435B8"/>
    <w:rsid w:val="00C80FB5"/>
    <w:rsid w:val="00CA12A0"/>
    <w:rsid w:val="00CA42C5"/>
    <w:rsid w:val="00CA5D42"/>
    <w:rsid w:val="00CB1A8A"/>
    <w:rsid w:val="00CB40E1"/>
    <w:rsid w:val="00CF6DB6"/>
    <w:rsid w:val="00CF7D9A"/>
    <w:rsid w:val="00D134CA"/>
    <w:rsid w:val="00D2489C"/>
    <w:rsid w:val="00D30A75"/>
    <w:rsid w:val="00D3572A"/>
    <w:rsid w:val="00D37094"/>
    <w:rsid w:val="00D52D5F"/>
    <w:rsid w:val="00D57BF3"/>
    <w:rsid w:val="00D949A3"/>
    <w:rsid w:val="00DA1C8A"/>
    <w:rsid w:val="00DA3B55"/>
    <w:rsid w:val="00DB44F0"/>
    <w:rsid w:val="00DC7095"/>
    <w:rsid w:val="00DD109E"/>
    <w:rsid w:val="00DD3E18"/>
    <w:rsid w:val="00DE17EB"/>
    <w:rsid w:val="00DE1DFD"/>
    <w:rsid w:val="00E0676B"/>
    <w:rsid w:val="00E12103"/>
    <w:rsid w:val="00E15AAE"/>
    <w:rsid w:val="00E21184"/>
    <w:rsid w:val="00E254ED"/>
    <w:rsid w:val="00E40B8B"/>
    <w:rsid w:val="00E5742E"/>
    <w:rsid w:val="00E61DB7"/>
    <w:rsid w:val="00E72DB9"/>
    <w:rsid w:val="00EA265F"/>
    <w:rsid w:val="00EA5685"/>
    <w:rsid w:val="00EC5F92"/>
    <w:rsid w:val="00ED43FF"/>
    <w:rsid w:val="00ED5835"/>
    <w:rsid w:val="00ED6625"/>
    <w:rsid w:val="00EE6600"/>
    <w:rsid w:val="00EF1D6A"/>
    <w:rsid w:val="00EF2E51"/>
    <w:rsid w:val="00F21865"/>
    <w:rsid w:val="00F31E24"/>
    <w:rsid w:val="00F37E93"/>
    <w:rsid w:val="00F4535C"/>
    <w:rsid w:val="00F5047C"/>
    <w:rsid w:val="00F52474"/>
    <w:rsid w:val="00F5529D"/>
    <w:rsid w:val="00F5669E"/>
    <w:rsid w:val="00F60B57"/>
    <w:rsid w:val="00F60F73"/>
    <w:rsid w:val="00F75D33"/>
    <w:rsid w:val="00F9360A"/>
    <w:rsid w:val="00F954CF"/>
    <w:rsid w:val="00F97DFF"/>
    <w:rsid w:val="00FB3C19"/>
    <w:rsid w:val="00FC6579"/>
    <w:rsid w:val="00FD3FB3"/>
    <w:rsid w:val="00FE1053"/>
    <w:rsid w:val="00FE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0" w:qFormat="1"/>
    <w:lsdException w:name="List Bullet" w:uiPriority="0"/>
    <w:lsdException w:name="List Bullet 2" w:uiPriority="0"/>
    <w:lsdException w:name="List Bullet 3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C17112"/>
    <w:pPr>
      <w:spacing w:before="114" w:after="114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8030EC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28"/>
      <w:szCs w:val="28"/>
    </w:rPr>
  </w:style>
  <w:style w:type="paragraph" w:styleId="Heading3">
    <w:name w:val="heading 3"/>
    <w:basedOn w:val="Normal"/>
    <w:next w:val="BodyText"/>
    <w:link w:val="Heading3Char"/>
    <w:qFormat/>
    <w:rsid w:val="008030EC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A02D1"/>
    <w:pPr>
      <w:spacing w:before="360"/>
      <w:outlineLvl w:val="3"/>
    </w:pPr>
    <w:rPr>
      <w:b w:val="0"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030EC"/>
    <w:rPr>
      <w:rFonts w:asciiTheme="majorHAnsi" w:hAnsiTheme="majorHAnsi"/>
      <w:bCs/>
      <w:iCs/>
      <w:color w:val="2B3B5F"/>
      <w:kern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030EC"/>
    <w:rPr>
      <w:b/>
      <w:color w:val="2B3B5F"/>
      <w:sz w:val="24"/>
    </w:rPr>
  </w:style>
  <w:style w:type="table" w:styleId="TableGrid">
    <w:name w:val="Table Grid"/>
    <w:basedOn w:val="TableNormal"/>
    <w:rsid w:val="00CF7D9A"/>
    <w:pPr>
      <w:spacing w:before="70" w:after="70" w:line="240" w:lineRule="auto"/>
      <w:ind w:left="57" w:right="57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right"/>
      </w:pPr>
      <w:rPr>
        <w:rFonts w:asciiTheme="minorHAnsi" w:hAnsiTheme="minorHAnsi"/>
        <w:b w:val="0"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rFonts w:ascii="Calibri" w:hAnsi="Calibri"/>
        <w:b/>
        <w:sz w:val="20"/>
      </w:rPr>
    </w:tblStylePr>
    <w:tblStylePr w:type="firstCol">
      <w:pPr>
        <w:wordWrap/>
        <w:ind w:leftChars="0" w:left="113" w:rightChars="0" w:right="113"/>
        <w:jc w:val="left"/>
      </w:pPr>
      <w:rPr>
        <w:rFonts w:ascii="Calibri" w:hAnsi="Calibri"/>
        <w:b w:val="0"/>
        <w:i w:val="0"/>
        <w:sz w:val="20"/>
      </w:rPr>
      <w:tblPr/>
      <w:tcPr>
        <w:vAlign w:val="center"/>
      </w:tcPr>
    </w:tblStylePr>
    <w:tblStylePr w:type="lastCol">
      <w:pPr>
        <w:wordWrap/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Vert">
      <w:pPr>
        <w:jc w:val="right"/>
      </w:pPr>
      <w:rPr>
        <w:sz w:val="20"/>
      </w:rPr>
      <w:tblPr/>
      <w:tcPr>
        <w:vAlign w:val="center"/>
      </w:tcPr>
    </w:tblStylePr>
    <w:tblStylePr w:type="band2Vert">
      <w:pPr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F52474"/>
    <w:pPr>
      <w:keepNext/>
      <w:keepLines/>
      <w:spacing w:before="70" w:after="70" w:line="260" w:lineRule="atLeast"/>
      <w:ind w:left="113" w:right="113"/>
    </w:pPr>
    <w:rPr>
      <w:rFonts w:cs="Times New Roman"/>
      <w:b/>
      <w:sz w:val="20"/>
    </w:rPr>
  </w:style>
  <w:style w:type="paragraph" w:customStyle="1" w:styleId="TableHeadingCentred">
    <w:name w:val="Table Heading Centred"/>
    <w:basedOn w:val="TableTextRight"/>
    <w:qFormat/>
    <w:rsid w:val="00C24267"/>
    <w:pPr>
      <w:keepNext/>
      <w:keepLines/>
      <w:ind w:left="85" w:right="85"/>
    </w:pPr>
    <w:rPr>
      <w:rFonts w:eastAsia="Times New Roman"/>
      <w:i w:val="0"/>
      <w:lang w:eastAsia="en-AU"/>
    </w:rPr>
  </w:style>
  <w:style w:type="paragraph" w:customStyle="1" w:styleId="TableText">
    <w:name w:val="Table Text"/>
    <w:basedOn w:val="Normal"/>
    <w:link w:val="TableTextChar"/>
    <w:qFormat/>
    <w:rsid w:val="00F52474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C24267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nhideWhenUsed/>
    <w:qFormat/>
    <w:rsid w:val="00C24267"/>
    <w:pPr>
      <w:tabs>
        <w:tab w:val="center" w:pos="4513"/>
        <w:tab w:val="right" w:pos="9026"/>
      </w:tabs>
      <w:spacing w:before="0" w:after="0" w:line="240" w:lineRule="auto"/>
      <w:jc w:val="right"/>
    </w:pPr>
    <w:rPr>
      <w:b/>
    </w:rPr>
  </w:style>
  <w:style w:type="character" w:customStyle="1" w:styleId="FooterChar">
    <w:name w:val="Footer Char"/>
    <w:basedOn w:val="DefaultParagraphFont"/>
    <w:link w:val="Footer"/>
    <w:rsid w:val="00C24267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link w:val="TableTextBulletChar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link w:val="TableTextBullet2Char"/>
    <w:rsid w:val="00F52474"/>
    <w:pPr>
      <w:numPr>
        <w:ilvl w:val="1"/>
      </w:numPr>
      <w:spacing w:before="240" w:after="0" w:line="240" w:lineRule="auto"/>
      <w:ind w:left="681" w:right="0" w:hanging="284"/>
    </w:pPr>
    <w:rPr>
      <w:bCs/>
    </w:rPr>
  </w:style>
  <w:style w:type="paragraph" w:customStyle="1" w:styleId="TableTextBullet3">
    <w:name w:val="Table Text Bullet 3"/>
    <w:basedOn w:val="TableTextBullet2"/>
    <w:link w:val="TableTextBullet3Char"/>
    <w:rsid w:val="00F52474"/>
    <w:pPr>
      <w:numPr>
        <w:ilvl w:val="2"/>
      </w:numPr>
      <w:ind w:left="964" w:hanging="284"/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link w:val="TableTextBullet1Char"/>
    <w:rsid w:val="00F52474"/>
    <w:pPr>
      <w:numPr>
        <w:ilvl w:val="2"/>
        <w:numId w:val="5"/>
      </w:numPr>
      <w:spacing w:before="240" w:after="0" w:line="240" w:lineRule="auto"/>
      <w:ind w:left="397" w:hanging="284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BA2BBF"/>
    <w:pPr>
      <w:spacing w:before="114" w:after="114" w:line="240" w:lineRule="auto"/>
    </w:pPr>
    <w:tblPr>
      <w:tblBorders>
        <w:top w:val="single" w:sz="4" w:space="0" w:color="788182"/>
        <w:left w:val="single" w:sz="4" w:space="0" w:color="788182"/>
        <w:bottom w:val="single" w:sz="4" w:space="0" w:color="788182"/>
        <w:right w:val="single" w:sz="4" w:space="0" w:color="788182"/>
        <w:insideH w:val="single" w:sz="4" w:space="0" w:color="788182"/>
        <w:insideV w:val="single" w:sz="4" w:space="0" w:color="788182"/>
      </w:tblBorders>
    </w:tblPr>
    <w:tblStylePr w:type="firstRow">
      <w:rPr>
        <w:rFonts w:ascii="Calibri" w:hAnsi="Calibri"/>
        <w:b/>
        <w:sz w:val="20"/>
      </w:rPr>
      <w:tblPr/>
      <w:tcPr>
        <w:shd w:val="clear" w:color="auto" w:fill="D7DDE9"/>
      </w:tcPr>
    </w:tblStylePr>
  </w:style>
  <w:style w:type="paragraph" w:customStyle="1" w:styleId="Letterfooter">
    <w:name w:val="Letter footer"/>
    <w:basedOn w:val="Footer"/>
    <w:qFormat/>
    <w:rsid w:val="00C24267"/>
    <w:pPr>
      <w:spacing w:after="113"/>
      <w:ind w:right="-618" w:hanging="709"/>
      <w:jc w:val="center"/>
    </w:pPr>
    <w:rPr>
      <w:rFonts w:ascii="Arial" w:hAnsi="Arial" w:cs="Arial"/>
      <w:b w:val="0"/>
      <w:sz w:val="17"/>
      <w:szCs w:val="17"/>
    </w:rPr>
  </w:style>
  <w:style w:type="paragraph" w:customStyle="1" w:styleId="PBOheader">
    <w:name w:val="PBO header"/>
    <w:basedOn w:val="Header"/>
    <w:qFormat/>
    <w:rsid w:val="00DA1C8A"/>
    <w:pPr>
      <w:tabs>
        <w:tab w:val="clear" w:pos="4513"/>
        <w:tab w:val="clear" w:pos="9026"/>
      </w:tabs>
      <w:spacing w:before="1320"/>
      <w:ind w:left="6521"/>
    </w:pPr>
    <w:rPr>
      <w:rFonts w:ascii="Arial" w:hAnsi="Arial" w:cs="Arial"/>
      <w:b/>
      <w:sz w:val="18"/>
      <w:szCs w:val="18"/>
    </w:rPr>
  </w:style>
  <w:style w:type="paragraph" w:styleId="Caption">
    <w:name w:val="caption"/>
    <w:basedOn w:val="Normal"/>
    <w:next w:val="BodyText"/>
    <w:link w:val="CaptionChar"/>
    <w:rsid w:val="005E3562"/>
    <w:pPr>
      <w:keepNext/>
      <w:spacing w:before="340"/>
    </w:pPr>
    <w:rPr>
      <w:b/>
      <w:bCs/>
      <w:color w:val="1F497D" w:themeColor="text2"/>
      <w:spacing w:val="-4"/>
    </w:rPr>
  </w:style>
  <w:style w:type="paragraph" w:customStyle="1" w:styleId="Captionheading">
    <w:name w:val="Caption heading"/>
    <w:basedOn w:val="Caption"/>
    <w:link w:val="CaptionheadingChar"/>
    <w:qFormat/>
    <w:rsid w:val="00507897"/>
  </w:style>
  <w:style w:type="paragraph" w:styleId="ListParagraph">
    <w:name w:val="List Paragraph"/>
    <w:basedOn w:val="Normal"/>
    <w:link w:val="ListParagraphChar"/>
    <w:uiPriority w:val="34"/>
    <w:qFormat/>
    <w:rsid w:val="005E3562"/>
    <w:pPr>
      <w:ind w:left="720"/>
      <w:contextualSpacing/>
    </w:pPr>
  </w:style>
  <w:style w:type="character" w:customStyle="1" w:styleId="CaptionChar">
    <w:name w:val="Caption Char"/>
    <w:basedOn w:val="DefaultParagraphFont"/>
    <w:link w:val="Caption"/>
    <w:rsid w:val="005E3562"/>
    <w:rPr>
      <w:b/>
      <w:bCs/>
      <w:color w:val="1F497D" w:themeColor="text2"/>
      <w:spacing w:val="-4"/>
    </w:rPr>
  </w:style>
  <w:style w:type="character" w:customStyle="1" w:styleId="CaptionheadingChar">
    <w:name w:val="Caption heading Char"/>
    <w:basedOn w:val="CaptionChar"/>
    <w:link w:val="Captionheading"/>
    <w:rsid w:val="00507897"/>
    <w:rPr>
      <w:b/>
      <w:bCs/>
      <w:color w:val="1F497D" w:themeColor="text2"/>
      <w:spacing w:val="-4"/>
    </w:rPr>
  </w:style>
  <w:style w:type="paragraph" w:customStyle="1" w:styleId="Bullet1">
    <w:name w:val="Bullet 1"/>
    <w:basedOn w:val="ListBullet"/>
    <w:link w:val="Bullet1Char"/>
    <w:qFormat/>
    <w:rsid w:val="00B20BF8"/>
    <w:rPr>
      <w:rFonts w:eastAsia="Times New Roman" w:cs="Times New Roman"/>
      <w:spacing w:val="0"/>
      <w:lang w:eastAsia="en-AU"/>
    </w:rPr>
  </w:style>
  <w:style w:type="paragraph" w:customStyle="1" w:styleId="Bullet2">
    <w:name w:val="Bullet 2"/>
    <w:basedOn w:val="ListBullet2"/>
    <w:link w:val="Bullet2Char"/>
    <w:qFormat/>
    <w:rsid w:val="00B20BF8"/>
    <w:pPr>
      <w:ind w:left="908" w:hanging="454"/>
    </w:pPr>
    <w:rPr>
      <w:rFonts w:eastAsia="Times New Roman" w:cs="Times New Roman"/>
      <w:spacing w:val="0"/>
      <w:lang w:eastAsia="en-AU"/>
    </w:rPr>
  </w:style>
  <w:style w:type="character" w:customStyle="1" w:styleId="TableTextBullet1Char">
    <w:name w:val="Table Text Bullet 1 Char"/>
    <w:basedOn w:val="DefaultParagraphFont"/>
    <w:link w:val="TableTextBullet1"/>
    <w:rsid w:val="00F52474"/>
    <w:rPr>
      <w:rFonts w:eastAsia="Times New Roman" w:cs="Times New Roman"/>
      <w:sz w:val="20"/>
      <w:lang w:eastAsia="en-AU"/>
    </w:rPr>
  </w:style>
  <w:style w:type="character" w:customStyle="1" w:styleId="Bullet1Char">
    <w:name w:val="Bullet 1 Char"/>
    <w:basedOn w:val="TableTextBullet1Char"/>
    <w:link w:val="Bullet1"/>
    <w:rsid w:val="00B20BF8"/>
    <w:rPr>
      <w:rFonts w:eastAsia="Times New Roman" w:cs="Times New Roman"/>
      <w:sz w:val="20"/>
      <w:lang w:eastAsia="en-AU"/>
    </w:rPr>
  </w:style>
  <w:style w:type="paragraph" w:customStyle="1" w:styleId="Bullet3">
    <w:name w:val="Bullet 3"/>
    <w:basedOn w:val="TableTextBullet3"/>
    <w:link w:val="Bullet3Char"/>
    <w:qFormat/>
    <w:rsid w:val="00461597"/>
    <w:pPr>
      <w:spacing w:before="0" w:after="113" w:line="300" w:lineRule="atLeast"/>
      <w:ind w:left="624" w:hanging="170"/>
    </w:pPr>
    <w:rPr>
      <w:sz w:val="22"/>
    </w:rPr>
  </w:style>
  <w:style w:type="character" w:customStyle="1" w:styleId="TableTextChar">
    <w:name w:val="Table Text Char"/>
    <w:basedOn w:val="DefaultParagraphFont"/>
    <w:link w:val="TableText"/>
    <w:rsid w:val="00F52474"/>
    <w:rPr>
      <w:rFonts w:cs="Times New Roman"/>
      <w:sz w:val="20"/>
    </w:rPr>
  </w:style>
  <w:style w:type="character" w:customStyle="1" w:styleId="TableTextBulletChar">
    <w:name w:val="Table Text Bullet Char"/>
    <w:basedOn w:val="TableTextChar"/>
    <w:link w:val="TableTextBullet"/>
    <w:rsid w:val="001A02D1"/>
    <w:rPr>
      <w:rFonts w:cs="Times New Roman"/>
      <w:sz w:val="20"/>
    </w:rPr>
  </w:style>
  <w:style w:type="character" w:customStyle="1" w:styleId="TableTextBullet2Char">
    <w:name w:val="Table Text Bullet 2 Char"/>
    <w:basedOn w:val="TableTextBulletChar"/>
    <w:link w:val="TableTextBullet2"/>
    <w:rsid w:val="00F52474"/>
    <w:rPr>
      <w:rFonts w:cs="Times New Roman"/>
      <w:bCs/>
      <w:sz w:val="20"/>
    </w:rPr>
  </w:style>
  <w:style w:type="character" w:customStyle="1" w:styleId="Bullet2Char">
    <w:name w:val="Bullet 2 Char"/>
    <w:basedOn w:val="TableTextBullet2Char"/>
    <w:link w:val="Bullet2"/>
    <w:rsid w:val="00B20BF8"/>
    <w:rPr>
      <w:rFonts w:eastAsia="Times New Roman" w:cs="Times New Roman"/>
      <w:bCs w:val="0"/>
      <w:sz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1A02D1"/>
    <w:rPr>
      <w:i/>
      <w:color w:val="2B3B5F"/>
      <w:sz w:val="24"/>
      <w:szCs w:val="24"/>
    </w:rPr>
  </w:style>
  <w:style w:type="character" w:customStyle="1" w:styleId="TableTextBullet3Char">
    <w:name w:val="Table Text Bullet 3 Char"/>
    <w:basedOn w:val="TableTextBullet2Char"/>
    <w:link w:val="TableTextBullet3"/>
    <w:rsid w:val="00F52474"/>
    <w:rPr>
      <w:rFonts w:cs="Times New Roman"/>
      <w:bCs w:val="0"/>
      <w:sz w:val="20"/>
    </w:rPr>
  </w:style>
  <w:style w:type="character" w:customStyle="1" w:styleId="Bullet3Char">
    <w:name w:val="Bullet 3 Char"/>
    <w:basedOn w:val="TableTextBullet3Char"/>
    <w:link w:val="Bullet3"/>
    <w:rsid w:val="00461597"/>
    <w:rPr>
      <w:rFonts w:cs="Times New Roman"/>
      <w:bCs w:val="0"/>
      <w:sz w:val="20"/>
    </w:rPr>
  </w:style>
  <w:style w:type="paragraph" w:customStyle="1" w:styleId="Footnotes">
    <w:name w:val="Footnotes"/>
    <w:basedOn w:val="ListParagraph"/>
    <w:link w:val="FootnotesChar"/>
    <w:qFormat/>
    <w:rsid w:val="001278D0"/>
    <w:pPr>
      <w:numPr>
        <w:numId w:val="6"/>
      </w:numPr>
      <w:spacing w:before="113" w:after="0" w:line="260" w:lineRule="atLeast"/>
      <w:contextualSpacing w:val="0"/>
    </w:pPr>
    <w:rPr>
      <w:sz w:val="20"/>
      <w:szCs w:val="20"/>
    </w:rPr>
  </w:style>
  <w:style w:type="paragraph" w:customStyle="1" w:styleId="Footnoteheading">
    <w:name w:val="Footnote heading"/>
    <w:basedOn w:val="Normal"/>
    <w:link w:val="FootnoteheadingChar"/>
    <w:rsid w:val="00C17112"/>
    <w:pPr>
      <w:spacing w:before="113" w:after="113"/>
    </w:pPr>
    <w:rPr>
      <w:b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D42"/>
  </w:style>
  <w:style w:type="character" w:customStyle="1" w:styleId="FootnotesChar">
    <w:name w:val="Footnotes Char"/>
    <w:basedOn w:val="ListParagraphChar"/>
    <w:link w:val="Footnotes"/>
    <w:rsid w:val="001278D0"/>
    <w:rPr>
      <w:sz w:val="20"/>
      <w:szCs w:val="20"/>
    </w:rPr>
  </w:style>
  <w:style w:type="character" w:customStyle="1" w:styleId="FootnoteheadingChar">
    <w:name w:val="Footnote heading Char"/>
    <w:basedOn w:val="DefaultParagraphFont"/>
    <w:link w:val="Footnoteheading"/>
    <w:rsid w:val="00C17112"/>
    <w:rPr>
      <w:b/>
      <w:sz w:val="20"/>
      <w:szCs w:val="20"/>
    </w:rPr>
  </w:style>
  <w:style w:type="paragraph" w:customStyle="1" w:styleId="Lettertext">
    <w:name w:val="Letter text"/>
    <w:basedOn w:val="Normal"/>
    <w:qFormat/>
    <w:rsid w:val="00C17112"/>
    <w:pPr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Bullet">
    <w:name w:val="List Bullet"/>
    <w:basedOn w:val="Normal"/>
    <w:unhideWhenUsed/>
    <w:rsid w:val="00C17112"/>
    <w:pPr>
      <w:keepLines/>
      <w:numPr>
        <w:numId w:val="11"/>
      </w:numPr>
      <w:spacing w:before="0" w:after="113"/>
    </w:pPr>
    <w:rPr>
      <w:spacing w:val="-1"/>
    </w:rPr>
  </w:style>
  <w:style w:type="paragraph" w:styleId="ListBullet2">
    <w:name w:val="List Bullet 2"/>
    <w:basedOn w:val="ListBullet"/>
    <w:unhideWhenUsed/>
    <w:rsid w:val="00C17112"/>
    <w:pPr>
      <w:numPr>
        <w:ilvl w:val="1"/>
      </w:numPr>
    </w:pPr>
  </w:style>
  <w:style w:type="paragraph" w:styleId="ListBullet3">
    <w:name w:val="List Bullet 3"/>
    <w:basedOn w:val="ListBullet2"/>
    <w:unhideWhenUsed/>
    <w:rsid w:val="00C17112"/>
    <w:pPr>
      <w:numPr>
        <w:ilvl w:val="2"/>
      </w:numPr>
    </w:pPr>
  </w:style>
  <w:style w:type="paragraph" w:customStyle="1" w:styleId="TableTextRight">
    <w:name w:val="Table Text Right"/>
    <w:basedOn w:val="TableText"/>
    <w:qFormat/>
    <w:rsid w:val="00C24267"/>
    <w:pPr>
      <w:jc w:val="right"/>
    </w:pPr>
    <w:rPr>
      <w:i/>
    </w:rPr>
  </w:style>
  <w:style w:type="paragraph" w:customStyle="1" w:styleId="ChartandTableFootnoteAlpha">
    <w:name w:val="Chart and Table Footnote Alpha"/>
    <w:basedOn w:val="Normal"/>
    <w:next w:val="Normal"/>
    <w:link w:val="ChartandTableFootnoteAlphaChar"/>
    <w:rsid w:val="00393BB6"/>
    <w:pPr>
      <w:keepLines/>
      <w:numPr>
        <w:numId w:val="19"/>
      </w:numPr>
      <w:spacing w:before="240" w:after="0" w:line="240" w:lineRule="auto"/>
      <w:jc w:val="both"/>
    </w:pPr>
    <w:rPr>
      <w:rFonts w:ascii="Arial" w:eastAsia="Times New Roman" w:hAnsi="Arial" w:cs="Times New Roman"/>
      <w:sz w:val="16"/>
      <w:szCs w:val="20"/>
      <w:lang w:eastAsia="en-AU"/>
    </w:rPr>
  </w:style>
  <w:style w:type="paragraph" w:customStyle="1" w:styleId="Tablefootnote">
    <w:name w:val="Table footnote"/>
    <w:basedOn w:val="ChartandTableFootnoteAlpha"/>
    <w:link w:val="TablefootnoteChar"/>
    <w:qFormat/>
    <w:rsid w:val="00393BB6"/>
  </w:style>
  <w:style w:type="character" w:customStyle="1" w:styleId="TablefootnoteChar">
    <w:name w:val="Table footnote Char"/>
    <w:basedOn w:val="DefaultParagraphFont"/>
    <w:link w:val="Tablefootnote"/>
    <w:rsid w:val="00393BB6"/>
    <w:rPr>
      <w:rFonts w:ascii="Arial" w:eastAsia="Times New Roman" w:hAnsi="Arial" w:cs="Times New Roman"/>
      <w:sz w:val="16"/>
      <w:szCs w:val="20"/>
      <w:lang w:eastAsia="en-AU"/>
    </w:rPr>
  </w:style>
  <w:style w:type="paragraph" w:customStyle="1" w:styleId="Tableheading0">
    <w:name w:val="Table heading"/>
    <w:basedOn w:val="Caption"/>
    <w:link w:val="TableheadingChar"/>
    <w:qFormat/>
    <w:rsid w:val="00F9360A"/>
    <w:pPr>
      <w:keepLines/>
      <w:spacing w:before="240" w:after="0" w:line="260" w:lineRule="exact"/>
      <w:jc w:val="both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TableheadingChar">
    <w:name w:val="Table heading Char"/>
    <w:basedOn w:val="CaptionChar"/>
    <w:link w:val="Tableheading0"/>
    <w:rsid w:val="00F9360A"/>
    <w:rPr>
      <w:rFonts w:ascii="Times New Roman" w:eastAsia="Times New Roman" w:hAnsi="Times New Roman" w:cs="Times New Roman"/>
      <w:b/>
      <w:bCs/>
      <w:color w:val="1F497D" w:themeColor="text2"/>
      <w:spacing w:val="-4"/>
      <w:sz w:val="24"/>
      <w:szCs w:val="20"/>
      <w:lang w:eastAsia="en-AU"/>
    </w:rPr>
  </w:style>
  <w:style w:type="character" w:customStyle="1" w:styleId="ChartandTableFootnoteAlphaChar">
    <w:name w:val="Chart and Table Footnote Alpha Char"/>
    <w:basedOn w:val="DefaultParagraphFont"/>
    <w:link w:val="ChartandTableFootnoteAlpha"/>
    <w:rsid w:val="00D3572A"/>
    <w:rPr>
      <w:rFonts w:ascii="Arial" w:eastAsia="Times New Roman" w:hAnsi="Arial" w:cs="Times New Roman"/>
      <w:sz w:val="16"/>
      <w:szCs w:val="20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F37E93"/>
    <w:rPr>
      <w:color w:val="800080" w:themeColor="followedHyperlink"/>
      <w:u w:val="single"/>
    </w:rPr>
  </w:style>
  <w:style w:type="table" w:customStyle="1" w:styleId="TableGrid4">
    <w:name w:val="Table Grid4"/>
    <w:basedOn w:val="TableNormal"/>
    <w:next w:val="TableGrid"/>
    <w:rsid w:val="00A323A9"/>
    <w:pPr>
      <w:spacing w:before="70" w:after="70" w:line="240" w:lineRule="auto"/>
      <w:ind w:left="57" w:right="57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right"/>
      </w:pPr>
      <w:rPr>
        <w:rFonts w:asciiTheme="minorHAnsi" w:hAnsiTheme="minorHAnsi"/>
        <w:b w:val="0"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rFonts w:ascii="Calibri" w:hAnsi="Calibri"/>
        <w:b/>
        <w:sz w:val="20"/>
      </w:rPr>
    </w:tblStylePr>
    <w:tblStylePr w:type="firstCol">
      <w:pPr>
        <w:wordWrap/>
        <w:ind w:leftChars="0" w:left="113" w:rightChars="0" w:right="113"/>
        <w:jc w:val="left"/>
      </w:pPr>
      <w:rPr>
        <w:rFonts w:ascii="Calibri" w:hAnsi="Calibri"/>
        <w:b w:val="0"/>
        <w:i w:val="0"/>
        <w:sz w:val="20"/>
      </w:rPr>
      <w:tblPr/>
      <w:tcPr>
        <w:vAlign w:val="center"/>
      </w:tcPr>
    </w:tblStylePr>
    <w:tblStylePr w:type="lastCol">
      <w:pPr>
        <w:wordWrap/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Vert">
      <w:pPr>
        <w:jc w:val="right"/>
      </w:pPr>
      <w:rPr>
        <w:sz w:val="20"/>
      </w:rPr>
      <w:tblPr/>
      <w:tcPr>
        <w:vAlign w:val="center"/>
      </w:tcPr>
    </w:tblStylePr>
    <w:tblStylePr w:type="band2Vert">
      <w:pPr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F7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79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79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91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0" w:qFormat="1"/>
    <w:lsdException w:name="List Bullet" w:uiPriority="0"/>
    <w:lsdException w:name="List Bullet 2" w:uiPriority="0"/>
    <w:lsdException w:name="List Bullet 3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C17112"/>
    <w:pPr>
      <w:spacing w:before="114" w:after="114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8030EC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28"/>
      <w:szCs w:val="28"/>
    </w:rPr>
  </w:style>
  <w:style w:type="paragraph" w:styleId="Heading3">
    <w:name w:val="heading 3"/>
    <w:basedOn w:val="Normal"/>
    <w:next w:val="BodyText"/>
    <w:link w:val="Heading3Char"/>
    <w:qFormat/>
    <w:rsid w:val="008030EC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A02D1"/>
    <w:pPr>
      <w:spacing w:before="360"/>
      <w:outlineLvl w:val="3"/>
    </w:pPr>
    <w:rPr>
      <w:b w:val="0"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030EC"/>
    <w:rPr>
      <w:rFonts w:asciiTheme="majorHAnsi" w:hAnsiTheme="majorHAnsi"/>
      <w:bCs/>
      <w:iCs/>
      <w:color w:val="2B3B5F"/>
      <w:kern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030EC"/>
    <w:rPr>
      <w:b/>
      <w:color w:val="2B3B5F"/>
      <w:sz w:val="24"/>
    </w:rPr>
  </w:style>
  <w:style w:type="table" w:styleId="TableGrid">
    <w:name w:val="Table Grid"/>
    <w:basedOn w:val="TableNormal"/>
    <w:rsid w:val="00CF7D9A"/>
    <w:pPr>
      <w:spacing w:before="70" w:after="70" w:line="240" w:lineRule="auto"/>
      <w:ind w:left="57" w:right="57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right"/>
      </w:pPr>
      <w:rPr>
        <w:rFonts w:asciiTheme="minorHAnsi" w:hAnsiTheme="minorHAnsi"/>
        <w:b w:val="0"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rFonts w:ascii="Calibri" w:hAnsi="Calibri"/>
        <w:b/>
        <w:sz w:val="20"/>
      </w:rPr>
    </w:tblStylePr>
    <w:tblStylePr w:type="firstCol">
      <w:pPr>
        <w:wordWrap/>
        <w:ind w:leftChars="0" w:left="113" w:rightChars="0" w:right="113"/>
        <w:jc w:val="left"/>
      </w:pPr>
      <w:rPr>
        <w:rFonts w:ascii="Calibri" w:hAnsi="Calibri"/>
        <w:b w:val="0"/>
        <w:i w:val="0"/>
        <w:sz w:val="20"/>
      </w:rPr>
      <w:tblPr/>
      <w:tcPr>
        <w:vAlign w:val="center"/>
      </w:tcPr>
    </w:tblStylePr>
    <w:tblStylePr w:type="lastCol">
      <w:pPr>
        <w:wordWrap/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Vert">
      <w:pPr>
        <w:jc w:val="right"/>
      </w:pPr>
      <w:rPr>
        <w:sz w:val="20"/>
      </w:rPr>
      <w:tblPr/>
      <w:tcPr>
        <w:vAlign w:val="center"/>
      </w:tcPr>
    </w:tblStylePr>
    <w:tblStylePr w:type="band2Vert">
      <w:pPr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F52474"/>
    <w:pPr>
      <w:keepNext/>
      <w:keepLines/>
      <w:spacing w:before="70" w:after="70" w:line="260" w:lineRule="atLeast"/>
      <w:ind w:left="113" w:right="113"/>
    </w:pPr>
    <w:rPr>
      <w:rFonts w:cs="Times New Roman"/>
      <w:b/>
      <w:sz w:val="20"/>
    </w:rPr>
  </w:style>
  <w:style w:type="paragraph" w:customStyle="1" w:styleId="TableHeadingCentred">
    <w:name w:val="Table Heading Centred"/>
    <w:basedOn w:val="TableTextRight"/>
    <w:qFormat/>
    <w:rsid w:val="00C24267"/>
    <w:pPr>
      <w:keepNext/>
      <w:keepLines/>
      <w:ind w:left="85" w:right="85"/>
    </w:pPr>
    <w:rPr>
      <w:rFonts w:eastAsia="Times New Roman"/>
      <w:i w:val="0"/>
      <w:lang w:eastAsia="en-AU"/>
    </w:rPr>
  </w:style>
  <w:style w:type="paragraph" w:customStyle="1" w:styleId="TableText">
    <w:name w:val="Table Text"/>
    <w:basedOn w:val="Normal"/>
    <w:link w:val="TableTextChar"/>
    <w:qFormat/>
    <w:rsid w:val="00F52474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C24267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nhideWhenUsed/>
    <w:qFormat/>
    <w:rsid w:val="00C24267"/>
    <w:pPr>
      <w:tabs>
        <w:tab w:val="center" w:pos="4513"/>
        <w:tab w:val="right" w:pos="9026"/>
      </w:tabs>
      <w:spacing w:before="0" w:after="0" w:line="240" w:lineRule="auto"/>
      <w:jc w:val="right"/>
    </w:pPr>
    <w:rPr>
      <w:b/>
    </w:rPr>
  </w:style>
  <w:style w:type="character" w:customStyle="1" w:styleId="FooterChar">
    <w:name w:val="Footer Char"/>
    <w:basedOn w:val="DefaultParagraphFont"/>
    <w:link w:val="Footer"/>
    <w:rsid w:val="00C24267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link w:val="TableTextBulletChar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link w:val="TableTextBullet2Char"/>
    <w:rsid w:val="00F52474"/>
    <w:pPr>
      <w:numPr>
        <w:ilvl w:val="1"/>
      </w:numPr>
      <w:spacing w:before="240" w:after="0" w:line="240" w:lineRule="auto"/>
      <w:ind w:left="681" w:right="0" w:hanging="284"/>
    </w:pPr>
    <w:rPr>
      <w:bCs/>
    </w:rPr>
  </w:style>
  <w:style w:type="paragraph" w:customStyle="1" w:styleId="TableTextBullet3">
    <w:name w:val="Table Text Bullet 3"/>
    <w:basedOn w:val="TableTextBullet2"/>
    <w:link w:val="TableTextBullet3Char"/>
    <w:rsid w:val="00F52474"/>
    <w:pPr>
      <w:numPr>
        <w:ilvl w:val="2"/>
      </w:numPr>
      <w:ind w:left="964" w:hanging="284"/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link w:val="TableTextBullet1Char"/>
    <w:rsid w:val="00F52474"/>
    <w:pPr>
      <w:numPr>
        <w:ilvl w:val="2"/>
        <w:numId w:val="5"/>
      </w:numPr>
      <w:spacing w:before="240" w:after="0" w:line="240" w:lineRule="auto"/>
      <w:ind w:left="397" w:hanging="284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BA2BBF"/>
    <w:pPr>
      <w:spacing w:before="114" w:after="114" w:line="240" w:lineRule="auto"/>
    </w:pPr>
    <w:tblPr>
      <w:tblBorders>
        <w:top w:val="single" w:sz="4" w:space="0" w:color="788182"/>
        <w:left w:val="single" w:sz="4" w:space="0" w:color="788182"/>
        <w:bottom w:val="single" w:sz="4" w:space="0" w:color="788182"/>
        <w:right w:val="single" w:sz="4" w:space="0" w:color="788182"/>
        <w:insideH w:val="single" w:sz="4" w:space="0" w:color="788182"/>
        <w:insideV w:val="single" w:sz="4" w:space="0" w:color="788182"/>
      </w:tblBorders>
    </w:tblPr>
    <w:tblStylePr w:type="firstRow">
      <w:rPr>
        <w:rFonts w:ascii="Calibri" w:hAnsi="Calibri"/>
        <w:b/>
        <w:sz w:val="20"/>
      </w:rPr>
      <w:tblPr/>
      <w:tcPr>
        <w:shd w:val="clear" w:color="auto" w:fill="D7DDE9"/>
      </w:tcPr>
    </w:tblStylePr>
  </w:style>
  <w:style w:type="paragraph" w:customStyle="1" w:styleId="Letterfooter">
    <w:name w:val="Letter footer"/>
    <w:basedOn w:val="Footer"/>
    <w:qFormat/>
    <w:rsid w:val="00C24267"/>
    <w:pPr>
      <w:spacing w:after="113"/>
      <w:ind w:right="-618" w:hanging="709"/>
      <w:jc w:val="center"/>
    </w:pPr>
    <w:rPr>
      <w:rFonts w:ascii="Arial" w:hAnsi="Arial" w:cs="Arial"/>
      <w:b w:val="0"/>
      <w:sz w:val="17"/>
      <w:szCs w:val="17"/>
    </w:rPr>
  </w:style>
  <w:style w:type="paragraph" w:customStyle="1" w:styleId="PBOheader">
    <w:name w:val="PBO header"/>
    <w:basedOn w:val="Header"/>
    <w:qFormat/>
    <w:rsid w:val="00DA1C8A"/>
    <w:pPr>
      <w:tabs>
        <w:tab w:val="clear" w:pos="4513"/>
        <w:tab w:val="clear" w:pos="9026"/>
      </w:tabs>
      <w:spacing w:before="1320"/>
      <w:ind w:left="6521"/>
    </w:pPr>
    <w:rPr>
      <w:rFonts w:ascii="Arial" w:hAnsi="Arial" w:cs="Arial"/>
      <w:b/>
      <w:sz w:val="18"/>
      <w:szCs w:val="18"/>
    </w:rPr>
  </w:style>
  <w:style w:type="paragraph" w:styleId="Caption">
    <w:name w:val="caption"/>
    <w:basedOn w:val="Normal"/>
    <w:next w:val="BodyText"/>
    <w:link w:val="CaptionChar"/>
    <w:rsid w:val="005E3562"/>
    <w:pPr>
      <w:keepNext/>
      <w:spacing w:before="340"/>
    </w:pPr>
    <w:rPr>
      <w:b/>
      <w:bCs/>
      <w:color w:val="1F497D" w:themeColor="text2"/>
      <w:spacing w:val="-4"/>
    </w:rPr>
  </w:style>
  <w:style w:type="paragraph" w:customStyle="1" w:styleId="Captionheading">
    <w:name w:val="Caption heading"/>
    <w:basedOn w:val="Caption"/>
    <w:link w:val="CaptionheadingChar"/>
    <w:qFormat/>
    <w:rsid w:val="00507897"/>
  </w:style>
  <w:style w:type="paragraph" w:styleId="ListParagraph">
    <w:name w:val="List Paragraph"/>
    <w:basedOn w:val="Normal"/>
    <w:link w:val="ListParagraphChar"/>
    <w:uiPriority w:val="34"/>
    <w:qFormat/>
    <w:rsid w:val="005E3562"/>
    <w:pPr>
      <w:ind w:left="720"/>
      <w:contextualSpacing/>
    </w:pPr>
  </w:style>
  <w:style w:type="character" w:customStyle="1" w:styleId="CaptionChar">
    <w:name w:val="Caption Char"/>
    <w:basedOn w:val="DefaultParagraphFont"/>
    <w:link w:val="Caption"/>
    <w:rsid w:val="005E3562"/>
    <w:rPr>
      <w:b/>
      <w:bCs/>
      <w:color w:val="1F497D" w:themeColor="text2"/>
      <w:spacing w:val="-4"/>
    </w:rPr>
  </w:style>
  <w:style w:type="character" w:customStyle="1" w:styleId="CaptionheadingChar">
    <w:name w:val="Caption heading Char"/>
    <w:basedOn w:val="CaptionChar"/>
    <w:link w:val="Captionheading"/>
    <w:rsid w:val="00507897"/>
    <w:rPr>
      <w:b/>
      <w:bCs/>
      <w:color w:val="1F497D" w:themeColor="text2"/>
      <w:spacing w:val="-4"/>
    </w:rPr>
  </w:style>
  <w:style w:type="paragraph" w:customStyle="1" w:styleId="Bullet1">
    <w:name w:val="Bullet 1"/>
    <w:basedOn w:val="ListBullet"/>
    <w:link w:val="Bullet1Char"/>
    <w:qFormat/>
    <w:rsid w:val="00B20BF8"/>
    <w:rPr>
      <w:rFonts w:eastAsia="Times New Roman" w:cs="Times New Roman"/>
      <w:spacing w:val="0"/>
      <w:lang w:eastAsia="en-AU"/>
    </w:rPr>
  </w:style>
  <w:style w:type="paragraph" w:customStyle="1" w:styleId="Bullet2">
    <w:name w:val="Bullet 2"/>
    <w:basedOn w:val="ListBullet2"/>
    <w:link w:val="Bullet2Char"/>
    <w:qFormat/>
    <w:rsid w:val="00B20BF8"/>
    <w:pPr>
      <w:ind w:left="908" w:hanging="454"/>
    </w:pPr>
    <w:rPr>
      <w:rFonts w:eastAsia="Times New Roman" w:cs="Times New Roman"/>
      <w:spacing w:val="0"/>
      <w:lang w:eastAsia="en-AU"/>
    </w:rPr>
  </w:style>
  <w:style w:type="character" w:customStyle="1" w:styleId="TableTextBullet1Char">
    <w:name w:val="Table Text Bullet 1 Char"/>
    <w:basedOn w:val="DefaultParagraphFont"/>
    <w:link w:val="TableTextBullet1"/>
    <w:rsid w:val="00F52474"/>
    <w:rPr>
      <w:rFonts w:eastAsia="Times New Roman" w:cs="Times New Roman"/>
      <w:sz w:val="20"/>
      <w:lang w:eastAsia="en-AU"/>
    </w:rPr>
  </w:style>
  <w:style w:type="character" w:customStyle="1" w:styleId="Bullet1Char">
    <w:name w:val="Bullet 1 Char"/>
    <w:basedOn w:val="TableTextBullet1Char"/>
    <w:link w:val="Bullet1"/>
    <w:rsid w:val="00B20BF8"/>
    <w:rPr>
      <w:rFonts w:eastAsia="Times New Roman" w:cs="Times New Roman"/>
      <w:sz w:val="20"/>
      <w:lang w:eastAsia="en-AU"/>
    </w:rPr>
  </w:style>
  <w:style w:type="paragraph" w:customStyle="1" w:styleId="Bullet3">
    <w:name w:val="Bullet 3"/>
    <w:basedOn w:val="TableTextBullet3"/>
    <w:link w:val="Bullet3Char"/>
    <w:qFormat/>
    <w:rsid w:val="00461597"/>
    <w:pPr>
      <w:spacing w:before="0" w:after="113" w:line="300" w:lineRule="atLeast"/>
      <w:ind w:left="624" w:hanging="170"/>
    </w:pPr>
    <w:rPr>
      <w:sz w:val="22"/>
    </w:rPr>
  </w:style>
  <w:style w:type="character" w:customStyle="1" w:styleId="TableTextChar">
    <w:name w:val="Table Text Char"/>
    <w:basedOn w:val="DefaultParagraphFont"/>
    <w:link w:val="TableText"/>
    <w:rsid w:val="00F52474"/>
    <w:rPr>
      <w:rFonts w:cs="Times New Roman"/>
      <w:sz w:val="20"/>
    </w:rPr>
  </w:style>
  <w:style w:type="character" w:customStyle="1" w:styleId="TableTextBulletChar">
    <w:name w:val="Table Text Bullet Char"/>
    <w:basedOn w:val="TableTextChar"/>
    <w:link w:val="TableTextBullet"/>
    <w:rsid w:val="001A02D1"/>
    <w:rPr>
      <w:rFonts w:cs="Times New Roman"/>
      <w:sz w:val="20"/>
    </w:rPr>
  </w:style>
  <w:style w:type="character" w:customStyle="1" w:styleId="TableTextBullet2Char">
    <w:name w:val="Table Text Bullet 2 Char"/>
    <w:basedOn w:val="TableTextBulletChar"/>
    <w:link w:val="TableTextBullet2"/>
    <w:rsid w:val="00F52474"/>
    <w:rPr>
      <w:rFonts w:cs="Times New Roman"/>
      <w:bCs/>
      <w:sz w:val="20"/>
    </w:rPr>
  </w:style>
  <w:style w:type="character" w:customStyle="1" w:styleId="Bullet2Char">
    <w:name w:val="Bullet 2 Char"/>
    <w:basedOn w:val="TableTextBullet2Char"/>
    <w:link w:val="Bullet2"/>
    <w:rsid w:val="00B20BF8"/>
    <w:rPr>
      <w:rFonts w:eastAsia="Times New Roman" w:cs="Times New Roman"/>
      <w:bCs w:val="0"/>
      <w:sz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1A02D1"/>
    <w:rPr>
      <w:i/>
      <w:color w:val="2B3B5F"/>
      <w:sz w:val="24"/>
      <w:szCs w:val="24"/>
    </w:rPr>
  </w:style>
  <w:style w:type="character" w:customStyle="1" w:styleId="TableTextBullet3Char">
    <w:name w:val="Table Text Bullet 3 Char"/>
    <w:basedOn w:val="TableTextBullet2Char"/>
    <w:link w:val="TableTextBullet3"/>
    <w:rsid w:val="00F52474"/>
    <w:rPr>
      <w:rFonts w:cs="Times New Roman"/>
      <w:bCs w:val="0"/>
      <w:sz w:val="20"/>
    </w:rPr>
  </w:style>
  <w:style w:type="character" w:customStyle="1" w:styleId="Bullet3Char">
    <w:name w:val="Bullet 3 Char"/>
    <w:basedOn w:val="TableTextBullet3Char"/>
    <w:link w:val="Bullet3"/>
    <w:rsid w:val="00461597"/>
    <w:rPr>
      <w:rFonts w:cs="Times New Roman"/>
      <w:bCs w:val="0"/>
      <w:sz w:val="20"/>
    </w:rPr>
  </w:style>
  <w:style w:type="paragraph" w:customStyle="1" w:styleId="Footnotes">
    <w:name w:val="Footnotes"/>
    <w:basedOn w:val="ListParagraph"/>
    <w:link w:val="FootnotesChar"/>
    <w:qFormat/>
    <w:rsid w:val="001278D0"/>
    <w:pPr>
      <w:numPr>
        <w:numId w:val="6"/>
      </w:numPr>
      <w:spacing w:before="113" w:after="0" w:line="260" w:lineRule="atLeast"/>
      <w:contextualSpacing w:val="0"/>
    </w:pPr>
    <w:rPr>
      <w:sz w:val="20"/>
      <w:szCs w:val="20"/>
    </w:rPr>
  </w:style>
  <w:style w:type="paragraph" w:customStyle="1" w:styleId="Footnoteheading">
    <w:name w:val="Footnote heading"/>
    <w:basedOn w:val="Normal"/>
    <w:link w:val="FootnoteheadingChar"/>
    <w:rsid w:val="00C17112"/>
    <w:pPr>
      <w:spacing w:before="113" w:after="113"/>
    </w:pPr>
    <w:rPr>
      <w:b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D42"/>
  </w:style>
  <w:style w:type="character" w:customStyle="1" w:styleId="FootnotesChar">
    <w:name w:val="Footnotes Char"/>
    <w:basedOn w:val="ListParagraphChar"/>
    <w:link w:val="Footnotes"/>
    <w:rsid w:val="001278D0"/>
    <w:rPr>
      <w:sz w:val="20"/>
      <w:szCs w:val="20"/>
    </w:rPr>
  </w:style>
  <w:style w:type="character" w:customStyle="1" w:styleId="FootnoteheadingChar">
    <w:name w:val="Footnote heading Char"/>
    <w:basedOn w:val="DefaultParagraphFont"/>
    <w:link w:val="Footnoteheading"/>
    <w:rsid w:val="00C17112"/>
    <w:rPr>
      <w:b/>
      <w:sz w:val="20"/>
      <w:szCs w:val="20"/>
    </w:rPr>
  </w:style>
  <w:style w:type="paragraph" w:customStyle="1" w:styleId="Lettertext">
    <w:name w:val="Letter text"/>
    <w:basedOn w:val="Normal"/>
    <w:qFormat/>
    <w:rsid w:val="00C17112"/>
    <w:pPr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Bullet">
    <w:name w:val="List Bullet"/>
    <w:basedOn w:val="Normal"/>
    <w:unhideWhenUsed/>
    <w:rsid w:val="00C17112"/>
    <w:pPr>
      <w:keepLines/>
      <w:numPr>
        <w:numId w:val="11"/>
      </w:numPr>
      <w:spacing w:before="0" w:after="113"/>
    </w:pPr>
    <w:rPr>
      <w:spacing w:val="-1"/>
    </w:rPr>
  </w:style>
  <w:style w:type="paragraph" w:styleId="ListBullet2">
    <w:name w:val="List Bullet 2"/>
    <w:basedOn w:val="ListBullet"/>
    <w:unhideWhenUsed/>
    <w:rsid w:val="00C17112"/>
    <w:pPr>
      <w:numPr>
        <w:ilvl w:val="1"/>
      </w:numPr>
    </w:pPr>
  </w:style>
  <w:style w:type="paragraph" w:styleId="ListBullet3">
    <w:name w:val="List Bullet 3"/>
    <w:basedOn w:val="ListBullet2"/>
    <w:unhideWhenUsed/>
    <w:rsid w:val="00C17112"/>
    <w:pPr>
      <w:numPr>
        <w:ilvl w:val="2"/>
      </w:numPr>
    </w:pPr>
  </w:style>
  <w:style w:type="paragraph" w:customStyle="1" w:styleId="TableTextRight">
    <w:name w:val="Table Text Right"/>
    <w:basedOn w:val="TableText"/>
    <w:qFormat/>
    <w:rsid w:val="00C24267"/>
    <w:pPr>
      <w:jc w:val="right"/>
    </w:pPr>
    <w:rPr>
      <w:i/>
    </w:rPr>
  </w:style>
  <w:style w:type="paragraph" w:customStyle="1" w:styleId="ChartandTableFootnoteAlpha">
    <w:name w:val="Chart and Table Footnote Alpha"/>
    <w:basedOn w:val="Normal"/>
    <w:next w:val="Normal"/>
    <w:link w:val="ChartandTableFootnoteAlphaChar"/>
    <w:rsid w:val="00393BB6"/>
    <w:pPr>
      <w:keepLines/>
      <w:numPr>
        <w:numId w:val="19"/>
      </w:numPr>
      <w:spacing w:before="240" w:after="0" w:line="240" w:lineRule="auto"/>
      <w:jc w:val="both"/>
    </w:pPr>
    <w:rPr>
      <w:rFonts w:ascii="Arial" w:eastAsia="Times New Roman" w:hAnsi="Arial" w:cs="Times New Roman"/>
      <w:sz w:val="16"/>
      <w:szCs w:val="20"/>
      <w:lang w:eastAsia="en-AU"/>
    </w:rPr>
  </w:style>
  <w:style w:type="paragraph" w:customStyle="1" w:styleId="Tablefootnote">
    <w:name w:val="Table footnote"/>
    <w:basedOn w:val="ChartandTableFootnoteAlpha"/>
    <w:link w:val="TablefootnoteChar"/>
    <w:qFormat/>
    <w:rsid w:val="00393BB6"/>
  </w:style>
  <w:style w:type="character" w:customStyle="1" w:styleId="TablefootnoteChar">
    <w:name w:val="Table footnote Char"/>
    <w:basedOn w:val="DefaultParagraphFont"/>
    <w:link w:val="Tablefootnote"/>
    <w:rsid w:val="00393BB6"/>
    <w:rPr>
      <w:rFonts w:ascii="Arial" w:eastAsia="Times New Roman" w:hAnsi="Arial" w:cs="Times New Roman"/>
      <w:sz w:val="16"/>
      <w:szCs w:val="20"/>
      <w:lang w:eastAsia="en-AU"/>
    </w:rPr>
  </w:style>
  <w:style w:type="paragraph" w:customStyle="1" w:styleId="Tableheading0">
    <w:name w:val="Table heading"/>
    <w:basedOn w:val="Caption"/>
    <w:link w:val="TableheadingChar"/>
    <w:qFormat/>
    <w:rsid w:val="00F9360A"/>
    <w:pPr>
      <w:keepLines/>
      <w:spacing w:before="240" w:after="0" w:line="260" w:lineRule="exact"/>
      <w:jc w:val="both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TableheadingChar">
    <w:name w:val="Table heading Char"/>
    <w:basedOn w:val="CaptionChar"/>
    <w:link w:val="Tableheading0"/>
    <w:rsid w:val="00F9360A"/>
    <w:rPr>
      <w:rFonts w:ascii="Times New Roman" w:eastAsia="Times New Roman" w:hAnsi="Times New Roman" w:cs="Times New Roman"/>
      <w:b/>
      <w:bCs/>
      <w:color w:val="1F497D" w:themeColor="text2"/>
      <w:spacing w:val="-4"/>
      <w:sz w:val="24"/>
      <w:szCs w:val="20"/>
      <w:lang w:eastAsia="en-AU"/>
    </w:rPr>
  </w:style>
  <w:style w:type="character" w:customStyle="1" w:styleId="ChartandTableFootnoteAlphaChar">
    <w:name w:val="Chart and Table Footnote Alpha Char"/>
    <w:basedOn w:val="DefaultParagraphFont"/>
    <w:link w:val="ChartandTableFootnoteAlpha"/>
    <w:rsid w:val="00D3572A"/>
    <w:rPr>
      <w:rFonts w:ascii="Arial" w:eastAsia="Times New Roman" w:hAnsi="Arial" w:cs="Times New Roman"/>
      <w:sz w:val="16"/>
      <w:szCs w:val="20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F37E93"/>
    <w:rPr>
      <w:color w:val="800080" w:themeColor="followedHyperlink"/>
      <w:u w:val="single"/>
    </w:rPr>
  </w:style>
  <w:style w:type="table" w:customStyle="1" w:styleId="TableGrid4">
    <w:name w:val="Table Grid4"/>
    <w:basedOn w:val="TableNormal"/>
    <w:next w:val="TableGrid"/>
    <w:rsid w:val="00A323A9"/>
    <w:pPr>
      <w:spacing w:before="70" w:after="70" w:line="240" w:lineRule="auto"/>
      <w:ind w:left="57" w:right="57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right"/>
      </w:pPr>
      <w:rPr>
        <w:rFonts w:asciiTheme="minorHAnsi" w:hAnsiTheme="minorHAnsi"/>
        <w:b w:val="0"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rFonts w:ascii="Calibri" w:hAnsi="Calibri"/>
        <w:b/>
        <w:sz w:val="20"/>
      </w:rPr>
    </w:tblStylePr>
    <w:tblStylePr w:type="firstCol">
      <w:pPr>
        <w:wordWrap/>
        <w:ind w:leftChars="0" w:left="113" w:rightChars="0" w:right="113"/>
        <w:jc w:val="left"/>
      </w:pPr>
      <w:rPr>
        <w:rFonts w:ascii="Calibri" w:hAnsi="Calibri"/>
        <w:b w:val="0"/>
        <w:i w:val="0"/>
        <w:sz w:val="20"/>
      </w:rPr>
      <w:tblPr/>
      <w:tcPr>
        <w:vAlign w:val="center"/>
      </w:tcPr>
    </w:tblStylePr>
    <w:tblStylePr w:type="lastCol">
      <w:pPr>
        <w:wordWrap/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Vert">
      <w:pPr>
        <w:jc w:val="right"/>
      </w:pPr>
      <w:rPr>
        <w:sz w:val="20"/>
      </w:rPr>
      <w:tblPr/>
      <w:tcPr>
        <w:vAlign w:val="center"/>
      </w:tcPr>
    </w:tblStylePr>
    <w:tblStylePr w:type="band2Vert">
      <w:pPr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F7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79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79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9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dambandt.com/160608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aph.gov.au/pbo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re\Templates\PBO\CM%20-%20Caretak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74F7831-0BB5-4D52-87CC-1954E378D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 - Caretaker.dotm</Template>
  <TotalTime>292</TotalTime>
  <Pages>7</Pages>
  <Words>1505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PBO - GRN072 - A Living Wage for Artists - 30 June 2016</vt:lpstr>
    </vt:vector>
  </TitlesOfParts>
  <Company>Parliament of Australia</Company>
  <LinksUpToDate>false</LinksUpToDate>
  <CharactersWithSpaces>10066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PBO - GRN072 - A Living Wage for Artists - 30 June 2016</dc:title>
  <dc:creator>Parliamentary Budget Office</dc:creator>
  <cp:lastModifiedBy>Milligan, Louise (PBO)</cp:lastModifiedBy>
  <cp:revision>52</cp:revision>
  <cp:lastPrinted>2016-06-30T12:05:00Z</cp:lastPrinted>
  <dcterms:created xsi:type="dcterms:W3CDTF">2016-06-24T06:03:00Z</dcterms:created>
  <dcterms:modified xsi:type="dcterms:W3CDTF">2016-06-30T12:39:00Z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