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094CCA" w:rsidP="00372AEB">
      <w:pPr>
        <w:pStyle w:val="Lettertext"/>
        <w:spacing w:before="1560"/>
      </w:pPr>
      <w:bookmarkStart w:id="0" w:name="_GoBack"/>
      <w:bookmarkEnd w:id="0"/>
      <w:r>
        <w:t>Senator Richard Di Natale</w:t>
      </w:r>
    </w:p>
    <w:p w:rsidR="00040DCE" w:rsidRDefault="00094CCA" w:rsidP="00372AEB">
      <w:pPr>
        <w:pStyle w:val="Lettertext"/>
        <w:spacing w:before="0"/>
      </w:pPr>
      <w:r>
        <w:t>Leader of the Australian Greens</w:t>
      </w:r>
    </w:p>
    <w:p w:rsidR="00CE5458" w:rsidRPr="00002D5D" w:rsidRDefault="00CE5458" w:rsidP="00372AEB">
      <w:pPr>
        <w:pStyle w:val="Lettertext"/>
        <w:spacing w:before="0"/>
      </w:pPr>
      <w:r>
        <w:t>Australian Greens</w:t>
      </w:r>
    </w:p>
    <w:p w:rsidR="00040DCE" w:rsidRPr="00002D5D" w:rsidRDefault="005C6967" w:rsidP="00372AEB">
      <w:pPr>
        <w:pStyle w:val="Lettertext"/>
        <w:spacing w:before="0"/>
      </w:pPr>
      <w:r>
        <w:t>Parliament House</w:t>
      </w:r>
    </w:p>
    <w:p w:rsidR="00040DCE" w:rsidRPr="00002D5D" w:rsidRDefault="005C6967" w:rsidP="00372AEB">
      <w:pPr>
        <w:pStyle w:val="Lettertext"/>
        <w:spacing w:before="0"/>
      </w:pPr>
      <w:proofErr w:type="gramStart"/>
      <w:r>
        <w:t>CANBERRA  ACT</w:t>
      </w:r>
      <w:proofErr w:type="gramEnd"/>
      <w:r>
        <w:t xml:space="preserve">  2600</w:t>
      </w:r>
    </w:p>
    <w:p w:rsidR="00040DCE" w:rsidRPr="00002D5D" w:rsidRDefault="00040DCE" w:rsidP="00372AEB">
      <w:pPr>
        <w:pStyle w:val="Lettertext"/>
        <w:spacing w:before="480"/>
      </w:pPr>
      <w:r w:rsidRPr="00002D5D">
        <w:t xml:space="preserve">Dear </w:t>
      </w:r>
      <w:r w:rsidR="00094CCA">
        <w:t>Senator Di Natale</w:t>
      </w:r>
    </w:p>
    <w:p w:rsidR="00040DCE" w:rsidRPr="00002D5D" w:rsidRDefault="00040DCE" w:rsidP="00372AEB">
      <w:pPr>
        <w:pStyle w:val="Lettertext"/>
      </w:pPr>
      <w:r w:rsidRPr="00002D5D">
        <w:t xml:space="preserve">Please find attached a response to your costing request, </w:t>
      </w:r>
      <w:proofErr w:type="gramStart"/>
      <w:r w:rsidR="00BD75E2">
        <w:rPr>
          <w:i/>
        </w:rPr>
        <w:t>Confronting</w:t>
      </w:r>
      <w:proofErr w:type="gramEnd"/>
      <w:r w:rsidR="00BD75E2">
        <w:rPr>
          <w:i/>
        </w:rPr>
        <w:t xml:space="preserve"> our Domestic Violence Crisis</w:t>
      </w:r>
      <w:r w:rsidRPr="00002D5D">
        <w:t xml:space="preserve"> (letter of </w:t>
      </w:r>
      <w:r w:rsidR="00BD75E2">
        <w:t>30 June</w:t>
      </w:r>
      <w:r w:rsidRPr="00002D5D">
        <w:t xml:space="preserve"> 2016).</w:t>
      </w:r>
    </w:p>
    <w:p w:rsidR="00040DCE" w:rsidRPr="00002D5D" w:rsidRDefault="00040DCE" w:rsidP="00372AEB">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372AEB">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372AEB">
      <w:pPr>
        <w:pStyle w:val="Lettertext"/>
      </w:pPr>
      <w:r w:rsidRPr="00002D5D">
        <w:t>Yours sincerely</w:t>
      </w:r>
    </w:p>
    <w:p w:rsidR="00040DCE" w:rsidRPr="00002D5D" w:rsidRDefault="00DA1C8A" w:rsidP="00372AEB">
      <w:pPr>
        <w:pStyle w:val="Lettertext"/>
        <w:spacing w:before="960"/>
      </w:pPr>
      <w:r w:rsidRPr="00002D5D">
        <w:t>Phil Bowen</w:t>
      </w:r>
    </w:p>
    <w:p w:rsidR="00096F3A" w:rsidRPr="00002D5D" w:rsidRDefault="001C3E8F" w:rsidP="001C3E8F">
      <w:pPr>
        <w:pStyle w:val="Lettertext"/>
        <w:spacing w:before="120"/>
      </w:pPr>
      <w:r>
        <w:t xml:space="preserve">1 </w:t>
      </w:r>
      <w:r w:rsidR="00BD75E2">
        <w:t>July</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1C3E8F" w:rsidRDefault="004D5525" w:rsidP="004D5525">
            <w:pPr>
              <w:pStyle w:val="BodyText"/>
              <w:rPr>
                <w:sz w:val="22"/>
              </w:rPr>
            </w:pPr>
            <w:r w:rsidRPr="00F41E1A">
              <w:t>Name of proposal:</w:t>
            </w:r>
          </w:p>
        </w:tc>
        <w:tc>
          <w:tcPr>
            <w:tcW w:w="5335" w:type="dxa"/>
          </w:tcPr>
          <w:p w:rsidR="004D5525" w:rsidRPr="001C3E8F" w:rsidRDefault="00892C8C" w:rsidP="00AD45CF">
            <w:pPr>
              <w:pStyle w:val="BodyText"/>
              <w:rPr>
                <w:sz w:val="22"/>
              </w:rPr>
            </w:pPr>
            <w:r w:rsidRPr="00F41E1A">
              <w:t xml:space="preserve">Confronting </w:t>
            </w:r>
            <w:r w:rsidR="00AD45CF" w:rsidRPr="00F41E1A">
              <w:t>our</w:t>
            </w:r>
            <w:r w:rsidRPr="00F41E1A">
              <w:t xml:space="preserve"> </w:t>
            </w:r>
            <w:r w:rsidR="00AD45CF" w:rsidRPr="00F41E1A">
              <w:t>D</w:t>
            </w:r>
            <w:r w:rsidRPr="00F41E1A">
              <w:t xml:space="preserve">omestic </w:t>
            </w:r>
            <w:r w:rsidR="00AD45CF" w:rsidRPr="00F41E1A">
              <w:t>V</w:t>
            </w:r>
            <w:r w:rsidRPr="00F41E1A">
              <w:t xml:space="preserve">iolence </w:t>
            </w:r>
            <w:r w:rsidR="00AD45CF" w:rsidRPr="00F41E1A">
              <w:t>C</w:t>
            </w:r>
            <w:r w:rsidRPr="00F41E1A">
              <w:t>risis</w:t>
            </w:r>
          </w:p>
        </w:tc>
      </w:tr>
      <w:tr w:rsidR="00892C8C" w:rsidTr="00D52D5F">
        <w:tc>
          <w:tcPr>
            <w:tcW w:w="3005" w:type="dxa"/>
          </w:tcPr>
          <w:p w:rsidR="00892C8C" w:rsidRDefault="00892C8C" w:rsidP="004D5525">
            <w:pPr>
              <w:pStyle w:val="BodyText"/>
            </w:pPr>
            <w:r>
              <w:t>Summary of proposal:</w:t>
            </w:r>
          </w:p>
        </w:tc>
        <w:tc>
          <w:tcPr>
            <w:tcW w:w="5335" w:type="dxa"/>
          </w:tcPr>
          <w:p w:rsidR="00892C8C" w:rsidRDefault="00892C8C" w:rsidP="00892C8C">
            <w:pPr>
              <w:spacing w:before="100" w:after="100"/>
            </w:pPr>
            <w:r w:rsidRPr="004E0F6D">
              <w:t xml:space="preserve">The proposal </w:t>
            </w:r>
            <w:r w:rsidR="00E762A4">
              <w:t>has</w:t>
            </w:r>
            <w:r>
              <w:t xml:space="preserve"> a number of components.</w:t>
            </w:r>
          </w:p>
          <w:p w:rsidR="00892C8C" w:rsidRPr="00C840DC" w:rsidRDefault="00892C8C" w:rsidP="00892C8C">
            <w:pPr>
              <w:spacing w:before="100" w:after="100"/>
              <w:rPr>
                <w:b/>
              </w:rPr>
            </w:pPr>
            <w:r w:rsidRPr="00C840DC">
              <w:rPr>
                <w:u w:val="single"/>
              </w:rPr>
              <w:t>Component 1:</w:t>
            </w:r>
            <w:r w:rsidRPr="00C840DC">
              <w:rPr>
                <w:b/>
                <w:u w:val="single"/>
              </w:rPr>
              <w:t xml:space="preserve"> </w:t>
            </w:r>
            <w:r w:rsidR="00094CCA">
              <w:rPr>
                <w:u w:val="single"/>
              </w:rPr>
              <w:t>Fund a national peak body</w:t>
            </w:r>
          </w:p>
          <w:p w:rsidR="00892C8C" w:rsidRDefault="00892C8C" w:rsidP="00F41E1A">
            <w:pPr>
              <w:pStyle w:val="Bullet1"/>
            </w:pPr>
            <w:r w:rsidRPr="00C840DC">
              <w:t xml:space="preserve">This </w:t>
            </w:r>
            <w:r w:rsidRPr="00F41E1A">
              <w:t>component</w:t>
            </w:r>
            <w:r w:rsidRPr="00C840DC">
              <w:t xml:space="preserve"> would</w:t>
            </w:r>
            <w:r w:rsidR="00047507">
              <w:t xml:space="preserve"> provide $2</w:t>
            </w:r>
            <w:r w:rsidR="00764660">
              <w:t>.0</w:t>
            </w:r>
            <w:r w:rsidR="00047507">
              <w:t xml:space="preserve"> million per</w:t>
            </w:r>
            <w:r w:rsidR="00094CCA">
              <w:t xml:space="preserve"> year (</w:t>
            </w:r>
            <w:r w:rsidR="00094CCA" w:rsidRPr="004E0F6D">
              <w:t>$8</w:t>
            </w:r>
            <w:r w:rsidR="00764660">
              <w:t>.0</w:t>
            </w:r>
            <w:r w:rsidR="00094CCA">
              <w:t> </w:t>
            </w:r>
            <w:r w:rsidR="00094CCA" w:rsidRPr="004E0F6D">
              <w:t>million over four years</w:t>
            </w:r>
            <w:r w:rsidR="00094CCA">
              <w:t xml:space="preserve">) to fund a national peak body for </w:t>
            </w:r>
            <w:r w:rsidR="00A57A9E">
              <w:t xml:space="preserve">specialist </w:t>
            </w:r>
            <w:r w:rsidR="00094CCA">
              <w:t>domestic violence services</w:t>
            </w:r>
            <w:r>
              <w:t>.</w:t>
            </w:r>
          </w:p>
          <w:p w:rsidR="00892C8C" w:rsidRPr="00C840DC" w:rsidRDefault="00892C8C" w:rsidP="00892C8C">
            <w:pPr>
              <w:spacing w:before="100" w:after="100"/>
              <w:rPr>
                <w:u w:val="single"/>
              </w:rPr>
            </w:pPr>
            <w:r>
              <w:rPr>
                <w:u w:val="single"/>
              </w:rPr>
              <w:t>Component 2: Provide funding for specialist domestic violence services</w:t>
            </w:r>
          </w:p>
          <w:p w:rsidR="00892C8C" w:rsidRPr="00892C8C" w:rsidRDefault="00892C8C" w:rsidP="00F41E1A">
            <w:pPr>
              <w:pStyle w:val="Bullet1"/>
            </w:pPr>
            <w:r w:rsidRPr="00892C8C">
              <w:t xml:space="preserve">This </w:t>
            </w:r>
            <w:r w:rsidRPr="00F41E1A">
              <w:t>component</w:t>
            </w:r>
            <w:r w:rsidRPr="00892C8C">
              <w:t xml:space="preserve"> would provide $500</w:t>
            </w:r>
            <w:r w:rsidR="00764660">
              <w:t>.0</w:t>
            </w:r>
            <w:r w:rsidRPr="00892C8C">
              <w:t> million</w:t>
            </w:r>
            <w:r w:rsidR="00F41E1A">
              <w:t xml:space="preserve"> </w:t>
            </w:r>
            <w:r w:rsidRPr="00892C8C">
              <w:t>per</w:t>
            </w:r>
            <w:r w:rsidR="00F41E1A">
              <w:t> </w:t>
            </w:r>
            <w:r w:rsidRPr="00892C8C">
              <w:t>year ($5</w:t>
            </w:r>
            <w:r w:rsidR="00764660">
              <w:t>.0</w:t>
            </w:r>
            <w:r w:rsidRPr="00892C8C">
              <w:t> billion over 10 years) from 1</w:t>
            </w:r>
            <w:r w:rsidR="00F41E1A">
              <w:t> </w:t>
            </w:r>
            <w:r w:rsidR="00A57A9E">
              <w:t>September</w:t>
            </w:r>
            <w:r w:rsidR="00F41E1A">
              <w:t> </w:t>
            </w:r>
            <w:r w:rsidRPr="00892C8C">
              <w:t>201</w:t>
            </w:r>
            <w:r w:rsidR="00A57A9E">
              <w:t>6</w:t>
            </w:r>
            <w:r w:rsidRPr="00892C8C">
              <w:t xml:space="preserve"> for a new ten-year National Partnership Agreement (NPA) for the Prevention of Domestic Violence and Violence </w:t>
            </w:r>
            <w:proofErr w:type="gramStart"/>
            <w:r w:rsidRPr="00892C8C">
              <w:t>Against</w:t>
            </w:r>
            <w:proofErr w:type="gramEnd"/>
            <w:r w:rsidRPr="00892C8C">
              <w:t xml:space="preserve"> Women between the Commonwealth</w:t>
            </w:r>
            <w:r w:rsidR="00FD4DF7">
              <w:t xml:space="preserve"> and </w:t>
            </w:r>
            <w:r w:rsidRPr="00892C8C">
              <w:t xml:space="preserve">state and territory governments.  </w:t>
            </w:r>
          </w:p>
          <w:p w:rsidR="00892C8C" w:rsidRPr="00C840DC" w:rsidRDefault="00094CCA" w:rsidP="00892C8C">
            <w:pPr>
              <w:spacing w:before="100" w:after="100"/>
              <w:rPr>
                <w:u w:val="single"/>
              </w:rPr>
            </w:pPr>
            <w:r>
              <w:rPr>
                <w:u w:val="single"/>
              </w:rPr>
              <w:t>Component 3</w:t>
            </w:r>
            <w:r w:rsidR="00892C8C">
              <w:rPr>
                <w:u w:val="single"/>
              </w:rPr>
              <w:t>: Establish specialist domestic violence courts</w:t>
            </w:r>
          </w:p>
          <w:p w:rsidR="00892C8C" w:rsidRDefault="00892C8C" w:rsidP="00F41E1A">
            <w:pPr>
              <w:pStyle w:val="Bullet1"/>
            </w:pPr>
            <w:r w:rsidRPr="00C840DC">
              <w:t>This component would</w:t>
            </w:r>
            <w:r>
              <w:t xml:space="preserve"> provide $10</w:t>
            </w:r>
            <w:r w:rsidR="00764660">
              <w:t>.0</w:t>
            </w:r>
            <w:r>
              <w:t xml:space="preserve"> million per year </w:t>
            </w:r>
            <w:r w:rsidR="00094CCA">
              <w:t>($</w:t>
            </w:r>
            <w:r w:rsidR="00094CCA" w:rsidRPr="00F41E1A">
              <w:t>20</w:t>
            </w:r>
            <w:r w:rsidR="00764660">
              <w:t>.0</w:t>
            </w:r>
            <w:r w:rsidR="00094CCA">
              <w:t xml:space="preserve"> million over two years) </w:t>
            </w:r>
            <w:r>
              <w:t>for</w:t>
            </w:r>
            <w:r w:rsidRPr="004E0F6D">
              <w:t xml:space="preserve"> a program of training, information sharing and extra resources to assist </w:t>
            </w:r>
            <w:r>
              <w:t>s</w:t>
            </w:r>
            <w:r w:rsidRPr="004E0F6D">
              <w:t xml:space="preserve">tate and </w:t>
            </w:r>
            <w:r>
              <w:t>t</w:t>
            </w:r>
            <w:r w:rsidRPr="004E0F6D">
              <w:t>erritory governments to set up speciali</w:t>
            </w:r>
            <w:r>
              <w:t>st domestic violence courts.</w:t>
            </w:r>
          </w:p>
          <w:p w:rsidR="00094CCA" w:rsidRPr="009F4405" w:rsidRDefault="00094CCA" w:rsidP="00094CCA">
            <w:pPr>
              <w:pStyle w:val="Bullet2"/>
              <w:numPr>
                <w:ilvl w:val="0"/>
                <w:numId w:val="0"/>
              </w:numPr>
              <w:spacing w:before="100" w:after="100"/>
              <w:rPr>
                <w:u w:val="single"/>
              </w:rPr>
            </w:pPr>
            <w:r w:rsidRPr="009F4405">
              <w:rPr>
                <w:u w:val="single"/>
              </w:rPr>
              <w:t xml:space="preserve">Component </w:t>
            </w:r>
            <w:r>
              <w:rPr>
                <w:u w:val="single"/>
              </w:rPr>
              <w:t>4: Ma</w:t>
            </w:r>
            <w:r w:rsidR="006D1A82">
              <w:rPr>
                <w:u w:val="single"/>
              </w:rPr>
              <w:t>king our family law system safe</w:t>
            </w:r>
          </w:p>
          <w:p w:rsidR="00094CCA" w:rsidRPr="004E0F6D" w:rsidRDefault="00094CCA" w:rsidP="00F41E1A">
            <w:pPr>
              <w:pStyle w:val="Bullet1"/>
            </w:pPr>
            <w:r w:rsidRPr="004E0F6D">
              <w:t xml:space="preserve">The </w:t>
            </w:r>
            <w:r w:rsidRPr="00F41E1A">
              <w:t>component</w:t>
            </w:r>
            <w:r>
              <w:t xml:space="preserve"> would</w:t>
            </w:r>
            <w:r w:rsidRPr="004E0F6D">
              <w:t>:</w:t>
            </w:r>
          </w:p>
          <w:p w:rsidR="00094CCA" w:rsidRPr="00F41E1A" w:rsidRDefault="00094CCA" w:rsidP="00F41E1A">
            <w:pPr>
              <w:pStyle w:val="Bullet2"/>
              <w:tabs>
                <w:tab w:val="clear" w:pos="907"/>
              </w:tabs>
            </w:pPr>
            <w:r w:rsidRPr="00892C8C">
              <w:t xml:space="preserve">provide $5.0 million per year ($20.0 million over four years) to create a special process in family courts for </w:t>
            </w:r>
            <w:r w:rsidRPr="00F41E1A">
              <w:t>domestic violence cases</w:t>
            </w:r>
          </w:p>
          <w:p w:rsidR="00892C8C" w:rsidRPr="004E0F6D" w:rsidRDefault="00094CCA" w:rsidP="00F41E1A">
            <w:pPr>
              <w:pStyle w:val="Bullet2"/>
              <w:tabs>
                <w:tab w:val="clear" w:pos="907"/>
              </w:tabs>
            </w:pPr>
            <w:proofErr w:type="gramStart"/>
            <w:r w:rsidRPr="00F41E1A">
              <w:t>provide</w:t>
            </w:r>
            <w:proofErr w:type="gramEnd"/>
            <w:r w:rsidRPr="00F41E1A">
              <w:t xml:space="preserve"> $10.0 m</w:t>
            </w:r>
            <w:r>
              <w:t>illion per year ($4</w:t>
            </w:r>
            <w:r w:rsidRPr="00892C8C">
              <w:t>0.0 million over four years) for legally assisted and supported family dispute resolution.</w:t>
            </w:r>
          </w:p>
        </w:tc>
      </w:tr>
      <w:tr w:rsidR="00F41E1A" w:rsidTr="00D52D5F">
        <w:tc>
          <w:tcPr>
            <w:tcW w:w="3005" w:type="dxa"/>
          </w:tcPr>
          <w:p w:rsidR="00F41E1A" w:rsidRDefault="00F41E1A" w:rsidP="00F41E1A">
            <w:pPr>
              <w:pStyle w:val="BodyText"/>
              <w:pageBreakBefore/>
            </w:pPr>
          </w:p>
        </w:tc>
        <w:tc>
          <w:tcPr>
            <w:tcW w:w="5335" w:type="dxa"/>
          </w:tcPr>
          <w:p w:rsidR="00F41E1A" w:rsidRPr="004E0F6D" w:rsidRDefault="00F41E1A" w:rsidP="00F41E1A">
            <w:pPr>
              <w:pageBreakBefore/>
              <w:spacing w:before="100" w:after="100"/>
            </w:pPr>
            <w:r w:rsidRPr="00BA7452">
              <w:rPr>
                <w:u w:val="single"/>
              </w:rPr>
              <w:t xml:space="preserve">Component </w:t>
            </w:r>
            <w:r>
              <w:rPr>
                <w:u w:val="single"/>
              </w:rPr>
              <w:t>5: Primary prevention and gender equality</w:t>
            </w:r>
          </w:p>
          <w:p w:rsidR="00F41E1A" w:rsidRPr="00BA7452" w:rsidRDefault="00F41E1A" w:rsidP="00F41E1A">
            <w:pPr>
              <w:pStyle w:val="Bullet1"/>
            </w:pPr>
            <w:r w:rsidRPr="00BA7452">
              <w:t xml:space="preserve">This </w:t>
            </w:r>
            <w:r w:rsidRPr="00F41E1A">
              <w:t>component</w:t>
            </w:r>
            <w:r w:rsidRPr="00BA7452">
              <w:t xml:space="preserve"> would</w:t>
            </w:r>
            <w:r>
              <w:t>:</w:t>
            </w:r>
          </w:p>
          <w:p w:rsidR="00F41E1A" w:rsidRPr="00F41E1A" w:rsidRDefault="00F41E1A" w:rsidP="00F41E1A">
            <w:pPr>
              <w:pStyle w:val="Bullet2"/>
            </w:pPr>
            <w:r w:rsidRPr="00F41E1A">
              <w:t>provide additional funding of $1.0 million per year ($6.0 million over six years) to Our Watch</w:t>
            </w:r>
          </w:p>
          <w:p w:rsidR="00F41E1A" w:rsidRPr="00F41E1A" w:rsidRDefault="00F41E1A" w:rsidP="00F41E1A">
            <w:pPr>
              <w:pStyle w:val="Bullet2"/>
            </w:pPr>
            <w:r w:rsidRPr="00F41E1A">
              <w:t>provide $2.0 million per year ($8.0 million over four years) for The Line social marketing campaign</w:t>
            </w:r>
          </w:p>
          <w:p w:rsidR="00F41E1A" w:rsidRPr="00F41E1A" w:rsidRDefault="00F41E1A" w:rsidP="00F41E1A">
            <w:pPr>
              <w:pStyle w:val="Bullet2"/>
            </w:pPr>
            <w:r w:rsidRPr="00F41E1A">
              <w:t>provide $2.5 million per year ($10.0 million over four years) for a national rollout of respectful relationships in schools</w:t>
            </w:r>
          </w:p>
          <w:p w:rsidR="00F41E1A" w:rsidRDefault="00F41E1A" w:rsidP="00F41E1A">
            <w:pPr>
              <w:pStyle w:val="Bullet2"/>
            </w:pPr>
            <w:proofErr w:type="gramStart"/>
            <w:r w:rsidRPr="00F41E1A">
              <w:t>provide</w:t>
            </w:r>
            <w:proofErr w:type="gramEnd"/>
            <w:r w:rsidRPr="00F41E1A">
              <w:t xml:space="preserve"> $3.0 million per year ($18.0 million over six years) for an expert primary prevention workforce</w:t>
            </w:r>
            <w:r>
              <w:t>.</w:t>
            </w:r>
          </w:p>
          <w:p w:rsidR="00F41E1A" w:rsidRDefault="00F41E1A" w:rsidP="00F41E1A">
            <w:pPr>
              <w:pStyle w:val="Bullet2"/>
              <w:numPr>
                <w:ilvl w:val="0"/>
                <w:numId w:val="0"/>
              </w:numPr>
            </w:pPr>
            <w:r>
              <w:t>All administered components of this proposal would be indexed in line with growth in the Consumer Price Index (CPI).</w:t>
            </w:r>
          </w:p>
          <w:p w:rsidR="00F41E1A" w:rsidRPr="004E0F6D" w:rsidRDefault="00F41E1A" w:rsidP="00F41E1A">
            <w:r w:rsidRPr="00840D07">
              <w:t>All components of this proposal, unless otherwise specified, commence on 1</w:t>
            </w:r>
            <w:r>
              <w:t> </w:t>
            </w:r>
            <w:r w:rsidRPr="00840D07">
              <w:t>September</w:t>
            </w:r>
            <w:r>
              <w:t> </w:t>
            </w:r>
            <w:r w:rsidRPr="00840D07">
              <w:t>2016.</w:t>
            </w:r>
          </w:p>
        </w:tc>
      </w:tr>
      <w:tr w:rsidR="00892C8C" w:rsidTr="00D52D5F">
        <w:tc>
          <w:tcPr>
            <w:tcW w:w="3005" w:type="dxa"/>
          </w:tcPr>
          <w:p w:rsidR="00892C8C" w:rsidRDefault="00892C8C" w:rsidP="004D5525">
            <w:pPr>
              <w:pStyle w:val="BodyText"/>
            </w:pPr>
            <w:r>
              <w:t>Person/party requesting costing:</w:t>
            </w:r>
          </w:p>
        </w:tc>
        <w:tc>
          <w:tcPr>
            <w:tcW w:w="5335" w:type="dxa"/>
          </w:tcPr>
          <w:p w:rsidR="00892C8C" w:rsidRPr="004E0F6D" w:rsidRDefault="00892C8C" w:rsidP="00892C8C">
            <w:r w:rsidRPr="004E0F6D">
              <w:t>Senator Richard Di Natale, Australian Greens</w:t>
            </w:r>
          </w:p>
        </w:tc>
      </w:tr>
      <w:tr w:rsidR="00892C8C" w:rsidTr="00060F22">
        <w:tc>
          <w:tcPr>
            <w:tcW w:w="3005" w:type="dxa"/>
          </w:tcPr>
          <w:p w:rsidR="00892C8C" w:rsidRDefault="00892C8C" w:rsidP="00060F22">
            <w:pPr>
              <w:pStyle w:val="BodyText"/>
            </w:pPr>
            <w:r>
              <w:t>Date of public release of policy:</w:t>
            </w:r>
          </w:p>
        </w:tc>
        <w:tc>
          <w:tcPr>
            <w:tcW w:w="5335" w:type="dxa"/>
          </w:tcPr>
          <w:p w:rsidR="00CE5458" w:rsidRDefault="00CE5458" w:rsidP="00E762A4">
            <w:pPr>
              <w:pStyle w:val="TableTextCentred"/>
              <w:ind w:left="0"/>
              <w:jc w:val="left"/>
              <w:rPr>
                <w:sz w:val="22"/>
              </w:rPr>
            </w:pPr>
            <w:r>
              <w:rPr>
                <w:sz w:val="22"/>
              </w:rPr>
              <w:t xml:space="preserve">26 May 2016 and 20 June 2016 </w:t>
            </w:r>
          </w:p>
          <w:p w:rsidR="00CE5458" w:rsidRDefault="00473184" w:rsidP="00CE5458">
            <w:pPr>
              <w:pStyle w:val="TableTextCentred"/>
              <w:ind w:left="0"/>
              <w:jc w:val="left"/>
              <w:rPr>
                <w:sz w:val="22"/>
              </w:rPr>
            </w:pPr>
            <w:hyperlink r:id="rId13" w:history="1">
              <w:r w:rsidR="00CE5458" w:rsidRPr="00266054">
                <w:rPr>
                  <w:rStyle w:val="Hyperlink"/>
                  <w:sz w:val="22"/>
                </w:rPr>
                <w:t>http://greens.org.au/domestic-violence</w:t>
              </w:r>
            </w:hyperlink>
            <w:r w:rsidR="00CE5458">
              <w:rPr>
                <w:sz w:val="22"/>
              </w:rPr>
              <w:t xml:space="preserve"> </w:t>
            </w:r>
          </w:p>
          <w:p w:rsidR="00892C8C" w:rsidRPr="004E0F6D" w:rsidRDefault="00473184" w:rsidP="00CE5458">
            <w:pPr>
              <w:spacing w:before="100" w:after="100"/>
            </w:pPr>
            <w:hyperlink r:id="rId14" w:history="1">
              <w:r w:rsidR="00CE5458" w:rsidRPr="00266054">
                <w:rPr>
                  <w:rStyle w:val="Hyperlink"/>
                </w:rPr>
                <w:t>http://greens.org.au/prevent-violence</w:t>
              </w:r>
            </w:hyperlink>
          </w:p>
        </w:tc>
      </w:tr>
      <w:tr w:rsidR="00892C8C" w:rsidTr="00D52D5F">
        <w:tc>
          <w:tcPr>
            <w:tcW w:w="3005" w:type="dxa"/>
          </w:tcPr>
          <w:p w:rsidR="00892C8C" w:rsidRDefault="00892C8C" w:rsidP="004D5525">
            <w:pPr>
              <w:pStyle w:val="BodyText"/>
            </w:pPr>
            <w:r>
              <w:t>Date costing request received:</w:t>
            </w:r>
          </w:p>
        </w:tc>
        <w:tc>
          <w:tcPr>
            <w:tcW w:w="5335" w:type="dxa"/>
          </w:tcPr>
          <w:p w:rsidR="00892C8C" w:rsidRDefault="00872CB4" w:rsidP="004D5525">
            <w:pPr>
              <w:pStyle w:val="BodyText"/>
            </w:pPr>
            <w:r>
              <w:t>30 June 2016</w:t>
            </w:r>
          </w:p>
        </w:tc>
      </w:tr>
      <w:tr w:rsidR="00892C8C" w:rsidTr="00D52D5F">
        <w:tc>
          <w:tcPr>
            <w:tcW w:w="3005" w:type="dxa"/>
          </w:tcPr>
          <w:p w:rsidR="00892C8C" w:rsidRDefault="00892C8C" w:rsidP="004D5525">
            <w:pPr>
              <w:pStyle w:val="BodyText"/>
            </w:pPr>
            <w:r>
              <w:t>Date costing completed</w:t>
            </w:r>
          </w:p>
        </w:tc>
        <w:tc>
          <w:tcPr>
            <w:tcW w:w="5335" w:type="dxa"/>
          </w:tcPr>
          <w:p w:rsidR="00892C8C" w:rsidRPr="00C17112" w:rsidRDefault="00AD45CF" w:rsidP="004D5525">
            <w:pPr>
              <w:pStyle w:val="BodyText"/>
            </w:pPr>
            <w:r>
              <w:t>1 July 2016</w:t>
            </w:r>
          </w:p>
        </w:tc>
      </w:tr>
      <w:tr w:rsidR="00E762A4" w:rsidTr="00D52D5F">
        <w:tc>
          <w:tcPr>
            <w:tcW w:w="3005" w:type="dxa"/>
          </w:tcPr>
          <w:p w:rsidR="00E762A4" w:rsidRDefault="00E762A4" w:rsidP="004E36F6">
            <w:pPr>
              <w:pStyle w:val="BodyText"/>
            </w:pPr>
            <w:r>
              <w:t>Additional information requested (including date):</w:t>
            </w:r>
          </w:p>
        </w:tc>
        <w:tc>
          <w:tcPr>
            <w:tcW w:w="5335" w:type="dxa"/>
          </w:tcPr>
          <w:p w:rsidR="00E762A4" w:rsidRDefault="00E762A4" w:rsidP="00E762A4">
            <w:pPr>
              <w:pStyle w:val="BodyText"/>
            </w:pPr>
            <w:r>
              <w:t>On 1 July 2016 the Parliamentary Budget Office sought clarification on the start date for the National Partnership Agreement component of this costing.</w:t>
            </w:r>
          </w:p>
        </w:tc>
      </w:tr>
      <w:tr w:rsidR="00E762A4" w:rsidTr="00D52D5F">
        <w:tc>
          <w:tcPr>
            <w:tcW w:w="3005" w:type="dxa"/>
          </w:tcPr>
          <w:p w:rsidR="00E762A4" w:rsidRDefault="00E762A4" w:rsidP="004E36F6">
            <w:pPr>
              <w:pStyle w:val="BodyText"/>
            </w:pPr>
            <w:r>
              <w:t>Additional information received (including date):</w:t>
            </w:r>
          </w:p>
        </w:tc>
        <w:tc>
          <w:tcPr>
            <w:tcW w:w="5335" w:type="dxa"/>
          </w:tcPr>
          <w:p w:rsidR="00E762A4" w:rsidRDefault="00E762A4" w:rsidP="00F41E1A">
            <w:pPr>
              <w:pStyle w:val="BodyText"/>
            </w:pPr>
            <w:r>
              <w:t xml:space="preserve">On 1 July 2016 </w:t>
            </w:r>
            <w:r w:rsidR="00F41E1A">
              <w:t>the office of Senator Di Natale</w:t>
            </w:r>
            <w:r>
              <w:t xml:space="preserve"> confirmed that the National Partnership Agreement component of the costing would start on 1 September 2016.</w:t>
            </w:r>
          </w:p>
        </w:tc>
      </w:tr>
      <w:tr w:rsidR="00892C8C" w:rsidTr="00D52D5F">
        <w:tc>
          <w:tcPr>
            <w:tcW w:w="3005" w:type="dxa"/>
          </w:tcPr>
          <w:p w:rsidR="00892C8C" w:rsidRDefault="00892C8C" w:rsidP="004D5525">
            <w:pPr>
              <w:pStyle w:val="BodyText"/>
            </w:pPr>
            <w:r w:rsidRPr="00220BE5">
              <w:t>Expiry date for the costing:</w:t>
            </w:r>
          </w:p>
        </w:tc>
        <w:tc>
          <w:tcPr>
            <w:tcW w:w="5335" w:type="dxa"/>
          </w:tcPr>
          <w:p w:rsidR="00892C8C" w:rsidRPr="00C17112" w:rsidRDefault="00892C8C" w:rsidP="004D5525">
            <w:pPr>
              <w:pStyle w:val="BodyText"/>
            </w:pPr>
            <w:r>
              <w:t>Release of the next economic and fiscal outlook report</w:t>
            </w:r>
          </w:p>
        </w:tc>
      </w:tr>
    </w:tbl>
    <w:p w:rsidR="0055581F" w:rsidRPr="0084439F" w:rsidRDefault="008030EC" w:rsidP="00FC6579">
      <w:pPr>
        <w:pStyle w:val="Heading2"/>
        <w:rPr>
          <w:color w:val="auto"/>
        </w:rPr>
      </w:pPr>
      <w:r w:rsidRPr="00002D5D">
        <w:lastRenderedPageBreak/>
        <w:t>Costing overview</w:t>
      </w:r>
    </w:p>
    <w:p w:rsidR="00892C8C" w:rsidRPr="004E0F6D" w:rsidRDefault="00892C8C" w:rsidP="001C3E8F">
      <w:pPr>
        <w:keepLines/>
      </w:pPr>
      <w:r w:rsidRPr="0084439F">
        <w:t xml:space="preserve">The proposal would decrease both the </w:t>
      </w:r>
      <w:r w:rsidR="00915D82" w:rsidRPr="0084439F">
        <w:t xml:space="preserve">fiscal and </w:t>
      </w:r>
      <w:r w:rsidRPr="0084439F">
        <w:t>underlying cash balances by $</w:t>
      </w:r>
      <w:r w:rsidR="001150F3">
        <w:t>2,204.3</w:t>
      </w:r>
      <w:r w:rsidRPr="0084439F">
        <w:t xml:space="preserve"> million over the </w:t>
      </w:r>
      <w:r w:rsidRPr="004E0F6D">
        <w:t>2016-17 Budget forward estimate</w:t>
      </w:r>
      <w:r w:rsidR="00764660">
        <w:t>s</w:t>
      </w:r>
      <w:r w:rsidRPr="004E0F6D">
        <w:t xml:space="preserve"> period.  This impact is due to an increase of $</w:t>
      </w:r>
      <w:r w:rsidR="001150F3">
        <w:t>2,197.0</w:t>
      </w:r>
      <w:r w:rsidR="00AD45CF">
        <w:t> </w:t>
      </w:r>
      <w:r w:rsidRPr="004E0F6D">
        <w:t>million in administered expenses and $</w:t>
      </w:r>
      <w:r w:rsidR="001150F3">
        <w:t>7.3</w:t>
      </w:r>
      <w:r w:rsidR="00AD45CF">
        <w:t> </w:t>
      </w:r>
      <w:r w:rsidRPr="004E0F6D">
        <w:t xml:space="preserve">million in departmental expenses. </w:t>
      </w:r>
    </w:p>
    <w:p w:rsidR="00CE5458" w:rsidRDefault="00AD45CF" w:rsidP="00CE5458">
      <w:r>
        <w:t xml:space="preserve">Components </w:t>
      </w:r>
      <w:r w:rsidR="00CE5458">
        <w:t>2 and 5</w:t>
      </w:r>
      <w:r w:rsidR="00892C8C" w:rsidRPr="004E0F6D">
        <w:t xml:space="preserve"> </w:t>
      </w:r>
      <w:r w:rsidR="00CE5458" w:rsidRPr="00327F02">
        <w:t xml:space="preserve">would have financial </w:t>
      </w:r>
      <w:r w:rsidR="008D5D70" w:rsidRPr="00327F02">
        <w:t>imp</w:t>
      </w:r>
      <w:r w:rsidR="008D5D70">
        <w:t>lications</w:t>
      </w:r>
      <w:r w:rsidR="00CE5458" w:rsidRPr="00327F02">
        <w:t xml:space="preserve"> that extend beyond the </w:t>
      </w:r>
      <w:r w:rsidR="00CE5458">
        <w:t>2016</w:t>
      </w:r>
      <w:r w:rsidR="00CE5458">
        <w:noBreakHyphen/>
        <w:t xml:space="preserve">17 Budget </w:t>
      </w:r>
      <w:r w:rsidR="00CE5458" w:rsidRPr="00327F02">
        <w:t>forward estimates period</w:t>
      </w:r>
      <w:r w:rsidR="004E1DA2">
        <w:t xml:space="preserve"> until 2025-26</w:t>
      </w:r>
      <w:r w:rsidR="00F41E1A">
        <w:t>,</w:t>
      </w:r>
      <w:r w:rsidR="004E1DA2">
        <w:t xml:space="preserve"> with the annual impact being the equivalent of the impact in 2019-20 growing in line with CPI. </w:t>
      </w:r>
    </w:p>
    <w:p w:rsidR="00CE5458" w:rsidRPr="005721FA" w:rsidRDefault="00CE5458" w:rsidP="00CE5458">
      <w:pPr>
        <w:rPr>
          <w:u w:val="single"/>
        </w:rPr>
      </w:pPr>
      <w:r>
        <w:t xml:space="preserve">A detailed breakdown of the financial </w:t>
      </w:r>
      <w:r w:rsidR="008D5D70">
        <w:t xml:space="preserve">implications </w:t>
      </w:r>
      <w:r w:rsidRPr="005721FA">
        <w:t>of this proposal</w:t>
      </w:r>
      <w:r>
        <w:t xml:space="preserve"> over the 2016-17 Budget forward estimates period for the total (Table A1) and by component (Tables A2-A6) is</w:t>
      </w:r>
      <w:r w:rsidRPr="005721FA">
        <w:t xml:space="preserve"> </w:t>
      </w:r>
      <w:r>
        <w:t>provi</w:t>
      </w:r>
      <w:r w:rsidRPr="005721FA">
        <w:t xml:space="preserve">ded at </w:t>
      </w:r>
      <w:r w:rsidRPr="005721FA">
        <w:rPr>
          <w:u w:val="single"/>
        </w:rPr>
        <w:t xml:space="preserve">Attachment </w:t>
      </w:r>
      <w:r>
        <w:rPr>
          <w:u w:val="single"/>
        </w:rPr>
        <w:t>A</w:t>
      </w:r>
      <w:r w:rsidRPr="005721FA">
        <w:rPr>
          <w:u w:val="single"/>
        </w:rPr>
        <w:t>.</w:t>
      </w:r>
    </w:p>
    <w:p w:rsidR="00892C8C" w:rsidRPr="004E0F6D" w:rsidRDefault="00892C8C" w:rsidP="00892C8C">
      <w:r w:rsidRPr="004E0F6D">
        <w:t>The costing is considered to be of high reliability as it is based on specified capped amounts and the application of administrative costs based on similar programs.  The reliability of the costing decreases the further into the future the estimates are projected.</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892C8C">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CF7D9A">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892C8C"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892C8C">
              <w:rPr>
                <w:rFonts w:ascii="Calibri" w:hAnsi="Calibri"/>
                <w:b/>
                <w:szCs w:val="20"/>
              </w:rPr>
              <w:t>Total</w:t>
            </w:r>
          </w:p>
        </w:tc>
      </w:tr>
      <w:tr w:rsidR="001150F3" w:rsidRPr="00B73AC8" w:rsidTr="00C35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1150F3" w:rsidRPr="00B73AC8" w:rsidRDefault="001150F3" w:rsidP="00892C8C">
            <w:pPr>
              <w:pStyle w:val="TableTextCentred"/>
              <w:keepNext/>
              <w:keepLines/>
              <w:jc w:val="left"/>
              <w:rPr>
                <w:szCs w:val="20"/>
              </w:rPr>
            </w:pPr>
            <w:r w:rsidRPr="00B73AC8">
              <w:rPr>
                <w:szCs w:val="20"/>
              </w:rPr>
              <w:t>Fiscal balance</w:t>
            </w:r>
          </w:p>
        </w:tc>
        <w:tc>
          <w:tcPr>
            <w:tcW w:w="682" w:type="pct"/>
            <w:vAlign w:val="bottom"/>
          </w:tcPr>
          <w:p w:rsidR="001150F3" w:rsidRPr="001150F3" w:rsidRDefault="001150F3" w:rsidP="00861F59">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11CEF">
              <w:rPr>
                <w:bCs/>
                <w:color w:val="000000"/>
              </w:rPr>
              <w:t xml:space="preserve">-537.4 </w:t>
            </w:r>
          </w:p>
        </w:tc>
        <w:tc>
          <w:tcPr>
            <w:tcW w:w="682" w:type="pct"/>
            <w:vAlign w:val="bottom"/>
          </w:tcPr>
          <w:p w:rsidR="001150F3" w:rsidRPr="001150F3" w:rsidRDefault="001150F3" w:rsidP="00861F59">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11CEF">
              <w:rPr>
                <w:bCs/>
                <w:color w:val="000000"/>
              </w:rPr>
              <w:t xml:space="preserve">-549.7 </w:t>
            </w:r>
          </w:p>
        </w:tc>
        <w:tc>
          <w:tcPr>
            <w:tcW w:w="682" w:type="pct"/>
            <w:vAlign w:val="bottom"/>
          </w:tcPr>
          <w:p w:rsidR="001150F3" w:rsidRPr="001150F3" w:rsidRDefault="001150F3" w:rsidP="00861F59">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11CEF">
              <w:rPr>
                <w:bCs/>
                <w:color w:val="000000"/>
              </w:rPr>
              <w:t xml:space="preserve">-551.8 </w:t>
            </w:r>
          </w:p>
        </w:tc>
        <w:tc>
          <w:tcPr>
            <w:tcW w:w="682" w:type="pct"/>
            <w:vAlign w:val="bottom"/>
          </w:tcPr>
          <w:p w:rsidR="001150F3" w:rsidRPr="001150F3" w:rsidRDefault="001150F3" w:rsidP="00861F59">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11CEF">
              <w:rPr>
                <w:bCs/>
                <w:color w:val="000000"/>
              </w:rPr>
              <w:t xml:space="preserve">-565.5 </w:t>
            </w:r>
          </w:p>
        </w:tc>
        <w:tc>
          <w:tcPr>
            <w:tcW w:w="681" w:type="pct"/>
            <w:vAlign w:val="bottom"/>
          </w:tcPr>
          <w:p w:rsidR="001150F3" w:rsidRPr="008F422B" w:rsidRDefault="001150F3" w:rsidP="00861F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Pr>
                <w:b/>
                <w:bCs/>
                <w:color w:val="000000"/>
              </w:rPr>
              <w:t xml:space="preserve">-2,204.3 </w:t>
            </w:r>
          </w:p>
        </w:tc>
      </w:tr>
      <w:tr w:rsidR="001150F3" w:rsidRPr="00B73AC8" w:rsidTr="005519FB">
        <w:tc>
          <w:tcPr>
            <w:cnfStyle w:val="001000000000" w:firstRow="0" w:lastRow="0" w:firstColumn="1" w:lastColumn="0" w:oddVBand="0" w:evenVBand="0" w:oddHBand="0" w:evenHBand="0" w:firstRowFirstColumn="0" w:firstRowLastColumn="0" w:lastRowFirstColumn="0" w:lastRowLastColumn="0"/>
            <w:tcW w:w="1591" w:type="pct"/>
          </w:tcPr>
          <w:p w:rsidR="001150F3" w:rsidRPr="00B73AC8" w:rsidRDefault="001150F3" w:rsidP="00892C8C">
            <w:pPr>
              <w:pStyle w:val="TableTextCentred"/>
              <w:keepNext/>
              <w:keepLines/>
              <w:jc w:val="left"/>
              <w:rPr>
                <w:szCs w:val="20"/>
              </w:rPr>
            </w:pPr>
            <w:r w:rsidRPr="00B73AC8">
              <w:rPr>
                <w:szCs w:val="20"/>
              </w:rPr>
              <w:t>Underlying cash balance</w:t>
            </w:r>
          </w:p>
        </w:tc>
        <w:tc>
          <w:tcPr>
            <w:tcW w:w="682" w:type="pct"/>
            <w:vAlign w:val="bottom"/>
          </w:tcPr>
          <w:p w:rsidR="001150F3" w:rsidRPr="00FD4DF7" w:rsidRDefault="001150F3" w:rsidP="00861F59">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ED1E7D">
              <w:rPr>
                <w:bCs/>
                <w:color w:val="000000"/>
              </w:rPr>
              <w:t xml:space="preserve">-537.4 </w:t>
            </w:r>
          </w:p>
        </w:tc>
        <w:tc>
          <w:tcPr>
            <w:tcW w:w="682" w:type="pct"/>
            <w:vAlign w:val="bottom"/>
          </w:tcPr>
          <w:p w:rsidR="001150F3" w:rsidRPr="00FD4DF7" w:rsidRDefault="001150F3" w:rsidP="00861F59">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ED1E7D">
              <w:rPr>
                <w:bCs/>
                <w:color w:val="000000"/>
              </w:rPr>
              <w:t xml:space="preserve">-549.7 </w:t>
            </w:r>
          </w:p>
        </w:tc>
        <w:tc>
          <w:tcPr>
            <w:tcW w:w="682" w:type="pct"/>
            <w:vAlign w:val="bottom"/>
          </w:tcPr>
          <w:p w:rsidR="001150F3" w:rsidRPr="00FD4DF7" w:rsidRDefault="001150F3" w:rsidP="00861F59">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ED1E7D">
              <w:rPr>
                <w:bCs/>
                <w:color w:val="000000"/>
              </w:rPr>
              <w:t xml:space="preserve">-551.8 </w:t>
            </w:r>
          </w:p>
        </w:tc>
        <w:tc>
          <w:tcPr>
            <w:tcW w:w="682" w:type="pct"/>
            <w:vAlign w:val="bottom"/>
          </w:tcPr>
          <w:p w:rsidR="001150F3" w:rsidRPr="00FD4DF7" w:rsidRDefault="001150F3" w:rsidP="00861F59">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ED1E7D">
              <w:rPr>
                <w:bCs/>
                <w:color w:val="000000"/>
              </w:rPr>
              <w:t xml:space="preserve">-565.5 </w:t>
            </w:r>
          </w:p>
        </w:tc>
        <w:tc>
          <w:tcPr>
            <w:tcW w:w="681" w:type="pct"/>
            <w:vAlign w:val="bottom"/>
          </w:tcPr>
          <w:p w:rsidR="001150F3" w:rsidRPr="008F422B" w:rsidRDefault="001150F3" w:rsidP="00861F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Pr>
                <w:b/>
                <w:bCs/>
                <w:color w:val="000000"/>
              </w:rPr>
              <w:t xml:space="preserve">-2,204.3 </w:t>
            </w:r>
          </w:p>
        </w:tc>
      </w:tr>
    </w:tbl>
    <w:p w:rsidR="009D4063" w:rsidRDefault="00D805AE" w:rsidP="009D4063">
      <w:pPr>
        <w:pStyle w:val="Footnotes"/>
        <w:keepNext/>
        <w:keepLines/>
        <w:numPr>
          <w:ilvl w:val="0"/>
          <w:numId w:val="7"/>
        </w:numPr>
        <w:ind w:left="284" w:hanging="284"/>
      </w:pPr>
      <w:r>
        <w:t>A positive number represents an increase in the relevant budget balance</w:t>
      </w:r>
      <w:r w:rsidR="00CE5458">
        <w:t>;</w:t>
      </w:r>
      <w:r>
        <w:t xml:space="preserve"> a negative </w:t>
      </w:r>
      <w:r w:rsidRPr="008F422B">
        <w:t xml:space="preserve">number a </w:t>
      </w:r>
      <w:r>
        <w:t>decrease.</w:t>
      </w:r>
    </w:p>
    <w:p w:rsidR="00D747D2" w:rsidRDefault="00D747D2" w:rsidP="009D4063">
      <w:pPr>
        <w:pStyle w:val="Footnotes"/>
        <w:keepNext/>
        <w:keepLines/>
        <w:numPr>
          <w:ilvl w:val="0"/>
          <w:numId w:val="7"/>
        </w:numPr>
        <w:ind w:left="284" w:hanging="284"/>
      </w:pPr>
      <w:r>
        <w:t>Figures may not sum to totals due to rounding.</w:t>
      </w:r>
    </w:p>
    <w:p w:rsidR="00764660" w:rsidRDefault="00764660" w:rsidP="00E40B8B">
      <w:pPr>
        <w:pStyle w:val="Heading2"/>
      </w:pPr>
      <w:r>
        <w:t>Key assumptions</w:t>
      </w:r>
    </w:p>
    <w:p w:rsidR="00764660" w:rsidRPr="00764660" w:rsidRDefault="00764660" w:rsidP="00E762A4">
      <w:pPr>
        <w:pStyle w:val="BodyText"/>
      </w:pPr>
      <w:r>
        <w:t>Despite the 1 September 2016 start date of the proposal, it has been assumed that a full year of funding would be provided in 2016</w:t>
      </w:r>
      <w:r>
        <w:noBreakHyphen/>
        <w:t>17.</w:t>
      </w:r>
    </w:p>
    <w:p w:rsidR="005E3562" w:rsidRPr="00FC6579" w:rsidRDefault="005E3562" w:rsidP="00E40B8B">
      <w:pPr>
        <w:pStyle w:val="Heading2"/>
      </w:pPr>
      <w:r w:rsidRPr="00FC6579">
        <w:t>Methodology</w:t>
      </w:r>
    </w:p>
    <w:p w:rsidR="00892C8C" w:rsidRDefault="00764660" w:rsidP="00892C8C">
      <w:pPr>
        <w:keepLines/>
        <w:rPr>
          <w:b/>
        </w:rPr>
      </w:pPr>
      <w:r>
        <w:t>A</w:t>
      </w:r>
      <w:r w:rsidR="00892C8C">
        <w:t>dministered expenditure</w:t>
      </w:r>
      <w:r>
        <w:t xml:space="preserve"> estimates</w:t>
      </w:r>
      <w:r w:rsidR="00892C8C">
        <w:t xml:space="preserve"> </w:t>
      </w:r>
      <w:r>
        <w:t xml:space="preserve">are </w:t>
      </w:r>
      <w:r w:rsidR="00892C8C">
        <w:t xml:space="preserve">as specified in the request.  </w:t>
      </w:r>
      <w:r>
        <w:t>The d</w:t>
      </w:r>
      <w:r w:rsidR="00892C8C" w:rsidRPr="00566DB3">
        <w:t xml:space="preserve">epartmental expenditure estimates are </w:t>
      </w:r>
      <w:r>
        <w:t xml:space="preserve">in addition to the capped amounts, as specified, and are </w:t>
      </w:r>
      <w:r w:rsidR="00892C8C" w:rsidRPr="00566DB3">
        <w:t xml:space="preserve">based on other like </w:t>
      </w:r>
      <w:r w:rsidR="00892C8C">
        <w:t>initiatives</w:t>
      </w:r>
      <w:r w:rsidR="00892C8C" w:rsidRPr="00566DB3">
        <w:t xml:space="preserve"> and estimates account for the net effect of indexation parameters and the efficiency dividend, in accordance with the Department of Finance’s costing practices.</w:t>
      </w:r>
    </w:p>
    <w:p w:rsidR="005E3562" w:rsidRPr="00FC6579" w:rsidRDefault="005E3562" w:rsidP="00E40B8B">
      <w:pPr>
        <w:pStyle w:val="Heading2"/>
      </w:pPr>
      <w:r w:rsidRPr="00FC6579">
        <w:t>Data sources</w:t>
      </w:r>
    </w:p>
    <w:p w:rsidR="00892C8C" w:rsidRPr="00892C8C" w:rsidRDefault="00892C8C" w:rsidP="00892C8C">
      <w:pPr>
        <w:pStyle w:val="Bullet1"/>
      </w:pPr>
      <w:r w:rsidRPr="00892C8C">
        <w:t xml:space="preserve">The Department of Finance </w:t>
      </w:r>
      <w:r w:rsidRPr="0084439F">
        <w:t xml:space="preserve">provided </w:t>
      </w:r>
      <w:r w:rsidR="00196A2E" w:rsidRPr="0084439F">
        <w:t xml:space="preserve">indexation and efficiency dividend </w:t>
      </w:r>
      <w:r w:rsidRPr="0084439F">
        <w:t>parameters</w:t>
      </w:r>
      <w:r w:rsidRPr="00892C8C">
        <w:t>.</w:t>
      </w:r>
    </w:p>
    <w:p w:rsidR="00CA5D42" w:rsidRPr="00FC6579" w:rsidRDefault="00CA5D42" w:rsidP="00892C8C">
      <w:pPr>
        <w:pStyle w:val="Bullet3"/>
        <w:numPr>
          <w:ilvl w:val="0"/>
          <w:numId w:val="0"/>
        </w:numPr>
        <w:ind w:left="454"/>
        <w:rPr>
          <w:highlight w:val="yellow"/>
        </w:rPr>
        <w:sectPr w:rsidR="00CA5D42" w:rsidRPr="00FC6579" w:rsidSect="00002D5D">
          <w:headerReference w:type="first" r:id="rId15"/>
          <w:footerReference w:type="first" r:id="rId16"/>
          <w:pgSz w:w="11906" w:h="16838"/>
          <w:pgMar w:top="1361" w:right="1797" w:bottom="1474" w:left="1797" w:header="709" w:footer="709" w:gutter="0"/>
          <w:cols w:space="708"/>
          <w:titlePg/>
          <w:docGrid w:linePitch="360"/>
        </w:sectPr>
      </w:pPr>
    </w:p>
    <w:p w:rsidR="0055185F" w:rsidRPr="00FC6579" w:rsidRDefault="0055185F" w:rsidP="00F21448">
      <w:pPr>
        <w:pStyle w:val="Heading1"/>
        <w:spacing w:before="0" w:after="120"/>
      </w:pPr>
      <w:r w:rsidRPr="00FC6579">
        <w:lastRenderedPageBreak/>
        <w:t>Attachment A:</w:t>
      </w:r>
      <w:r>
        <w:t xml:space="preserve"> Confronting </w:t>
      </w:r>
      <w:r w:rsidR="002B530C">
        <w:t>our</w:t>
      </w:r>
      <w:r>
        <w:t xml:space="preserve"> </w:t>
      </w:r>
      <w:r w:rsidR="00F41E1A">
        <w:t>D</w:t>
      </w:r>
      <w:r>
        <w:t xml:space="preserve">omestic </w:t>
      </w:r>
      <w:r w:rsidR="00F41E1A">
        <w:t>V</w:t>
      </w:r>
      <w:r>
        <w:t xml:space="preserve">iolence </w:t>
      </w:r>
      <w:r w:rsidR="00F41E1A">
        <w:t>C</w:t>
      </w:r>
      <w:r>
        <w:t>risis—financial implications</w:t>
      </w:r>
    </w:p>
    <w:p w:rsidR="004662A2" w:rsidRDefault="004662A2" w:rsidP="004662A2">
      <w:pPr>
        <w:pStyle w:val="Captionheading"/>
        <w:rPr>
          <w:vertAlign w:val="superscript"/>
        </w:rPr>
      </w:pPr>
      <w:r>
        <w:t xml:space="preserve">Table A1: </w:t>
      </w:r>
      <w:r w:rsidR="00764660" w:rsidRPr="00764660">
        <w:t xml:space="preserve">Confronting </w:t>
      </w:r>
      <w:r w:rsidR="002B530C">
        <w:t>our</w:t>
      </w:r>
      <w:r w:rsidR="00764660" w:rsidRPr="00764660">
        <w:t xml:space="preserve"> </w:t>
      </w:r>
      <w:r w:rsidR="00F41E1A">
        <w:t>D</w:t>
      </w:r>
      <w:r w:rsidR="00764660" w:rsidRPr="00764660">
        <w:t xml:space="preserve">omestic </w:t>
      </w:r>
      <w:r w:rsidR="00F41E1A">
        <w:t>V</w:t>
      </w:r>
      <w:r w:rsidR="00764660" w:rsidRPr="00764660">
        <w:t xml:space="preserve">iolence </w:t>
      </w:r>
      <w:r w:rsidR="00F41E1A">
        <w:t>C</w:t>
      </w:r>
      <w:r w:rsidR="00764660" w:rsidRPr="00764660">
        <w:t>risis</w:t>
      </w:r>
      <w:r>
        <w:t>—Financial implications (outturn prices</w:t>
      </w:r>
      <w:proofErr w:type="gramStart"/>
      <w:r>
        <w:t>)</w:t>
      </w:r>
      <w:r>
        <w:rPr>
          <w:vertAlign w:val="superscript"/>
        </w:rPr>
        <w:t>(</w:t>
      </w:r>
      <w:proofErr w:type="gramEnd"/>
      <w:r>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5142F5" w:rsidRPr="00EF1D6A" w:rsidTr="00F15A82">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142F5" w:rsidRPr="00EF1D6A" w:rsidRDefault="005142F5" w:rsidP="00F15A82">
            <w:pPr>
              <w:pStyle w:val="TableText"/>
              <w:keepNext/>
              <w:keepLines/>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427B8E"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427B8E">
              <w:rPr>
                <w:b/>
              </w:rPr>
              <w:t>Total</w:t>
            </w:r>
            <w:r w:rsidRPr="00427B8E">
              <w:rPr>
                <w:b/>
                <w:szCs w:val="20"/>
              </w:rPr>
              <w:t xml:space="preserve"> to 2019–20</w:t>
            </w:r>
          </w:p>
        </w:tc>
      </w:tr>
      <w:tr w:rsidR="005142F5" w:rsidRPr="00EF1D6A" w:rsidTr="00F15A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5142F5" w:rsidRPr="00427B8E" w:rsidRDefault="005142F5" w:rsidP="00F15A82">
            <w:pPr>
              <w:pStyle w:val="TableHeadingCentred"/>
              <w:jc w:val="left"/>
              <w:rPr>
                <w:b/>
              </w:rPr>
            </w:pPr>
            <w:r w:rsidRPr="00796A42">
              <w:rPr>
                <w:b/>
              </w:rPr>
              <w:t>Impact on fiscal and underlying cash balances</w:t>
            </w:r>
          </w:p>
        </w:tc>
      </w:tr>
      <w:tr w:rsidR="00A73F3F" w:rsidRPr="00796A42" w:rsidTr="00F15A82">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73F3F" w:rsidRPr="00864FFC" w:rsidRDefault="00A73F3F" w:rsidP="00F15A82">
            <w:pPr>
              <w:pStyle w:val="TableTextCentred"/>
              <w:keepNext/>
              <w:keepLines/>
              <w:jc w:val="left"/>
              <w:rPr>
                <w:szCs w:val="20"/>
              </w:rPr>
            </w:pPr>
            <w:r w:rsidRPr="00864FFC">
              <w:rPr>
                <w:szCs w:val="20"/>
              </w:rPr>
              <w:t>Administered</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Pr>
                <w:i/>
                <w:iCs/>
                <w:color w:val="000000"/>
              </w:rPr>
              <w:t xml:space="preserve">-535.5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Pr>
                <w:i/>
                <w:iCs/>
                <w:color w:val="000000"/>
              </w:rPr>
              <w:t xml:space="preserve">-547.8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Pr>
                <w:i/>
                <w:iCs/>
                <w:color w:val="000000"/>
              </w:rPr>
              <w:t xml:space="preserve">-550.0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Pr>
                <w:i/>
                <w:iCs/>
                <w:color w:val="000000"/>
              </w:rPr>
              <w:t xml:space="preserve">-563.7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2B530C"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2B530C">
              <w:rPr>
                <w:b/>
                <w:i/>
                <w:iCs/>
                <w:color w:val="000000"/>
              </w:rPr>
              <w:t xml:space="preserve">-2,197.0 </w:t>
            </w:r>
          </w:p>
        </w:tc>
      </w:tr>
      <w:tr w:rsidR="00A73F3F" w:rsidRPr="00796A42" w:rsidTr="00F15A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73F3F" w:rsidRPr="00864FFC" w:rsidRDefault="00A73F3F" w:rsidP="00F15A82">
            <w:pPr>
              <w:pStyle w:val="TableTextCentred"/>
              <w:keepNext/>
              <w:keepLines/>
              <w:jc w:val="left"/>
              <w:rPr>
                <w:szCs w:val="20"/>
              </w:rPr>
            </w:pPr>
            <w:r w:rsidRPr="00864FFC">
              <w:rPr>
                <w:szCs w:val="20"/>
              </w:rPr>
              <w:t>Departmental</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8F422B" w:rsidRDefault="00A73F3F" w:rsidP="008F422B">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Pr>
                <w:i/>
                <w:iCs/>
                <w:color w:val="000000"/>
              </w:rPr>
              <w:t xml:space="preserve">-1.9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8F422B" w:rsidRDefault="00A73F3F" w:rsidP="008F422B">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Pr>
                <w:i/>
                <w:iCs/>
                <w:color w:val="000000"/>
              </w:rPr>
              <w:t xml:space="preserve">-1.9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8F422B" w:rsidRDefault="00A73F3F" w:rsidP="008F422B">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Pr>
                <w:i/>
                <w:iCs/>
                <w:color w:val="000000"/>
              </w:rPr>
              <w:t xml:space="preserve">-1.8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8F422B" w:rsidRDefault="00A73F3F" w:rsidP="008F422B">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Pr>
                <w:i/>
                <w:iCs/>
                <w:color w:val="000000"/>
              </w:rPr>
              <w:t xml:space="preserve">-1.8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2B530C" w:rsidRDefault="00A73F3F" w:rsidP="008F422B">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sidRPr="002B530C">
              <w:rPr>
                <w:b/>
                <w:i/>
                <w:iCs/>
                <w:color w:val="000000"/>
              </w:rPr>
              <w:t xml:space="preserve">-7.3 </w:t>
            </w:r>
          </w:p>
        </w:tc>
      </w:tr>
      <w:tr w:rsidR="00A73F3F" w:rsidRPr="0055406D" w:rsidTr="00F15A82">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A73F3F" w:rsidRPr="0055406D" w:rsidRDefault="00A73F3F" w:rsidP="00F15A82">
            <w:pPr>
              <w:pStyle w:val="TableTextCentred"/>
              <w:keepNext/>
              <w:keepLines/>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Pr>
                <w:b/>
                <w:bCs/>
                <w:color w:val="000000"/>
              </w:rPr>
              <w:t xml:space="preserve">-537.4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Pr>
                <w:b/>
                <w:bCs/>
                <w:color w:val="000000"/>
              </w:rPr>
              <w:t xml:space="preserve">-549.7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Pr>
                <w:b/>
                <w:bCs/>
                <w:color w:val="000000"/>
              </w:rPr>
              <w:t xml:space="preserve">-551.8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Pr>
                <w:b/>
                <w:bCs/>
                <w:color w:val="000000"/>
              </w:rPr>
              <w:t xml:space="preserve">-565.5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8F422B" w:rsidRDefault="00A73F3F" w:rsidP="008F422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Pr>
                <w:b/>
                <w:bCs/>
                <w:color w:val="000000"/>
              </w:rPr>
              <w:t xml:space="preserve">-2,204.3 </w:t>
            </w:r>
          </w:p>
        </w:tc>
      </w:tr>
    </w:tbl>
    <w:p w:rsidR="00F21448" w:rsidRPr="00F21448" w:rsidRDefault="00F21448" w:rsidP="00F21448">
      <w:pPr>
        <w:pStyle w:val="Footnotes"/>
        <w:numPr>
          <w:ilvl w:val="0"/>
          <w:numId w:val="26"/>
        </w:numPr>
        <w:ind w:left="284" w:hanging="284"/>
        <w:rPr>
          <w:rFonts w:ascii="Calibri" w:hAnsi="Calibri"/>
        </w:rPr>
      </w:pPr>
      <w:r w:rsidRPr="00F21448">
        <w:t>A positive number indicates an increase in revenue or decrease in expenses or net capital investment in accrual and cash terms. A negative number indicates a decrease in revenue or an increase in expenses or net capital investment in accrual</w:t>
      </w:r>
      <w:r>
        <w:t xml:space="preserve"> and cash terms.</w:t>
      </w:r>
    </w:p>
    <w:p w:rsidR="001F7D6A" w:rsidRDefault="001F7D6A" w:rsidP="001F7D6A">
      <w:pPr>
        <w:pStyle w:val="Footnotes"/>
      </w:pPr>
      <w:r>
        <w:t>Figures may not sum to totals due to rounding.</w:t>
      </w:r>
    </w:p>
    <w:p w:rsidR="0055185F" w:rsidRPr="005142F5" w:rsidRDefault="0055185F" w:rsidP="005142F5">
      <w:pPr>
        <w:pStyle w:val="Captionheading"/>
        <w:rPr>
          <w:vertAlign w:val="superscript"/>
        </w:rPr>
      </w:pPr>
      <w:r w:rsidRPr="00FC6579">
        <w:t xml:space="preserve">Table </w:t>
      </w:r>
      <w:r>
        <w:t>A2</w:t>
      </w:r>
      <w:r w:rsidRPr="00FC6579">
        <w:t xml:space="preserve">: </w:t>
      </w:r>
      <w:r>
        <w:t>C</w:t>
      </w:r>
      <w:r w:rsidR="008711F1">
        <w:t xml:space="preserve">omponent 1: </w:t>
      </w:r>
      <w:r w:rsidR="00AD45CF" w:rsidRPr="00AD45CF">
        <w:t>Fund a national peak body</w:t>
      </w:r>
      <w:r w:rsidR="005142F5">
        <w:t>—Financial implications (outturn prices</w:t>
      </w:r>
      <w:proofErr w:type="gramStart"/>
      <w:r w:rsidR="005142F5">
        <w:t>)</w:t>
      </w:r>
      <w:r w:rsidR="005142F5">
        <w:rPr>
          <w:vertAlign w:val="superscript"/>
        </w:rPr>
        <w:t>(</w:t>
      </w:r>
      <w:proofErr w:type="gramEnd"/>
      <w:r w:rsidR="005142F5">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5142F5" w:rsidRPr="00EF1D6A" w:rsidTr="00F15A82">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142F5" w:rsidRPr="00EF1D6A" w:rsidRDefault="005142F5" w:rsidP="00F15A82">
            <w:pPr>
              <w:pStyle w:val="TableText"/>
              <w:keepNext/>
              <w:keepLines/>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427B8E"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427B8E">
              <w:rPr>
                <w:b/>
              </w:rPr>
              <w:t>Total</w:t>
            </w:r>
            <w:r w:rsidRPr="00427B8E">
              <w:rPr>
                <w:b/>
                <w:szCs w:val="20"/>
              </w:rPr>
              <w:t xml:space="preserve"> to 2019–20</w:t>
            </w:r>
          </w:p>
        </w:tc>
      </w:tr>
      <w:tr w:rsidR="005142F5" w:rsidRPr="00EF1D6A" w:rsidTr="00F15A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5142F5" w:rsidRPr="00427B8E" w:rsidRDefault="005142F5" w:rsidP="00F15A82">
            <w:pPr>
              <w:pStyle w:val="TableHeadingCentred"/>
              <w:jc w:val="left"/>
              <w:rPr>
                <w:b/>
              </w:rPr>
            </w:pPr>
            <w:r w:rsidRPr="00796A42">
              <w:rPr>
                <w:b/>
              </w:rPr>
              <w:t>Impact on fiscal and underlying cash balances</w:t>
            </w:r>
          </w:p>
        </w:tc>
      </w:tr>
      <w:tr w:rsidR="00A73F3F" w:rsidRPr="00796A42" w:rsidTr="00F15A82">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73F3F" w:rsidRPr="00864FFC" w:rsidRDefault="00A73F3F" w:rsidP="00F15A82">
            <w:pPr>
              <w:pStyle w:val="TableTextCentred"/>
              <w:keepNext/>
              <w:keepLines/>
              <w:jc w:val="left"/>
              <w:rPr>
                <w:szCs w:val="20"/>
              </w:rPr>
            </w:pPr>
            <w:r w:rsidRPr="00864FFC">
              <w:rPr>
                <w:szCs w:val="20"/>
              </w:rPr>
              <w:t>Administered</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111CEF" w:rsidRDefault="00A73F3F" w:rsidP="00E142E3">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rPr>
            </w:pPr>
            <w:r w:rsidRPr="00111CEF">
              <w:rPr>
                <w:i/>
                <w:iCs/>
                <w:color w:val="000000"/>
              </w:rPr>
              <w:t xml:space="preserve">-2.0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111CEF" w:rsidRDefault="00A73F3F" w:rsidP="00F15A8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rPr>
            </w:pPr>
            <w:r w:rsidRPr="00111CEF">
              <w:rPr>
                <w:i/>
                <w:iCs/>
                <w:color w:val="000000"/>
              </w:rPr>
              <w:t xml:space="preserve">-2.0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111CEF" w:rsidRDefault="00A73F3F" w:rsidP="00F15A8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rPr>
            </w:pPr>
            <w:r w:rsidRPr="00111CEF">
              <w:rPr>
                <w:i/>
                <w:iCs/>
                <w:color w:val="000000"/>
              </w:rPr>
              <w:t xml:space="preserve">-2.1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111CEF" w:rsidRDefault="00A73F3F" w:rsidP="00F15A8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rPr>
            </w:pPr>
            <w:r w:rsidRPr="00111CEF">
              <w:rPr>
                <w:i/>
                <w:iCs/>
                <w:color w:val="000000"/>
              </w:rPr>
              <w:t xml:space="preserve">-2.1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2B530C" w:rsidRDefault="00A73F3F" w:rsidP="00F15A8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rPr>
            </w:pPr>
            <w:r w:rsidRPr="002B530C">
              <w:rPr>
                <w:b/>
                <w:i/>
                <w:iCs/>
                <w:color w:val="000000"/>
              </w:rPr>
              <w:t xml:space="preserve">-8.2 </w:t>
            </w:r>
          </w:p>
        </w:tc>
      </w:tr>
      <w:tr w:rsidR="00A73F3F" w:rsidRPr="00796A42" w:rsidTr="00F15A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73F3F" w:rsidRPr="00864FFC" w:rsidRDefault="00A73F3F" w:rsidP="00F15A82">
            <w:pPr>
              <w:pStyle w:val="TableTextCentred"/>
              <w:keepNext/>
              <w:keepLines/>
              <w:jc w:val="left"/>
              <w:rPr>
                <w:szCs w:val="20"/>
              </w:rPr>
            </w:pPr>
            <w:r w:rsidRPr="00864FFC">
              <w:rPr>
                <w:szCs w:val="20"/>
              </w:rPr>
              <w:t>Departmental</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110EF1" w:rsidRDefault="00A73F3F" w:rsidP="00E142E3">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10EF1">
              <w:t xml:space="preserve"> </w:t>
            </w:r>
            <w:r>
              <w:t>-</w:t>
            </w:r>
            <w:r w:rsidRPr="00110EF1">
              <w:t xml:space="preserve">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110EF1" w:rsidRDefault="00A73F3F" w:rsidP="00F15A82">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10EF1">
              <w:t xml:space="preserve"> </w:t>
            </w:r>
            <w:r>
              <w:t>-</w:t>
            </w:r>
            <w:r w:rsidRPr="00110EF1">
              <w:t xml:space="preserve">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110EF1" w:rsidRDefault="00A73F3F" w:rsidP="00F15A82">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10EF1">
              <w:t xml:space="preserve"> </w:t>
            </w:r>
            <w:r>
              <w:t>-</w:t>
            </w:r>
            <w:r w:rsidRPr="00110EF1">
              <w:t xml:space="preserve">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110EF1" w:rsidRDefault="00A73F3F" w:rsidP="00F15A82">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10EF1">
              <w:t xml:space="preserve"> </w:t>
            </w:r>
            <w:r>
              <w:t>-</w:t>
            </w:r>
            <w:r w:rsidRPr="00110EF1">
              <w:t xml:space="preserve"> </w:t>
            </w:r>
          </w:p>
        </w:tc>
        <w:tc>
          <w:tcPr>
            <w:tcW w:w="682" w:type="pct"/>
            <w:tcBorders>
              <w:top w:val="single" w:sz="4" w:space="0" w:color="788184"/>
              <w:left w:val="single" w:sz="4" w:space="0" w:color="788184"/>
              <w:bottom w:val="single" w:sz="4" w:space="0" w:color="788184"/>
              <w:right w:val="single" w:sz="4" w:space="0" w:color="788184"/>
            </w:tcBorders>
            <w:vAlign w:val="bottom"/>
          </w:tcPr>
          <w:p w:rsidR="00A73F3F" w:rsidRPr="002B530C" w:rsidRDefault="00A73F3F" w:rsidP="00863F92">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sidRPr="002B530C">
              <w:rPr>
                <w:b/>
              </w:rPr>
              <w:t xml:space="preserve"> - </w:t>
            </w:r>
          </w:p>
        </w:tc>
      </w:tr>
      <w:tr w:rsidR="00A73F3F" w:rsidRPr="0055406D" w:rsidTr="00F15A82">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A73F3F" w:rsidRPr="0055406D" w:rsidRDefault="00A73F3F" w:rsidP="00F15A82">
            <w:pPr>
              <w:pStyle w:val="TableTextCentred"/>
              <w:keepNext/>
              <w:keepLines/>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A73F3F" w:rsidRDefault="00A73F3F" w:rsidP="00F15A8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111CEF">
              <w:rPr>
                <w:b/>
                <w:iCs/>
                <w:color w:val="000000"/>
              </w:rPr>
              <w:t xml:space="preserve">-2.0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A73F3F" w:rsidRDefault="00A73F3F" w:rsidP="00F15A8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111CEF">
              <w:rPr>
                <w:b/>
                <w:iCs/>
                <w:color w:val="000000"/>
              </w:rPr>
              <w:t xml:space="preserve">-2.0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A73F3F" w:rsidRDefault="00A73F3F" w:rsidP="00F15A8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111CEF">
              <w:rPr>
                <w:b/>
                <w:iCs/>
                <w:color w:val="000000"/>
              </w:rPr>
              <w:t xml:space="preserve">-2.1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A73F3F" w:rsidRDefault="00A73F3F" w:rsidP="00F15A8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111CEF">
              <w:rPr>
                <w:b/>
                <w:iCs/>
                <w:color w:val="000000"/>
              </w:rPr>
              <w:t xml:space="preserve">-2.1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A73F3F" w:rsidRDefault="00A73F3F" w:rsidP="00863F92">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111CEF">
              <w:rPr>
                <w:b/>
                <w:iCs/>
                <w:color w:val="000000"/>
              </w:rPr>
              <w:t xml:space="preserve">-8.2 </w:t>
            </w:r>
          </w:p>
        </w:tc>
      </w:tr>
    </w:tbl>
    <w:p w:rsidR="00F21448" w:rsidRPr="00F21448" w:rsidRDefault="00F21448" w:rsidP="00F21448">
      <w:pPr>
        <w:pStyle w:val="Footnotes"/>
        <w:numPr>
          <w:ilvl w:val="0"/>
          <w:numId w:val="27"/>
        </w:numPr>
        <w:ind w:left="284" w:hanging="284"/>
        <w:rPr>
          <w:rFonts w:ascii="Calibri" w:hAnsi="Calibri"/>
        </w:rPr>
      </w:pPr>
      <w:r w:rsidRPr="00F21448">
        <w:t>A positive number indicates an increase in revenue or decrease in expenses or net capital investment in accrual and cash terms. A negative number indicates a decrease in revenue or an increase in expenses or net capital investment in accrual</w:t>
      </w:r>
      <w:r>
        <w:t xml:space="preserve"> and cash terms.</w:t>
      </w:r>
    </w:p>
    <w:p w:rsidR="0055185F" w:rsidRDefault="0055185F" w:rsidP="0055185F">
      <w:pPr>
        <w:pStyle w:val="Footnotes"/>
      </w:pPr>
      <w:r>
        <w:t>Figures may not sum to totals due to rounding.</w:t>
      </w:r>
    </w:p>
    <w:p w:rsidR="0055185F" w:rsidRPr="00CA5D42" w:rsidRDefault="0055185F" w:rsidP="0055185F">
      <w:pPr>
        <w:pStyle w:val="Footnotes"/>
        <w:numPr>
          <w:ilvl w:val="0"/>
          <w:numId w:val="0"/>
        </w:numPr>
        <w:ind w:left="284" w:hanging="284"/>
      </w:pPr>
      <w:r>
        <w:t>-</w:t>
      </w:r>
      <w:r>
        <w:tab/>
        <w:t>Indicates nil.</w:t>
      </w:r>
    </w:p>
    <w:p w:rsidR="005142F5" w:rsidRPr="005142F5" w:rsidRDefault="0055185F">
      <w:pPr>
        <w:pStyle w:val="Captionheading"/>
        <w:rPr>
          <w:vertAlign w:val="superscript"/>
        </w:rPr>
      </w:pPr>
      <w:r w:rsidRPr="00FC6579">
        <w:lastRenderedPageBreak/>
        <w:t xml:space="preserve">Table </w:t>
      </w:r>
      <w:r>
        <w:t>A3</w:t>
      </w:r>
      <w:r w:rsidRPr="00FC6579">
        <w:t xml:space="preserve">: </w:t>
      </w:r>
      <w:r>
        <w:t>C</w:t>
      </w:r>
      <w:r w:rsidR="00FD3EA9">
        <w:t>omponent 2</w:t>
      </w:r>
      <w:r>
        <w:t xml:space="preserve">: </w:t>
      </w:r>
      <w:r w:rsidR="00FD3EA9">
        <w:t>Provide funding for specialist domestic violence services</w:t>
      </w:r>
      <w:r w:rsidR="005142F5">
        <w:t>—Financial implications (outturn prices</w:t>
      </w:r>
      <w:proofErr w:type="gramStart"/>
      <w:r w:rsidR="005142F5">
        <w:t>)</w:t>
      </w:r>
      <w:r w:rsidR="005142F5">
        <w:rPr>
          <w:vertAlign w:val="superscript"/>
        </w:rPr>
        <w:t>(</w:t>
      </w:r>
      <w:proofErr w:type="gramEnd"/>
      <w:r w:rsidR="005142F5">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10"/>
        <w:gridCol w:w="1101"/>
        <w:gridCol w:w="1101"/>
        <w:gridCol w:w="1103"/>
        <w:gridCol w:w="1103"/>
        <w:gridCol w:w="1297"/>
      </w:tblGrid>
      <w:tr w:rsidR="005142F5" w:rsidRPr="00EF1D6A" w:rsidTr="00A73F3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70" w:type="pct"/>
            <w:tcBorders>
              <w:top w:val="single" w:sz="4" w:space="0" w:color="788184"/>
              <w:left w:val="single" w:sz="4" w:space="0" w:color="788184"/>
              <w:bottom w:val="single" w:sz="4" w:space="0" w:color="788184"/>
              <w:right w:val="single" w:sz="4" w:space="0" w:color="788184"/>
            </w:tcBorders>
            <w:vAlign w:val="center"/>
          </w:tcPr>
          <w:p w:rsidR="005142F5" w:rsidRPr="00EF1D6A" w:rsidRDefault="005142F5" w:rsidP="001C3E8F">
            <w:pPr>
              <w:pStyle w:val="TableText"/>
              <w:keepNext/>
              <w:rPr>
                <w:rFonts w:ascii="Calibri" w:hAnsi="Calibri"/>
                <w:b/>
                <w:szCs w:val="20"/>
              </w:rPr>
            </w:pPr>
            <w:r w:rsidRPr="00EF1D6A">
              <w:rPr>
                <w:rFonts w:ascii="Calibri" w:hAnsi="Calibri"/>
                <w:szCs w:val="20"/>
              </w:rPr>
              <w:t>($m)</w:t>
            </w:r>
          </w:p>
        </w:tc>
        <w:tc>
          <w:tcPr>
            <w:tcW w:w="66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1C3E8F">
            <w:pPr>
              <w:pStyle w:val="TableHeadingCentred"/>
              <w:keepLines w:val="0"/>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6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1C3E8F">
            <w:pPr>
              <w:pStyle w:val="TableHeadingCentred"/>
              <w:keepLines w:val="0"/>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63"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1C3E8F">
            <w:pPr>
              <w:pStyle w:val="TableHeadingCentred"/>
              <w:keepLines w:val="0"/>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63"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1C3E8F">
            <w:pPr>
              <w:pStyle w:val="TableHeadingCentred"/>
              <w:keepLines w:val="0"/>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780" w:type="pct"/>
            <w:tcBorders>
              <w:top w:val="single" w:sz="4" w:space="0" w:color="788184"/>
              <w:left w:val="single" w:sz="4" w:space="0" w:color="788184"/>
              <w:bottom w:val="single" w:sz="4" w:space="0" w:color="788184"/>
              <w:right w:val="single" w:sz="4" w:space="0" w:color="788184"/>
            </w:tcBorders>
            <w:vAlign w:val="center"/>
          </w:tcPr>
          <w:p w:rsidR="005142F5" w:rsidRPr="00427B8E" w:rsidRDefault="005142F5" w:rsidP="001C3E8F">
            <w:pPr>
              <w:pStyle w:val="TableHeadingCentred"/>
              <w:keepLines w:val="0"/>
              <w:cnfStyle w:val="100000000000" w:firstRow="1" w:lastRow="0" w:firstColumn="0" w:lastColumn="0" w:oddVBand="0" w:evenVBand="0" w:oddHBand="0" w:evenHBand="0" w:firstRowFirstColumn="0" w:firstRowLastColumn="0" w:lastRowFirstColumn="0" w:lastRowLastColumn="0"/>
              <w:rPr>
                <w:b/>
                <w:szCs w:val="20"/>
                <w:vertAlign w:val="superscript"/>
              </w:rPr>
            </w:pPr>
            <w:r w:rsidRPr="00427B8E">
              <w:rPr>
                <w:b/>
              </w:rPr>
              <w:t>Total</w:t>
            </w:r>
            <w:r w:rsidRPr="00427B8E">
              <w:rPr>
                <w:b/>
                <w:szCs w:val="20"/>
              </w:rPr>
              <w:t xml:space="preserve"> to 2019–20</w:t>
            </w:r>
          </w:p>
        </w:tc>
      </w:tr>
      <w:tr w:rsidR="005142F5" w:rsidRPr="00EF1D6A" w:rsidTr="00F15A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5142F5" w:rsidRPr="00427B8E" w:rsidRDefault="005142F5" w:rsidP="001C3E8F">
            <w:pPr>
              <w:pStyle w:val="TableHeadingCentred"/>
              <w:keepLines w:val="0"/>
              <w:jc w:val="left"/>
              <w:rPr>
                <w:b/>
              </w:rPr>
            </w:pPr>
            <w:r w:rsidRPr="00796A42">
              <w:rPr>
                <w:b/>
              </w:rPr>
              <w:t>Impact on fiscal and underlying cash balances</w:t>
            </w:r>
          </w:p>
        </w:tc>
      </w:tr>
      <w:tr w:rsidR="00A73F3F" w:rsidRPr="00796A42" w:rsidTr="00A73F3F">
        <w:trPr>
          <w:cantSplit/>
        </w:trPr>
        <w:tc>
          <w:tcPr>
            <w:cnfStyle w:val="001000000000" w:firstRow="0" w:lastRow="0" w:firstColumn="1" w:lastColumn="0" w:oddVBand="0" w:evenVBand="0" w:oddHBand="0" w:evenHBand="0" w:firstRowFirstColumn="0" w:firstRowLastColumn="0" w:lastRowFirstColumn="0" w:lastRowLastColumn="0"/>
            <w:tcW w:w="1570" w:type="pct"/>
            <w:tcBorders>
              <w:top w:val="single" w:sz="4" w:space="0" w:color="788184"/>
              <w:left w:val="single" w:sz="4" w:space="0" w:color="788184"/>
              <w:bottom w:val="single" w:sz="4" w:space="0" w:color="788184"/>
              <w:right w:val="single" w:sz="4" w:space="0" w:color="788184"/>
            </w:tcBorders>
          </w:tcPr>
          <w:p w:rsidR="00A73F3F" w:rsidRPr="00864FFC" w:rsidRDefault="00A73F3F" w:rsidP="001C3E8F">
            <w:pPr>
              <w:pStyle w:val="TableTextCentred"/>
              <w:keepNext/>
              <w:jc w:val="left"/>
              <w:rPr>
                <w:szCs w:val="20"/>
              </w:rPr>
            </w:pPr>
            <w:r w:rsidRPr="00864FFC">
              <w:rPr>
                <w:szCs w:val="20"/>
              </w:rPr>
              <w:t>Administered</w:t>
            </w:r>
          </w:p>
        </w:tc>
        <w:tc>
          <w:tcPr>
            <w:tcW w:w="662" w:type="pct"/>
            <w:tcBorders>
              <w:top w:val="single" w:sz="4" w:space="0" w:color="788184"/>
              <w:left w:val="single" w:sz="4" w:space="0" w:color="788184"/>
              <w:bottom w:val="single" w:sz="4" w:space="0" w:color="788184"/>
              <w:right w:val="single" w:sz="4" w:space="0" w:color="788184"/>
            </w:tcBorders>
            <w:vAlign w:val="bottom"/>
          </w:tcPr>
          <w:p w:rsidR="00A73F3F" w:rsidRPr="00111CE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rPr>
            </w:pPr>
            <w:r>
              <w:rPr>
                <w:i/>
                <w:iCs/>
                <w:color w:val="000000"/>
              </w:rPr>
              <w:t xml:space="preserve">-500.0 </w:t>
            </w:r>
          </w:p>
        </w:tc>
        <w:tc>
          <w:tcPr>
            <w:tcW w:w="662" w:type="pct"/>
            <w:tcBorders>
              <w:top w:val="single" w:sz="4" w:space="0" w:color="788184"/>
              <w:left w:val="single" w:sz="4" w:space="0" w:color="788184"/>
              <w:bottom w:val="single" w:sz="4" w:space="0" w:color="788184"/>
              <w:right w:val="single" w:sz="4" w:space="0" w:color="788184"/>
            </w:tcBorders>
            <w:vAlign w:val="bottom"/>
          </w:tcPr>
          <w:p w:rsidR="00A73F3F" w:rsidRPr="00111CE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-511.5 </w:t>
            </w:r>
          </w:p>
        </w:tc>
        <w:tc>
          <w:tcPr>
            <w:tcW w:w="663" w:type="pct"/>
            <w:tcBorders>
              <w:top w:val="single" w:sz="4" w:space="0" w:color="788184"/>
              <w:left w:val="single" w:sz="4" w:space="0" w:color="788184"/>
              <w:bottom w:val="single" w:sz="4" w:space="0" w:color="788184"/>
              <w:right w:val="single" w:sz="4" w:space="0" w:color="788184"/>
            </w:tcBorders>
            <w:vAlign w:val="bottom"/>
          </w:tcPr>
          <w:p w:rsidR="00A73F3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-52</w:t>
            </w:r>
            <w:r w:rsidR="002B530C">
              <w:rPr>
                <w:i/>
                <w:iCs/>
                <w:color w:val="000000"/>
              </w:rPr>
              <w:t>3</w:t>
            </w:r>
            <w:r>
              <w:rPr>
                <w:i/>
                <w:iCs/>
                <w:color w:val="000000"/>
              </w:rPr>
              <w:t xml:space="preserve">.3 </w:t>
            </w:r>
          </w:p>
        </w:tc>
        <w:tc>
          <w:tcPr>
            <w:tcW w:w="663" w:type="pct"/>
            <w:tcBorders>
              <w:top w:val="single" w:sz="4" w:space="0" w:color="788184"/>
              <w:left w:val="single" w:sz="4" w:space="0" w:color="788184"/>
              <w:bottom w:val="single" w:sz="4" w:space="0" w:color="788184"/>
              <w:right w:val="single" w:sz="4" w:space="0" w:color="788184"/>
            </w:tcBorders>
            <w:vAlign w:val="bottom"/>
          </w:tcPr>
          <w:p w:rsidR="00A73F3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 xml:space="preserve">-536.3 </w:t>
            </w:r>
          </w:p>
        </w:tc>
        <w:tc>
          <w:tcPr>
            <w:tcW w:w="780" w:type="pct"/>
            <w:tcBorders>
              <w:top w:val="single" w:sz="4" w:space="0" w:color="788184"/>
              <w:left w:val="single" w:sz="4" w:space="0" w:color="788184"/>
              <w:bottom w:val="single" w:sz="4" w:space="0" w:color="788184"/>
              <w:right w:val="single" w:sz="4" w:space="0" w:color="788184"/>
            </w:tcBorders>
            <w:vAlign w:val="bottom"/>
          </w:tcPr>
          <w:p w:rsidR="00A73F3F" w:rsidRPr="002B530C"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iCs/>
                <w:color w:val="000000"/>
                <w:sz w:val="24"/>
                <w:szCs w:val="24"/>
              </w:rPr>
            </w:pPr>
            <w:r w:rsidRPr="002B530C">
              <w:rPr>
                <w:b/>
                <w:bCs/>
                <w:i/>
                <w:color w:val="000000"/>
              </w:rPr>
              <w:t>-2,071.</w:t>
            </w:r>
            <w:r w:rsidR="002B530C" w:rsidRPr="002B530C">
              <w:rPr>
                <w:b/>
                <w:bCs/>
                <w:i/>
                <w:color w:val="000000"/>
              </w:rPr>
              <w:t>1</w:t>
            </w:r>
            <w:r w:rsidRPr="002B530C">
              <w:rPr>
                <w:b/>
                <w:i/>
                <w:iCs/>
                <w:color w:val="000000"/>
              </w:rPr>
              <w:t xml:space="preserve"> </w:t>
            </w:r>
          </w:p>
        </w:tc>
      </w:tr>
      <w:tr w:rsidR="00A73F3F" w:rsidRPr="00796A42" w:rsidTr="00A73F3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0" w:type="pct"/>
            <w:tcBorders>
              <w:top w:val="single" w:sz="4" w:space="0" w:color="788184"/>
              <w:left w:val="single" w:sz="4" w:space="0" w:color="788184"/>
              <w:bottom w:val="single" w:sz="4" w:space="0" w:color="788184"/>
              <w:right w:val="single" w:sz="4" w:space="0" w:color="788184"/>
            </w:tcBorders>
          </w:tcPr>
          <w:p w:rsidR="00A73F3F" w:rsidRPr="00864FFC" w:rsidRDefault="00A73F3F" w:rsidP="001C3E8F">
            <w:pPr>
              <w:pStyle w:val="TableTextCentred"/>
              <w:keepNext/>
              <w:jc w:val="left"/>
              <w:rPr>
                <w:szCs w:val="20"/>
              </w:rPr>
            </w:pPr>
            <w:r w:rsidRPr="00864FFC">
              <w:rPr>
                <w:szCs w:val="20"/>
              </w:rPr>
              <w:t>Departmental</w:t>
            </w:r>
          </w:p>
        </w:tc>
        <w:tc>
          <w:tcPr>
            <w:tcW w:w="662" w:type="pct"/>
            <w:tcBorders>
              <w:top w:val="single" w:sz="4" w:space="0" w:color="788184"/>
              <w:left w:val="single" w:sz="4" w:space="0" w:color="788184"/>
              <w:bottom w:val="single" w:sz="4" w:space="0" w:color="788184"/>
              <w:right w:val="single" w:sz="4" w:space="0" w:color="788184"/>
            </w:tcBorders>
            <w:vAlign w:val="bottom"/>
          </w:tcPr>
          <w:p w:rsidR="00A73F3F" w:rsidRPr="00111CEF" w:rsidRDefault="00A73F3F" w:rsidP="001C3E8F">
            <w:pPr>
              <w:keepNext/>
              <w:spacing w:before="70" w:after="70" w:line="240" w:lineRule="auto"/>
              <w:jc w:val="right"/>
              <w:cnfStyle w:val="000000100000" w:firstRow="0" w:lastRow="0" w:firstColumn="0" w:lastColumn="0" w:oddVBand="0" w:evenVBand="0" w:oddHBand="1" w:evenHBand="0" w:firstRowFirstColumn="0" w:firstRowLastColumn="0" w:lastRowFirstColumn="0" w:lastRowLastColumn="0"/>
              <w:rPr>
                <w:iCs/>
                <w:color w:val="000000"/>
              </w:rPr>
            </w:pPr>
            <w:r>
              <w:rPr>
                <w:i/>
                <w:iCs/>
                <w:color w:val="000000"/>
              </w:rPr>
              <w:t xml:space="preserve">-0.6 </w:t>
            </w:r>
          </w:p>
        </w:tc>
        <w:tc>
          <w:tcPr>
            <w:tcW w:w="662" w:type="pct"/>
            <w:tcBorders>
              <w:top w:val="single" w:sz="4" w:space="0" w:color="788184"/>
              <w:left w:val="single" w:sz="4" w:space="0" w:color="788184"/>
              <w:bottom w:val="single" w:sz="4" w:space="0" w:color="788184"/>
              <w:right w:val="single" w:sz="4" w:space="0" w:color="788184"/>
            </w:tcBorders>
            <w:vAlign w:val="bottom"/>
          </w:tcPr>
          <w:p w:rsidR="00A73F3F" w:rsidRPr="00111CEF" w:rsidRDefault="00A73F3F" w:rsidP="001C3E8F">
            <w:pPr>
              <w:keepNext/>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-0.6 </w:t>
            </w:r>
          </w:p>
        </w:tc>
        <w:tc>
          <w:tcPr>
            <w:tcW w:w="663" w:type="pct"/>
            <w:tcBorders>
              <w:top w:val="single" w:sz="4" w:space="0" w:color="788184"/>
              <w:left w:val="single" w:sz="4" w:space="0" w:color="788184"/>
              <w:bottom w:val="single" w:sz="4" w:space="0" w:color="788184"/>
              <w:right w:val="single" w:sz="4" w:space="0" w:color="788184"/>
            </w:tcBorders>
            <w:vAlign w:val="bottom"/>
          </w:tcPr>
          <w:p w:rsidR="00A73F3F" w:rsidRDefault="00A73F3F" w:rsidP="001C3E8F">
            <w:pPr>
              <w:keepNext/>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Pr>
                <w:i/>
                <w:iCs/>
                <w:color w:val="000000"/>
              </w:rPr>
              <w:t xml:space="preserve">-0.6 </w:t>
            </w:r>
          </w:p>
        </w:tc>
        <w:tc>
          <w:tcPr>
            <w:tcW w:w="663" w:type="pct"/>
            <w:tcBorders>
              <w:top w:val="single" w:sz="4" w:space="0" w:color="788184"/>
              <w:left w:val="single" w:sz="4" w:space="0" w:color="788184"/>
              <w:bottom w:val="single" w:sz="4" w:space="0" w:color="788184"/>
              <w:right w:val="single" w:sz="4" w:space="0" w:color="788184"/>
            </w:tcBorders>
            <w:vAlign w:val="bottom"/>
          </w:tcPr>
          <w:p w:rsidR="00A73F3F" w:rsidRDefault="00A73F3F" w:rsidP="001C3E8F">
            <w:pPr>
              <w:keepNext/>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Pr>
                <w:i/>
                <w:iCs/>
                <w:color w:val="000000"/>
              </w:rPr>
              <w:t xml:space="preserve">-0.6 </w:t>
            </w:r>
          </w:p>
        </w:tc>
        <w:tc>
          <w:tcPr>
            <w:tcW w:w="780" w:type="pct"/>
            <w:tcBorders>
              <w:top w:val="single" w:sz="4" w:space="0" w:color="788184"/>
              <w:left w:val="single" w:sz="4" w:space="0" w:color="788184"/>
              <w:bottom w:val="single" w:sz="4" w:space="0" w:color="788184"/>
              <w:right w:val="single" w:sz="4" w:space="0" w:color="788184"/>
            </w:tcBorders>
            <w:vAlign w:val="bottom"/>
          </w:tcPr>
          <w:p w:rsidR="00A73F3F" w:rsidRPr="002B530C" w:rsidRDefault="00A73F3F" w:rsidP="001C3E8F">
            <w:pPr>
              <w:keepNext/>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
                <w:iCs/>
                <w:color w:val="000000"/>
                <w:sz w:val="24"/>
                <w:szCs w:val="24"/>
              </w:rPr>
            </w:pPr>
            <w:r w:rsidRPr="002B530C">
              <w:rPr>
                <w:b/>
                <w:i/>
                <w:iCs/>
                <w:color w:val="000000"/>
              </w:rPr>
              <w:t xml:space="preserve">-2.4 </w:t>
            </w:r>
          </w:p>
        </w:tc>
      </w:tr>
      <w:tr w:rsidR="00A73F3F" w:rsidRPr="0055406D" w:rsidTr="00A73F3F">
        <w:trPr>
          <w:cantSplit/>
        </w:trPr>
        <w:tc>
          <w:tcPr>
            <w:cnfStyle w:val="001000000000" w:firstRow="0" w:lastRow="0" w:firstColumn="1" w:lastColumn="0" w:oddVBand="0" w:evenVBand="0" w:oddHBand="0" w:evenHBand="0" w:firstRowFirstColumn="0" w:firstRowLastColumn="0" w:lastRowFirstColumn="0" w:lastRowLastColumn="0"/>
            <w:tcW w:w="1570" w:type="pct"/>
            <w:tcBorders>
              <w:top w:val="single" w:sz="4" w:space="0" w:color="788184"/>
              <w:left w:val="single" w:sz="4" w:space="0" w:color="788184"/>
              <w:bottom w:val="single" w:sz="4" w:space="0" w:color="788184"/>
              <w:right w:val="single" w:sz="4" w:space="0" w:color="788184"/>
            </w:tcBorders>
            <w:shd w:val="clear" w:color="auto" w:fill="D7DDE9"/>
          </w:tcPr>
          <w:p w:rsidR="00A73F3F" w:rsidRPr="0055406D" w:rsidRDefault="00A73F3F" w:rsidP="001C3E8F">
            <w:pPr>
              <w:pStyle w:val="TableTextCentred"/>
              <w:keepNext/>
              <w:jc w:val="left"/>
              <w:rPr>
                <w:b/>
                <w:szCs w:val="20"/>
              </w:rPr>
            </w:pPr>
            <w:r w:rsidRPr="0055406D">
              <w:rPr>
                <w:b/>
                <w:szCs w:val="20"/>
              </w:rPr>
              <w:t>Total</w:t>
            </w:r>
          </w:p>
        </w:tc>
        <w:tc>
          <w:tcPr>
            <w:tcW w:w="66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111CE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color w:val="000000"/>
              </w:rPr>
            </w:pPr>
            <w:r>
              <w:rPr>
                <w:b/>
                <w:bCs/>
                <w:color w:val="000000"/>
              </w:rPr>
              <w:t xml:space="preserve">-500.6 </w:t>
            </w:r>
          </w:p>
        </w:tc>
        <w:tc>
          <w:tcPr>
            <w:tcW w:w="66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Pr="00111CE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 xml:space="preserve">-512.1 </w:t>
            </w:r>
          </w:p>
        </w:tc>
        <w:tc>
          <w:tcPr>
            <w:tcW w:w="663"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Pr>
                <w:b/>
                <w:bCs/>
                <w:color w:val="000000"/>
              </w:rPr>
              <w:t>-52</w:t>
            </w:r>
            <w:r w:rsidR="002B530C">
              <w:rPr>
                <w:b/>
                <w:bCs/>
                <w:color w:val="000000"/>
              </w:rPr>
              <w:t>3</w:t>
            </w:r>
            <w:r>
              <w:rPr>
                <w:b/>
                <w:bCs/>
                <w:color w:val="000000"/>
              </w:rPr>
              <w:t xml:space="preserve">.9 </w:t>
            </w:r>
          </w:p>
        </w:tc>
        <w:tc>
          <w:tcPr>
            <w:tcW w:w="663"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Pr>
                <w:b/>
                <w:bCs/>
                <w:color w:val="000000"/>
              </w:rPr>
              <w:t xml:space="preserve">-536.9 </w:t>
            </w:r>
          </w:p>
        </w:tc>
        <w:tc>
          <w:tcPr>
            <w:tcW w:w="780"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A73F3F" w:rsidRDefault="00A73F3F" w:rsidP="001C3E8F">
            <w:pPr>
              <w:keepNext/>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Pr>
                <w:b/>
                <w:bCs/>
                <w:color w:val="000000"/>
              </w:rPr>
              <w:t xml:space="preserve">-2,073.5 </w:t>
            </w:r>
          </w:p>
        </w:tc>
      </w:tr>
    </w:tbl>
    <w:p w:rsidR="00F21448" w:rsidRPr="00F21448" w:rsidRDefault="00F21448" w:rsidP="001C3E8F">
      <w:pPr>
        <w:pStyle w:val="Footnotes"/>
        <w:keepNext/>
        <w:numPr>
          <w:ilvl w:val="0"/>
          <w:numId w:val="28"/>
        </w:numPr>
        <w:ind w:left="284" w:hanging="284"/>
        <w:rPr>
          <w:rFonts w:ascii="Calibri" w:hAnsi="Calibri"/>
        </w:rPr>
      </w:pPr>
      <w:r w:rsidRPr="00F21448">
        <w:t>A positive number indicates an increase in revenue or decrease in expenses or net capital investment in accrual and cash terms. A negative number indicates a decrease in revenue or an increase in expenses or net capital investment in accrual</w:t>
      </w:r>
      <w:r>
        <w:t xml:space="preserve"> and cash terms.</w:t>
      </w:r>
    </w:p>
    <w:p w:rsidR="0055185F" w:rsidRDefault="0055185F" w:rsidP="0055185F">
      <w:pPr>
        <w:pStyle w:val="Footnotes"/>
      </w:pPr>
      <w:r>
        <w:t>Figures may not sum to totals due to rounding.</w:t>
      </w:r>
    </w:p>
    <w:p w:rsidR="005142F5" w:rsidRPr="005142F5" w:rsidRDefault="0055185F" w:rsidP="005142F5">
      <w:pPr>
        <w:pStyle w:val="Captionheading"/>
        <w:rPr>
          <w:vertAlign w:val="superscript"/>
        </w:rPr>
      </w:pPr>
      <w:r w:rsidRPr="00FC6579">
        <w:t xml:space="preserve">Table </w:t>
      </w:r>
      <w:r>
        <w:t>A4</w:t>
      </w:r>
      <w:r w:rsidRPr="00FC6579">
        <w:t xml:space="preserve">: </w:t>
      </w:r>
      <w:r>
        <w:t xml:space="preserve">Component </w:t>
      </w:r>
      <w:r w:rsidR="008711F1">
        <w:t>3</w:t>
      </w:r>
      <w:r>
        <w:t xml:space="preserve">: </w:t>
      </w:r>
      <w:r w:rsidR="006D1A82" w:rsidRPr="006D1A82">
        <w:t>Establish specialist domestic violence courts</w:t>
      </w:r>
      <w:r w:rsidR="005142F5">
        <w:t>—Financial implications</w:t>
      </w:r>
      <w:r w:rsidR="00AD45CF">
        <w:t> </w:t>
      </w:r>
      <w:r w:rsidR="005142F5">
        <w:t>(outturn prices</w:t>
      </w:r>
      <w:proofErr w:type="gramStart"/>
      <w:r w:rsidR="005142F5">
        <w:t>)</w:t>
      </w:r>
      <w:r w:rsidR="005142F5">
        <w:rPr>
          <w:vertAlign w:val="superscript"/>
        </w:rPr>
        <w:t>(</w:t>
      </w:r>
      <w:proofErr w:type="gramEnd"/>
      <w:r w:rsidR="005142F5">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5142F5" w:rsidRPr="00EF1D6A" w:rsidTr="00F15A82">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142F5" w:rsidRPr="00EF1D6A" w:rsidRDefault="005142F5" w:rsidP="00F15A82">
            <w:pPr>
              <w:pStyle w:val="TableText"/>
              <w:keepNext/>
              <w:keepLines/>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427B8E" w:rsidRDefault="005142F5" w:rsidP="00F15A82">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427B8E">
              <w:rPr>
                <w:b/>
              </w:rPr>
              <w:t>Total</w:t>
            </w:r>
            <w:r w:rsidRPr="00427B8E">
              <w:rPr>
                <w:b/>
                <w:szCs w:val="20"/>
              </w:rPr>
              <w:t xml:space="preserve"> to 2019–20</w:t>
            </w:r>
          </w:p>
        </w:tc>
      </w:tr>
      <w:tr w:rsidR="005142F5" w:rsidRPr="00EF1D6A" w:rsidTr="00F15A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5142F5" w:rsidRPr="00427B8E" w:rsidRDefault="005142F5" w:rsidP="00F15A82">
            <w:pPr>
              <w:pStyle w:val="TableHeadingCentred"/>
              <w:jc w:val="left"/>
              <w:rPr>
                <w:b/>
              </w:rPr>
            </w:pPr>
            <w:r w:rsidRPr="00796A42">
              <w:rPr>
                <w:b/>
              </w:rPr>
              <w:t>Impact on fiscal and underlying cash balances</w:t>
            </w:r>
          </w:p>
        </w:tc>
      </w:tr>
      <w:tr w:rsidR="006D1A82" w:rsidRPr="00796A42" w:rsidTr="009260E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D1A82" w:rsidRPr="00864FFC" w:rsidRDefault="006D1A82" w:rsidP="00F15A82">
            <w:pPr>
              <w:pStyle w:val="TableTextCentred"/>
              <w:keepNext/>
              <w:keepLines/>
              <w:jc w:val="left"/>
              <w:rPr>
                <w:szCs w:val="20"/>
              </w:rPr>
            </w:pPr>
            <w:r w:rsidRPr="00864FFC">
              <w:rPr>
                <w:szCs w:val="20"/>
              </w:rPr>
              <w:t>Administered</w:t>
            </w:r>
          </w:p>
        </w:tc>
        <w:tc>
          <w:tcPr>
            <w:tcW w:w="682" w:type="pct"/>
            <w:tcBorders>
              <w:top w:val="single" w:sz="4" w:space="0" w:color="788184"/>
              <w:left w:val="single" w:sz="4" w:space="0" w:color="788184"/>
              <w:bottom w:val="single" w:sz="4" w:space="0" w:color="788184"/>
              <w:right w:val="single" w:sz="4" w:space="0" w:color="788184"/>
            </w:tcBorders>
            <w:vAlign w:val="top"/>
          </w:tcPr>
          <w:p w:rsidR="006D1A82" w:rsidRPr="00DF0A34" w:rsidRDefault="006D1A82" w:rsidP="006D1A82">
            <w:pPr>
              <w:pStyle w:val="TableTextRight"/>
              <w:cnfStyle w:val="000000000000" w:firstRow="0" w:lastRow="0" w:firstColumn="0" w:lastColumn="0" w:oddVBand="0" w:evenVBand="0" w:oddHBand="0" w:evenHBand="0" w:firstRowFirstColumn="0" w:firstRowLastColumn="0" w:lastRowFirstColumn="0" w:lastRowLastColumn="0"/>
              <w:rPr>
                <w:noProof/>
              </w:rPr>
            </w:pPr>
            <w:r w:rsidRPr="00DF0A34">
              <w:rPr>
                <w:noProof/>
              </w:rPr>
              <w:t>-10.0</w:t>
            </w:r>
          </w:p>
        </w:tc>
        <w:tc>
          <w:tcPr>
            <w:tcW w:w="682" w:type="pct"/>
            <w:tcBorders>
              <w:top w:val="single" w:sz="4" w:space="0" w:color="788184"/>
              <w:left w:val="single" w:sz="4" w:space="0" w:color="788184"/>
              <w:bottom w:val="single" w:sz="4" w:space="0" w:color="788184"/>
              <w:right w:val="single" w:sz="4" w:space="0" w:color="788184"/>
            </w:tcBorders>
            <w:vAlign w:val="top"/>
          </w:tcPr>
          <w:p w:rsidR="006D1A82" w:rsidRPr="00DF0A34" w:rsidRDefault="006D1A82" w:rsidP="001447B7">
            <w:pPr>
              <w:pStyle w:val="TableTextRight"/>
              <w:cnfStyle w:val="000000000000" w:firstRow="0" w:lastRow="0" w:firstColumn="0" w:lastColumn="0" w:oddVBand="0" w:evenVBand="0" w:oddHBand="0" w:evenHBand="0" w:firstRowFirstColumn="0" w:firstRowLastColumn="0" w:lastRowFirstColumn="0" w:lastRowLastColumn="0"/>
              <w:rPr>
                <w:noProof/>
              </w:rPr>
            </w:pPr>
            <w:r w:rsidRPr="00DF0A34">
              <w:rPr>
                <w:noProof/>
              </w:rPr>
              <w:t>-10.</w:t>
            </w:r>
            <w:r w:rsidR="001447B7">
              <w:rPr>
                <w:noProof/>
              </w:rPr>
              <w:t>2</w:t>
            </w:r>
          </w:p>
        </w:tc>
        <w:tc>
          <w:tcPr>
            <w:tcW w:w="682" w:type="pct"/>
            <w:tcBorders>
              <w:top w:val="single" w:sz="4" w:space="0" w:color="788184"/>
              <w:left w:val="single" w:sz="4" w:space="0" w:color="788184"/>
              <w:bottom w:val="single" w:sz="4" w:space="0" w:color="788184"/>
              <w:right w:val="single" w:sz="4" w:space="0" w:color="788184"/>
            </w:tcBorders>
            <w:vAlign w:val="bottom"/>
          </w:tcPr>
          <w:p w:rsidR="006D1A82" w:rsidRPr="00E142E3" w:rsidRDefault="006D1A82" w:rsidP="00F15A82">
            <w:pPr>
              <w:pStyle w:val="TableTextRight"/>
              <w:cnfStyle w:val="000000000000" w:firstRow="0" w:lastRow="0" w:firstColumn="0" w:lastColumn="0" w:oddVBand="0" w:evenVBand="0" w:oddHBand="0" w:evenHBand="0" w:firstRowFirstColumn="0" w:firstRowLastColumn="0" w:lastRowFirstColumn="0" w:lastRowLastColumn="0"/>
              <w:rPr>
                <w:i w:val="0"/>
                <w:noProof/>
              </w:rPr>
            </w:pPr>
            <w:r w:rsidRPr="00E142E3">
              <w:rPr>
                <w:i w:val="0"/>
                <w:noProof/>
              </w:rPr>
              <w:t xml:space="preserve">- </w:t>
            </w:r>
          </w:p>
        </w:tc>
        <w:tc>
          <w:tcPr>
            <w:tcW w:w="682" w:type="pct"/>
            <w:tcBorders>
              <w:top w:val="single" w:sz="4" w:space="0" w:color="788184"/>
              <w:left w:val="single" w:sz="4" w:space="0" w:color="788184"/>
              <w:bottom w:val="single" w:sz="4" w:space="0" w:color="788184"/>
              <w:right w:val="single" w:sz="4" w:space="0" w:color="788184"/>
            </w:tcBorders>
            <w:vAlign w:val="bottom"/>
          </w:tcPr>
          <w:p w:rsidR="006D1A82" w:rsidRPr="0084439F" w:rsidRDefault="006D1A82" w:rsidP="00F15A82">
            <w:pPr>
              <w:pStyle w:val="TableTextRight"/>
              <w:cnfStyle w:val="000000000000" w:firstRow="0" w:lastRow="0" w:firstColumn="0" w:lastColumn="0" w:oddVBand="0" w:evenVBand="0" w:oddHBand="0" w:evenHBand="0" w:firstRowFirstColumn="0" w:firstRowLastColumn="0" w:lastRowFirstColumn="0" w:lastRowLastColumn="0"/>
              <w:rPr>
                <w:i w:val="0"/>
                <w:noProof/>
              </w:rPr>
            </w:pPr>
            <w:r w:rsidRPr="0084439F">
              <w:rPr>
                <w:i w:val="0"/>
                <w:noProof/>
              </w:rPr>
              <w:t xml:space="preserve">- </w:t>
            </w:r>
          </w:p>
        </w:tc>
        <w:tc>
          <w:tcPr>
            <w:tcW w:w="682" w:type="pct"/>
            <w:tcBorders>
              <w:top w:val="single" w:sz="4" w:space="0" w:color="788184"/>
              <w:left w:val="single" w:sz="4" w:space="0" w:color="788184"/>
              <w:bottom w:val="single" w:sz="4" w:space="0" w:color="788184"/>
              <w:right w:val="single" w:sz="4" w:space="0" w:color="788184"/>
            </w:tcBorders>
            <w:vAlign w:val="bottom"/>
          </w:tcPr>
          <w:p w:rsidR="006D1A82" w:rsidRPr="002B530C" w:rsidRDefault="006D1A82" w:rsidP="001447B7">
            <w:pPr>
              <w:pStyle w:val="TableTextRight"/>
              <w:cnfStyle w:val="000000000000" w:firstRow="0" w:lastRow="0" w:firstColumn="0" w:lastColumn="0" w:oddVBand="0" w:evenVBand="0" w:oddHBand="0" w:evenHBand="0" w:firstRowFirstColumn="0" w:firstRowLastColumn="0" w:lastRowFirstColumn="0" w:lastRowLastColumn="0"/>
              <w:rPr>
                <w:b/>
                <w:noProof/>
              </w:rPr>
            </w:pPr>
            <w:r w:rsidRPr="002B530C">
              <w:rPr>
                <w:b/>
                <w:noProof/>
              </w:rPr>
              <w:t>-</w:t>
            </w:r>
            <w:r w:rsidR="00A67378" w:rsidRPr="002B530C">
              <w:rPr>
                <w:b/>
                <w:noProof/>
              </w:rPr>
              <w:t>20.</w:t>
            </w:r>
            <w:r w:rsidR="001447B7" w:rsidRPr="002B530C">
              <w:rPr>
                <w:b/>
                <w:noProof/>
              </w:rPr>
              <w:t>2</w:t>
            </w:r>
            <w:r w:rsidRPr="002B530C">
              <w:rPr>
                <w:b/>
                <w:noProof/>
              </w:rPr>
              <w:t xml:space="preserve"> </w:t>
            </w:r>
          </w:p>
        </w:tc>
      </w:tr>
      <w:tr w:rsidR="006D1A82" w:rsidRPr="00796A42" w:rsidTr="009260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D1A82" w:rsidRPr="00864FFC" w:rsidRDefault="006D1A82" w:rsidP="00F15A82">
            <w:pPr>
              <w:pStyle w:val="TableTextCentred"/>
              <w:keepNext/>
              <w:keepLines/>
              <w:jc w:val="left"/>
              <w:rPr>
                <w:szCs w:val="20"/>
              </w:rPr>
            </w:pPr>
            <w:r w:rsidRPr="00864FFC">
              <w:rPr>
                <w:szCs w:val="20"/>
              </w:rPr>
              <w:t>Departmental</w:t>
            </w:r>
          </w:p>
        </w:tc>
        <w:tc>
          <w:tcPr>
            <w:tcW w:w="682" w:type="pct"/>
            <w:tcBorders>
              <w:top w:val="single" w:sz="4" w:space="0" w:color="788184"/>
              <w:left w:val="single" w:sz="4" w:space="0" w:color="788184"/>
              <w:bottom w:val="single" w:sz="4" w:space="0" w:color="788184"/>
              <w:right w:val="single" w:sz="4" w:space="0" w:color="788184"/>
            </w:tcBorders>
            <w:vAlign w:val="top"/>
          </w:tcPr>
          <w:p w:rsidR="006D1A82" w:rsidRPr="00DF0A34" w:rsidRDefault="006D1A82" w:rsidP="006D1A82">
            <w:pPr>
              <w:pStyle w:val="TableTextRight"/>
              <w:cnfStyle w:val="000000100000" w:firstRow="0" w:lastRow="0" w:firstColumn="0" w:lastColumn="0" w:oddVBand="0" w:evenVBand="0" w:oddHBand="1" w:evenHBand="0" w:firstRowFirstColumn="0" w:firstRowLastColumn="0" w:lastRowFirstColumn="0" w:lastRowLastColumn="0"/>
              <w:rPr>
                <w:noProof/>
              </w:rPr>
            </w:pPr>
            <w:r w:rsidRPr="00DF0A34">
              <w:rPr>
                <w:noProof/>
              </w:rPr>
              <w:t>-0.1</w:t>
            </w:r>
          </w:p>
        </w:tc>
        <w:tc>
          <w:tcPr>
            <w:tcW w:w="682" w:type="pct"/>
            <w:tcBorders>
              <w:top w:val="single" w:sz="4" w:space="0" w:color="788184"/>
              <w:left w:val="single" w:sz="4" w:space="0" w:color="788184"/>
              <w:bottom w:val="single" w:sz="4" w:space="0" w:color="788184"/>
              <w:right w:val="single" w:sz="4" w:space="0" w:color="788184"/>
            </w:tcBorders>
            <w:vAlign w:val="top"/>
          </w:tcPr>
          <w:p w:rsidR="006D1A82" w:rsidRPr="00DF0A34" w:rsidRDefault="006D1A82" w:rsidP="006D1A82">
            <w:pPr>
              <w:pStyle w:val="TableTextRight"/>
              <w:cnfStyle w:val="000000100000" w:firstRow="0" w:lastRow="0" w:firstColumn="0" w:lastColumn="0" w:oddVBand="0" w:evenVBand="0" w:oddHBand="1" w:evenHBand="0" w:firstRowFirstColumn="0" w:firstRowLastColumn="0" w:lastRowFirstColumn="0" w:lastRowLastColumn="0"/>
              <w:rPr>
                <w:noProof/>
              </w:rPr>
            </w:pPr>
            <w:r w:rsidRPr="00DF0A34">
              <w:rPr>
                <w:noProof/>
              </w:rPr>
              <w:t>-0.1</w:t>
            </w:r>
          </w:p>
        </w:tc>
        <w:tc>
          <w:tcPr>
            <w:tcW w:w="682" w:type="pct"/>
            <w:tcBorders>
              <w:top w:val="single" w:sz="4" w:space="0" w:color="788184"/>
              <w:left w:val="single" w:sz="4" w:space="0" w:color="788184"/>
              <w:bottom w:val="single" w:sz="4" w:space="0" w:color="788184"/>
              <w:right w:val="single" w:sz="4" w:space="0" w:color="788184"/>
            </w:tcBorders>
            <w:vAlign w:val="bottom"/>
          </w:tcPr>
          <w:p w:rsidR="006D1A82" w:rsidRPr="00E142E3" w:rsidRDefault="006D1A82" w:rsidP="00F15A82">
            <w:pPr>
              <w:pStyle w:val="TableTextRight"/>
              <w:cnfStyle w:val="000000100000" w:firstRow="0" w:lastRow="0" w:firstColumn="0" w:lastColumn="0" w:oddVBand="0" w:evenVBand="0" w:oddHBand="1" w:evenHBand="0" w:firstRowFirstColumn="0" w:firstRowLastColumn="0" w:lastRowFirstColumn="0" w:lastRowLastColumn="0"/>
              <w:rPr>
                <w:i w:val="0"/>
                <w:noProof/>
              </w:rPr>
            </w:pPr>
            <w:r w:rsidRPr="00E142E3">
              <w:rPr>
                <w:i w:val="0"/>
                <w:noProof/>
              </w:rPr>
              <w:t xml:space="preserve"> </w:t>
            </w:r>
            <w:r>
              <w:rPr>
                <w:i w:val="0"/>
                <w:noProof/>
              </w:rPr>
              <w:t>-</w:t>
            </w:r>
          </w:p>
        </w:tc>
        <w:tc>
          <w:tcPr>
            <w:tcW w:w="682" w:type="pct"/>
            <w:tcBorders>
              <w:top w:val="single" w:sz="4" w:space="0" w:color="788184"/>
              <w:left w:val="single" w:sz="4" w:space="0" w:color="788184"/>
              <w:bottom w:val="single" w:sz="4" w:space="0" w:color="788184"/>
              <w:right w:val="single" w:sz="4" w:space="0" w:color="788184"/>
            </w:tcBorders>
            <w:vAlign w:val="bottom"/>
          </w:tcPr>
          <w:p w:rsidR="006D1A82" w:rsidRPr="0084439F" w:rsidRDefault="006D1A82" w:rsidP="00F15A82">
            <w:pPr>
              <w:pStyle w:val="TableTextRight"/>
              <w:cnfStyle w:val="000000100000" w:firstRow="0" w:lastRow="0" w:firstColumn="0" w:lastColumn="0" w:oddVBand="0" w:evenVBand="0" w:oddHBand="1" w:evenHBand="0" w:firstRowFirstColumn="0" w:firstRowLastColumn="0" w:lastRowFirstColumn="0" w:lastRowLastColumn="0"/>
              <w:rPr>
                <w:i w:val="0"/>
                <w:noProof/>
              </w:rPr>
            </w:pPr>
            <w:r w:rsidRPr="0084439F">
              <w:rPr>
                <w:i w:val="0"/>
                <w:noProof/>
              </w:rPr>
              <w:t xml:space="preserve"> -</w:t>
            </w:r>
          </w:p>
        </w:tc>
        <w:tc>
          <w:tcPr>
            <w:tcW w:w="682" w:type="pct"/>
            <w:tcBorders>
              <w:top w:val="single" w:sz="4" w:space="0" w:color="788184"/>
              <w:left w:val="single" w:sz="4" w:space="0" w:color="788184"/>
              <w:bottom w:val="single" w:sz="4" w:space="0" w:color="788184"/>
              <w:right w:val="single" w:sz="4" w:space="0" w:color="788184"/>
            </w:tcBorders>
            <w:vAlign w:val="bottom"/>
          </w:tcPr>
          <w:p w:rsidR="006D1A82" w:rsidRPr="002B530C" w:rsidRDefault="006D1A82" w:rsidP="00F15A82">
            <w:pPr>
              <w:pStyle w:val="TableTextRight"/>
              <w:cnfStyle w:val="000000100000" w:firstRow="0" w:lastRow="0" w:firstColumn="0" w:lastColumn="0" w:oddVBand="0" w:evenVBand="0" w:oddHBand="1" w:evenHBand="0" w:firstRowFirstColumn="0" w:firstRowLastColumn="0" w:lastRowFirstColumn="0" w:lastRowLastColumn="0"/>
              <w:rPr>
                <w:b/>
                <w:noProof/>
              </w:rPr>
            </w:pPr>
            <w:r w:rsidRPr="002B530C">
              <w:rPr>
                <w:b/>
                <w:noProof/>
              </w:rPr>
              <w:t xml:space="preserve"> -</w:t>
            </w:r>
            <w:r w:rsidR="00A67378" w:rsidRPr="002B530C">
              <w:rPr>
                <w:b/>
                <w:noProof/>
              </w:rPr>
              <w:t>0.2</w:t>
            </w:r>
          </w:p>
        </w:tc>
      </w:tr>
      <w:tr w:rsidR="006D1A82" w:rsidRPr="0055406D" w:rsidTr="009260E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6D1A82" w:rsidRPr="0055406D" w:rsidRDefault="006D1A82" w:rsidP="00F15A82">
            <w:pPr>
              <w:pStyle w:val="TableTextCentred"/>
              <w:keepNext/>
              <w:keepLines/>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top"/>
          </w:tcPr>
          <w:p w:rsidR="006D1A82" w:rsidRPr="002B530C" w:rsidRDefault="006D1A82" w:rsidP="006D1A82">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2B530C">
              <w:rPr>
                <w:b/>
                <w:i w:val="0"/>
                <w:noProof/>
              </w:rPr>
              <w:t>-10.1</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top"/>
          </w:tcPr>
          <w:p w:rsidR="006D1A82" w:rsidRPr="002B530C" w:rsidRDefault="006D1A82" w:rsidP="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2B530C">
              <w:rPr>
                <w:b/>
                <w:i w:val="0"/>
                <w:noProof/>
              </w:rPr>
              <w:t>-10.</w:t>
            </w:r>
            <w:r w:rsidR="001447B7" w:rsidRPr="002B530C">
              <w:rPr>
                <w:b/>
                <w:i w:val="0"/>
                <w:noProof/>
              </w:rPr>
              <w:t>3</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6D1A82" w:rsidRPr="002B530C" w:rsidRDefault="006D1A82" w:rsidP="00F15A82">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2B530C">
              <w:rPr>
                <w:b/>
                <w:i w:val="0"/>
                <w:noProof/>
              </w:rPr>
              <w:t xml:space="preserve">-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6D1A82" w:rsidRPr="002B530C" w:rsidRDefault="006D1A82" w:rsidP="00F15A82">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2B530C">
              <w:rPr>
                <w:b/>
                <w:i w:val="0"/>
                <w:noProof/>
              </w:rPr>
              <w:t xml:space="preserve">-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6D1A82" w:rsidRPr="002B530C" w:rsidRDefault="006D1A82" w:rsidP="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2B530C">
              <w:rPr>
                <w:b/>
                <w:i w:val="0"/>
                <w:noProof/>
              </w:rPr>
              <w:t>-</w:t>
            </w:r>
            <w:r w:rsidR="00A67378" w:rsidRPr="002B530C">
              <w:rPr>
                <w:b/>
                <w:i w:val="0"/>
                <w:noProof/>
              </w:rPr>
              <w:t>20.</w:t>
            </w:r>
            <w:r w:rsidR="001447B7" w:rsidRPr="002B530C">
              <w:rPr>
                <w:b/>
                <w:i w:val="0"/>
                <w:noProof/>
              </w:rPr>
              <w:t>4</w:t>
            </w:r>
            <w:r w:rsidRPr="002B530C">
              <w:rPr>
                <w:b/>
                <w:i w:val="0"/>
                <w:noProof/>
              </w:rPr>
              <w:t xml:space="preserve"> </w:t>
            </w:r>
          </w:p>
        </w:tc>
      </w:tr>
    </w:tbl>
    <w:p w:rsidR="00F21448" w:rsidRPr="00F21448" w:rsidRDefault="00F21448" w:rsidP="00F21448">
      <w:pPr>
        <w:pStyle w:val="Footnotes"/>
        <w:numPr>
          <w:ilvl w:val="0"/>
          <w:numId w:val="29"/>
        </w:numPr>
        <w:ind w:left="284" w:hanging="284"/>
        <w:rPr>
          <w:rFonts w:ascii="Calibri" w:hAnsi="Calibri"/>
        </w:rPr>
      </w:pPr>
      <w:r w:rsidRPr="00F21448">
        <w:t>A positive number indicates an increase in revenue or decrease in expenses or net capital investment in accrual and cash terms. A negative number indicates a decrease in revenue or an increase in expenses or net capital investment in accrual</w:t>
      </w:r>
      <w:r>
        <w:t xml:space="preserve"> and cash terms.</w:t>
      </w:r>
    </w:p>
    <w:p w:rsidR="0055185F" w:rsidRDefault="0055185F" w:rsidP="0055185F">
      <w:pPr>
        <w:pStyle w:val="Footnotes"/>
      </w:pPr>
      <w:r>
        <w:t>Figures may not sum to totals due to rounding.</w:t>
      </w:r>
    </w:p>
    <w:p w:rsidR="0055185F" w:rsidRPr="00CA5D42" w:rsidRDefault="0055185F" w:rsidP="0055185F">
      <w:pPr>
        <w:pStyle w:val="Footnotes"/>
        <w:numPr>
          <w:ilvl w:val="0"/>
          <w:numId w:val="0"/>
        </w:numPr>
        <w:ind w:left="284" w:hanging="284"/>
      </w:pPr>
      <w:r>
        <w:t>-</w:t>
      </w:r>
      <w:r>
        <w:tab/>
        <w:t>Indicates nil.</w:t>
      </w:r>
    </w:p>
    <w:p w:rsidR="008711F1" w:rsidRPr="005142F5" w:rsidRDefault="008711F1" w:rsidP="008711F1">
      <w:pPr>
        <w:pStyle w:val="Captionheading"/>
        <w:rPr>
          <w:vertAlign w:val="superscript"/>
        </w:rPr>
      </w:pPr>
      <w:r w:rsidRPr="00FC6579">
        <w:lastRenderedPageBreak/>
        <w:t xml:space="preserve">Table </w:t>
      </w:r>
      <w:r>
        <w:t>A5</w:t>
      </w:r>
      <w:r w:rsidR="005142F5">
        <w:t xml:space="preserve">: </w:t>
      </w:r>
      <w:r>
        <w:t xml:space="preserve">Component 4: </w:t>
      </w:r>
      <w:r w:rsidR="006D1A82" w:rsidRPr="006D1A82">
        <w:t>Making our family law system safe</w:t>
      </w:r>
      <w:r w:rsidR="005142F5">
        <w:t>—Financial implications (outturn prices</w:t>
      </w:r>
      <w:proofErr w:type="gramStart"/>
      <w:r w:rsidR="005142F5">
        <w:t>)</w:t>
      </w:r>
      <w:r w:rsidR="005142F5">
        <w:rPr>
          <w:vertAlign w:val="superscript"/>
        </w:rPr>
        <w:t>(</w:t>
      </w:r>
      <w:proofErr w:type="gramEnd"/>
      <w:r w:rsidR="005142F5">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6D1A82" w:rsidRPr="00EF1D6A" w:rsidTr="00F15A82">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6D1A82" w:rsidRPr="00EF1D6A" w:rsidRDefault="006D1A82">
            <w:pPr>
              <w:pStyle w:val="TableText"/>
              <w:keepNext/>
              <w:keepLines/>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6D1A82" w:rsidRPr="00C24267" w:rsidRDefault="006D1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6D1A82" w:rsidRPr="00C24267" w:rsidRDefault="006D1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6D1A82" w:rsidRPr="00C24267" w:rsidRDefault="006D1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6D1A82" w:rsidRPr="00C24267" w:rsidRDefault="006D1A82">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6D1A82" w:rsidRPr="00521B60" w:rsidRDefault="006D1A82">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521B60">
              <w:rPr>
                <w:b/>
              </w:rPr>
              <w:t>Total</w:t>
            </w:r>
            <w:r w:rsidRPr="00521B60">
              <w:rPr>
                <w:b/>
                <w:szCs w:val="20"/>
              </w:rPr>
              <w:t xml:space="preserve"> to 2019–20</w:t>
            </w:r>
          </w:p>
        </w:tc>
      </w:tr>
      <w:tr w:rsidR="006D1A82" w:rsidRPr="00EF1D6A" w:rsidTr="00E762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6D1A82" w:rsidRPr="00521B60" w:rsidRDefault="006D1A82">
            <w:pPr>
              <w:pStyle w:val="TableHeadingCentred"/>
              <w:jc w:val="left"/>
              <w:rPr>
                <w:b/>
              </w:rPr>
            </w:pPr>
            <w:r w:rsidRPr="00796A42">
              <w:rPr>
                <w:b/>
              </w:rPr>
              <w:t>Impact on fiscal and underlying cash balances</w:t>
            </w:r>
          </w:p>
        </w:tc>
      </w:tr>
      <w:tr w:rsidR="006D1A82" w:rsidRPr="00EF1D6A" w:rsidTr="00F15A82">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6D1A82" w:rsidRPr="00521B60" w:rsidRDefault="006D1A82">
            <w:pPr>
              <w:pStyle w:val="TableHeadingCentred"/>
              <w:jc w:val="left"/>
              <w:rPr>
                <w:b/>
              </w:rPr>
            </w:pPr>
            <w:r w:rsidRPr="00521B60">
              <w:rPr>
                <w:b/>
              </w:rPr>
              <w:t>Administered</w:t>
            </w:r>
          </w:p>
        </w:tc>
      </w:tr>
      <w:tr w:rsidR="001447B7" w:rsidRPr="00864FFC" w:rsidTr="00E762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1447B7" w:rsidRPr="00864FFC" w:rsidRDefault="001447B7">
            <w:pPr>
              <w:pStyle w:val="TableTextCentred"/>
              <w:keepNext/>
              <w:keepLines/>
              <w:jc w:val="left"/>
              <w:rPr>
                <w:szCs w:val="20"/>
              </w:rPr>
            </w:pPr>
            <w:r>
              <w:t>Create special processes in family courts for domestic violence cases</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100000" w:firstRow="0" w:lastRow="0" w:firstColumn="0" w:lastColumn="0" w:oddVBand="0" w:evenVBand="0" w:oddHBand="1" w:evenHBand="0" w:firstRowFirstColumn="0" w:firstRowLastColumn="0" w:lastRowFirstColumn="0" w:lastRowLastColumn="0"/>
              <w:rPr>
                <w:noProof/>
              </w:rPr>
            </w:pPr>
            <w:r w:rsidRPr="00E762A4">
              <w:rPr>
                <w:noProof/>
              </w:rPr>
              <w:t xml:space="preserve">-5.0 </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100000" w:firstRow="0" w:lastRow="0" w:firstColumn="0" w:lastColumn="0" w:oddVBand="0" w:evenVBand="0" w:oddHBand="1" w:evenHBand="0" w:firstRowFirstColumn="0" w:firstRowLastColumn="0" w:lastRowFirstColumn="0" w:lastRowLastColumn="0"/>
              <w:rPr>
                <w:noProof/>
              </w:rPr>
            </w:pPr>
            <w:r w:rsidRPr="00E762A4">
              <w:rPr>
                <w:noProof/>
              </w:rPr>
              <w:t xml:space="preserve">-5.1 </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100000" w:firstRow="0" w:lastRow="0" w:firstColumn="0" w:lastColumn="0" w:oddVBand="0" w:evenVBand="0" w:oddHBand="1" w:evenHBand="0" w:firstRowFirstColumn="0" w:firstRowLastColumn="0" w:lastRowFirstColumn="0" w:lastRowLastColumn="0"/>
              <w:rPr>
                <w:noProof/>
              </w:rPr>
            </w:pPr>
            <w:r w:rsidRPr="00E762A4">
              <w:rPr>
                <w:noProof/>
              </w:rPr>
              <w:t xml:space="preserve">-5.2 </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100000" w:firstRow="0" w:lastRow="0" w:firstColumn="0" w:lastColumn="0" w:oddVBand="0" w:evenVBand="0" w:oddHBand="1" w:evenHBand="0" w:firstRowFirstColumn="0" w:firstRowLastColumn="0" w:lastRowFirstColumn="0" w:lastRowLastColumn="0"/>
              <w:rPr>
                <w:noProof/>
              </w:rPr>
            </w:pPr>
            <w:r w:rsidRPr="00E762A4">
              <w:rPr>
                <w:noProof/>
              </w:rPr>
              <w:t xml:space="preserve">-5.4 </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100000" w:firstRow="0" w:lastRow="0" w:firstColumn="0" w:lastColumn="0" w:oddVBand="0" w:evenVBand="0" w:oddHBand="1" w:evenHBand="0" w:firstRowFirstColumn="0" w:firstRowLastColumn="0" w:lastRowFirstColumn="0" w:lastRowLastColumn="0"/>
              <w:rPr>
                <w:b/>
                <w:noProof/>
              </w:rPr>
            </w:pPr>
            <w:r w:rsidRPr="00E762A4">
              <w:rPr>
                <w:b/>
                <w:noProof/>
              </w:rPr>
              <w:t xml:space="preserve">-20.7 </w:t>
            </w:r>
          </w:p>
        </w:tc>
      </w:tr>
      <w:tr w:rsidR="001447B7" w:rsidRPr="00864FFC" w:rsidTr="00E762A4">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1447B7" w:rsidRPr="00864FFC" w:rsidRDefault="001447B7">
            <w:pPr>
              <w:pStyle w:val="TableTextCentred"/>
              <w:keepNext/>
              <w:keepLines/>
              <w:jc w:val="left"/>
              <w:rPr>
                <w:szCs w:val="20"/>
              </w:rPr>
            </w:pPr>
            <w:r>
              <w:t>Provide legally assisted and supported family dispute resolution</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000000" w:firstRow="0" w:lastRow="0" w:firstColumn="0" w:lastColumn="0" w:oddVBand="0" w:evenVBand="0" w:oddHBand="0" w:evenHBand="0" w:firstRowFirstColumn="0" w:firstRowLastColumn="0" w:lastRowFirstColumn="0" w:lastRowLastColumn="0"/>
              <w:rPr>
                <w:noProof/>
              </w:rPr>
            </w:pPr>
            <w:r w:rsidRPr="00E762A4">
              <w:rPr>
                <w:noProof/>
              </w:rPr>
              <w:t xml:space="preserve">-10.0 </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000000" w:firstRow="0" w:lastRow="0" w:firstColumn="0" w:lastColumn="0" w:oddVBand="0" w:evenVBand="0" w:oddHBand="0" w:evenHBand="0" w:firstRowFirstColumn="0" w:firstRowLastColumn="0" w:lastRowFirstColumn="0" w:lastRowLastColumn="0"/>
              <w:rPr>
                <w:noProof/>
              </w:rPr>
            </w:pPr>
            <w:r w:rsidRPr="00E762A4">
              <w:rPr>
                <w:noProof/>
              </w:rPr>
              <w:t xml:space="preserve">-10.2 </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000000" w:firstRow="0" w:lastRow="0" w:firstColumn="0" w:lastColumn="0" w:oddVBand="0" w:evenVBand="0" w:oddHBand="0" w:evenHBand="0" w:firstRowFirstColumn="0" w:firstRowLastColumn="0" w:lastRowFirstColumn="0" w:lastRowLastColumn="0"/>
              <w:rPr>
                <w:noProof/>
              </w:rPr>
            </w:pPr>
            <w:r w:rsidRPr="00E762A4">
              <w:rPr>
                <w:noProof/>
              </w:rPr>
              <w:t xml:space="preserve">-10.5 </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000000" w:firstRow="0" w:lastRow="0" w:firstColumn="0" w:lastColumn="0" w:oddVBand="0" w:evenVBand="0" w:oddHBand="0" w:evenHBand="0" w:firstRowFirstColumn="0" w:firstRowLastColumn="0" w:lastRowFirstColumn="0" w:lastRowLastColumn="0"/>
              <w:rPr>
                <w:noProof/>
              </w:rPr>
            </w:pPr>
            <w:r w:rsidRPr="00E762A4">
              <w:rPr>
                <w:noProof/>
              </w:rPr>
              <w:t xml:space="preserve">-10.7 </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1447B7">
            <w:pPr>
              <w:pStyle w:val="TableTextRight"/>
              <w:cnfStyle w:val="000000000000" w:firstRow="0" w:lastRow="0" w:firstColumn="0" w:lastColumn="0" w:oddVBand="0" w:evenVBand="0" w:oddHBand="0" w:evenHBand="0" w:firstRowFirstColumn="0" w:firstRowLastColumn="0" w:lastRowFirstColumn="0" w:lastRowLastColumn="0"/>
              <w:rPr>
                <w:b/>
                <w:noProof/>
              </w:rPr>
            </w:pPr>
            <w:r w:rsidRPr="00E762A4">
              <w:rPr>
                <w:b/>
                <w:noProof/>
              </w:rPr>
              <w:t xml:space="preserve">-41.4 </w:t>
            </w:r>
          </w:p>
        </w:tc>
      </w:tr>
      <w:tr w:rsidR="004175BC" w:rsidRPr="0066665A" w:rsidTr="00307E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E9ECF3"/>
          </w:tcPr>
          <w:p w:rsidR="004175BC" w:rsidRPr="007038FF" w:rsidRDefault="004175BC">
            <w:pPr>
              <w:pStyle w:val="TableTextCentred"/>
              <w:keepNext/>
              <w:keepLines/>
              <w:jc w:val="left"/>
              <w:rPr>
                <w:b/>
                <w:szCs w:val="20"/>
              </w:rPr>
            </w:pPr>
            <w:r>
              <w:rPr>
                <w:b/>
                <w:szCs w:val="20"/>
              </w:rPr>
              <w:t>Total - administered</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-15.0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-15.</w:t>
            </w:r>
            <w:r w:rsidR="001447B7">
              <w:rPr>
                <w:b/>
                <w:i w:val="0"/>
                <w:noProof/>
              </w:rPr>
              <w:t>3</w:t>
            </w:r>
            <w:r w:rsidRPr="00AD45CF">
              <w:rPr>
                <w:b/>
                <w:i w:val="0"/>
                <w:noProof/>
              </w:rPr>
              <w:t xml:space="preserve">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-15.</w:t>
            </w:r>
            <w:r w:rsidR="001447B7">
              <w:rPr>
                <w:b/>
                <w:i w:val="0"/>
                <w:noProof/>
              </w:rPr>
              <w:t>7</w:t>
            </w:r>
            <w:r w:rsidRPr="00AD45CF">
              <w:rPr>
                <w:b/>
                <w:i w:val="0"/>
                <w:noProof/>
              </w:rPr>
              <w:t xml:space="preserve">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-1</w:t>
            </w:r>
            <w:r w:rsidR="001447B7">
              <w:rPr>
                <w:b/>
                <w:i w:val="0"/>
                <w:noProof/>
              </w:rPr>
              <w:t>6.1</w:t>
            </w:r>
            <w:r w:rsidRPr="00AD45CF">
              <w:rPr>
                <w:b/>
                <w:i w:val="0"/>
                <w:noProof/>
              </w:rPr>
              <w:t xml:space="preserve">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1447B7">
            <w:pPr>
              <w:pStyle w:val="TableTextRight"/>
              <w:cnfStyle w:val="000000100000" w:firstRow="0" w:lastRow="0" w:firstColumn="0" w:lastColumn="0" w:oddVBand="0" w:evenVBand="0" w:oddHBand="1" w:evenHBand="0" w:firstRowFirstColumn="0" w:firstRowLastColumn="0" w:lastRowFirstColumn="0" w:lastRowLastColumn="0"/>
              <w:rPr>
                <w:b/>
                <w:i w:val="0"/>
                <w:noProof/>
              </w:rPr>
            </w:pPr>
            <w:r>
              <w:rPr>
                <w:b/>
                <w:i w:val="0"/>
                <w:noProof/>
              </w:rPr>
              <w:t>-62.1</w:t>
            </w:r>
            <w:r w:rsidR="004175BC" w:rsidRPr="00AD45CF">
              <w:rPr>
                <w:b/>
                <w:i w:val="0"/>
                <w:noProof/>
              </w:rPr>
              <w:t xml:space="preserve"> </w:t>
            </w:r>
          </w:p>
        </w:tc>
      </w:tr>
      <w:tr w:rsidR="006D1A82" w:rsidRPr="0066665A" w:rsidTr="00F15A82">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6D1A82" w:rsidRPr="001447B7" w:rsidRDefault="006D1A82">
            <w:pPr>
              <w:pStyle w:val="TableTextRight"/>
              <w:jc w:val="left"/>
              <w:rPr>
                <w:b/>
                <w:i w:val="0"/>
                <w:noProof/>
              </w:rPr>
            </w:pPr>
            <w:r w:rsidRPr="001447B7">
              <w:rPr>
                <w:b/>
                <w:i w:val="0"/>
                <w:noProof/>
              </w:rPr>
              <w:t>Departmental</w:t>
            </w:r>
          </w:p>
        </w:tc>
      </w:tr>
      <w:tr w:rsidR="004175BC" w:rsidRPr="00864FFC" w:rsidTr="00E762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175BC" w:rsidRPr="00864FFC" w:rsidRDefault="004175BC">
            <w:pPr>
              <w:pStyle w:val="TableTextCentred"/>
              <w:keepNext/>
              <w:keepLines/>
              <w:jc w:val="left"/>
              <w:rPr>
                <w:szCs w:val="20"/>
              </w:rPr>
            </w:pPr>
            <w:r>
              <w:t>Create special processes in family courts for domestic violence cases</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100000" w:firstRow="0" w:lastRow="0" w:firstColumn="0" w:lastColumn="0" w:oddVBand="0" w:evenVBand="0" w:oddHBand="1" w:evenHBand="0" w:firstRowFirstColumn="0" w:firstRowLastColumn="0" w:lastRowFirstColumn="0" w:lastRowLastColumn="0"/>
              <w:rPr>
                <w:noProof/>
              </w:rPr>
            </w:pPr>
            <w:r w:rsidRPr="00E762A4">
              <w:rPr>
                <w:noProof/>
              </w:rPr>
              <w:t>-0.1</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100000" w:firstRow="0" w:lastRow="0" w:firstColumn="0" w:lastColumn="0" w:oddVBand="0" w:evenVBand="0" w:oddHBand="1" w:evenHBand="0" w:firstRowFirstColumn="0" w:firstRowLastColumn="0" w:lastRowFirstColumn="0" w:lastRowLastColumn="0"/>
              <w:rPr>
                <w:noProof/>
              </w:rPr>
            </w:pPr>
            <w:r w:rsidRPr="00E762A4">
              <w:rPr>
                <w:noProof/>
              </w:rPr>
              <w:t>-0.1</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100000" w:firstRow="0" w:lastRow="0" w:firstColumn="0" w:lastColumn="0" w:oddVBand="0" w:evenVBand="0" w:oddHBand="1" w:evenHBand="0" w:firstRowFirstColumn="0" w:firstRowLastColumn="0" w:lastRowFirstColumn="0" w:lastRowLastColumn="0"/>
              <w:rPr>
                <w:noProof/>
              </w:rPr>
            </w:pPr>
            <w:r w:rsidRPr="00E762A4">
              <w:rPr>
                <w:noProof/>
              </w:rPr>
              <w:t>-0.1</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100000" w:firstRow="0" w:lastRow="0" w:firstColumn="0" w:lastColumn="0" w:oddVBand="0" w:evenVBand="0" w:oddHBand="1" w:evenHBand="0" w:firstRowFirstColumn="0" w:firstRowLastColumn="0" w:lastRowFirstColumn="0" w:lastRowLastColumn="0"/>
              <w:rPr>
                <w:noProof/>
              </w:rPr>
            </w:pPr>
            <w:r w:rsidRPr="00E762A4">
              <w:rPr>
                <w:noProof/>
              </w:rPr>
              <w:t>-0.1</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100000" w:firstRow="0" w:lastRow="0" w:firstColumn="0" w:lastColumn="0" w:oddVBand="0" w:evenVBand="0" w:oddHBand="1" w:evenHBand="0" w:firstRowFirstColumn="0" w:firstRowLastColumn="0" w:lastRowFirstColumn="0" w:lastRowLastColumn="0"/>
              <w:rPr>
                <w:b/>
                <w:noProof/>
              </w:rPr>
            </w:pPr>
            <w:r w:rsidRPr="00E762A4">
              <w:rPr>
                <w:b/>
                <w:noProof/>
              </w:rPr>
              <w:t>-0.</w:t>
            </w:r>
            <w:r w:rsidR="001447B7" w:rsidRPr="00E762A4">
              <w:rPr>
                <w:b/>
                <w:noProof/>
              </w:rPr>
              <w:t>4</w:t>
            </w:r>
            <w:r w:rsidRPr="00E762A4">
              <w:rPr>
                <w:b/>
                <w:noProof/>
              </w:rPr>
              <w:t xml:space="preserve"> </w:t>
            </w:r>
          </w:p>
        </w:tc>
      </w:tr>
      <w:tr w:rsidR="004175BC" w:rsidRPr="00864FFC" w:rsidTr="00E762A4">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175BC" w:rsidRPr="00864FFC" w:rsidRDefault="004175BC">
            <w:pPr>
              <w:pStyle w:val="TableTextCentred"/>
              <w:keepNext/>
              <w:keepLines/>
              <w:jc w:val="left"/>
              <w:rPr>
                <w:szCs w:val="20"/>
              </w:rPr>
            </w:pPr>
            <w:r>
              <w:t>Provide legally assisted and supported family dispute resolution</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000000" w:firstRow="0" w:lastRow="0" w:firstColumn="0" w:lastColumn="0" w:oddVBand="0" w:evenVBand="0" w:oddHBand="0" w:evenHBand="0" w:firstRowFirstColumn="0" w:firstRowLastColumn="0" w:lastRowFirstColumn="0" w:lastRowLastColumn="0"/>
              <w:rPr>
                <w:noProof/>
              </w:rPr>
            </w:pPr>
            <w:r w:rsidRPr="00E762A4">
              <w:rPr>
                <w:noProof/>
              </w:rPr>
              <w:t>-0.1</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000000" w:firstRow="0" w:lastRow="0" w:firstColumn="0" w:lastColumn="0" w:oddVBand="0" w:evenVBand="0" w:oddHBand="0" w:evenHBand="0" w:firstRowFirstColumn="0" w:firstRowLastColumn="0" w:lastRowFirstColumn="0" w:lastRowLastColumn="0"/>
              <w:rPr>
                <w:noProof/>
              </w:rPr>
            </w:pPr>
            <w:r w:rsidRPr="00E762A4">
              <w:rPr>
                <w:noProof/>
              </w:rPr>
              <w:t>-0.1</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000000" w:firstRow="0" w:lastRow="0" w:firstColumn="0" w:lastColumn="0" w:oddVBand="0" w:evenVBand="0" w:oddHBand="0" w:evenHBand="0" w:firstRowFirstColumn="0" w:firstRowLastColumn="0" w:lastRowFirstColumn="0" w:lastRowLastColumn="0"/>
              <w:rPr>
                <w:noProof/>
              </w:rPr>
            </w:pPr>
            <w:r w:rsidRPr="00E762A4">
              <w:rPr>
                <w:noProof/>
              </w:rPr>
              <w:t>-0.1</w:t>
            </w:r>
          </w:p>
        </w:tc>
        <w:tc>
          <w:tcPr>
            <w:tcW w:w="682" w:type="pct"/>
            <w:tcBorders>
              <w:top w:val="single" w:sz="4" w:space="0" w:color="788184"/>
              <w:left w:val="single" w:sz="4" w:space="0" w:color="788184"/>
              <w:bottom w:val="single" w:sz="4" w:space="0" w:color="788184"/>
              <w:right w:val="single" w:sz="4" w:space="0" w:color="788184"/>
            </w:tcBorders>
          </w:tcPr>
          <w:p w:rsidR="004175BC" w:rsidRPr="00E762A4" w:rsidRDefault="004175BC">
            <w:pPr>
              <w:pStyle w:val="TableTextRight"/>
              <w:cnfStyle w:val="000000000000" w:firstRow="0" w:lastRow="0" w:firstColumn="0" w:lastColumn="0" w:oddVBand="0" w:evenVBand="0" w:oddHBand="0" w:evenHBand="0" w:firstRowFirstColumn="0" w:firstRowLastColumn="0" w:lastRowFirstColumn="0" w:lastRowLastColumn="0"/>
              <w:rPr>
                <w:noProof/>
              </w:rPr>
            </w:pPr>
            <w:r w:rsidRPr="00E762A4">
              <w:rPr>
                <w:noProof/>
              </w:rPr>
              <w:t>-0.1</w:t>
            </w:r>
          </w:p>
        </w:tc>
        <w:tc>
          <w:tcPr>
            <w:tcW w:w="682" w:type="pct"/>
            <w:tcBorders>
              <w:top w:val="single" w:sz="4" w:space="0" w:color="788184"/>
              <w:left w:val="single" w:sz="4" w:space="0" w:color="788184"/>
              <w:bottom w:val="single" w:sz="4" w:space="0" w:color="788184"/>
              <w:right w:val="single" w:sz="4" w:space="0" w:color="788184"/>
            </w:tcBorders>
          </w:tcPr>
          <w:p w:rsidR="001447B7" w:rsidRPr="00E762A4" w:rsidRDefault="004175BC">
            <w:pPr>
              <w:pStyle w:val="TableTextRight"/>
              <w:cnfStyle w:val="000000000000" w:firstRow="0" w:lastRow="0" w:firstColumn="0" w:lastColumn="0" w:oddVBand="0" w:evenVBand="0" w:oddHBand="0" w:evenHBand="0" w:firstRowFirstColumn="0" w:firstRowLastColumn="0" w:lastRowFirstColumn="0" w:lastRowLastColumn="0"/>
              <w:rPr>
                <w:b/>
                <w:noProof/>
              </w:rPr>
            </w:pPr>
            <w:r w:rsidRPr="00E762A4">
              <w:rPr>
                <w:b/>
                <w:noProof/>
              </w:rPr>
              <w:t>-0.</w:t>
            </w:r>
            <w:r w:rsidR="001447B7" w:rsidRPr="00E762A4">
              <w:rPr>
                <w:b/>
                <w:noProof/>
              </w:rPr>
              <w:t>4</w:t>
            </w:r>
          </w:p>
        </w:tc>
      </w:tr>
      <w:tr w:rsidR="004175BC" w:rsidRPr="0066665A" w:rsidTr="00F15A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E9ECF3"/>
          </w:tcPr>
          <w:p w:rsidR="004175BC" w:rsidRPr="007038FF" w:rsidRDefault="004175BC">
            <w:pPr>
              <w:pStyle w:val="TableTextCentred"/>
              <w:keepNext/>
              <w:keepLines/>
              <w:jc w:val="left"/>
              <w:rPr>
                <w:b/>
              </w:rPr>
            </w:pPr>
            <w:r>
              <w:rPr>
                <w:b/>
              </w:rPr>
              <w:t>Total - departmental</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-0.2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-0.2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-0.2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-0.2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4175BC" w:rsidRPr="00AD45CF" w:rsidRDefault="004175BC">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-0.9 </w:t>
            </w:r>
          </w:p>
        </w:tc>
      </w:tr>
      <w:tr w:rsidR="001447B7" w:rsidRPr="0055406D" w:rsidTr="00F15A82">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1447B7" w:rsidRPr="0055406D" w:rsidRDefault="001447B7">
            <w:pPr>
              <w:pStyle w:val="TableTextCentred"/>
              <w:keepNext/>
              <w:keepLines/>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-15.2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-15.5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-15.9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-16.3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-62.9 </w:t>
            </w:r>
          </w:p>
        </w:tc>
      </w:tr>
    </w:tbl>
    <w:p w:rsidR="00F21448" w:rsidRPr="00F21448" w:rsidRDefault="00F21448" w:rsidP="00F21448">
      <w:pPr>
        <w:pStyle w:val="Footnotes"/>
        <w:numPr>
          <w:ilvl w:val="0"/>
          <w:numId w:val="30"/>
        </w:numPr>
        <w:ind w:left="284" w:hanging="284"/>
        <w:rPr>
          <w:rFonts w:ascii="Calibri" w:hAnsi="Calibri"/>
        </w:rPr>
      </w:pPr>
      <w:r w:rsidRPr="00F21448">
        <w:t>A positive number indicates an increase in revenue or decrease in expenses or net capital investment in accrual and cash terms. A negative number indicates a decrease in revenue or an increase in expenses or net capital investment in accrual</w:t>
      </w:r>
      <w:r>
        <w:t xml:space="preserve"> and cash terms.</w:t>
      </w:r>
    </w:p>
    <w:p w:rsidR="008711F1" w:rsidRDefault="008711F1" w:rsidP="008711F1">
      <w:pPr>
        <w:pStyle w:val="Footnotes"/>
      </w:pPr>
      <w:r>
        <w:t>Figures may not sum to totals due to rounding.</w:t>
      </w:r>
    </w:p>
    <w:p w:rsidR="008711F1" w:rsidRPr="00CA5D42" w:rsidRDefault="008711F1" w:rsidP="008711F1">
      <w:pPr>
        <w:pStyle w:val="Footnotes"/>
        <w:numPr>
          <w:ilvl w:val="0"/>
          <w:numId w:val="0"/>
        </w:numPr>
        <w:ind w:left="284" w:hanging="284"/>
      </w:pPr>
      <w:r>
        <w:t>-</w:t>
      </w:r>
      <w:r>
        <w:tab/>
        <w:t>Indicates nil.</w:t>
      </w:r>
    </w:p>
    <w:p w:rsidR="00DA3B55" w:rsidRPr="005142F5" w:rsidRDefault="00F21865" w:rsidP="004662A2">
      <w:pPr>
        <w:pStyle w:val="Captionheading"/>
        <w:rPr>
          <w:vertAlign w:val="superscript"/>
        </w:rPr>
      </w:pPr>
      <w:r>
        <w:lastRenderedPageBreak/>
        <w:t xml:space="preserve">Table </w:t>
      </w:r>
      <w:r w:rsidR="00216DCA">
        <w:t>A6</w:t>
      </w:r>
      <w:r w:rsidR="005142F5">
        <w:t xml:space="preserve">: </w:t>
      </w:r>
      <w:r w:rsidR="00216DCA">
        <w:t>Component 5: Primary prevention and gender equality</w:t>
      </w:r>
      <w:r w:rsidR="005142F5">
        <w:t>—Financial implications (outturn prices</w:t>
      </w:r>
      <w:proofErr w:type="gramStart"/>
      <w:r w:rsidR="005142F5">
        <w:t>)</w:t>
      </w:r>
      <w:r w:rsidR="005142F5">
        <w:rPr>
          <w:vertAlign w:val="superscript"/>
        </w:rPr>
        <w:t>(</w:t>
      </w:r>
      <w:proofErr w:type="gramEnd"/>
      <w:r w:rsidR="005142F5">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5142F5" w:rsidRPr="00EF1D6A" w:rsidTr="00F15A82">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142F5" w:rsidRPr="00EF1D6A" w:rsidRDefault="005142F5">
            <w:pPr>
              <w:pStyle w:val="TableText"/>
              <w:keepNext/>
              <w:keepLines/>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C24267" w:rsidRDefault="005142F5">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142F5" w:rsidRPr="00521B60" w:rsidRDefault="005142F5">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521B60">
              <w:rPr>
                <w:b/>
              </w:rPr>
              <w:t>Total</w:t>
            </w:r>
            <w:r w:rsidRPr="00521B60">
              <w:rPr>
                <w:b/>
                <w:szCs w:val="20"/>
              </w:rPr>
              <w:t xml:space="preserve"> to 2019–20</w:t>
            </w:r>
          </w:p>
        </w:tc>
      </w:tr>
      <w:tr w:rsidR="005142F5" w:rsidRPr="00EF1D6A" w:rsidTr="00E762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5142F5" w:rsidRPr="00521B60" w:rsidRDefault="005142F5">
            <w:pPr>
              <w:pStyle w:val="TableHeadingCentred"/>
              <w:jc w:val="left"/>
              <w:rPr>
                <w:b/>
              </w:rPr>
            </w:pPr>
            <w:r w:rsidRPr="00796A42">
              <w:rPr>
                <w:b/>
              </w:rPr>
              <w:t>Impact on fiscal and underlying cash balances</w:t>
            </w:r>
          </w:p>
        </w:tc>
      </w:tr>
      <w:tr w:rsidR="005142F5" w:rsidRPr="00EF1D6A" w:rsidTr="00F15A82">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5142F5" w:rsidRPr="00521B60" w:rsidRDefault="005142F5">
            <w:pPr>
              <w:pStyle w:val="TableHeadingCentred"/>
              <w:jc w:val="left"/>
              <w:rPr>
                <w:b/>
              </w:rPr>
            </w:pPr>
            <w:r w:rsidRPr="00521B60">
              <w:rPr>
                <w:b/>
              </w:rPr>
              <w:t>Administered</w:t>
            </w:r>
          </w:p>
        </w:tc>
      </w:tr>
      <w:tr w:rsidR="001447B7" w:rsidRPr="00864FFC" w:rsidTr="002B53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1447B7" w:rsidRPr="004175BC" w:rsidRDefault="001447B7">
            <w:pPr>
              <w:pStyle w:val="TableTextCentred"/>
              <w:keepNext/>
              <w:keepLines/>
              <w:jc w:val="left"/>
              <w:rPr>
                <w:szCs w:val="20"/>
              </w:rPr>
            </w:pPr>
            <w:r>
              <w:t xml:space="preserve">Expand funding for </w:t>
            </w:r>
            <w:r>
              <w:rPr>
                <w:i/>
              </w:rPr>
              <w:t>Our Watch</w:t>
            </w:r>
            <w:r>
              <w:t xml:space="preserve"> until 2022</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-1.0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-1.0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-1.0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-1.1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
                <w:iCs/>
                <w:color w:val="000000"/>
              </w:rPr>
            </w:pPr>
            <w:r w:rsidRPr="001447B7">
              <w:rPr>
                <w:b/>
                <w:i/>
                <w:iCs/>
                <w:color w:val="000000"/>
              </w:rPr>
              <w:t xml:space="preserve">-4.1 </w:t>
            </w:r>
          </w:p>
        </w:tc>
      </w:tr>
      <w:tr w:rsidR="001447B7" w:rsidRPr="00864FFC" w:rsidTr="002B530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1447B7" w:rsidRPr="00864FFC" w:rsidRDefault="001447B7">
            <w:pPr>
              <w:pStyle w:val="TableTextCentred"/>
              <w:keepNext/>
              <w:keepLines/>
              <w:jc w:val="left"/>
              <w:rPr>
                <w:szCs w:val="20"/>
              </w:rPr>
            </w:pPr>
            <w:r>
              <w:t>Additional funding</w:t>
            </w:r>
            <w:r w:rsidRPr="00892C8C">
              <w:t xml:space="preserve"> for </w:t>
            </w:r>
            <w:r w:rsidRPr="00BD75E2">
              <w:rPr>
                <w:i/>
              </w:rPr>
              <w:t>The Line</w:t>
            </w:r>
            <w:r>
              <w:t xml:space="preserve"> social marketing campaign</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-2.0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-2.0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-2.1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-2.1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iCs/>
                <w:color w:val="000000"/>
              </w:rPr>
            </w:pPr>
            <w:r w:rsidRPr="001447B7">
              <w:rPr>
                <w:b/>
                <w:i/>
                <w:iCs/>
                <w:color w:val="000000"/>
              </w:rPr>
              <w:t xml:space="preserve">-8.3 </w:t>
            </w:r>
          </w:p>
        </w:tc>
      </w:tr>
      <w:tr w:rsidR="001447B7" w:rsidRPr="00864FFC" w:rsidTr="002B53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1447B7" w:rsidRPr="00864FFC" w:rsidRDefault="001447B7">
            <w:pPr>
              <w:pStyle w:val="TableTextCentred"/>
              <w:keepNext/>
              <w:keepLines/>
              <w:jc w:val="left"/>
              <w:rPr>
                <w:szCs w:val="20"/>
              </w:rPr>
            </w:pPr>
            <w:r>
              <w:t>National rollout of respectful relationships</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-2.5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-2.6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-2.6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 xml:space="preserve">-2.7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
                <w:iCs/>
                <w:color w:val="000000"/>
              </w:rPr>
            </w:pPr>
            <w:r w:rsidRPr="001447B7">
              <w:rPr>
                <w:b/>
                <w:i/>
                <w:iCs/>
                <w:color w:val="000000"/>
              </w:rPr>
              <w:t xml:space="preserve">-10.4 </w:t>
            </w:r>
          </w:p>
        </w:tc>
      </w:tr>
      <w:tr w:rsidR="001447B7" w:rsidRPr="00864FFC" w:rsidTr="002B530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1447B7" w:rsidRPr="00864FFC" w:rsidRDefault="001447B7">
            <w:pPr>
              <w:pStyle w:val="TableTextCentred"/>
              <w:keepNext/>
              <w:keepLines/>
              <w:jc w:val="left"/>
            </w:pPr>
            <w:r>
              <w:t>Building an expert primary prevention workforce</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-3.0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-3.1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-3.1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 xml:space="preserve">-3.2 </w:t>
            </w:r>
          </w:p>
        </w:tc>
        <w:tc>
          <w:tcPr>
            <w:tcW w:w="682" w:type="pct"/>
            <w:tcBorders>
              <w:top w:val="single" w:sz="4" w:space="0" w:color="788184"/>
              <w:left w:val="single" w:sz="4" w:space="0" w:color="788184"/>
              <w:bottom w:val="single" w:sz="4" w:space="0" w:color="788184"/>
              <w:right w:val="single" w:sz="4" w:space="0" w:color="788184"/>
            </w:tcBorders>
          </w:tcPr>
          <w:p w:rsidR="001447B7" w:rsidRPr="001447B7" w:rsidRDefault="001447B7"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iCs/>
                <w:color w:val="000000"/>
              </w:rPr>
            </w:pPr>
            <w:r w:rsidRPr="001447B7">
              <w:rPr>
                <w:b/>
                <w:i/>
                <w:iCs/>
                <w:color w:val="000000"/>
              </w:rPr>
              <w:t xml:space="preserve">-12.4 </w:t>
            </w:r>
          </w:p>
        </w:tc>
      </w:tr>
      <w:tr w:rsidR="001447B7" w:rsidRPr="0066665A" w:rsidTr="005142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E9ECF3"/>
          </w:tcPr>
          <w:p w:rsidR="001447B7" w:rsidRPr="007038FF" w:rsidRDefault="001447B7">
            <w:pPr>
              <w:pStyle w:val="TableTextCentred"/>
              <w:keepNext/>
              <w:keepLines/>
              <w:jc w:val="left"/>
              <w:rPr>
                <w:b/>
                <w:szCs w:val="20"/>
              </w:rPr>
            </w:pPr>
            <w:r>
              <w:rPr>
                <w:b/>
                <w:szCs w:val="20"/>
              </w:rPr>
              <w:t>Total - administered</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1447B7" w:rsidRPr="00111CEF"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Cs/>
                <w:color w:val="000000"/>
              </w:rPr>
            </w:pPr>
            <w:r w:rsidRPr="00111CEF">
              <w:rPr>
                <w:b/>
                <w:iCs/>
                <w:color w:val="000000"/>
              </w:rPr>
              <w:t xml:space="preserve">-8.5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1447B7" w:rsidRPr="00111CEF"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Cs/>
                <w:color w:val="000000"/>
              </w:rPr>
            </w:pPr>
            <w:r w:rsidRPr="00111CEF">
              <w:rPr>
                <w:b/>
                <w:iCs/>
                <w:color w:val="000000"/>
              </w:rPr>
              <w:t xml:space="preserve">-8.7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1447B7" w:rsidRPr="00111CEF"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Cs/>
                <w:color w:val="000000"/>
              </w:rPr>
            </w:pPr>
            <w:r w:rsidRPr="00111CEF">
              <w:rPr>
                <w:b/>
                <w:iCs/>
                <w:color w:val="000000"/>
              </w:rPr>
              <w:t xml:space="preserve">-8.9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1447B7" w:rsidRPr="00111CEF" w:rsidRDefault="001447B7"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Cs/>
                <w:color w:val="000000"/>
              </w:rPr>
            </w:pPr>
            <w:r w:rsidRPr="00111CEF">
              <w:rPr>
                <w:b/>
                <w:iCs/>
                <w:color w:val="000000"/>
              </w:rPr>
              <w:t xml:space="preserve">-9.1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1447B7" w:rsidRPr="00111CEF" w:rsidRDefault="001447B7">
            <w:pPr>
              <w:pStyle w:val="TableTextRight"/>
              <w:cnfStyle w:val="000000100000" w:firstRow="0" w:lastRow="0" w:firstColumn="0" w:lastColumn="0" w:oddVBand="0" w:evenVBand="0" w:oddHBand="1" w:evenHBand="0" w:firstRowFirstColumn="0" w:firstRowLastColumn="0" w:lastRowFirstColumn="0" w:lastRowLastColumn="0"/>
              <w:rPr>
                <w:b/>
                <w:i w:val="0"/>
                <w:iCs/>
                <w:color w:val="000000"/>
              </w:rPr>
            </w:pPr>
            <w:r w:rsidRPr="00111CEF">
              <w:rPr>
                <w:b/>
                <w:i w:val="0"/>
                <w:iCs/>
                <w:color w:val="000000"/>
              </w:rPr>
              <w:t xml:space="preserve">-35.2 </w:t>
            </w:r>
          </w:p>
        </w:tc>
      </w:tr>
      <w:tr w:rsidR="005142F5" w:rsidRPr="0066665A" w:rsidTr="00F15A82">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5142F5" w:rsidRPr="00CE5458" w:rsidRDefault="005142F5">
            <w:pPr>
              <w:pStyle w:val="TableTextRight"/>
              <w:keepNext/>
              <w:keepLines/>
              <w:jc w:val="left"/>
              <w:rPr>
                <w:b/>
                <w:i w:val="0"/>
              </w:rPr>
            </w:pPr>
            <w:r w:rsidRPr="00CE5458">
              <w:rPr>
                <w:b/>
                <w:i w:val="0"/>
              </w:rPr>
              <w:t>Departmental</w:t>
            </w:r>
          </w:p>
        </w:tc>
      </w:tr>
      <w:tr w:rsidR="00AD45CF" w:rsidRPr="00864FFC" w:rsidTr="002B53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D45CF" w:rsidRPr="004175BC" w:rsidRDefault="00AD45CF">
            <w:pPr>
              <w:pStyle w:val="TableTextCentred"/>
              <w:keepNext/>
              <w:keepLines/>
              <w:jc w:val="left"/>
              <w:rPr>
                <w:szCs w:val="20"/>
              </w:rPr>
            </w:pPr>
            <w:r>
              <w:t xml:space="preserve">Expand funding for </w:t>
            </w:r>
            <w:r>
              <w:rPr>
                <w:i/>
              </w:rPr>
              <w:t>Our Watch</w:t>
            </w:r>
            <w:r>
              <w:t xml:space="preserve"> until 2022</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sidRPr="00864FFC">
              <w:rPr>
                <w:i/>
                <w:iCs/>
                <w:color w:val="000000"/>
              </w:rPr>
              <w:t xml:space="preserve"> </w:t>
            </w:r>
            <w:r>
              <w:rPr>
                <w:i/>
                <w:iCs/>
                <w:color w:val="000000"/>
              </w:rPr>
              <w:t>-0.2</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Pr>
                <w:i/>
                <w:iCs/>
                <w:color w:val="000000"/>
              </w:rPr>
              <w:t>-0.2</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sidRPr="00864FFC">
              <w:rPr>
                <w:i/>
                <w:iCs/>
                <w:color w:val="000000"/>
              </w:rPr>
              <w:t xml:space="preserve"> </w:t>
            </w:r>
            <w:r>
              <w:rPr>
                <w:i/>
                <w:iCs/>
                <w:color w:val="000000"/>
              </w:rPr>
              <w:t>-0.2</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Pr>
                <w:i/>
                <w:iCs/>
                <w:color w:val="000000"/>
              </w:rPr>
              <w:t>-0.2</w:t>
            </w:r>
          </w:p>
        </w:tc>
        <w:tc>
          <w:tcPr>
            <w:tcW w:w="682" w:type="pct"/>
            <w:tcBorders>
              <w:top w:val="single" w:sz="4" w:space="0" w:color="788184"/>
              <w:left w:val="single" w:sz="4" w:space="0" w:color="788184"/>
              <w:bottom w:val="single" w:sz="4" w:space="0" w:color="788184"/>
              <w:right w:val="single" w:sz="4" w:space="0" w:color="788184"/>
            </w:tcBorders>
          </w:tcPr>
          <w:p w:rsidR="00AD45CF" w:rsidRPr="00E762A4"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
                <w:iCs/>
                <w:color w:val="000000"/>
              </w:rPr>
            </w:pPr>
            <w:r w:rsidRPr="00E762A4">
              <w:rPr>
                <w:b/>
                <w:i/>
                <w:iCs/>
                <w:color w:val="000000"/>
              </w:rPr>
              <w:t xml:space="preserve">-0.9 </w:t>
            </w:r>
          </w:p>
        </w:tc>
      </w:tr>
      <w:tr w:rsidR="00AD45CF" w:rsidRPr="00864FFC" w:rsidTr="002B530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D45CF" w:rsidRPr="00864FFC" w:rsidRDefault="00AD45CF">
            <w:pPr>
              <w:pStyle w:val="TableTextCentred"/>
              <w:keepNext/>
              <w:keepLines/>
              <w:jc w:val="left"/>
              <w:rPr>
                <w:szCs w:val="20"/>
              </w:rPr>
            </w:pPr>
            <w:r>
              <w:t>Additional funding</w:t>
            </w:r>
            <w:r w:rsidRPr="00892C8C">
              <w:t xml:space="preserve"> for </w:t>
            </w:r>
            <w:r w:rsidRPr="00BD75E2">
              <w:rPr>
                <w:i/>
              </w:rPr>
              <w:t>The Line</w:t>
            </w:r>
            <w:r>
              <w:t xml:space="preserve"> social marketing campaign</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sidRPr="00864FFC">
              <w:rPr>
                <w:i/>
                <w:iCs/>
                <w:color w:val="000000"/>
              </w:rPr>
              <w:t xml:space="preserve"> </w:t>
            </w:r>
            <w:r>
              <w:rPr>
                <w:i/>
                <w:iCs/>
                <w:color w:val="000000"/>
              </w:rPr>
              <w:t>-0.2</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-0.2</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sidRPr="00864FFC">
              <w:rPr>
                <w:i/>
                <w:iCs/>
                <w:color w:val="000000"/>
              </w:rPr>
              <w:t xml:space="preserve"> </w:t>
            </w:r>
            <w:r>
              <w:rPr>
                <w:i/>
                <w:iCs/>
                <w:color w:val="000000"/>
              </w:rPr>
              <w:t>-0.2</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-0.2</w:t>
            </w:r>
          </w:p>
        </w:tc>
        <w:tc>
          <w:tcPr>
            <w:tcW w:w="682" w:type="pct"/>
            <w:tcBorders>
              <w:top w:val="single" w:sz="4" w:space="0" w:color="788184"/>
              <w:left w:val="single" w:sz="4" w:space="0" w:color="788184"/>
              <w:bottom w:val="single" w:sz="4" w:space="0" w:color="788184"/>
              <w:right w:val="single" w:sz="4" w:space="0" w:color="788184"/>
            </w:tcBorders>
          </w:tcPr>
          <w:p w:rsidR="00AD45CF" w:rsidRPr="00E762A4"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iCs/>
                <w:color w:val="000000"/>
                <w:sz w:val="24"/>
                <w:szCs w:val="24"/>
              </w:rPr>
            </w:pPr>
            <w:r w:rsidRPr="00E762A4">
              <w:rPr>
                <w:b/>
                <w:i/>
                <w:iCs/>
                <w:color w:val="000000"/>
              </w:rPr>
              <w:t xml:space="preserve">-0.9  </w:t>
            </w:r>
          </w:p>
        </w:tc>
      </w:tr>
      <w:tr w:rsidR="00AD45CF" w:rsidRPr="00864FFC" w:rsidTr="002B53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D45CF" w:rsidRPr="00864FFC" w:rsidRDefault="00AD45CF">
            <w:pPr>
              <w:pStyle w:val="TableTextCentred"/>
              <w:keepNext/>
              <w:keepLines/>
              <w:jc w:val="left"/>
              <w:rPr>
                <w:szCs w:val="20"/>
              </w:rPr>
            </w:pPr>
            <w:r>
              <w:t>National rollout of respectful relationships</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sidRPr="00864FFC">
              <w:rPr>
                <w:i/>
                <w:iCs/>
                <w:color w:val="000000"/>
              </w:rPr>
              <w:t xml:space="preserve"> </w:t>
            </w:r>
            <w:r>
              <w:rPr>
                <w:i/>
                <w:iCs/>
                <w:color w:val="000000"/>
              </w:rPr>
              <w:t>-0.3</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Pr>
                <w:i/>
                <w:iCs/>
                <w:color w:val="000000"/>
              </w:rPr>
              <w:t>-0.3</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sidRPr="00864FFC">
              <w:rPr>
                <w:i/>
                <w:iCs/>
                <w:color w:val="000000"/>
              </w:rPr>
              <w:t xml:space="preserve"> </w:t>
            </w:r>
            <w:r>
              <w:rPr>
                <w:i/>
                <w:iCs/>
                <w:color w:val="000000"/>
              </w:rPr>
              <w:t>-0.3</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iCs/>
                <w:color w:val="000000"/>
                <w:sz w:val="24"/>
                <w:szCs w:val="24"/>
              </w:rPr>
            </w:pPr>
            <w:r>
              <w:rPr>
                <w:i/>
                <w:iCs/>
                <w:color w:val="000000"/>
              </w:rPr>
              <w:t>-0.3</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E762A4" w:rsidRDefault="00AD45CF" w:rsidP="001C3E8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i/>
                <w:iCs/>
                <w:color w:val="000000"/>
                <w:sz w:val="24"/>
                <w:szCs w:val="24"/>
              </w:rPr>
            </w:pPr>
            <w:r w:rsidRPr="00E762A4">
              <w:rPr>
                <w:b/>
                <w:i/>
                <w:iCs/>
                <w:color w:val="000000"/>
              </w:rPr>
              <w:t xml:space="preserve">-1.1 </w:t>
            </w:r>
          </w:p>
        </w:tc>
      </w:tr>
      <w:tr w:rsidR="00AD45CF" w:rsidRPr="00864FFC" w:rsidTr="002B530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D45CF" w:rsidRPr="00864FFC" w:rsidRDefault="00AD45CF">
            <w:pPr>
              <w:pStyle w:val="TableTextCentred"/>
              <w:keepNext/>
              <w:keepLines/>
              <w:jc w:val="left"/>
            </w:pPr>
            <w:r>
              <w:t>Building an expert primary prevention workforce</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sidRPr="00864FFC">
              <w:rPr>
                <w:i/>
                <w:iCs/>
                <w:color w:val="000000"/>
              </w:rPr>
              <w:t xml:space="preserve"> </w:t>
            </w:r>
            <w:r>
              <w:rPr>
                <w:i/>
                <w:iCs/>
                <w:color w:val="000000"/>
              </w:rPr>
              <w:t>-0.3</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-0.3</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sidRPr="00864FFC">
              <w:rPr>
                <w:i/>
                <w:iCs/>
                <w:color w:val="000000"/>
              </w:rPr>
              <w:t xml:space="preserve"> </w:t>
            </w:r>
            <w:r>
              <w:rPr>
                <w:i/>
                <w:iCs/>
                <w:color w:val="000000"/>
              </w:rPr>
              <w:t>-0.3</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864FFC"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-0.3</w:t>
            </w:r>
            <w:r w:rsidRPr="00864FFC">
              <w:rPr>
                <w:i/>
                <w:iCs/>
                <w:color w:val="00000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AD45CF" w:rsidRPr="00E762A4" w:rsidRDefault="00AD45CF" w:rsidP="001C3E8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iCs/>
                <w:color w:val="000000"/>
                <w:sz w:val="24"/>
                <w:szCs w:val="24"/>
              </w:rPr>
            </w:pPr>
            <w:r w:rsidRPr="00E762A4">
              <w:rPr>
                <w:b/>
                <w:i/>
                <w:iCs/>
                <w:color w:val="000000"/>
              </w:rPr>
              <w:t>-1.1</w:t>
            </w:r>
          </w:p>
        </w:tc>
      </w:tr>
      <w:tr w:rsidR="00AD45CF" w:rsidRPr="0066665A" w:rsidTr="005142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E9ECF3"/>
          </w:tcPr>
          <w:p w:rsidR="00AD45CF" w:rsidRPr="007038FF" w:rsidRDefault="00AD45CF">
            <w:pPr>
              <w:pStyle w:val="TableTextCentred"/>
              <w:keepNext/>
              <w:keepLines/>
              <w:jc w:val="left"/>
              <w:rPr>
                <w:b/>
              </w:rPr>
            </w:pPr>
            <w:r>
              <w:rPr>
                <w:b/>
              </w:rPr>
              <w:t>Total - departmental</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AD45CF" w:rsidRPr="00AD45CF" w:rsidRDefault="00AD45CF">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-1.0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AD45CF" w:rsidRPr="00AD45CF" w:rsidRDefault="00AD45CF">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-1.0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AD45CF" w:rsidRPr="00AD45CF" w:rsidRDefault="00AD45CF">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-1.0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AD45CF" w:rsidRPr="00AD45CF" w:rsidRDefault="00AD45CF">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-1.0 </w:t>
            </w:r>
          </w:p>
        </w:tc>
        <w:tc>
          <w:tcPr>
            <w:tcW w:w="682" w:type="pct"/>
            <w:tcBorders>
              <w:top w:val="single" w:sz="4" w:space="0" w:color="788184"/>
              <w:left w:val="single" w:sz="4" w:space="0" w:color="788184"/>
              <w:bottom w:val="single" w:sz="4" w:space="0" w:color="788184"/>
              <w:right w:val="single" w:sz="4" w:space="0" w:color="788184"/>
            </w:tcBorders>
            <w:shd w:val="clear" w:color="auto" w:fill="E9ECF3"/>
            <w:vAlign w:val="bottom"/>
          </w:tcPr>
          <w:p w:rsidR="00AD45CF" w:rsidRPr="00AD45CF" w:rsidRDefault="00AD45CF">
            <w:pPr>
              <w:pStyle w:val="TableTextRight"/>
              <w:cnfStyle w:val="000000100000" w:firstRow="0" w:lastRow="0" w:firstColumn="0" w:lastColumn="0" w:oddVBand="0" w:evenVBand="0" w:oddHBand="1" w:evenHBand="0" w:firstRowFirstColumn="0" w:firstRowLastColumn="0" w:lastRowFirstColumn="0" w:lastRowLastColumn="0"/>
              <w:rPr>
                <w:b/>
                <w:i w:val="0"/>
                <w:noProof/>
              </w:rPr>
            </w:pPr>
            <w:r w:rsidRPr="00AD45CF">
              <w:rPr>
                <w:b/>
                <w:i w:val="0"/>
                <w:noProof/>
              </w:rPr>
              <w:t xml:space="preserve">-3.9 </w:t>
            </w:r>
          </w:p>
        </w:tc>
      </w:tr>
      <w:tr w:rsidR="001447B7" w:rsidRPr="0055406D" w:rsidTr="00F15A82">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1447B7" w:rsidRPr="0055406D" w:rsidRDefault="001447B7">
            <w:pPr>
              <w:pStyle w:val="TableTextCentred"/>
              <w:keepNext/>
              <w:keepLines/>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-9.5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-9.7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-9.9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1447B7"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1447B7">
              <w:rPr>
                <w:b/>
                <w:i w:val="0"/>
                <w:noProof/>
              </w:rPr>
              <w:t xml:space="preserve">-10.1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1447B7" w:rsidRPr="00521B60" w:rsidRDefault="001447B7">
            <w:pPr>
              <w:pStyle w:val="TableTextRight"/>
              <w:cnfStyle w:val="000000000000" w:firstRow="0" w:lastRow="0" w:firstColumn="0" w:lastColumn="0" w:oddVBand="0" w:evenVBand="0" w:oddHBand="0" w:evenHBand="0" w:firstRowFirstColumn="0" w:firstRowLastColumn="0" w:lastRowFirstColumn="0" w:lastRowLastColumn="0"/>
              <w:rPr>
                <w:b/>
                <w:i w:val="0"/>
                <w:noProof/>
              </w:rPr>
            </w:pPr>
            <w:r w:rsidRPr="00521B60">
              <w:rPr>
                <w:b/>
                <w:i w:val="0"/>
                <w:noProof/>
              </w:rPr>
              <w:t>-</w:t>
            </w:r>
            <w:r>
              <w:rPr>
                <w:b/>
                <w:i w:val="0"/>
                <w:noProof/>
              </w:rPr>
              <w:t>39.1</w:t>
            </w:r>
            <w:r w:rsidRPr="00521B60">
              <w:rPr>
                <w:b/>
                <w:i w:val="0"/>
                <w:noProof/>
              </w:rPr>
              <w:t xml:space="preserve"> </w:t>
            </w:r>
          </w:p>
        </w:tc>
      </w:tr>
    </w:tbl>
    <w:p w:rsidR="00FA2361" w:rsidRPr="00FA2361" w:rsidRDefault="005142F5" w:rsidP="00AD56B2">
      <w:pPr>
        <w:pStyle w:val="Footnotes"/>
        <w:numPr>
          <w:ilvl w:val="0"/>
          <w:numId w:val="31"/>
        </w:numPr>
        <w:spacing w:before="100" w:line="240" w:lineRule="auto"/>
        <w:ind w:left="284" w:hanging="284"/>
        <w:rPr>
          <w:rFonts w:ascii="Calibri" w:hAnsi="Calibri"/>
        </w:rPr>
      </w:pPr>
      <w:r>
        <w:t xml:space="preserve">A </w:t>
      </w:r>
      <w:r w:rsidR="00FA2361" w:rsidRPr="00F21448">
        <w:t>positive number indicates an increase in revenue or decrease in expenses or net capital investment in accrual and cash terms. A negative number indicates a decrease in revenue or an increase in expenses or net capital investment in accrual</w:t>
      </w:r>
      <w:r w:rsidR="00FA2361">
        <w:t xml:space="preserve"> and cash terms.</w:t>
      </w:r>
    </w:p>
    <w:p w:rsidR="00FA2361" w:rsidRDefault="00FA2361" w:rsidP="00AD56B2">
      <w:pPr>
        <w:pStyle w:val="Footnotes"/>
        <w:spacing w:before="100" w:line="240" w:lineRule="auto"/>
      </w:pPr>
      <w:r>
        <w:t>Figures may not sum to totals due to rounding.</w:t>
      </w:r>
    </w:p>
    <w:p w:rsidR="00AD56B2" w:rsidRDefault="00AD56B2" w:rsidP="00AD56B2">
      <w:pPr>
        <w:pStyle w:val="Footnotes"/>
        <w:numPr>
          <w:ilvl w:val="0"/>
          <w:numId w:val="0"/>
        </w:numPr>
        <w:spacing w:before="100" w:line="240" w:lineRule="auto"/>
        <w:ind w:left="284" w:hanging="284"/>
      </w:pPr>
    </w:p>
    <w:sectPr w:rsidR="00AD56B2" w:rsidSect="004662A2">
      <w:headerReference w:type="first" r:id="rId17"/>
      <w:footerReference w:type="first" r:id="rId18"/>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E2" w:rsidRDefault="00BD75E2" w:rsidP="008F588A">
      <w:pPr>
        <w:spacing w:line="240" w:lineRule="auto"/>
      </w:pPr>
      <w:r>
        <w:separator/>
      </w:r>
    </w:p>
    <w:p w:rsidR="00BD75E2" w:rsidRDefault="00BD75E2"/>
  </w:endnote>
  <w:endnote w:type="continuationSeparator" w:id="0">
    <w:p w:rsidR="00BD75E2" w:rsidRDefault="00BD75E2" w:rsidP="008F588A">
      <w:pPr>
        <w:spacing w:line="240" w:lineRule="auto"/>
      </w:pPr>
      <w:r>
        <w:continuationSeparator/>
      </w:r>
    </w:p>
    <w:p w:rsidR="00BD75E2" w:rsidRDefault="00BD7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2" w:rsidRPr="00C24267" w:rsidRDefault="00BD75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73184">
      <w:rPr>
        <w:noProof/>
      </w:rPr>
      <w:t>4</w:t>
    </w:r>
    <w:r w:rsidRPr="00C24267">
      <w:fldChar w:fldCharType="end"/>
    </w:r>
    <w:r w:rsidRPr="00C24267">
      <w:t xml:space="preserve"> of </w:t>
    </w:r>
    <w:r w:rsidR="00473184">
      <w:fldChar w:fldCharType="begin"/>
    </w:r>
    <w:r w:rsidR="00473184">
      <w:instrText xml:space="preserve"> NUMPAGES  \* Arabic  \* MERGEFORMAT </w:instrText>
    </w:r>
    <w:r w:rsidR="00473184">
      <w:fldChar w:fldCharType="separate"/>
    </w:r>
    <w:r w:rsidR="00473184">
      <w:rPr>
        <w:noProof/>
      </w:rPr>
      <w:t>8</w:t>
    </w:r>
    <w:r w:rsidR="0047318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2" w:rsidRPr="00C24267" w:rsidRDefault="00BD75E2" w:rsidP="00C24267">
    <w:pPr>
      <w:pStyle w:val="Letterfooter"/>
    </w:pPr>
    <w:r w:rsidRPr="00C24267">
      <w:t>Parliamentary Budget Office   PO Box 6010   Parliament House   Canberra ACT 2600</w:t>
    </w:r>
  </w:p>
  <w:p w:rsidR="00BD75E2" w:rsidRPr="00C24267" w:rsidRDefault="00BD75E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2" w:rsidRPr="00C24267" w:rsidRDefault="00BD75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73184">
      <w:rPr>
        <w:noProof/>
      </w:rPr>
      <w:t>2</w:t>
    </w:r>
    <w:r w:rsidRPr="00C24267">
      <w:fldChar w:fldCharType="end"/>
    </w:r>
    <w:r w:rsidRPr="00C24267">
      <w:t xml:space="preserve"> of </w:t>
    </w:r>
    <w:r w:rsidR="00473184">
      <w:fldChar w:fldCharType="begin"/>
    </w:r>
    <w:r w:rsidR="00473184">
      <w:instrText xml:space="preserve"> NUMPAGES  \* Arabic  \* MERGEFORMAT </w:instrText>
    </w:r>
    <w:r w:rsidR="00473184">
      <w:fldChar w:fldCharType="separate"/>
    </w:r>
    <w:r w:rsidR="00473184">
      <w:rPr>
        <w:noProof/>
      </w:rPr>
      <w:t>8</w:t>
    </w:r>
    <w:r w:rsidR="0047318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2" w:rsidRPr="00C24267" w:rsidRDefault="00BD75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73184">
      <w:rPr>
        <w:noProof/>
      </w:rPr>
      <w:t>5</w:t>
    </w:r>
    <w:r w:rsidRPr="00C24267">
      <w:fldChar w:fldCharType="end"/>
    </w:r>
    <w:r w:rsidRPr="00C24267">
      <w:t xml:space="preserve"> of </w:t>
    </w:r>
    <w:r w:rsidR="00473184">
      <w:fldChar w:fldCharType="begin"/>
    </w:r>
    <w:r w:rsidR="00473184">
      <w:instrText xml:space="preserve"> NUMPAGES  \* Arabic  \* MERGEFORMAT </w:instrText>
    </w:r>
    <w:r w:rsidR="00473184">
      <w:fldChar w:fldCharType="separate"/>
    </w:r>
    <w:r w:rsidR="00473184">
      <w:rPr>
        <w:noProof/>
      </w:rPr>
      <w:t>5</w:t>
    </w:r>
    <w:r w:rsidR="004731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E2" w:rsidRDefault="00BD75E2" w:rsidP="008F588A">
      <w:pPr>
        <w:spacing w:line="240" w:lineRule="auto"/>
      </w:pPr>
      <w:r>
        <w:separator/>
      </w:r>
    </w:p>
    <w:p w:rsidR="00BD75E2" w:rsidRDefault="00BD75E2"/>
  </w:footnote>
  <w:footnote w:type="continuationSeparator" w:id="0">
    <w:p w:rsidR="00BD75E2" w:rsidRDefault="00BD75E2" w:rsidP="008F588A">
      <w:pPr>
        <w:spacing w:line="240" w:lineRule="auto"/>
      </w:pPr>
      <w:r>
        <w:continuationSeparator/>
      </w:r>
    </w:p>
    <w:p w:rsidR="00BD75E2" w:rsidRDefault="00BD75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2" w:rsidRDefault="00BD75E2" w:rsidP="00CB40E1">
    <w:pPr>
      <w:pStyle w:val="Header"/>
    </w:pPr>
    <w:r>
      <w:rPr>
        <w:noProof/>
        <w:lang w:eastAsia="en-AU"/>
      </w:rPr>
      <w:drawing>
        <wp:inline distT="0" distB="0" distL="0" distR="0" wp14:anchorId="438A393A" wp14:editId="28C23A4B">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BD75E2" w:rsidRPr="00DA1C8A" w:rsidRDefault="00BD75E2"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2" w:rsidRPr="00C17112" w:rsidRDefault="00BD75E2" w:rsidP="00C17112">
    <w:pPr>
      <w:pStyle w:val="Header"/>
    </w:pPr>
    <w:r>
      <w:rPr>
        <w:noProof/>
        <w:lang w:eastAsia="en-AU"/>
      </w:rPr>
      <w:drawing>
        <wp:inline distT="0" distB="0" distL="0" distR="0" wp14:anchorId="6BE5B9FD" wp14:editId="671D1897">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2" w:rsidRPr="001C3E8F" w:rsidRDefault="00BD75E2" w:rsidP="001C3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131A5B"/>
    <w:multiLevelType w:val="hybridMultilevel"/>
    <w:tmpl w:val="9DCAF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643"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3"/>
  </w:num>
  <w:num w:numId="2">
    <w:abstractNumId w:val="6"/>
  </w:num>
  <w:num w:numId="3">
    <w:abstractNumId w:val="4"/>
  </w:num>
  <w:num w:numId="4">
    <w:abstractNumId w:val="5"/>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9"/>
  </w:num>
  <w:num w:numId="18">
    <w:abstractNumId w:val="2"/>
  </w:num>
  <w:num w:numId="19">
    <w:abstractNumId w:val="11"/>
  </w:num>
  <w:num w:numId="20">
    <w:abstractNumId w:val="8"/>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8C"/>
    <w:rsid w:val="00002D5D"/>
    <w:rsid w:val="00015FB2"/>
    <w:rsid w:val="00024933"/>
    <w:rsid w:val="00040DCE"/>
    <w:rsid w:val="00047507"/>
    <w:rsid w:val="00060F22"/>
    <w:rsid w:val="00094CCA"/>
    <w:rsid w:val="00096F3A"/>
    <w:rsid w:val="000C1A75"/>
    <w:rsid w:val="00110EF1"/>
    <w:rsid w:val="00111CEF"/>
    <w:rsid w:val="001150F3"/>
    <w:rsid w:val="001278D0"/>
    <w:rsid w:val="0014239B"/>
    <w:rsid w:val="001447B7"/>
    <w:rsid w:val="00196A2E"/>
    <w:rsid w:val="001A02D1"/>
    <w:rsid w:val="001C3E8F"/>
    <w:rsid w:val="001D1B0C"/>
    <w:rsid w:val="001F7D6A"/>
    <w:rsid w:val="00216DCA"/>
    <w:rsid w:val="00220BE5"/>
    <w:rsid w:val="0023572C"/>
    <w:rsid w:val="002422A3"/>
    <w:rsid w:val="002B530C"/>
    <w:rsid w:val="002C06D0"/>
    <w:rsid w:val="00315E34"/>
    <w:rsid w:val="00326DE2"/>
    <w:rsid w:val="00364CBE"/>
    <w:rsid w:val="00372AEB"/>
    <w:rsid w:val="003B474B"/>
    <w:rsid w:val="003D7744"/>
    <w:rsid w:val="003E4F5F"/>
    <w:rsid w:val="003F73CA"/>
    <w:rsid w:val="00410A2C"/>
    <w:rsid w:val="004175BC"/>
    <w:rsid w:val="00440E32"/>
    <w:rsid w:val="00461597"/>
    <w:rsid w:val="004662A2"/>
    <w:rsid w:val="00473184"/>
    <w:rsid w:val="00474D3C"/>
    <w:rsid w:val="00485374"/>
    <w:rsid w:val="004C283B"/>
    <w:rsid w:val="004D13ED"/>
    <w:rsid w:val="004D5525"/>
    <w:rsid w:val="004E1DA2"/>
    <w:rsid w:val="005035DA"/>
    <w:rsid w:val="00506E00"/>
    <w:rsid w:val="00507897"/>
    <w:rsid w:val="005142F5"/>
    <w:rsid w:val="00515A85"/>
    <w:rsid w:val="00545F24"/>
    <w:rsid w:val="0055185F"/>
    <w:rsid w:val="0055581F"/>
    <w:rsid w:val="0056229A"/>
    <w:rsid w:val="00567228"/>
    <w:rsid w:val="00570154"/>
    <w:rsid w:val="00570B5A"/>
    <w:rsid w:val="00587422"/>
    <w:rsid w:val="005B1A4A"/>
    <w:rsid w:val="005B7B75"/>
    <w:rsid w:val="005C6967"/>
    <w:rsid w:val="005E3562"/>
    <w:rsid w:val="005F7DE0"/>
    <w:rsid w:val="00640346"/>
    <w:rsid w:val="00660385"/>
    <w:rsid w:val="00662E65"/>
    <w:rsid w:val="0066665A"/>
    <w:rsid w:val="00692DD8"/>
    <w:rsid w:val="006C442E"/>
    <w:rsid w:val="006C5C7B"/>
    <w:rsid w:val="006D1A82"/>
    <w:rsid w:val="006F0CE9"/>
    <w:rsid w:val="007202A8"/>
    <w:rsid w:val="007229A9"/>
    <w:rsid w:val="00764660"/>
    <w:rsid w:val="007B029A"/>
    <w:rsid w:val="007D33AA"/>
    <w:rsid w:val="007D3577"/>
    <w:rsid w:val="007D64CD"/>
    <w:rsid w:val="007F7BCF"/>
    <w:rsid w:val="008030EC"/>
    <w:rsid w:val="00811D6D"/>
    <w:rsid w:val="00815F1B"/>
    <w:rsid w:val="00817E8E"/>
    <w:rsid w:val="00840D07"/>
    <w:rsid w:val="00841C3A"/>
    <w:rsid w:val="0084439F"/>
    <w:rsid w:val="00844776"/>
    <w:rsid w:val="00863F92"/>
    <w:rsid w:val="008711F1"/>
    <w:rsid w:val="00872CB4"/>
    <w:rsid w:val="008850D9"/>
    <w:rsid w:val="008908AF"/>
    <w:rsid w:val="00892C8C"/>
    <w:rsid w:val="008A4578"/>
    <w:rsid w:val="008C03C3"/>
    <w:rsid w:val="008D3909"/>
    <w:rsid w:val="008D5D70"/>
    <w:rsid w:val="008D6ECA"/>
    <w:rsid w:val="008F16AC"/>
    <w:rsid w:val="008F422B"/>
    <w:rsid w:val="008F588A"/>
    <w:rsid w:val="00902D2D"/>
    <w:rsid w:val="009074EA"/>
    <w:rsid w:val="00915804"/>
    <w:rsid w:val="00915D82"/>
    <w:rsid w:val="009270E1"/>
    <w:rsid w:val="00957285"/>
    <w:rsid w:val="009573AF"/>
    <w:rsid w:val="00977D7B"/>
    <w:rsid w:val="009963ED"/>
    <w:rsid w:val="009D4063"/>
    <w:rsid w:val="00A41BD3"/>
    <w:rsid w:val="00A449C2"/>
    <w:rsid w:val="00A57A9E"/>
    <w:rsid w:val="00A65EA3"/>
    <w:rsid w:val="00A67378"/>
    <w:rsid w:val="00A7322F"/>
    <w:rsid w:val="00A73F3F"/>
    <w:rsid w:val="00A83F16"/>
    <w:rsid w:val="00A84F6D"/>
    <w:rsid w:val="00AA3D6F"/>
    <w:rsid w:val="00AB55AE"/>
    <w:rsid w:val="00AB6F7D"/>
    <w:rsid w:val="00AC7878"/>
    <w:rsid w:val="00AD45CF"/>
    <w:rsid w:val="00AD493E"/>
    <w:rsid w:val="00AD5692"/>
    <w:rsid w:val="00AD56B2"/>
    <w:rsid w:val="00AE30B5"/>
    <w:rsid w:val="00AE5755"/>
    <w:rsid w:val="00B06055"/>
    <w:rsid w:val="00B44D8A"/>
    <w:rsid w:val="00B73AC8"/>
    <w:rsid w:val="00B747A7"/>
    <w:rsid w:val="00BA2BBF"/>
    <w:rsid w:val="00BC559C"/>
    <w:rsid w:val="00BD75E2"/>
    <w:rsid w:val="00C17112"/>
    <w:rsid w:val="00C24267"/>
    <w:rsid w:val="00C27A99"/>
    <w:rsid w:val="00CA12A0"/>
    <w:rsid w:val="00CA5D42"/>
    <w:rsid w:val="00CB40E1"/>
    <w:rsid w:val="00CE5458"/>
    <w:rsid w:val="00CF6DB6"/>
    <w:rsid w:val="00CF7D9A"/>
    <w:rsid w:val="00D134CA"/>
    <w:rsid w:val="00D52D5F"/>
    <w:rsid w:val="00D6649D"/>
    <w:rsid w:val="00D70BB0"/>
    <w:rsid w:val="00D747D2"/>
    <w:rsid w:val="00D805AE"/>
    <w:rsid w:val="00D949A3"/>
    <w:rsid w:val="00DA0468"/>
    <w:rsid w:val="00DA1506"/>
    <w:rsid w:val="00DA1C8A"/>
    <w:rsid w:val="00DA3B55"/>
    <w:rsid w:val="00DB44F0"/>
    <w:rsid w:val="00DD109E"/>
    <w:rsid w:val="00DD3E18"/>
    <w:rsid w:val="00E12103"/>
    <w:rsid w:val="00E142E3"/>
    <w:rsid w:val="00E15AAE"/>
    <w:rsid w:val="00E21184"/>
    <w:rsid w:val="00E40B8B"/>
    <w:rsid w:val="00E5742E"/>
    <w:rsid w:val="00E762A4"/>
    <w:rsid w:val="00E85C44"/>
    <w:rsid w:val="00EA265F"/>
    <w:rsid w:val="00EA5685"/>
    <w:rsid w:val="00ED43FF"/>
    <w:rsid w:val="00EE6600"/>
    <w:rsid w:val="00EF1D6A"/>
    <w:rsid w:val="00EF2E51"/>
    <w:rsid w:val="00F21448"/>
    <w:rsid w:val="00F21865"/>
    <w:rsid w:val="00F25810"/>
    <w:rsid w:val="00F31E24"/>
    <w:rsid w:val="00F41E1A"/>
    <w:rsid w:val="00F4535C"/>
    <w:rsid w:val="00F52474"/>
    <w:rsid w:val="00F5529D"/>
    <w:rsid w:val="00F5669E"/>
    <w:rsid w:val="00F75D33"/>
    <w:rsid w:val="00F954CF"/>
    <w:rsid w:val="00F97DFF"/>
    <w:rsid w:val="00FA2361"/>
    <w:rsid w:val="00FC6579"/>
    <w:rsid w:val="00FD3EA9"/>
    <w:rsid w:val="00FD3FB3"/>
    <w:rsid w:val="00FD4DF7"/>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F16AC"/>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F16AC"/>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paragraph" w:customStyle="1" w:styleId="Bullet4">
    <w:name w:val="Bullet 4"/>
    <w:basedOn w:val="Normal"/>
    <w:qFormat/>
    <w:rsid w:val="00892C8C"/>
    <w:pPr>
      <w:spacing w:before="120" w:after="0" w:line="240" w:lineRule="auto"/>
      <w:ind w:left="1135" w:hanging="284"/>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F16AC"/>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F16AC"/>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paragraph" w:customStyle="1" w:styleId="Bullet4">
    <w:name w:val="Bullet 4"/>
    <w:basedOn w:val="Normal"/>
    <w:qFormat/>
    <w:rsid w:val="00892C8C"/>
    <w:pPr>
      <w:spacing w:before="120" w:after="0" w:line="240" w:lineRule="auto"/>
      <w:ind w:left="1135" w:hanging="284"/>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6588">
      <w:bodyDiv w:val="1"/>
      <w:marLeft w:val="0"/>
      <w:marRight w:val="0"/>
      <w:marTop w:val="0"/>
      <w:marBottom w:val="0"/>
      <w:divBdr>
        <w:top w:val="none" w:sz="0" w:space="0" w:color="auto"/>
        <w:left w:val="none" w:sz="0" w:space="0" w:color="auto"/>
        <w:bottom w:val="none" w:sz="0" w:space="0" w:color="auto"/>
        <w:right w:val="none" w:sz="0" w:space="0" w:color="auto"/>
      </w:divBdr>
    </w:div>
    <w:div w:id="18915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domestic-violence"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prevent-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B76276B-FA96-464D-BFAE-AB7CBB08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TotalTime>
  <Pages>8</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costing minute—during the caretaker period for a general election</vt:lpstr>
    </vt:vector>
  </TitlesOfParts>
  <Company>Parliament of Australia</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GRN069 - Confronting our Domestic Violence Crisis - 1 July 2016</dc:title>
  <dc:creator>Parliamentary Budget Office</dc:creator>
  <cp:lastModifiedBy>Milligan, Louise (PBO)</cp:lastModifiedBy>
  <cp:revision>5</cp:revision>
  <cp:lastPrinted>2016-06-30T10:35:00Z</cp:lastPrinted>
  <dcterms:created xsi:type="dcterms:W3CDTF">2016-07-01T02:09:00Z</dcterms:created>
  <dcterms:modified xsi:type="dcterms:W3CDTF">2016-07-01T02:28:00Z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