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C44EE1"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040DCE" w:rsidRPr="00002D5D" w:rsidRDefault="00C44EE1"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C44EE1">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063D2A">
        <w:rPr>
          <w:i/>
        </w:rPr>
        <w:t>Sustainable Schools Fund</w:t>
      </w:r>
      <w:r w:rsidRPr="00002D5D">
        <w:t xml:space="preserve"> (letter of </w:t>
      </w:r>
      <w:r w:rsidR="002F36DB">
        <w:t>30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882ED6" w:rsidP="00882ED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C44EE1">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721999"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721999" w:rsidRDefault="004D5525" w:rsidP="004D5525">
            <w:pPr>
              <w:pStyle w:val="BodyText"/>
              <w:rPr>
                <w:sz w:val="22"/>
              </w:rPr>
            </w:pPr>
            <w:r w:rsidRPr="00721999">
              <w:rPr>
                <w:sz w:val="22"/>
              </w:rPr>
              <w:t>Name of proposal:</w:t>
            </w:r>
          </w:p>
        </w:tc>
        <w:tc>
          <w:tcPr>
            <w:tcW w:w="5335" w:type="dxa"/>
          </w:tcPr>
          <w:p w:rsidR="004D5525" w:rsidRPr="00721999" w:rsidRDefault="006A73F6" w:rsidP="004D5525">
            <w:pPr>
              <w:pStyle w:val="BodyText"/>
              <w:rPr>
                <w:sz w:val="22"/>
              </w:rPr>
            </w:pPr>
            <w:r w:rsidRPr="00721999">
              <w:rPr>
                <w:sz w:val="22"/>
              </w:rPr>
              <w:t>Sustainable Schools Fund</w:t>
            </w:r>
          </w:p>
        </w:tc>
      </w:tr>
      <w:tr w:rsidR="004D5525" w:rsidTr="00D52D5F">
        <w:tc>
          <w:tcPr>
            <w:tcW w:w="3005" w:type="dxa"/>
          </w:tcPr>
          <w:p w:rsidR="004D5525" w:rsidRDefault="004D5525" w:rsidP="004D5525">
            <w:pPr>
              <w:pStyle w:val="BodyText"/>
            </w:pPr>
            <w:r>
              <w:t>Summary of proposal:</w:t>
            </w:r>
          </w:p>
        </w:tc>
        <w:tc>
          <w:tcPr>
            <w:tcW w:w="5335" w:type="dxa"/>
          </w:tcPr>
          <w:p w:rsidR="004D5525" w:rsidRDefault="004D5525" w:rsidP="00C44EE1">
            <w:r w:rsidRPr="007A0E77">
              <w:t xml:space="preserve">The proposal would </w:t>
            </w:r>
            <w:r w:rsidR="00C44EE1" w:rsidRPr="007A0E77">
              <w:t>invest</w:t>
            </w:r>
            <w:r w:rsidR="00C44EE1">
              <w:t xml:space="preserve"> $188 million </w:t>
            </w:r>
            <w:r w:rsidR="00C44EE1" w:rsidRPr="002F37A4">
              <w:t xml:space="preserve">over </w:t>
            </w:r>
            <w:r w:rsidR="008C6AAB">
              <w:t>the 2017 and 2018</w:t>
            </w:r>
            <w:r w:rsidR="00C44EE1" w:rsidRPr="002F37A4">
              <w:t xml:space="preserve"> </w:t>
            </w:r>
            <w:r w:rsidR="00780C3B" w:rsidRPr="002F37A4">
              <w:t xml:space="preserve">calendar </w:t>
            </w:r>
            <w:r w:rsidR="00C44EE1" w:rsidRPr="002F37A4">
              <w:t>years into a Sustainable Schools Pro</w:t>
            </w:r>
            <w:r w:rsidR="00C44EE1">
              <w:t>gramme that schools c</w:t>
            </w:r>
            <w:r w:rsidR="008C6AAB">
              <w:t>ould</w:t>
            </w:r>
            <w:r w:rsidR="00C44EE1">
              <w:t xml:space="preserve"> bid into to pay for minor sustainability infrastructure works</w:t>
            </w:r>
            <w:r w:rsidR="008C6AAB">
              <w:t>,</w:t>
            </w:r>
            <w:r w:rsidR="00C44EE1">
              <w:t xml:space="preserve"> for purposes such as energy efficiency, energy capture</w:t>
            </w:r>
            <w:r w:rsidR="008C6AAB">
              <w:t xml:space="preserve"> and</w:t>
            </w:r>
            <w:r w:rsidR="00C44EE1">
              <w:t xml:space="preserve"> water capture.</w:t>
            </w:r>
          </w:p>
          <w:p w:rsidR="00780C3B" w:rsidRPr="00C17112" w:rsidRDefault="00780C3B" w:rsidP="00C44EE1">
            <w:r>
              <w:t>Departmental expenses would be additional to the proposed annual spending commitments.</w:t>
            </w:r>
          </w:p>
          <w:p w:rsidR="004D5525" w:rsidRDefault="004D5525" w:rsidP="008633CD">
            <w:pPr>
              <w:pStyle w:val="BodyText"/>
            </w:pPr>
            <w:r w:rsidRPr="00C44EE1">
              <w:t xml:space="preserve">The proposal would have effect from </w:t>
            </w:r>
            <w:r w:rsidR="00C44EE1" w:rsidRPr="00C44EE1">
              <w:t xml:space="preserve">1 </w:t>
            </w:r>
            <w:r w:rsidR="008633CD">
              <w:t>September 2016</w:t>
            </w:r>
            <w:r w:rsidRPr="00C44EE1">
              <w:t>.</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C44EE1" w:rsidP="004D5525">
            <w:pPr>
              <w:pStyle w:val="BodyText"/>
            </w:pPr>
            <w:r>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B13270" w:rsidP="00060F22">
            <w:pPr>
              <w:pStyle w:val="BodyText"/>
            </w:pPr>
            <w:r>
              <w:t>6 June 2016</w:t>
            </w:r>
          </w:p>
          <w:p w:rsidR="00B13270" w:rsidRPr="00C17112" w:rsidRDefault="00055FCE" w:rsidP="00B13270">
            <w:pPr>
              <w:pStyle w:val="BodyText"/>
            </w:pPr>
            <w:hyperlink r:id="rId13" w:history="1">
              <w:r w:rsidR="00B13270" w:rsidRPr="00CE0381">
                <w:rPr>
                  <w:rStyle w:val="Hyperlink"/>
                </w:rPr>
                <w:t>http://greens.org.au/news/vic/greens-announce-support-solar-homes-and-businesses</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8633CD" w:rsidP="004D5525">
            <w:pPr>
              <w:pStyle w:val="BodyText"/>
            </w:pPr>
            <w:r>
              <w:t>30 June 2016</w:t>
            </w:r>
          </w:p>
        </w:tc>
      </w:tr>
      <w:tr w:rsidR="004D5525" w:rsidTr="00D52D5F">
        <w:tc>
          <w:tcPr>
            <w:tcW w:w="3005" w:type="dxa"/>
          </w:tcPr>
          <w:p w:rsidR="004D5525" w:rsidRDefault="004D5525" w:rsidP="004D5525">
            <w:pPr>
              <w:pStyle w:val="BodyText"/>
            </w:pPr>
            <w:r>
              <w:t>Date costing completed</w:t>
            </w:r>
            <w:r w:rsidR="00A7652B">
              <w:t>:</w:t>
            </w:r>
          </w:p>
        </w:tc>
        <w:tc>
          <w:tcPr>
            <w:tcW w:w="5335" w:type="dxa"/>
          </w:tcPr>
          <w:p w:rsidR="004D5525" w:rsidRPr="00C17112" w:rsidRDefault="007F5A98" w:rsidP="004D5525">
            <w:pPr>
              <w:pStyle w:val="BodyText"/>
            </w:pPr>
            <w:r>
              <w:t>30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8030EC" w:rsidRDefault="008030EC" w:rsidP="00A7652B">
      <w:r w:rsidRPr="00C44EE1">
        <w:t xml:space="preserve">This proposal </w:t>
      </w:r>
      <w:r w:rsidR="00FA7EEC">
        <w:t>would be</w:t>
      </w:r>
      <w:r w:rsidR="00FA7EEC" w:rsidRPr="00C44EE1">
        <w:t xml:space="preserve"> </w:t>
      </w:r>
      <w:r w:rsidRPr="00C44EE1">
        <w:t xml:space="preserve">expected to decrease the </w:t>
      </w:r>
      <w:r w:rsidR="005035DA" w:rsidRPr="00C44EE1">
        <w:t xml:space="preserve">fiscal </w:t>
      </w:r>
      <w:r w:rsidR="00C44EE1" w:rsidRPr="00C44EE1">
        <w:t xml:space="preserve">and underlying cash </w:t>
      </w:r>
      <w:r w:rsidR="005035DA" w:rsidRPr="00C44EE1">
        <w:t>balance</w:t>
      </w:r>
      <w:r w:rsidR="00C44EE1" w:rsidRPr="00C44EE1">
        <w:t>s</w:t>
      </w:r>
      <w:r w:rsidRPr="00C44EE1">
        <w:t xml:space="preserve"> by </w:t>
      </w:r>
      <w:r w:rsidR="00BD26EA">
        <w:t>$192</w:t>
      </w:r>
      <w:r w:rsidR="00C44EE1" w:rsidRPr="00C44EE1">
        <w:t>.0</w:t>
      </w:r>
      <w:r w:rsidRPr="00C44EE1">
        <w:t> </w:t>
      </w:r>
      <w:r w:rsidR="00DD3E18" w:rsidRPr="00C44EE1">
        <w:t>million</w:t>
      </w:r>
      <w:r w:rsidR="00C44EE1" w:rsidRPr="00C44EE1">
        <w:t xml:space="preserve"> over the 2016–17</w:t>
      </w:r>
      <w:r w:rsidRPr="00C44EE1">
        <w:t xml:space="preserve"> Budget forward estimates period.  This impact reflects a</w:t>
      </w:r>
      <w:r w:rsidR="00C44EE1" w:rsidRPr="00C44EE1">
        <w:t>n</w:t>
      </w:r>
      <w:r w:rsidRPr="00C44EE1">
        <w:t xml:space="preserve"> increase in </w:t>
      </w:r>
      <w:r w:rsidR="00C44EE1" w:rsidRPr="00C44EE1">
        <w:t>administrative expen</w:t>
      </w:r>
      <w:r w:rsidR="008C6AAB">
        <w:t>ses</w:t>
      </w:r>
      <w:r w:rsidRPr="00C44EE1">
        <w:t xml:space="preserve"> of </w:t>
      </w:r>
      <w:r w:rsidR="00C44EE1" w:rsidRPr="00C44EE1">
        <w:t>$188.0</w:t>
      </w:r>
      <w:r w:rsidR="00DD3E18" w:rsidRPr="00C44EE1">
        <w:t> m</w:t>
      </w:r>
      <w:r w:rsidRPr="00C44EE1">
        <w:t xml:space="preserve">illion and </w:t>
      </w:r>
      <w:r w:rsidR="007A73CD">
        <w:t>an increase</w:t>
      </w:r>
      <w:r w:rsidRPr="00D94931">
        <w:t xml:space="preserve"> </w:t>
      </w:r>
      <w:r w:rsidR="00E679DD">
        <w:t>in</w:t>
      </w:r>
      <w:r w:rsidR="00E679DD" w:rsidRPr="00C44EE1">
        <w:t xml:space="preserve"> departmental exp</w:t>
      </w:r>
      <w:r w:rsidR="00E679DD">
        <w:t>e</w:t>
      </w:r>
      <w:r w:rsidR="00E679DD" w:rsidRPr="00C44EE1">
        <w:t>n</w:t>
      </w:r>
      <w:r w:rsidR="008C6AAB">
        <w:t>ses</w:t>
      </w:r>
      <w:r w:rsidR="00E679DD">
        <w:t xml:space="preserve"> </w:t>
      </w:r>
      <w:r w:rsidR="007A73CD">
        <w:t xml:space="preserve">of $4.0 million </w:t>
      </w:r>
      <w:r w:rsidRPr="00D94931">
        <w:t>over this period</w:t>
      </w:r>
      <w:r w:rsidR="00C44EE1" w:rsidRPr="00D94931">
        <w:t>.</w:t>
      </w:r>
    </w:p>
    <w:p w:rsidR="00E84227" w:rsidRPr="003C7BCA" w:rsidRDefault="00E84227" w:rsidP="00A7652B">
      <w:r w:rsidRPr="003C7BCA">
        <w:t xml:space="preserve">The proposal would not have an impact beyond the forward estimates </w:t>
      </w:r>
      <w:r>
        <w:t xml:space="preserve">period </w:t>
      </w:r>
      <w:r w:rsidRPr="003C7BCA">
        <w:t xml:space="preserve">as the proposal would terminate in 2019-20.  </w:t>
      </w:r>
      <w:r>
        <w:t>Detailed</w:t>
      </w:r>
      <w:r w:rsidRPr="003C7BCA">
        <w:t xml:space="preserve"> financial implications </w:t>
      </w:r>
      <w:r>
        <w:t xml:space="preserve">are </w:t>
      </w:r>
      <w:r w:rsidRPr="003C7BCA">
        <w:t xml:space="preserve">provided at </w:t>
      </w:r>
      <w:r w:rsidRPr="004668DA">
        <w:rPr>
          <w:u w:val="single"/>
        </w:rPr>
        <w:t>Attachment A</w:t>
      </w:r>
      <w:r w:rsidRPr="003C7BCA">
        <w:t>.</w:t>
      </w:r>
    </w:p>
    <w:p w:rsidR="006E7B50" w:rsidRDefault="006E7B50" w:rsidP="00A7652B">
      <w:r>
        <w:t>The departmental expense estimates in this costing are considered to be of high reliability as they are based on the costs of similar programs.</w:t>
      </w:r>
    </w:p>
    <w:p w:rsidR="008B3D60" w:rsidRPr="00D94931" w:rsidRDefault="006E7B50" w:rsidP="00A7652B">
      <w:pPr>
        <w:keepNext/>
        <w:keepLines/>
      </w:pPr>
      <w:r>
        <w:lastRenderedPageBreak/>
        <w:t xml:space="preserve">The administered expense estimates in this costing are considered to be of </w:t>
      </w:r>
      <w:r w:rsidR="00D94931" w:rsidRPr="00D94931">
        <w:t>high</w:t>
      </w:r>
      <w:r w:rsidR="008D3909" w:rsidRPr="00D94931">
        <w:t xml:space="preserve"> reliability</w:t>
      </w:r>
      <w:r w:rsidR="00341874">
        <w:t xml:space="preserve"> </w:t>
      </w:r>
      <w:r>
        <w:t>as the amounts are as specified in the request</w:t>
      </w:r>
      <w:r w:rsidR="008D3909" w:rsidRPr="00D94931">
        <w:t xml:space="preserve">.  </w:t>
      </w:r>
      <w:r w:rsidR="008B3D60" w:rsidRPr="000E6C3D">
        <w:t>However, no analysis has been undertaken to determine the adequacy of the prescribed funding amounts to achieve the objective</w:t>
      </w:r>
      <w:r w:rsidR="008B3D60">
        <w:t>s</w:t>
      </w:r>
      <w:r w:rsidR="008B3D60" w:rsidRPr="000E6C3D">
        <w:t xml:space="preserve"> of the proposal.</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8B1D94">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C17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C170DF">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C170D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C170D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C170D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C170D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C170D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C17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C170DF">
            <w:pPr>
              <w:pStyle w:val="TableTextCentred"/>
              <w:keepNext/>
              <w:keepLines/>
              <w:jc w:val="left"/>
              <w:rPr>
                <w:szCs w:val="20"/>
              </w:rPr>
            </w:pPr>
            <w:r w:rsidRPr="00B73AC8">
              <w:rPr>
                <w:szCs w:val="20"/>
              </w:rPr>
              <w:t>Fiscal balance</w:t>
            </w:r>
          </w:p>
        </w:tc>
        <w:tc>
          <w:tcPr>
            <w:tcW w:w="682" w:type="pct"/>
          </w:tcPr>
          <w:p w:rsidR="00EA265F" w:rsidRPr="00B73AC8" w:rsidRDefault="008F4C82" w:rsidP="00C170D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-48.0</w:t>
            </w:r>
          </w:p>
        </w:tc>
        <w:tc>
          <w:tcPr>
            <w:tcW w:w="682" w:type="pct"/>
          </w:tcPr>
          <w:p w:rsidR="00EA265F" w:rsidRPr="00B73AC8" w:rsidRDefault="008F4C82" w:rsidP="00C170D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-96</w:t>
            </w:r>
            <w:r w:rsidR="008B1D94">
              <w:rPr>
                <w:rFonts w:ascii="Calibri" w:hAnsi="Calibri"/>
                <w:szCs w:val="20"/>
              </w:rPr>
              <w:t>.0</w:t>
            </w:r>
          </w:p>
        </w:tc>
        <w:tc>
          <w:tcPr>
            <w:tcW w:w="682" w:type="pct"/>
          </w:tcPr>
          <w:p w:rsidR="00EA265F" w:rsidRPr="00B73AC8" w:rsidRDefault="008F4C82" w:rsidP="00C170D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-48</w:t>
            </w:r>
            <w:r w:rsidR="008B1D94">
              <w:rPr>
                <w:rFonts w:ascii="Calibri" w:hAnsi="Calibri"/>
                <w:szCs w:val="20"/>
              </w:rPr>
              <w:t>.0</w:t>
            </w:r>
          </w:p>
        </w:tc>
        <w:tc>
          <w:tcPr>
            <w:tcW w:w="682" w:type="pct"/>
          </w:tcPr>
          <w:p w:rsidR="00EA265F" w:rsidRPr="00B73AC8" w:rsidRDefault="008B1D94" w:rsidP="00C170D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w:t>
            </w:r>
          </w:p>
        </w:tc>
        <w:tc>
          <w:tcPr>
            <w:tcW w:w="681" w:type="pct"/>
          </w:tcPr>
          <w:p w:rsidR="00EA265F" w:rsidRPr="00F97DFF" w:rsidRDefault="008F4C82" w:rsidP="00C170D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-192</w:t>
            </w:r>
            <w:r w:rsidR="008B1D94">
              <w:rPr>
                <w:rFonts w:ascii="Calibri" w:hAnsi="Calibri"/>
                <w:b/>
                <w:szCs w:val="20"/>
              </w:rPr>
              <w:t>.0</w:t>
            </w:r>
          </w:p>
        </w:tc>
      </w:tr>
      <w:tr w:rsidR="00692DD8" w:rsidRPr="00B73AC8" w:rsidTr="00C170D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C170DF">
            <w:pPr>
              <w:pStyle w:val="TableTextCentred"/>
              <w:keepNext/>
              <w:keepLines/>
              <w:jc w:val="left"/>
              <w:rPr>
                <w:szCs w:val="20"/>
              </w:rPr>
            </w:pPr>
            <w:r w:rsidRPr="00B73AC8">
              <w:rPr>
                <w:szCs w:val="20"/>
              </w:rPr>
              <w:t>Underlying cash balance</w:t>
            </w:r>
          </w:p>
        </w:tc>
        <w:tc>
          <w:tcPr>
            <w:tcW w:w="682" w:type="pct"/>
          </w:tcPr>
          <w:p w:rsidR="00CA5D42" w:rsidRPr="00B73AC8" w:rsidRDefault="008F4C82" w:rsidP="00C170D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-48.0</w:t>
            </w:r>
          </w:p>
        </w:tc>
        <w:tc>
          <w:tcPr>
            <w:tcW w:w="682" w:type="pct"/>
          </w:tcPr>
          <w:p w:rsidR="00CA5D42" w:rsidRPr="00B73AC8" w:rsidRDefault="008F4C82" w:rsidP="00C170D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-96</w:t>
            </w:r>
            <w:r w:rsidR="008B1D94">
              <w:rPr>
                <w:rFonts w:ascii="Calibri" w:hAnsi="Calibri"/>
                <w:szCs w:val="20"/>
              </w:rPr>
              <w:t>.0</w:t>
            </w:r>
          </w:p>
        </w:tc>
        <w:tc>
          <w:tcPr>
            <w:tcW w:w="682" w:type="pct"/>
          </w:tcPr>
          <w:p w:rsidR="00CA5D42" w:rsidRPr="00B73AC8" w:rsidRDefault="008F4C82" w:rsidP="00C170D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-48</w:t>
            </w:r>
            <w:r w:rsidR="008B1D94">
              <w:rPr>
                <w:rFonts w:ascii="Calibri" w:hAnsi="Calibri"/>
                <w:szCs w:val="20"/>
              </w:rPr>
              <w:t>.0</w:t>
            </w:r>
          </w:p>
        </w:tc>
        <w:tc>
          <w:tcPr>
            <w:tcW w:w="682" w:type="pct"/>
          </w:tcPr>
          <w:p w:rsidR="00CA5D42" w:rsidRPr="00B73AC8" w:rsidRDefault="008B1D94" w:rsidP="00C170D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1" w:type="pct"/>
          </w:tcPr>
          <w:p w:rsidR="00CA5D42" w:rsidRPr="00F97DFF" w:rsidRDefault="008F4C82" w:rsidP="00C170D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-192</w:t>
            </w:r>
            <w:r w:rsidR="008B1D94">
              <w:rPr>
                <w:rFonts w:ascii="Calibri" w:hAnsi="Calibri"/>
                <w:b/>
                <w:szCs w:val="20"/>
              </w:rPr>
              <w:t>.0</w:t>
            </w:r>
          </w:p>
        </w:tc>
      </w:tr>
    </w:tbl>
    <w:p w:rsidR="009D4063" w:rsidRDefault="00D805AE" w:rsidP="009D4063">
      <w:pPr>
        <w:pStyle w:val="Footnotes"/>
        <w:keepNext/>
        <w:keepLines/>
        <w:numPr>
          <w:ilvl w:val="0"/>
          <w:numId w:val="7"/>
        </w:numPr>
        <w:ind w:left="284" w:hanging="284"/>
      </w:pPr>
      <w:r>
        <w:t>A positive number represents an increase in the relevant budget balance, a negative number represents a decrease.</w:t>
      </w:r>
    </w:p>
    <w:p w:rsidR="003E6450" w:rsidRDefault="00D747D2" w:rsidP="003E6450">
      <w:pPr>
        <w:pStyle w:val="Footnotes"/>
        <w:keepNext/>
        <w:keepLines/>
        <w:numPr>
          <w:ilvl w:val="0"/>
          <w:numId w:val="7"/>
        </w:numPr>
        <w:ind w:left="284" w:hanging="284"/>
      </w:pPr>
      <w:r>
        <w:t>Figures may not sum to totals due to rounding.</w:t>
      </w:r>
    </w:p>
    <w:p w:rsidR="00EA691F" w:rsidRDefault="00EA691F" w:rsidP="00A7652B">
      <w:pPr>
        <w:pStyle w:val="Footnotes"/>
        <w:keepNext/>
        <w:keepLines/>
        <w:numPr>
          <w:ilvl w:val="0"/>
          <w:numId w:val="18"/>
        </w:numPr>
        <w:ind w:left="284" w:hanging="284"/>
      </w:pPr>
      <w:r>
        <w:t>Indicates nil</w:t>
      </w:r>
    </w:p>
    <w:p w:rsidR="00BD26EA" w:rsidRPr="00FC6579" w:rsidRDefault="00BD26EA" w:rsidP="00BD26EA">
      <w:pPr>
        <w:pStyle w:val="Heading2"/>
      </w:pPr>
      <w:r>
        <w:t>Key assumptions</w:t>
      </w:r>
    </w:p>
    <w:p w:rsidR="00BD26EA" w:rsidRDefault="006E7B50" w:rsidP="00BD26EA">
      <w:r>
        <w:t>Administered expenditure is assumed to occur evenly throughout the calendar year.</w:t>
      </w:r>
    </w:p>
    <w:p w:rsidR="005E3562" w:rsidRPr="00FC6579" w:rsidRDefault="005E3562" w:rsidP="00623CE9">
      <w:pPr>
        <w:pStyle w:val="Heading2"/>
      </w:pPr>
      <w:r w:rsidRPr="00FC6579">
        <w:t>Methodology</w:t>
      </w:r>
    </w:p>
    <w:p w:rsidR="005E3562" w:rsidRPr="00063D2A" w:rsidRDefault="00120A34" w:rsidP="00A7652B">
      <w:r w:rsidRPr="00063D2A">
        <w:t>Administered expenditure estimates are as specified in the request.  The departmental expenditure estimates are in addition to capped amounts, as specified, and are based on other like initiatives and estimates account for the net effect of indexation parameters and the efficiency dividend, in accordance with the Department of Finance’s costing practices.</w:t>
      </w:r>
    </w:p>
    <w:p w:rsidR="005E3562" w:rsidRPr="00002D5D" w:rsidRDefault="00120A34" w:rsidP="00A7652B">
      <w:r w:rsidRPr="00063D2A">
        <w:t>Estimates are derived on a calendar</w:t>
      </w:r>
      <w:r w:rsidR="007A73CD">
        <w:t xml:space="preserve"> </w:t>
      </w:r>
      <w:r w:rsidR="00851C38">
        <w:t xml:space="preserve">(school) </w:t>
      </w:r>
      <w:r w:rsidR="007A73CD">
        <w:t>year</w:t>
      </w:r>
      <w:r w:rsidRPr="00063D2A">
        <w:t xml:space="preserve"> </w:t>
      </w:r>
      <w:r w:rsidR="00063D2A" w:rsidRPr="00063D2A">
        <w:t>basis and converted to financial years.</w:t>
      </w:r>
    </w:p>
    <w:p w:rsidR="005E3562" w:rsidRPr="002B4FC7" w:rsidRDefault="005E3562" w:rsidP="00E40B8B">
      <w:pPr>
        <w:pStyle w:val="Heading2"/>
      </w:pPr>
      <w:r w:rsidRPr="002B4FC7">
        <w:t>Data sources</w:t>
      </w:r>
    </w:p>
    <w:p w:rsidR="002B4FC7" w:rsidRDefault="00063D2A" w:rsidP="00A7652B">
      <w:r w:rsidRPr="002B4FC7">
        <w:t>The</w:t>
      </w:r>
      <w:r w:rsidRPr="00063D2A">
        <w:t xml:space="preserve"> Department of Finance provided indexation</w:t>
      </w:r>
      <w:r w:rsidR="005649B4" w:rsidRPr="005649B4">
        <w:t xml:space="preserve"> </w:t>
      </w:r>
      <w:r w:rsidR="005649B4" w:rsidRPr="004668DA">
        <w:t>and efficiency dividend</w:t>
      </w:r>
      <w:r w:rsidRPr="00063D2A">
        <w:t xml:space="preserve"> parameters.</w:t>
      </w:r>
    </w:p>
    <w:p w:rsidR="00A7652B" w:rsidRDefault="00A7652B" w:rsidP="00A7652B"/>
    <w:p w:rsidR="00A7652B" w:rsidRPr="00FC6579" w:rsidRDefault="00A7652B" w:rsidP="00A7652B">
      <w:pPr>
        <w:rPr>
          <w:highlight w:val="yellow"/>
        </w:rPr>
        <w:sectPr w:rsidR="00A7652B" w:rsidRPr="00FC6579" w:rsidSect="00002D5D">
          <w:headerReference w:type="first" r:id="rId14"/>
          <w:footerReference w:type="first" r:id="rId15"/>
          <w:pgSz w:w="11906" w:h="16838"/>
          <w:pgMar w:top="1361" w:right="1797" w:bottom="1474" w:left="1797" w:header="709" w:footer="709" w:gutter="0"/>
          <w:cols w:space="708"/>
          <w:titlePg/>
          <w:docGrid w:linePitch="360"/>
        </w:sectPr>
      </w:pPr>
    </w:p>
    <w:p w:rsidR="002B4FC7" w:rsidRPr="00FC6579" w:rsidRDefault="002B4FC7" w:rsidP="002B4FC7">
      <w:pPr>
        <w:pStyle w:val="Heading1"/>
      </w:pPr>
      <w:r w:rsidRPr="00FC6579">
        <w:lastRenderedPageBreak/>
        <w:t>Attachment A:</w:t>
      </w:r>
      <w:r w:rsidR="006E7B50">
        <w:t xml:space="preserve"> </w:t>
      </w:r>
      <w:r>
        <w:t>Sustainab</w:t>
      </w:r>
      <w:r w:rsidR="00B110B8">
        <w:t>le Schools Fund—financial </w:t>
      </w:r>
      <w:r>
        <w:t>implications</w:t>
      </w:r>
    </w:p>
    <w:p w:rsidR="002B4FC7" w:rsidRDefault="002B4FC7" w:rsidP="002B4FC7">
      <w:pPr>
        <w:pStyle w:val="Captionheading"/>
        <w:rPr>
          <w:vertAlign w:val="superscript"/>
        </w:rPr>
      </w:pPr>
      <w:r w:rsidRPr="00FC5643">
        <w:t xml:space="preserve">Table </w:t>
      </w:r>
      <w:r>
        <w:t>A1</w:t>
      </w:r>
      <w:r w:rsidRPr="00FC5643">
        <w:t xml:space="preserve">: </w:t>
      </w:r>
      <w:r>
        <w:t>Sustainable Schools Fund—Financial implications (outturn prices)</w:t>
      </w:r>
      <w:r>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2B4FC7" w:rsidRPr="00EF1D6A" w:rsidTr="00CA519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2B4FC7" w:rsidRPr="00C170DF" w:rsidRDefault="002B4FC7" w:rsidP="00C170DF">
            <w:pPr>
              <w:pStyle w:val="TableText"/>
              <w:keepNext/>
              <w:keepLines/>
              <w:rPr>
                <w:rFonts w:ascii="Calibri" w:hAnsi="Calibri"/>
                <w:szCs w:val="20"/>
              </w:rPr>
            </w:pPr>
            <w:r w:rsidRPr="00C170DF">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2B4FC7" w:rsidRPr="00C170DF" w:rsidRDefault="002B4FC7" w:rsidP="00C170DF">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C170DF">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2B4FC7" w:rsidRPr="00C170DF" w:rsidRDefault="002B4FC7" w:rsidP="00C170DF">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C170DF">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2B4FC7" w:rsidRPr="00C170DF" w:rsidRDefault="002B4FC7" w:rsidP="00C170DF">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C170DF">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2B4FC7" w:rsidRPr="00C170DF" w:rsidRDefault="002B4FC7" w:rsidP="00C170DF">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C170DF">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2B4FC7" w:rsidRPr="00AE30B5" w:rsidRDefault="002B4FC7" w:rsidP="00C170DF">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2B4FC7" w:rsidRPr="00EF1D6A" w:rsidTr="00CA51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2B4FC7" w:rsidRPr="00AE30B5" w:rsidRDefault="008974F9" w:rsidP="00C170DF">
            <w:pPr>
              <w:pStyle w:val="TableHeadingCentred"/>
              <w:jc w:val="left"/>
              <w:rPr>
                <w:b/>
              </w:rPr>
            </w:pPr>
            <w:r>
              <w:rPr>
                <w:b/>
              </w:rPr>
              <w:t>Impact on f</w:t>
            </w:r>
            <w:r w:rsidR="002B4FC7" w:rsidRPr="00AE30B5">
              <w:rPr>
                <w:b/>
              </w:rPr>
              <w:t>iscal and underlying cash balances</w:t>
            </w:r>
          </w:p>
        </w:tc>
      </w:tr>
      <w:tr w:rsidR="002B4FC7" w:rsidRPr="0066665A" w:rsidTr="00CA5193">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2B4FC7" w:rsidRPr="00AB55AE" w:rsidRDefault="002B4FC7" w:rsidP="00C170DF">
            <w:pPr>
              <w:pStyle w:val="TableTextCentred"/>
              <w:keepNext/>
              <w:keepLines/>
              <w:jc w:val="left"/>
              <w:rPr>
                <w:i/>
                <w:szCs w:val="20"/>
              </w:rPr>
            </w:pPr>
            <w:r>
              <w:rPr>
                <w:i/>
                <w:szCs w:val="20"/>
              </w:rPr>
              <w:t>Administered expenses</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000000" w:firstRow="0" w:lastRow="0" w:firstColumn="0" w:lastColumn="0" w:oddVBand="0" w:evenVBand="0" w:oddHBand="0" w:evenHBand="0" w:firstRowFirstColumn="0" w:firstRowLastColumn="0" w:lastRowFirstColumn="0" w:lastRowLastColumn="0"/>
            </w:pPr>
            <w:r>
              <w:t>-47.0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000000" w:firstRow="0" w:lastRow="0" w:firstColumn="0" w:lastColumn="0" w:oddVBand="0" w:evenVBand="0" w:oddHBand="0" w:evenHBand="0" w:firstRowFirstColumn="0" w:firstRowLastColumn="0" w:lastRowFirstColumn="0" w:lastRowLastColumn="0"/>
            </w:pPr>
            <w:r>
              <w:t>-94.0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000000" w:firstRow="0" w:lastRow="0" w:firstColumn="0" w:lastColumn="0" w:oddVBand="0" w:evenVBand="0" w:oddHBand="0" w:evenHBand="0" w:firstRowFirstColumn="0" w:firstRowLastColumn="0" w:lastRowFirstColumn="0" w:lastRowLastColumn="0"/>
            </w:pPr>
            <w:r>
              <w:t>-47.0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000000" w:firstRow="0" w:lastRow="0" w:firstColumn="0" w:lastColumn="0" w:oddVBand="0" w:evenVBand="0" w:oddHBand="0"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2B4FC7" w:rsidRPr="00AE30B5"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rPr>
            </w:pPr>
            <w:r>
              <w:rPr>
                <w:b/>
              </w:rPr>
              <w:t>-188.0</w:t>
            </w:r>
          </w:p>
        </w:tc>
      </w:tr>
      <w:tr w:rsidR="002B4FC7" w:rsidRPr="0066665A" w:rsidTr="00CA51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2B4FC7" w:rsidRPr="00AB55AE" w:rsidRDefault="002B4FC7" w:rsidP="00C170DF">
            <w:pPr>
              <w:pStyle w:val="TableTextCentred"/>
              <w:keepNext/>
              <w:keepLines/>
              <w:jc w:val="left"/>
              <w:rPr>
                <w:i/>
                <w:szCs w:val="20"/>
              </w:rPr>
            </w:pPr>
            <w:r>
              <w:rPr>
                <w:i/>
                <w:szCs w:val="20"/>
              </w:rPr>
              <w:t>Departmental expenses</w:t>
            </w:r>
            <w:r w:rsidR="00E46FFD">
              <w:rPr>
                <w:i/>
                <w:szCs w:val="20"/>
              </w:rPr>
              <w:t xml:space="preserve"> – </w:t>
            </w:r>
            <w:r w:rsidR="008974F9">
              <w:rPr>
                <w:i/>
                <w:szCs w:val="20"/>
              </w:rPr>
              <w:t xml:space="preserve">Department of </w:t>
            </w:r>
            <w:r w:rsidR="00E46FFD">
              <w:rPr>
                <w:i/>
                <w:szCs w:val="20"/>
              </w:rPr>
              <w:t>Education</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100000" w:firstRow="0" w:lastRow="0" w:firstColumn="0" w:lastColumn="0" w:oddVBand="0" w:evenVBand="0" w:oddHBand="1" w:evenHBand="0" w:firstRowFirstColumn="0" w:firstRowLastColumn="0" w:lastRowFirstColumn="0" w:lastRowLastColumn="0"/>
            </w:pPr>
            <w:r>
              <w:t>-2.0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100000" w:firstRow="0" w:lastRow="0" w:firstColumn="0" w:lastColumn="0" w:oddVBand="0" w:evenVBand="0" w:oddHBand="1" w:evenHBand="0" w:firstRowFirstColumn="0" w:firstRowLastColumn="0" w:lastRowFirstColumn="0" w:lastRowLastColumn="0"/>
            </w:pPr>
            <w:r>
              <w:t>-1.0</w:t>
            </w:r>
          </w:p>
        </w:tc>
        <w:tc>
          <w:tcPr>
            <w:tcW w:w="682" w:type="pct"/>
            <w:tcBorders>
              <w:top w:val="single" w:sz="4" w:space="0" w:color="788184"/>
              <w:left w:val="single" w:sz="4" w:space="0" w:color="788184"/>
              <w:bottom w:val="single" w:sz="4" w:space="0" w:color="788184"/>
              <w:right w:val="single" w:sz="4" w:space="0" w:color="788184"/>
            </w:tcBorders>
          </w:tcPr>
          <w:p w:rsidR="002B4FC7" w:rsidRPr="00AA3D6F" w:rsidRDefault="002B4FC7" w:rsidP="00C170DF">
            <w:pPr>
              <w:pStyle w:val="TableTextRight"/>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2B4FC7" w:rsidRPr="00AE30B5" w:rsidRDefault="002B4FC7" w:rsidP="00C170DF">
            <w:pPr>
              <w:pStyle w:val="TableTextRight"/>
              <w:cnfStyle w:val="000000100000" w:firstRow="0" w:lastRow="0" w:firstColumn="0" w:lastColumn="0" w:oddVBand="0" w:evenVBand="0" w:oddHBand="1" w:evenHBand="0" w:firstRowFirstColumn="0" w:firstRowLastColumn="0" w:lastRowFirstColumn="0" w:lastRowLastColumn="0"/>
              <w:rPr>
                <w:b/>
              </w:rPr>
            </w:pPr>
            <w:r>
              <w:rPr>
                <w:b/>
              </w:rPr>
              <w:t>-4.0</w:t>
            </w:r>
          </w:p>
        </w:tc>
      </w:tr>
      <w:tr w:rsidR="002B4FC7" w:rsidRPr="0055406D" w:rsidTr="00CA5193">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2B4FC7" w:rsidRPr="0055406D" w:rsidRDefault="002B4FC7" w:rsidP="00C170DF">
            <w:pPr>
              <w:pStyle w:val="TableTextCentred"/>
              <w:keepNext/>
              <w:keepLines/>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2B4FC7" w:rsidRPr="0055406D"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-48.0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2B4FC7" w:rsidRPr="0055406D"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-96.0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2B4FC7" w:rsidRPr="0055406D"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-48.0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2B4FC7" w:rsidRPr="0055406D"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2B4FC7" w:rsidRPr="00AE30B5" w:rsidRDefault="002B4FC7" w:rsidP="00C170DF">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-192.0</w:t>
            </w:r>
          </w:p>
        </w:tc>
      </w:tr>
    </w:tbl>
    <w:p w:rsidR="002B4FC7" w:rsidRDefault="002B4FC7" w:rsidP="00E46FFD">
      <w:pPr>
        <w:pStyle w:val="Footnotes"/>
        <w:numPr>
          <w:ilvl w:val="0"/>
          <w:numId w:val="17"/>
        </w:numPr>
        <w:ind w:left="284" w:hanging="284"/>
      </w:pPr>
      <w:r>
        <w:t>A negative sign indicates an increase in expenses.</w:t>
      </w:r>
    </w:p>
    <w:p w:rsidR="002B4FC7" w:rsidRDefault="002B4FC7" w:rsidP="002B4FC7">
      <w:pPr>
        <w:pStyle w:val="Footnotes"/>
      </w:pPr>
      <w:r>
        <w:t>Figures may not sum to totals due to rounding.</w:t>
      </w:r>
    </w:p>
    <w:p w:rsidR="002B4FC7" w:rsidRPr="00063D2A" w:rsidRDefault="002B4FC7" w:rsidP="00E46FFD">
      <w:pPr>
        <w:pStyle w:val="Footnotes"/>
        <w:numPr>
          <w:ilvl w:val="0"/>
          <w:numId w:val="0"/>
        </w:numPr>
        <w:ind w:left="284" w:hanging="284"/>
      </w:pPr>
      <w:r>
        <w:t>-</w:t>
      </w:r>
      <w:r>
        <w:tab/>
        <w:t>Indicates nil.</w:t>
      </w:r>
    </w:p>
    <w:sectPr w:rsidR="002B4FC7" w:rsidRPr="00063D2A" w:rsidSect="00120A34">
      <w:headerReference w:type="first" r:id="rId16"/>
      <w:footerReference w:type="first" r:id="rId17"/>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94" w:rsidRDefault="008B1D94" w:rsidP="008F588A">
      <w:pPr>
        <w:spacing w:line="240" w:lineRule="auto"/>
      </w:pPr>
      <w:r>
        <w:separator/>
      </w:r>
    </w:p>
    <w:p w:rsidR="008B1D94" w:rsidRDefault="008B1D94"/>
  </w:endnote>
  <w:endnote w:type="continuationSeparator" w:id="0">
    <w:p w:rsidR="008B1D94" w:rsidRDefault="008B1D94" w:rsidP="008F588A">
      <w:pPr>
        <w:spacing w:line="240" w:lineRule="auto"/>
      </w:pPr>
      <w:r>
        <w:continuationSeparator/>
      </w:r>
    </w:p>
    <w:p w:rsidR="008B1D94" w:rsidRDefault="008B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4" w:rsidRPr="00C24267" w:rsidRDefault="008B1D9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55FCE">
      <w:rPr>
        <w:noProof/>
      </w:rPr>
      <w:t>3</w:t>
    </w:r>
    <w:r w:rsidRPr="00C24267">
      <w:fldChar w:fldCharType="end"/>
    </w:r>
    <w:r w:rsidRPr="00C24267">
      <w:t xml:space="preserve"> of </w:t>
    </w:r>
    <w:fldSimple w:instr=" NUMPAGES  \* Arabic  \* MERGEFORMAT ">
      <w:r w:rsidR="00055FCE">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4" w:rsidRPr="00C24267" w:rsidRDefault="008B1D94" w:rsidP="00C24267">
    <w:pPr>
      <w:pStyle w:val="Letterfooter"/>
    </w:pPr>
    <w:r w:rsidRPr="00C24267">
      <w:t>Parliamentary Budget Office   PO Box 6010   Parliament House   Canberra ACT 2600</w:t>
    </w:r>
  </w:p>
  <w:p w:rsidR="008B1D94" w:rsidRPr="00C24267" w:rsidRDefault="008B1D9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C24267" w:rsidRDefault="002B4FC7"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55FCE">
      <w:rPr>
        <w:noProof/>
      </w:rPr>
      <w:t>2</w:t>
    </w:r>
    <w:r w:rsidRPr="00C24267">
      <w:fldChar w:fldCharType="end"/>
    </w:r>
    <w:r w:rsidRPr="00C24267">
      <w:t xml:space="preserve"> of </w:t>
    </w:r>
    <w:fldSimple w:instr=" NUMPAGES  \* Arabic  \* MERGEFORMAT ">
      <w:r w:rsidR="00055FCE">
        <w:rPr>
          <w:noProof/>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4" w:rsidRPr="00C24267" w:rsidRDefault="008B1D9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55FCE">
      <w:rPr>
        <w:noProof/>
      </w:rPr>
      <w:t>4</w:t>
    </w:r>
    <w:r w:rsidRPr="00C24267">
      <w:fldChar w:fldCharType="end"/>
    </w:r>
    <w:r w:rsidRPr="00C24267">
      <w:t xml:space="preserve"> of </w:t>
    </w:r>
    <w:fldSimple w:instr=" NUMPAGES  \* Arabic  \* MERGEFORMAT ">
      <w:r w:rsidR="00055FCE">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94" w:rsidRDefault="008B1D94" w:rsidP="008F588A">
      <w:pPr>
        <w:spacing w:line="240" w:lineRule="auto"/>
      </w:pPr>
      <w:r>
        <w:separator/>
      </w:r>
    </w:p>
    <w:p w:rsidR="008B1D94" w:rsidRDefault="008B1D94"/>
  </w:footnote>
  <w:footnote w:type="continuationSeparator" w:id="0">
    <w:p w:rsidR="008B1D94" w:rsidRDefault="008B1D94" w:rsidP="008F588A">
      <w:pPr>
        <w:spacing w:line="240" w:lineRule="auto"/>
      </w:pPr>
      <w:r>
        <w:continuationSeparator/>
      </w:r>
    </w:p>
    <w:p w:rsidR="008B1D94" w:rsidRDefault="008B1D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4" w:rsidRDefault="008B1D94"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B1D94" w:rsidRPr="00DA1C8A" w:rsidRDefault="008B1D94"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C17112" w:rsidRDefault="002B4FC7" w:rsidP="00C17112">
    <w:pPr>
      <w:pStyle w:val="Header"/>
    </w:pPr>
    <w:r>
      <w:rPr>
        <w:noProof/>
        <w:lang w:eastAsia="en-AU"/>
      </w:rPr>
      <w:drawing>
        <wp:inline distT="0" distB="0" distL="0" distR="0" wp14:anchorId="761A3BD1" wp14:editId="6775BF2E">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4" w:rsidRPr="00A7652B" w:rsidRDefault="008B1D94" w:rsidP="00A7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75862AF"/>
    <w:multiLevelType w:val="hybridMultilevel"/>
    <w:tmpl w:val="03B477A0"/>
    <w:lvl w:ilvl="0" w:tplc="FDECD8D6">
      <w:start w:val="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F6"/>
    <w:rsid w:val="00002D5D"/>
    <w:rsid w:val="00015FB2"/>
    <w:rsid w:val="00024933"/>
    <w:rsid w:val="00040DCE"/>
    <w:rsid w:val="00055FCE"/>
    <w:rsid w:val="00060F22"/>
    <w:rsid w:val="00063D2A"/>
    <w:rsid w:val="00096F3A"/>
    <w:rsid w:val="000C1A75"/>
    <w:rsid w:val="000E1BE2"/>
    <w:rsid w:val="00120A34"/>
    <w:rsid w:val="001278D0"/>
    <w:rsid w:val="0014239B"/>
    <w:rsid w:val="001A02D1"/>
    <w:rsid w:val="001F7D6A"/>
    <w:rsid w:val="00220BE5"/>
    <w:rsid w:val="002422A3"/>
    <w:rsid w:val="002B4FC7"/>
    <w:rsid w:val="002F36DB"/>
    <w:rsid w:val="002F37A4"/>
    <w:rsid w:val="00315E34"/>
    <w:rsid w:val="00326DE2"/>
    <w:rsid w:val="00341874"/>
    <w:rsid w:val="00372499"/>
    <w:rsid w:val="003B474B"/>
    <w:rsid w:val="003D7744"/>
    <w:rsid w:val="003E4F5F"/>
    <w:rsid w:val="003E6450"/>
    <w:rsid w:val="003F73CA"/>
    <w:rsid w:val="00410A2C"/>
    <w:rsid w:val="00440E32"/>
    <w:rsid w:val="00461597"/>
    <w:rsid w:val="00485374"/>
    <w:rsid w:val="004C283B"/>
    <w:rsid w:val="004D13ED"/>
    <w:rsid w:val="004D5525"/>
    <w:rsid w:val="005035DA"/>
    <w:rsid w:val="00507897"/>
    <w:rsid w:val="00515A85"/>
    <w:rsid w:val="00545F24"/>
    <w:rsid w:val="0055581F"/>
    <w:rsid w:val="0056229A"/>
    <w:rsid w:val="005649B4"/>
    <w:rsid w:val="00570154"/>
    <w:rsid w:val="00570B5A"/>
    <w:rsid w:val="00587422"/>
    <w:rsid w:val="005B1A4A"/>
    <w:rsid w:val="005B7B75"/>
    <w:rsid w:val="005C6967"/>
    <w:rsid w:val="005E3562"/>
    <w:rsid w:val="005F7DE0"/>
    <w:rsid w:val="00623CE9"/>
    <w:rsid w:val="00640346"/>
    <w:rsid w:val="00654895"/>
    <w:rsid w:val="00660385"/>
    <w:rsid w:val="00662E65"/>
    <w:rsid w:val="0066665A"/>
    <w:rsid w:val="00692DD8"/>
    <w:rsid w:val="006A69A2"/>
    <w:rsid w:val="006A73F6"/>
    <w:rsid w:val="006E7B50"/>
    <w:rsid w:val="006F0CE9"/>
    <w:rsid w:val="007202A8"/>
    <w:rsid w:val="00721999"/>
    <w:rsid w:val="007229A9"/>
    <w:rsid w:val="00780C3B"/>
    <w:rsid w:val="007A0E77"/>
    <w:rsid w:val="007A73CD"/>
    <w:rsid w:val="007B029A"/>
    <w:rsid w:val="007D33AA"/>
    <w:rsid w:val="007D3577"/>
    <w:rsid w:val="007D64CD"/>
    <w:rsid w:val="007F5A98"/>
    <w:rsid w:val="007F7BCF"/>
    <w:rsid w:val="008030EC"/>
    <w:rsid w:val="00811D6D"/>
    <w:rsid w:val="00817E8E"/>
    <w:rsid w:val="00841C3A"/>
    <w:rsid w:val="00844776"/>
    <w:rsid w:val="00851C38"/>
    <w:rsid w:val="00861E6B"/>
    <w:rsid w:val="008633CD"/>
    <w:rsid w:val="00871F4B"/>
    <w:rsid w:val="00882ED6"/>
    <w:rsid w:val="008850D9"/>
    <w:rsid w:val="008908AF"/>
    <w:rsid w:val="008974F9"/>
    <w:rsid w:val="008A4578"/>
    <w:rsid w:val="008B1D94"/>
    <w:rsid w:val="008B3D60"/>
    <w:rsid w:val="008C03C3"/>
    <w:rsid w:val="008C6AAB"/>
    <w:rsid w:val="008D3909"/>
    <w:rsid w:val="008D6ECA"/>
    <w:rsid w:val="008F4C82"/>
    <w:rsid w:val="008F588A"/>
    <w:rsid w:val="00902D2D"/>
    <w:rsid w:val="009074EA"/>
    <w:rsid w:val="00915804"/>
    <w:rsid w:val="00915F62"/>
    <w:rsid w:val="009312B1"/>
    <w:rsid w:val="009479D1"/>
    <w:rsid w:val="0095507C"/>
    <w:rsid w:val="00957285"/>
    <w:rsid w:val="009573AF"/>
    <w:rsid w:val="00977D7B"/>
    <w:rsid w:val="009963ED"/>
    <w:rsid w:val="009D4063"/>
    <w:rsid w:val="00A41BD3"/>
    <w:rsid w:val="00A449C2"/>
    <w:rsid w:val="00A65EA3"/>
    <w:rsid w:val="00A7322F"/>
    <w:rsid w:val="00A7652B"/>
    <w:rsid w:val="00AA3D6F"/>
    <w:rsid w:val="00AB55AE"/>
    <w:rsid w:val="00AB6F7D"/>
    <w:rsid w:val="00AC7878"/>
    <w:rsid w:val="00AD493E"/>
    <w:rsid w:val="00AD5692"/>
    <w:rsid w:val="00AE30B5"/>
    <w:rsid w:val="00AE5755"/>
    <w:rsid w:val="00B06055"/>
    <w:rsid w:val="00B110B8"/>
    <w:rsid w:val="00B13270"/>
    <w:rsid w:val="00B44D8A"/>
    <w:rsid w:val="00B73AC8"/>
    <w:rsid w:val="00B747A7"/>
    <w:rsid w:val="00BA2BBF"/>
    <w:rsid w:val="00BC559C"/>
    <w:rsid w:val="00BD26EA"/>
    <w:rsid w:val="00C170DF"/>
    <w:rsid w:val="00C17112"/>
    <w:rsid w:val="00C24267"/>
    <w:rsid w:val="00C44EE1"/>
    <w:rsid w:val="00CA12A0"/>
    <w:rsid w:val="00CA5D42"/>
    <w:rsid w:val="00CB401E"/>
    <w:rsid w:val="00CB40E1"/>
    <w:rsid w:val="00CF6DB6"/>
    <w:rsid w:val="00CF7D9A"/>
    <w:rsid w:val="00D134CA"/>
    <w:rsid w:val="00D52D5F"/>
    <w:rsid w:val="00D747D2"/>
    <w:rsid w:val="00D805AE"/>
    <w:rsid w:val="00D94931"/>
    <w:rsid w:val="00D949A3"/>
    <w:rsid w:val="00DA1506"/>
    <w:rsid w:val="00DA1C8A"/>
    <w:rsid w:val="00DA3B55"/>
    <w:rsid w:val="00DB44F0"/>
    <w:rsid w:val="00DD109E"/>
    <w:rsid w:val="00DD3E18"/>
    <w:rsid w:val="00E12103"/>
    <w:rsid w:val="00E15AAE"/>
    <w:rsid w:val="00E21184"/>
    <w:rsid w:val="00E232C7"/>
    <w:rsid w:val="00E40B8B"/>
    <w:rsid w:val="00E46FFD"/>
    <w:rsid w:val="00E5742E"/>
    <w:rsid w:val="00E679DD"/>
    <w:rsid w:val="00E84227"/>
    <w:rsid w:val="00EA265F"/>
    <w:rsid w:val="00EA5685"/>
    <w:rsid w:val="00EA691F"/>
    <w:rsid w:val="00ED43FF"/>
    <w:rsid w:val="00EE6600"/>
    <w:rsid w:val="00EF1D6A"/>
    <w:rsid w:val="00EF2E51"/>
    <w:rsid w:val="00F21865"/>
    <w:rsid w:val="00F31E24"/>
    <w:rsid w:val="00F4535C"/>
    <w:rsid w:val="00F52474"/>
    <w:rsid w:val="00F5529D"/>
    <w:rsid w:val="00F5669E"/>
    <w:rsid w:val="00F71F15"/>
    <w:rsid w:val="00F75D33"/>
    <w:rsid w:val="00F954CF"/>
    <w:rsid w:val="00F97DFF"/>
    <w:rsid w:val="00FA7EEC"/>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7652B"/>
    <w:rPr>
      <w:rFonts w:eastAsia="Times New Roman" w:cs="Times New Roman"/>
      <w:spacing w:val="0"/>
      <w:lang w:eastAsia="en-AU"/>
    </w:rPr>
  </w:style>
  <w:style w:type="paragraph" w:customStyle="1" w:styleId="Bullet2">
    <w:name w:val="Bullet 2"/>
    <w:basedOn w:val="ListBullet2"/>
    <w:link w:val="Bullet2Char"/>
    <w:qFormat/>
    <w:rsid w:val="00A7652B"/>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7652B"/>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7652B"/>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character" w:styleId="CommentReference">
    <w:name w:val="annotation reference"/>
    <w:basedOn w:val="DefaultParagraphFont"/>
    <w:uiPriority w:val="99"/>
    <w:semiHidden/>
    <w:unhideWhenUsed/>
    <w:rsid w:val="002F36DB"/>
    <w:rPr>
      <w:sz w:val="16"/>
      <w:szCs w:val="16"/>
    </w:rPr>
  </w:style>
  <w:style w:type="paragraph" w:styleId="CommentText">
    <w:name w:val="annotation text"/>
    <w:basedOn w:val="Normal"/>
    <w:link w:val="CommentTextChar"/>
    <w:uiPriority w:val="99"/>
    <w:semiHidden/>
    <w:unhideWhenUsed/>
    <w:rsid w:val="002F36DB"/>
    <w:pPr>
      <w:spacing w:line="240" w:lineRule="auto"/>
    </w:pPr>
    <w:rPr>
      <w:sz w:val="20"/>
      <w:szCs w:val="20"/>
    </w:rPr>
  </w:style>
  <w:style w:type="character" w:customStyle="1" w:styleId="CommentTextChar">
    <w:name w:val="Comment Text Char"/>
    <w:basedOn w:val="DefaultParagraphFont"/>
    <w:link w:val="CommentText"/>
    <w:uiPriority w:val="99"/>
    <w:semiHidden/>
    <w:rsid w:val="002F36DB"/>
    <w:rPr>
      <w:sz w:val="20"/>
      <w:szCs w:val="20"/>
    </w:rPr>
  </w:style>
  <w:style w:type="paragraph" w:styleId="CommentSubject">
    <w:name w:val="annotation subject"/>
    <w:basedOn w:val="CommentText"/>
    <w:next w:val="CommentText"/>
    <w:link w:val="CommentSubjectChar"/>
    <w:uiPriority w:val="99"/>
    <w:semiHidden/>
    <w:unhideWhenUsed/>
    <w:rsid w:val="002F36DB"/>
    <w:rPr>
      <w:b/>
      <w:bCs/>
    </w:rPr>
  </w:style>
  <w:style w:type="character" w:customStyle="1" w:styleId="CommentSubjectChar">
    <w:name w:val="Comment Subject Char"/>
    <w:basedOn w:val="CommentTextChar"/>
    <w:link w:val="CommentSubject"/>
    <w:uiPriority w:val="99"/>
    <w:semiHidden/>
    <w:rsid w:val="002F36DB"/>
    <w:rPr>
      <w:b/>
      <w:bCs/>
      <w:sz w:val="20"/>
      <w:szCs w:val="20"/>
    </w:rPr>
  </w:style>
  <w:style w:type="character" w:styleId="FollowedHyperlink">
    <w:name w:val="FollowedHyperlink"/>
    <w:basedOn w:val="DefaultParagraphFont"/>
    <w:uiPriority w:val="99"/>
    <w:semiHidden/>
    <w:unhideWhenUsed/>
    <w:rsid w:val="008C6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7652B"/>
    <w:rPr>
      <w:rFonts w:eastAsia="Times New Roman" w:cs="Times New Roman"/>
      <w:spacing w:val="0"/>
      <w:lang w:eastAsia="en-AU"/>
    </w:rPr>
  </w:style>
  <w:style w:type="paragraph" w:customStyle="1" w:styleId="Bullet2">
    <w:name w:val="Bullet 2"/>
    <w:basedOn w:val="ListBullet2"/>
    <w:link w:val="Bullet2Char"/>
    <w:qFormat/>
    <w:rsid w:val="00A7652B"/>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7652B"/>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7652B"/>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character" w:styleId="CommentReference">
    <w:name w:val="annotation reference"/>
    <w:basedOn w:val="DefaultParagraphFont"/>
    <w:uiPriority w:val="99"/>
    <w:semiHidden/>
    <w:unhideWhenUsed/>
    <w:rsid w:val="002F36DB"/>
    <w:rPr>
      <w:sz w:val="16"/>
      <w:szCs w:val="16"/>
    </w:rPr>
  </w:style>
  <w:style w:type="paragraph" w:styleId="CommentText">
    <w:name w:val="annotation text"/>
    <w:basedOn w:val="Normal"/>
    <w:link w:val="CommentTextChar"/>
    <w:uiPriority w:val="99"/>
    <w:semiHidden/>
    <w:unhideWhenUsed/>
    <w:rsid w:val="002F36DB"/>
    <w:pPr>
      <w:spacing w:line="240" w:lineRule="auto"/>
    </w:pPr>
    <w:rPr>
      <w:sz w:val="20"/>
      <w:szCs w:val="20"/>
    </w:rPr>
  </w:style>
  <w:style w:type="character" w:customStyle="1" w:styleId="CommentTextChar">
    <w:name w:val="Comment Text Char"/>
    <w:basedOn w:val="DefaultParagraphFont"/>
    <w:link w:val="CommentText"/>
    <w:uiPriority w:val="99"/>
    <w:semiHidden/>
    <w:rsid w:val="002F36DB"/>
    <w:rPr>
      <w:sz w:val="20"/>
      <w:szCs w:val="20"/>
    </w:rPr>
  </w:style>
  <w:style w:type="paragraph" w:styleId="CommentSubject">
    <w:name w:val="annotation subject"/>
    <w:basedOn w:val="CommentText"/>
    <w:next w:val="CommentText"/>
    <w:link w:val="CommentSubjectChar"/>
    <w:uiPriority w:val="99"/>
    <w:semiHidden/>
    <w:unhideWhenUsed/>
    <w:rsid w:val="002F36DB"/>
    <w:rPr>
      <w:b/>
      <w:bCs/>
    </w:rPr>
  </w:style>
  <w:style w:type="character" w:customStyle="1" w:styleId="CommentSubjectChar">
    <w:name w:val="Comment Subject Char"/>
    <w:basedOn w:val="CommentTextChar"/>
    <w:link w:val="CommentSubject"/>
    <w:uiPriority w:val="99"/>
    <w:semiHidden/>
    <w:rsid w:val="002F36DB"/>
    <w:rPr>
      <w:b/>
      <w:bCs/>
      <w:sz w:val="20"/>
      <w:szCs w:val="20"/>
    </w:rPr>
  </w:style>
  <w:style w:type="character" w:styleId="FollowedHyperlink">
    <w:name w:val="FollowedHyperlink"/>
    <w:basedOn w:val="DefaultParagraphFont"/>
    <w:uiPriority w:val="99"/>
    <w:semiHidden/>
    <w:unhideWhenUsed/>
    <w:rsid w:val="008C6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news/vic/greens-announce-support-solar-homes-and-busines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FBFC3E-D578-4B79-9064-BB6934FE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119</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PBO - GRN068 - Sustainable Schools Fund - 30 June 2016</vt:lpstr>
    </vt:vector>
  </TitlesOfParts>
  <Company>Parliament of Australia</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GRN068 - Sustainable Schools Fund - 30 June 2016</dc:title>
  <dc:creator>Parliamentary Budget Office</dc:creator>
  <cp:lastModifiedBy>Milligan, Louise (PBO)</cp:lastModifiedBy>
  <cp:revision>47</cp:revision>
  <cp:lastPrinted>2016-06-30T08:56:00Z</cp:lastPrinted>
  <dcterms:created xsi:type="dcterms:W3CDTF">2016-06-24T10:08:00Z</dcterms:created>
  <dcterms:modified xsi:type="dcterms:W3CDTF">2016-06-30T11:26:00Z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