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Default="00D80A8D" w:rsidP="00D80A8D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D80A8D" w:rsidRPr="00002D5D" w:rsidRDefault="00D80A8D" w:rsidP="00D80A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D80A8D" w:rsidRPr="00002D5D" w:rsidRDefault="00D80A8D" w:rsidP="00D80A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D80A8D" w:rsidP="00D80A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D80A8D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BE61A3" w:rsidRPr="00BE61A3">
        <w:rPr>
          <w:i/>
        </w:rPr>
        <w:t xml:space="preserve">Keeping the Climate Change Authority </w:t>
      </w:r>
      <w:r w:rsidRPr="00002D5D">
        <w:t xml:space="preserve">(letter of </w:t>
      </w:r>
      <w:r w:rsidR="00627EC3">
        <w:t>30 June</w:t>
      </w:r>
      <w:r w:rsidRPr="00002D5D">
        <w:t xml:space="preserve"> 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E46804" w:rsidP="00E46804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D80A8D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D674B0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D674B0" w:rsidRDefault="004D5525" w:rsidP="00D674B0">
            <w:pPr>
              <w:rPr>
                <w:sz w:val="22"/>
              </w:rPr>
            </w:pPr>
            <w:r w:rsidRPr="00D674B0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D674B0" w:rsidRDefault="00BE61A3" w:rsidP="00D674B0">
            <w:pPr>
              <w:rPr>
                <w:sz w:val="22"/>
              </w:rPr>
            </w:pPr>
            <w:r w:rsidRPr="00D674B0">
              <w:rPr>
                <w:sz w:val="22"/>
              </w:rPr>
              <w:t xml:space="preserve">Keeping the Climate Change Authority  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D674B0">
            <w:r>
              <w:t>Summary of proposal:</w:t>
            </w:r>
          </w:p>
        </w:tc>
        <w:tc>
          <w:tcPr>
            <w:tcW w:w="5335" w:type="dxa"/>
          </w:tcPr>
          <w:p w:rsidR="00BE61A3" w:rsidRDefault="00BE61A3" w:rsidP="00D674B0">
            <w:r w:rsidRPr="003F6BC4">
              <w:t xml:space="preserve">The proposal would </w:t>
            </w:r>
            <w:r w:rsidR="00627EC3">
              <w:t>provide $35 million over the 2016</w:t>
            </w:r>
            <w:r w:rsidR="00627EC3">
              <w:noBreakHyphen/>
              <w:t xml:space="preserve">17 Budget forward estimates period to </w:t>
            </w:r>
            <w:r w:rsidRPr="003F6BC4">
              <w:t>restore funding for the Climate Change Authority to 2013</w:t>
            </w:r>
            <w:r w:rsidR="00164B72">
              <w:noBreakHyphen/>
            </w:r>
            <w:r w:rsidRPr="003F6BC4">
              <w:t>14 levels from 2016 onwards, with indexation by the Consumer Price Index (CPI).</w:t>
            </w:r>
          </w:p>
          <w:p w:rsidR="004D5525" w:rsidRDefault="00BE61A3" w:rsidP="00D674B0">
            <w:r w:rsidRPr="003F6BC4">
              <w:t xml:space="preserve">This proposal would commence on 1 </w:t>
            </w:r>
            <w:r w:rsidR="002B38C3">
              <w:t xml:space="preserve">September </w:t>
            </w:r>
            <w:r w:rsidRPr="003F6BC4">
              <w:t>2016</w:t>
            </w:r>
            <w:r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D674B0"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627EC3" w:rsidP="00D674B0">
            <w:r>
              <w:t>Senator Richa</w:t>
            </w:r>
            <w:r w:rsidR="0050710B">
              <w:t>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D674B0">
            <w:r>
              <w:t>Date of public release of policy:</w:t>
            </w:r>
          </w:p>
        </w:tc>
        <w:tc>
          <w:tcPr>
            <w:tcW w:w="5335" w:type="dxa"/>
          </w:tcPr>
          <w:p w:rsidR="00164B72" w:rsidRDefault="00627EC3" w:rsidP="00164B72">
            <w:r>
              <w:t>21 June 2016</w:t>
            </w:r>
          </w:p>
          <w:p w:rsidR="007D3577" w:rsidRPr="00C17112" w:rsidRDefault="00D2142B" w:rsidP="00164B72">
            <w:hyperlink r:id="rId13" w:history="1">
              <w:r w:rsidR="00627EC3">
                <w:rPr>
                  <w:rStyle w:val="Hyperlink"/>
                </w:rPr>
                <w:t>http://www.climateinstitute.org.au/news/election-2016-greens.html</w:t>
              </w:r>
            </w:hyperlink>
          </w:p>
        </w:tc>
      </w:tr>
      <w:tr w:rsidR="004D5525" w:rsidTr="00D52D5F">
        <w:tc>
          <w:tcPr>
            <w:tcW w:w="3005" w:type="dxa"/>
          </w:tcPr>
          <w:p w:rsidR="004D5525" w:rsidRDefault="004D5525" w:rsidP="00D674B0">
            <w:r>
              <w:t>Date costing request received:</w:t>
            </w:r>
          </w:p>
        </w:tc>
        <w:tc>
          <w:tcPr>
            <w:tcW w:w="5335" w:type="dxa"/>
          </w:tcPr>
          <w:p w:rsidR="004D5525" w:rsidRDefault="00627EC3" w:rsidP="00D674B0">
            <w:r>
              <w:t>30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D674B0">
            <w:r>
              <w:t>Date costing completed</w:t>
            </w:r>
            <w:r w:rsidR="00D674B0">
              <w:t>:</w:t>
            </w:r>
          </w:p>
        </w:tc>
        <w:tc>
          <w:tcPr>
            <w:tcW w:w="5335" w:type="dxa"/>
          </w:tcPr>
          <w:p w:rsidR="004D5525" w:rsidRPr="00C17112" w:rsidRDefault="00627EC3" w:rsidP="00D674B0">
            <w:r>
              <w:t>30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D674B0"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D674B0"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BE61A3" w:rsidRPr="003F6BC4" w:rsidRDefault="00BE61A3" w:rsidP="00BE61A3">
      <w:r w:rsidRPr="003F6BC4">
        <w:t xml:space="preserve">This proposal would </w:t>
      </w:r>
      <w:r>
        <w:t xml:space="preserve">be expected to </w:t>
      </w:r>
      <w:r w:rsidRPr="003F6BC4">
        <w:t>decrease the fiscal</w:t>
      </w:r>
      <w:r w:rsidR="00627EC3">
        <w:t xml:space="preserve"> and</w:t>
      </w:r>
      <w:r w:rsidR="00627EC3" w:rsidRPr="00627EC3">
        <w:t xml:space="preserve"> </w:t>
      </w:r>
      <w:r w:rsidR="00627EC3" w:rsidRPr="003F6BC4">
        <w:t xml:space="preserve">underlying cash </w:t>
      </w:r>
      <w:r w:rsidRPr="003F6BC4">
        <w:t>balances by $33.5 million over the 2016-17 Budget forward estimates.  This is entirely due to an increase in departmental expenditure.</w:t>
      </w:r>
    </w:p>
    <w:p w:rsidR="00BE61A3" w:rsidRDefault="00BE61A3" w:rsidP="00BE61A3">
      <w:r w:rsidRPr="003F6BC4">
        <w:t>This propos</w:t>
      </w:r>
      <w:r w:rsidR="00627EC3">
        <w:t xml:space="preserve">al would </w:t>
      </w:r>
      <w:r w:rsidR="002B38C3">
        <w:t>have a</w:t>
      </w:r>
      <w:r w:rsidR="00B40FA5">
        <w:t>n ongoing</w:t>
      </w:r>
      <w:r w:rsidR="002B38C3">
        <w:t xml:space="preserve"> </w:t>
      </w:r>
      <w:r w:rsidRPr="003F6BC4">
        <w:t xml:space="preserve">financial impact beyond the </w:t>
      </w:r>
      <w:r>
        <w:t>forward estimates period</w:t>
      </w:r>
      <w:r w:rsidR="006F08C7">
        <w:t>.</w:t>
      </w:r>
      <w:r>
        <w:t xml:space="preserve"> </w:t>
      </w:r>
      <w:r w:rsidR="006F08C7">
        <w:t xml:space="preserve"> </w:t>
      </w:r>
      <w:r w:rsidR="00B40FA5">
        <w:t>The annual impact to the budget would be consistent with the impact in 2019-20 growing in line with CPI.</w:t>
      </w:r>
    </w:p>
    <w:p w:rsidR="008D3909" w:rsidRPr="00002D5D" w:rsidRDefault="00BE61A3" w:rsidP="00BE61A3">
      <w:pPr>
        <w:rPr>
          <w:highlight w:val="yellow"/>
        </w:rPr>
      </w:pPr>
      <w:r w:rsidRPr="001A6B96">
        <w:rPr>
          <w:lang w:eastAsia="en-AU"/>
        </w:rPr>
        <w:t>This costing is considered to be of high reliability</w:t>
      </w:r>
      <w:r>
        <w:t xml:space="preserve"> as it is based on indexation of specified amounts.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  <w:r w:rsidR="00176829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4"/>
        <w:gridCol w:w="1133"/>
        <w:gridCol w:w="1134"/>
        <w:gridCol w:w="1134"/>
        <w:gridCol w:w="1134"/>
        <w:gridCol w:w="1132"/>
      </w:tblGrid>
      <w:tr w:rsidR="00692DD8" w:rsidRPr="00B73AC8" w:rsidTr="00164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164B72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64B72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64B72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64B72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64B72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164B72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BE61A3" w:rsidRPr="00B73AC8" w:rsidTr="0016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BE61A3" w:rsidRPr="00B73AC8" w:rsidRDefault="00BE61A3" w:rsidP="00164B72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BC4">
              <w:t>-6.1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BC4">
              <w:t>-8.9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BC4">
              <w:t>-9.1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BC4">
              <w:t>-9.3</w:t>
            </w:r>
          </w:p>
        </w:tc>
        <w:tc>
          <w:tcPr>
            <w:tcW w:w="681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BC4">
              <w:t>-33.5</w:t>
            </w:r>
          </w:p>
        </w:tc>
      </w:tr>
      <w:tr w:rsidR="00BE61A3" w:rsidRPr="00B73AC8" w:rsidTr="00164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BE61A3" w:rsidRPr="00B73AC8" w:rsidRDefault="00BE61A3" w:rsidP="00164B72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BC4">
              <w:t>-6.1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BC4">
              <w:t>-8.9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BC4">
              <w:t>-9.1</w:t>
            </w:r>
          </w:p>
        </w:tc>
        <w:tc>
          <w:tcPr>
            <w:tcW w:w="682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BC4">
              <w:t>-9.3</w:t>
            </w:r>
          </w:p>
        </w:tc>
        <w:tc>
          <w:tcPr>
            <w:tcW w:w="681" w:type="pct"/>
          </w:tcPr>
          <w:p w:rsidR="00BE61A3" w:rsidRPr="003F6BC4" w:rsidRDefault="00BE61A3" w:rsidP="00164B72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BC4">
              <w:t>-33.5</w:t>
            </w:r>
          </w:p>
        </w:tc>
      </w:tr>
    </w:tbl>
    <w:p w:rsidR="000B0A28" w:rsidRPr="000B0A28" w:rsidRDefault="000B0A28" w:rsidP="000B0A28">
      <w:pPr>
        <w:pStyle w:val="Footnotes"/>
        <w:keepNext/>
        <w:numPr>
          <w:ilvl w:val="0"/>
          <w:numId w:val="20"/>
        </w:numPr>
        <w:ind w:left="284" w:hanging="284"/>
        <w:rPr>
          <w:rFonts w:ascii="Calibri" w:hAnsi="Calibri"/>
        </w:rPr>
      </w:pPr>
      <w:r w:rsidRPr="000B0A28">
        <w:t>A positive number indicates an increase in the relevant budget balance, a negative number a decrease.</w:t>
      </w:r>
    </w:p>
    <w:p w:rsidR="000B0A28" w:rsidRPr="000B0A28" w:rsidRDefault="000B0A28" w:rsidP="000B0A28">
      <w:pPr>
        <w:pStyle w:val="Footnotes"/>
        <w:keepNext/>
        <w:numPr>
          <w:ilvl w:val="0"/>
          <w:numId w:val="20"/>
        </w:numPr>
        <w:ind w:left="284" w:hanging="284"/>
        <w:rPr>
          <w:rFonts w:ascii="Times New Roman" w:eastAsia="Times New Roman" w:hAnsi="Times New Roman"/>
          <w:lang w:eastAsia="en-AU"/>
        </w:rPr>
      </w:pPr>
      <w:r w:rsidRPr="000B0A28">
        <w:t>Figures may not sum to totals due to rounding.</w:t>
      </w:r>
    </w:p>
    <w:p w:rsidR="005E3562" w:rsidRPr="00D80A8D" w:rsidRDefault="005E3562" w:rsidP="00E40B8B">
      <w:pPr>
        <w:pStyle w:val="Heading2"/>
      </w:pPr>
      <w:r w:rsidRPr="00D80A8D">
        <w:t>Methodology</w:t>
      </w:r>
    </w:p>
    <w:p w:rsidR="00BE61A3" w:rsidRPr="003F6BC4" w:rsidRDefault="00BE61A3" w:rsidP="00BE61A3">
      <w:r w:rsidRPr="003F6BC4">
        <w:t>This proposal has been costed in two stages:</w:t>
      </w:r>
    </w:p>
    <w:p w:rsidR="00BE61A3" w:rsidRPr="00164B72" w:rsidRDefault="00BE61A3" w:rsidP="00164B72">
      <w:pPr>
        <w:pStyle w:val="Bullet1"/>
      </w:pPr>
      <w:r w:rsidRPr="00164B72">
        <w:t>Funding to the Climate Change Authority was restored to 2013-14 levels from 1</w:t>
      </w:r>
      <w:r w:rsidR="002B38C3" w:rsidRPr="00164B72">
        <w:t> </w:t>
      </w:r>
      <w:r w:rsidR="00E225DC" w:rsidRPr="00164B72">
        <w:t>September</w:t>
      </w:r>
      <w:r w:rsidRPr="00164B72">
        <w:t xml:space="preserve"> 2016 taking into account the $2.6 million in funding for 2016-17 currently reflected in the budget baseline. </w:t>
      </w:r>
    </w:p>
    <w:p w:rsidR="00E225DC" w:rsidRPr="00164B72" w:rsidRDefault="00E225DC" w:rsidP="00164B72">
      <w:pPr>
        <w:pStyle w:val="Bullet1"/>
      </w:pPr>
      <w:r w:rsidRPr="00164B72">
        <w:t xml:space="preserve">The full funding allocation would be provided over the 10 months of 2016-17 from the commencement date of 1 September 2016. </w:t>
      </w:r>
    </w:p>
    <w:p w:rsidR="00E225DC" w:rsidRPr="00164B72" w:rsidRDefault="00BE61A3" w:rsidP="00164B72">
      <w:pPr>
        <w:pStyle w:val="Bullet1"/>
      </w:pPr>
      <w:r w:rsidRPr="00164B72">
        <w:t xml:space="preserve">Annual indexation by CPI was then applied to the restored </w:t>
      </w:r>
      <w:r w:rsidR="00E225DC" w:rsidRPr="00164B72">
        <w:t>CCA</w:t>
      </w:r>
      <w:r w:rsidRPr="00164B72">
        <w:t xml:space="preserve"> departmental appropriation amount.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BE61A3" w:rsidRPr="003F6BC4" w:rsidRDefault="00BE61A3" w:rsidP="00BE61A3">
      <w:r w:rsidRPr="003F6BC4">
        <w:t xml:space="preserve">The Department of Finance provided </w:t>
      </w:r>
      <w:r>
        <w:t xml:space="preserve">efficiency dividend and indexation </w:t>
      </w:r>
      <w:r w:rsidRPr="003F6BC4">
        <w:t>parameters.</w:t>
      </w:r>
    </w:p>
    <w:p w:rsidR="00BE61A3" w:rsidRPr="003F6BC4" w:rsidRDefault="00BE61A3" w:rsidP="00BE61A3">
      <w:r>
        <w:t xml:space="preserve">Department of </w:t>
      </w:r>
      <w:r w:rsidRPr="003F6BC4">
        <w:t>Industry, Innovation, Climate Change, Science, Research and Tertiary Education Portfolio 2013-14 Portfolio Budget Statement</w:t>
      </w:r>
      <w:r w:rsidR="002B38C3">
        <w:t>s</w:t>
      </w:r>
      <w:r>
        <w:t>.</w:t>
      </w:r>
    </w:p>
    <w:p w:rsidR="00BE61A3" w:rsidRPr="003F6BC4" w:rsidRDefault="00BE61A3" w:rsidP="00BE61A3">
      <w:r w:rsidRPr="003F6BC4">
        <w:t>Climate Change Authority 2013-14 Annual Report</w:t>
      </w:r>
      <w:r>
        <w:t>.</w:t>
      </w:r>
    </w:p>
    <w:p w:rsidR="00485374" w:rsidRPr="00FC6579" w:rsidRDefault="00BE61A3" w:rsidP="00B40FA5">
      <w:r>
        <w:t xml:space="preserve">Department of the Environment </w:t>
      </w:r>
      <w:r w:rsidRPr="00E01195">
        <w:t>2016</w:t>
      </w:r>
      <w:r>
        <w:t>-17 Portfolio Budget Statement</w:t>
      </w:r>
      <w:r w:rsidR="002B38C3">
        <w:t>s</w:t>
      </w:r>
      <w:r w:rsidR="00164B72">
        <w:t>.</w:t>
      </w:r>
    </w:p>
    <w:sectPr w:rsidR="00485374" w:rsidRPr="00FC6579" w:rsidSect="00B40FA5">
      <w:headerReference w:type="first" r:id="rId14"/>
      <w:footerReference w:type="first" r:id="rId15"/>
      <w:pgSz w:w="11907" w:h="16839" w:code="9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A3" w:rsidRDefault="00BE61A3" w:rsidP="008F588A">
      <w:pPr>
        <w:spacing w:line="240" w:lineRule="auto"/>
      </w:pPr>
      <w:r>
        <w:separator/>
      </w:r>
    </w:p>
    <w:p w:rsidR="00BE61A3" w:rsidRDefault="00BE61A3"/>
  </w:endnote>
  <w:endnote w:type="continuationSeparator" w:id="0">
    <w:p w:rsidR="00BE61A3" w:rsidRDefault="00BE61A3" w:rsidP="008F588A">
      <w:pPr>
        <w:spacing w:line="240" w:lineRule="auto"/>
      </w:pPr>
      <w:r>
        <w:continuationSeparator/>
      </w:r>
    </w:p>
    <w:p w:rsidR="00BE61A3" w:rsidRDefault="00BE6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D2142B">
      <w:rPr>
        <w:noProof/>
      </w:rPr>
      <w:t>3</w:t>
    </w:r>
    <w:r w:rsidRPr="00C24267">
      <w:fldChar w:fldCharType="end"/>
    </w:r>
    <w:r w:rsidRPr="00C24267">
      <w:t xml:space="preserve"> of </w:t>
    </w:r>
    <w:r w:rsidR="00D2142B">
      <w:fldChar w:fldCharType="begin"/>
    </w:r>
    <w:r w:rsidR="00D2142B">
      <w:instrText xml:space="preserve"> NUMPAGES  \* Arabic  \* MERGEFORMAT </w:instrText>
    </w:r>
    <w:r w:rsidR="00D2142B">
      <w:fldChar w:fldCharType="separate"/>
    </w:r>
    <w:r w:rsidR="00D2142B">
      <w:rPr>
        <w:noProof/>
      </w:rPr>
      <w:t>3</w:t>
    </w:r>
    <w:r w:rsidR="00D2142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Letterfooter"/>
    </w:pPr>
    <w:r w:rsidRPr="00C24267">
      <w:t>Parliamentary Budget Office   PO Box 6010   Parliament House   Canberra ACT 2600</w:t>
    </w:r>
  </w:p>
  <w:p w:rsidR="00060F22" w:rsidRPr="00C24267" w:rsidRDefault="00060F22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C24267" w:rsidRDefault="005B7B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D2142B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D2142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A3" w:rsidRDefault="00BE61A3" w:rsidP="008F588A">
      <w:pPr>
        <w:spacing w:line="240" w:lineRule="auto"/>
      </w:pPr>
      <w:r>
        <w:separator/>
      </w:r>
    </w:p>
    <w:p w:rsidR="00BE61A3" w:rsidRDefault="00BE61A3"/>
  </w:footnote>
  <w:footnote w:type="continuationSeparator" w:id="0">
    <w:p w:rsidR="00BE61A3" w:rsidRDefault="00BE61A3" w:rsidP="008F588A">
      <w:pPr>
        <w:spacing w:line="240" w:lineRule="auto"/>
      </w:pPr>
      <w:r>
        <w:continuationSeparator/>
      </w:r>
    </w:p>
    <w:p w:rsidR="00BE61A3" w:rsidRDefault="00BE61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Default="00060F22" w:rsidP="00CB40E1">
    <w:pPr>
      <w:pStyle w:val="Header"/>
    </w:pPr>
    <w:r>
      <w:rPr>
        <w:noProof/>
        <w:lang w:eastAsia="en-AU"/>
      </w:rPr>
      <w:drawing>
        <wp:inline distT="0" distB="0" distL="0" distR="0" wp14:anchorId="7E8E3389" wp14:editId="305BFBCB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F22" w:rsidRPr="00DA1C8A" w:rsidRDefault="00060F22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D674B0" w:rsidRDefault="00D674B0" w:rsidP="00D674B0">
    <w:pPr>
      <w:pStyle w:val="Header"/>
    </w:pPr>
    <w:r>
      <w:rPr>
        <w:noProof/>
        <w:lang w:eastAsia="en-AU"/>
      </w:rPr>
      <w:drawing>
        <wp:inline distT="0" distB="0" distL="0" distR="0" wp14:anchorId="42CE679B" wp14:editId="03697F74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EA63D9"/>
    <w:multiLevelType w:val="hybridMultilevel"/>
    <w:tmpl w:val="7ADA6986"/>
    <w:lvl w:ilvl="0" w:tplc="7F6A985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2"/>
  </w:num>
  <w:num w:numId="18">
    <w:abstractNumId w:val="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A3"/>
    <w:rsid w:val="00002D5D"/>
    <w:rsid w:val="00015FB2"/>
    <w:rsid w:val="00040DCE"/>
    <w:rsid w:val="00060F22"/>
    <w:rsid w:val="00096F3A"/>
    <w:rsid w:val="000B0A28"/>
    <w:rsid w:val="000C1A75"/>
    <w:rsid w:val="001278D0"/>
    <w:rsid w:val="0014239B"/>
    <w:rsid w:val="00164B72"/>
    <w:rsid w:val="00176829"/>
    <w:rsid w:val="001A02D1"/>
    <w:rsid w:val="001D3C04"/>
    <w:rsid w:val="00220BE5"/>
    <w:rsid w:val="002422A3"/>
    <w:rsid w:val="002B38C3"/>
    <w:rsid w:val="00315E34"/>
    <w:rsid w:val="00326DE2"/>
    <w:rsid w:val="003D7744"/>
    <w:rsid w:val="003E4F5F"/>
    <w:rsid w:val="003F73CA"/>
    <w:rsid w:val="00410A2C"/>
    <w:rsid w:val="00440E32"/>
    <w:rsid w:val="00461597"/>
    <w:rsid w:val="00485374"/>
    <w:rsid w:val="004C283B"/>
    <w:rsid w:val="004D13ED"/>
    <w:rsid w:val="004D5525"/>
    <w:rsid w:val="004D5E95"/>
    <w:rsid w:val="005035DA"/>
    <w:rsid w:val="0050710B"/>
    <w:rsid w:val="00507897"/>
    <w:rsid w:val="00515A85"/>
    <w:rsid w:val="00545F24"/>
    <w:rsid w:val="0055581F"/>
    <w:rsid w:val="0056229A"/>
    <w:rsid w:val="00570154"/>
    <w:rsid w:val="00570B5A"/>
    <w:rsid w:val="00587422"/>
    <w:rsid w:val="005B1A4A"/>
    <w:rsid w:val="005B7B75"/>
    <w:rsid w:val="005C6967"/>
    <w:rsid w:val="005E3562"/>
    <w:rsid w:val="005F7DE0"/>
    <w:rsid w:val="00627EC3"/>
    <w:rsid w:val="00640346"/>
    <w:rsid w:val="00660385"/>
    <w:rsid w:val="00662E65"/>
    <w:rsid w:val="0066665A"/>
    <w:rsid w:val="00692DD8"/>
    <w:rsid w:val="006E3CF5"/>
    <w:rsid w:val="006F08C7"/>
    <w:rsid w:val="006F0CE9"/>
    <w:rsid w:val="007202A8"/>
    <w:rsid w:val="007229A9"/>
    <w:rsid w:val="007B029A"/>
    <w:rsid w:val="007D33AA"/>
    <w:rsid w:val="007D3577"/>
    <w:rsid w:val="007F7BCF"/>
    <w:rsid w:val="008030EC"/>
    <w:rsid w:val="00811D6D"/>
    <w:rsid w:val="00817E8E"/>
    <w:rsid w:val="00841C3A"/>
    <w:rsid w:val="00844776"/>
    <w:rsid w:val="0086591C"/>
    <w:rsid w:val="008850D9"/>
    <w:rsid w:val="008A4578"/>
    <w:rsid w:val="008C03C3"/>
    <w:rsid w:val="008D3909"/>
    <w:rsid w:val="008D6ECA"/>
    <w:rsid w:val="008F588A"/>
    <w:rsid w:val="00902D2D"/>
    <w:rsid w:val="00915804"/>
    <w:rsid w:val="00957285"/>
    <w:rsid w:val="009573AF"/>
    <w:rsid w:val="00977D7B"/>
    <w:rsid w:val="009963ED"/>
    <w:rsid w:val="009D4063"/>
    <w:rsid w:val="00A41BD3"/>
    <w:rsid w:val="00A449C2"/>
    <w:rsid w:val="00A65EA3"/>
    <w:rsid w:val="00AA3D6F"/>
    <w:rsid w:val="00AB55AE"/>
    <w:rsid w:val="00AB6F7D"/>
    <w:rsid w:val="00AC7878"/>
    <w:rsid w:val="00AD493E"/>
    <w:rsid w:val="00AE30B5"/>
    <w:rsid w:val="00AE5755"/>
    <w:rsid w:val="00B06055"/>
    <w:rsid w:val="00B40FA5"/>
    <w:rsid w:val="00B44D8A"/>
    <w:rsid w:val="00B73AC8"/>
    <w:rsid w:val="00B747A7"/>
    <w:rsid w:val="00BA2BBF"/>
    <w:rsid w:val="00BC559C"/>
    <w:rsid w:val="00BE61A3"/>
    <w:rsid w:val="00C17112"/>
    <w:rsid w:val="00C24267"/>
    <w:rsid w:val="00CA12A0"/>
    <w:rsid w:val="00CA5D42"/>
    <w:rsid w:val="00CB40E1"/>
    <w:rsid w:val="00CC4789"/>
    <w:rsid w:val="00CF6DB6"/>
    <w:rsid w:val="00D134CA"/>
    <w:rsid w:val="00D2142B"/>
    <w:rsid w:val="00D52D5F"/>
    <w:rsid w:val="00D674B0"/>
    <w:rsid w:val="00D80A8D"/>
    <w:rsid w:val="00D949A3"/>
    <w:rsid w:val="00DA1C8A"/>
    <w:rsid w:val="00DA3B55"/>
    <w:rsid w:val="00DB44F0"/>
    <w:rsid w:val="00DD109E"/>
    <w:rsid w:val="00DD3E18"/>
    <w:rsid w:val="00E12103"/>
    <w:rsid w:val="00E15AAE"/>
    <w:rsid w:val="00E21184"/>
    <w:rsid w:val="00E225DC"/>
    <w:rsid w:val="00E40B8B"/>
    <w:rsid w:val="00E46804"/>
    <w:rsid w:val="00E5742E"/>
    <w:rsid w:val="00EA265F"/>
    <w:rsid w:val="00EA5685"/>
    <w:rsid w:val="00ED43FF"/>
    <w:rsid w:val="00EE6600"/>
    <w:rsid w:val="00EF1D6A"/>
    <w:rsid w:val="00EF2E51"/>
    <w:rsid w:val="00F21865"/>
    <w:rsid w:val="00F31E24"/>
    <w:rsid w:val="00F4535C"/>
    <w:rsid w:val="00F52474"/>
    <w:rsid w:val="00F5529D"/>
    <w:rsid w:val="00F5669E"/>
    <w:rsid w:val="00F75D33"/>
    <w:rsid w:val="00F954CF"/>
    <w:rsid w:val="00F97DFF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164B72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164B72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164B72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164B72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BE61A3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164B72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164B72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164B72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164B72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BE61A3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limateinstitute.org.au/news/election-2016-green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D37A65-76BE-43DD-9880-93A0FB96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33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GRN067 - Keeping the Climate Change Authority - 30 June 2016</vt:lpstr>
    </vt:vector>
  </TitlesOfParts>
  <Company>Parliament of Australia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GRN067 - Keeping the Climate Change Authority - 30 June 2016</dc:title>
  <dc:creator>Parliamentary Budget Office</dc:creator>
  <cp:lastModifiedBy>Milligan, Louise (PBO)</cp:lastModifiedBy>
  <cp:revision>16</cp:revision>
  <cp:lastPrinted>2016-04-20T06:27:00Z</cp:lastPrinted>
  <dcterms:created xsi:type="dcterms:W3CDTF">2016-06-23T08:41:00Z</dcterms:created>
  <dcterms:modified xsi:type="dcterms:W3CDTF">2016-06-30T10:05:00Z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