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61" w:rsidRDefault="00A84B61" w:rsidP="00A84B61">
      <w:pPr>
        <w:spacing w:before="1560" w:after="0" w:line="240" w:lineRule="auto"/>
        <w:rPr>
          <w:rFonts w:ascii="Times New Roman" w:hAnsi="Times New Roman" w:cs="Times New Roman"/>
          <w:sz w:val="24"/>
          <w:szCs w:val="24"/>
        </w:rPr>
      </w:pPr>
      <w:r>
        <w:rPr>
          <w:rFonts w:ascii="Times New Roman" w:hAnsi="Times New Roman" w:cs="Times New Roman"/>
          <w:sz w:val="24"/>
          <w:szCs w:val="24"/>
        </w:rPr>
        <w:t>Senator</w:t>
      </w:r>
      <w:r w:rsidRPr="00002D5D">
        <w:rPr>
          <w:rFonts w:ascii="Times New Roman" w:hAnsi="Times New Roman" w:cs="Times New Roman"/>
          <w:sz w:val="24"/>
          <w:szCs w:val="24"/>
        </w:rPr>
        <w:t xml:space="preserve"> </w:t>
      </w:r>
      <w:r>
        <w:rPr>
          <w:rFonts w:ascii="Times New Roman" w:hAnsi="Times New Roman" w:cs="Times New Roman"/>
          <w:sz w:val="24"/>
          <w:szCs w:val="24"/>
        </w:rPr>
        <w:t>Richard Di Natale</w:t>
      </w:r>
    </w:p>
    <w:p w:rsidR="00A84B61" w:rsidRPr="00002D5D" w:rsidRDefault="00A84B61" w:rsidP="00A84B61">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F16C15">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0D5C10">
        <w:rPr>
          <w:i/>
        </w:rPr>
        <w:t xml:space="preserve">Repowering </w:t>
      </w:r>
      <w:r w:rsidR="00E7302B">
        <w:rPr>
          <w:i/>
        </w:rPr>
        <w:t>P</w:t>
      </w:r>
      <w:r w:rsidR="000D5C10">
        <w:rPr>
          <w:i/>
        </w:rPr>
        <w:t xml:space="preserve">ublic and </w:t>
      </w:r>
      <w:r w:rsidR="00E7302B">
        <w:rPr>
          <w:i/>
        </w:rPr>
        <w:t>C</w:t>
      </w:r>
      <w:r w:rsidR="000D5C10">
        <w:rPr>
          <w:i/>
        </w:rPr>
        <w:t xml:space="preserve">ommunity </w:t>
      </w:r>
      <w:r w:rsidR="00E7302B">
        <w:rPr>
          <w:i/>
        </w:rPr>
        <w:t>H</w:t>
      </w:r>
      <w:r w:rsidR="000D5C10">
        <w:rPr>
          <w:i/>
        </w:rPr>
        <w:t xml:space="preserve">ousing </w:t>
      </w:r>
      <w:r w:rsidRPr="00002D5D">
        <w:t xml:space="preserve">(letter of </w:t>
      </w:r>
      <w:r w:rsidR="008724C2">
        <w:t>30</w:t>
      </w:r>
      <w:r w:rsidR="00A4222E">
        <w:t xml:space="preserve"> </w:t>
      </w:r>
      <w:r w:rsidR="002173EB">
        <w:t>June 2</w:t>
      </w:r>
      <w:r w:rsidRPr="00002D5D">
        <w:t>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AA050C" w:rsidP="00AA050C">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A45DB0">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FA46A5"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FA46A5" w:rsidRDefault="004D5525" w:rsidP="004D5525">
            <w:pPr>
              <w:pStyle w:val="BodyText"/>
              <w:rPr>
                <w:sz w:val="22"/>
              </w:rPr>
            </w:pPr>
            <w:r w:rsidRPr="00FA46A5">
              <w:rPr>
                <w:sz w:val="22"/>
              </w:rPr>
              <w:t>Name of proposal:</w:t>
            </w:r>
          </w:p>
        </w:tc>
        <w:tc>
          <w:tcPr>
            <w:tcW w:w="5335" w:type="dxa"/>
          </w:tcPr>
          <w:p w:rsidR="004D5525" w:rsidRPr="00FA46A5" w:rsidRDefault="000D5C10" w:rsidP="00E43CCA">
            <w:pPr>
              <w:pStyle w:val="BodyText"/>
              <w:rPr>
                <w:sz w:val="22"/>
              </w:rPr>
            </w:pPr>
            <w:r w:rsidRPr="00FA46A5">
              <w:rPr>
                <w:sz w:val="22"/>
              </w:rPr>
              <w:t xml:space="preserve">Repowering </w:t>
            </w:r>
            <w:r w:rsidR="00E43CCA" w:rsidRPr="00FA46A5">
              <w:rPr>
                <w:sz w:val="22"/>
              </w:rPr>
              <w:t>P</w:t>
            </w:r>
            <w:r w:rsidRPr="00FA46A5">
              <w:rPr>
                <w:sz w:val="22"/>
              </w:rPr>
              <w:t xml:space="preserve">ublic and </w:t>
            </w:r>
            <w:r w:rsidR="00E43CCA" w:rsidRPr="00FA46A5">
              <w:rPr>
                <w:sz w:val="22"/>
              </w:rPr>
              <w:t>C</w:t>
            </w:r>
            <w:r w:rsidRPr="00FA46A5">
              <w:rPr>
                <w:sz w:val="22"/>
              </w:rPr>
              <w:t xml:space="preserve">ommunity </w:t>
            </w:r>
            <w:r w:rsidR="00871F20" w:rsidRPr="00FA46A5">
              <w:rPr>
                <w:sz w:val="22"/>
              </w:rPr>
              <w:t>H</w:t>
            </w:r>
            <w:r w:rsidRPr="00FA46A5">
              <w:rPr>
                <w:sz w:val="22"/>
              </w:rPr>
              <w:t>ousing</w:t>
            </w:r>
          </w:p>
        </w:tc>
      </w:tr>
      <w:tr w:rsidR="004D5525" w:rsidTr="00D52D5F">
        <w:tc>
          <w:tcPr>
            <w:tcW w:w="3005" w:type="dxa"/>
          </w:tcPr>
          <w:p w:rsidR="004D5525" w:rsidRDefault="004D5525" w:rsidP="004D5525">
            <w:pPr>
              <w:pStyle w:val="BodyText"/>
            </w:pPr>
            <w:r>
              <w:t>Summary of proposal:</w:t>
            </w:r>
          </w:p>
        </w:tc>
        <w:tc>
          <w:tcPr>
            <w:tcW w:w="5335" w:type="dxa"/>
          </w:tcPr>
          <w:p w:rsidR="005A04C1" w:rsidRDefault="000D5C10" w:rsidP="000D5C10">
            <w:pPr>
              <w:spacing w:before="120" w:after="120"/>
              <w:rPr>
                <w:color w:val="000000"/>
              </w:rPr>
            </w:pPr>
            <w:r w:rsidRPr="003963CD">
              <w:t xml:space="preserve">The proposal </w:t>
            </w:r>
            <w:r w:rsidR="00E3443A">
              <w:t xml:space="preserve">would </w:t>
            </w:r>
            <w:r>
              <w:rPr>
                <w:color w:val="000000"/>
              </w:rPr>
              <w:t>upgrade</w:t>
            </w:r>
            <w:r w:rsidRPr="006D5478">
              <w:rPr>
                <w:color w:val="000000"/>
              </w:rPr>
              <w:t xml:space="preserve"> </w:t>
            </w:r>
            <w:r w:rsidR="00E3443A">
              <w:rPr>
                <w:color w:val="000000"/>
              </w:rPr>
              <w:t xml:space="preserve">Australia’s entire </w:t>
            </w:r>
            <w:r w:rsidRPr="003963CD">
              <w:rPr>
                <w:color w:val="000000"/>
              </w:rPr>
              <w:t xml:space="preserve">public </w:t>
            </w:r>
            <w:r w:rsidR="00E3443A">
              <w:rPr>
                <w:color w:val="000000"/>
              </w:rPr>
              <w:t xml:space="preserve">and community </w:t>
            </w:r>
            <w:r w:rsidRPr="003963CD">
              <w:rPr>
                <w:color w:val="000000"/>
              </w:rPr>
              <w:t>housing</w:t>
            </w:r>
            <w:r w:rsidR="00E3443A">
              <w:rPr>
                <w:color w:val="000000"/>
              </w:rPr>
              <w:t xml:space="preserve"> stock by 2030</w:t>
            </w:r>
            <w:r w:rsidR="005A04C1">
              <w:rPr>
                <w:color w:val="000000"/>
              </w:rPr>
              <w:t xml:space="preserve"> </w:t>
            </w:r>
            <w:r w:rsidR="00F402E1">
              <w:rPr>
                <w:color w:val="000000"/>
              </w:rPr>
              <w:t xml:space="preserve">by providing </w:t>
            </w:r>
            <w:r w:rsidR="005A04C1">
              <w:rPr>
                <w:color w:val="000000"/>
              </w:rPr>
              <w:t xml:space="preserve">capped </w:t>
            </w:r>
            <w:r w:rsidR="00F402E1">
              <w:rPr>
                <w:color w:val="000000"/>
              </w:rPr>
              <w:t xml:space="preserve">funding </w:t>
            </w:r>
            <w:r w:rsidR="005A04C1">
              <w:rPr>
                <w:color w:val="000000"/>
              </w:rPr>
              <w:t xml:space="preserve">of </w:t>
            </w:r>
            <w:r w:rsidR="00E3443A">
              <w:rPr>
                <w:color w:val="000000"/>
              </w:rPr>
              <w:t>$2,000 for every dwelling</w:t>
            </w:r>
            <w:r w:rsidR="005A04C1">
              <w:rPr>
                <w:color w:val="000000"/>
              </w:rPr>
              <w:t>.</w:t>
            </w:r>
          </w:p>
          <w:p w:rsidR="00DB49DF" w:rsidRDefault="00B92067" w:rsidP="008724C2">
            <w:r>
              <w:t xml:space="preserve">The </w:t>
            </w:r>
            <w:r w:rsidR="00F402E1">
              <w:t xml:space="preserve">$2,000 for each dwelling </w:t>
            </w:r>
            <w:r>
              <w:t>would be used</w:t>
            </w:r>
            <w:r w:rsidR="00F402E1">
              <w:t xml:space="preserve"> to</w:t>
            </w:r>
            <w:r>
              <w:t>:</w:t>
            </w:r>
          </w:p>
          <w:p w:rsidR="00DB49DF" w:rsidRPr="00893D20" w:rsidRDefault="00DB49DF" w:rsidP="008724C2">
            <w:pPr>
              <w:pStyle w:val="Bullet1"/>
              <w:keepNext/>
              <w:numPr>
                <w:ilvl w:val="0"/>
                <w:numId w:val="17"/>
              </w:numPr>
              <w:spacing w:before="120"/>
              <w:ind w:left="284" w:hanging="284"/>
              <w:rPr>
                <w:color w:val="000000"/>
              </w:rPr>
            </w:pPr>
            <w:r>
              <w:t xml:space="preserve">Put </w:t>
            </w:r>
            <w:r w:rsidR="00F402E1">
              <w:t xml:space="preserve">a </w:t>
            </w:r>
            <w:r>
              <w:t>two kilowatt (2</w:t>
            </w:r>
            <w:r w:rsidRPr="00983594">
              <w:t>kW</w:t>
            </w:r>
            <w:r>
              <w:t>)</w:t>
            </w:r>
            <w:r w:rsidRPr="00983594">
              <w:t xml:space="preserve"> solar </w:t>
            </w:r>
            <w:r>
              <w:t xml:space="preserve">PV </w:t>
            </w:r>
            <w:r w:rsidRPr="00983594">
              <w:t xml:space="preserve">system </w:t>
            </w:r>
            <w:r w:rsidR="00F402E1">
              <w:t xml:space="preserve">on the roof of all </w:t>
            </w:r>
            <w:r w:rsidRPr="00983594">
              <w:t>Australia’s social housing propert</w:t>
            </w:r>
            <w:r w:rsidR="00F402E1">
              <w:t>ies.</w:t>
            </w:r>
            <w:r>
              <w:t xml:space="preserve"> </w:t>
            </w:r>
          </w:p>
          <w:p w:rsidR="000D5C10" w:rsidRDefault="000D5C10" w:rsidP="008724C2">
            <w:pPr>
              <w:pStyle w:val="Bullet1"/>
              <w:keepNext/>
              <w:numPr>
                <w:ilvl w:val="0"/>
                <w:numId w:val="17"/>
              </w:numPr>
              <w:spacing w:before="120"/>
              <w:ind w:left="284" w:hanging="284"/>
            </w:pPr>
            <w:r w:rsidRPr="00983594">
              <w:t>Install energy efficient appliances</w:t>
            </w:r>
            <w:r w:rsidR="008E1687">
              <w:t>, LED lighting, window glazing, smart meters, water efficient appliances and shower heads, roof and wall insulation, ceiling and ventilation fans, efficient heating and cooling, low cost sensors, and draught proofing</w:t>
            </w:r>
            <w:r w:rsidR="00F402E1">
              <w:t>.</w:t>
            </w:r>
          </w:p>
          <w:p w:rsidR="000974DB" w:rsidRPr="00983594" w:rsidRDefault="000974DB" w:rsidP="008724C2">
            <w:pPr>
              <w:pStyle w:val="Bullet1"/>
              <w:keepNext/>
              <w:numPr>
                <w:ilvl w:val="0"/>
                <w:numId w:val="17"/>
              </w:numPr>
              <w:spacing w:before="120"/>
              <w:ind w:left="284" w:hanging="284"/>
            </w:pPr>
            <w:r>
              <w:t xml:space="preserve">Add </w:t>
            </w:r>
            <w:r w:rsidR="008E1687">
              <w:t>secure door and window fittings for cross ventilation</w:t>
            </w:r>
          </w:p>
          <w:p w:rsidR="000D5C10" w:rsidRDefault="000D5C10" w:rsidP="008724C2">
            <w:pPr>
              <w:pStyle w:val="Bullet1"/>
              <w:keepNext/>
              <w:numPr>
                <w:ilvl w:val="0"/>
                <w:numId w:val="17"/>
              </w:numPr>
              <w:spacing w:before="120"/>
              <w:ind w:left="284" w:hanging="284"/>
            </w:pPr>
            <w:r w:rsidRPr="00983594">
              <w:t>Provid</w:t>
            </w:r>
            <w:r w:rsidR="00F402E1">
              <w:t xml:space="preserve">e </w:t>
            </w:r>
            <w:r w:rsidRPr="00983594">
              <w:t>a property energy assessment</w:t>
            </w:r>
            <w:r w:rsidR="008E1687">
              <w:t>, education and advice for tenants</w:t>
            </w:r>
          </w:p>
          <w:p w:rsidR="000D5C10" w:rsidRPr="008F46B9" w:rsidRDefault="000D5C10" w:rsidP="008724C2">
            <w:pPr>
              <w:pStyle w:val="Bullet1"/>
              <w:keepNext/>
              <w:numPr>
                <w:ilvl w:val="0"/>
                <w:numId w:val="17"/>
              </w:numPr>
              <w:spacing w:before="120"/>
              <w:ind w:left="284" w:hanging="284"/>
            </w:pPr>
            <w:r w:rsidRPr="00983594">
              <w:t>Provid</w:t>
            </w:r>
            <w:r w:rsidR="00F402E1">
              <w:t>e</w:t>
            </w:r>
            <w:r w:rsidRPr="00983594">
              <w:t xml:space="preserve"> </w:t>
            </w:r>
            <w:r w:rsidR="005E4A2F">
              <w:t xml:space="preserve">a </w:t>
            </w:r>
            <w:r w:rsidRPr="00983594">
              <w:t>training, employment and education package for tenants interested in developing skills in the green jobs sector, to employ at least 5</w:t>
            </w:r>
            <w:r>
              <w:t>,</w:t>
            </w:r>
            <w:r w:rsidR="00AA050C">
              <w:t>000 </w:t>
            </w:r>
            <w:r w:rsidRPr="00983594">
              <w:t>tenants in the roll</w:t>
            </w:r>
            <w:r>
              <w:noBreakHyphen/>
            </w:r>
            <w:r w:rsidRPr="00983594">
              <w:t>out and maintenance of this package</w:t>
            </w:r>
            <w:r>
              <w:t>.</w:t>
            </w:r>
          </w:p>
          <w:p w:rsidR="004D5525" w:rsidRDefault="000D5C10" w:rsidP="000D5C10">
            <w:pPr>
              <w:pStyle w:val="BodyText"/>
            </w:pPr>
            <w:r w:rsidRPr="008F46B9">
              <w:rPr>
                <w:color w:val="000000"/>
              </w:rPr>
              <w:t>The proposal would have effect from 1 September</w:t>
            </w:r>
            <w:r w:rsidRPr="003963CD">
              <w:t xml:space="preserve"> 2016.</w:t>
            </w:r>
          </w:p>
        </w:tc>
      </w:tr>
      <w:tr w:rsidR="004D5525" w:rsidTr="00D52D5F">
        <w:tc>
          <w:tcPr>
            <w:tcW w:w="3005" w:type="dxa"/>
          </w:tcPr>
          <w:p w:rsidR="004D5525" w:rsidRDefault="004D5525" w:rsidP="004D5525">
            <w:pPr>
              <w:pStyle w:val="BodyText"/>
            </w:pPr>
            <w:r>
              <w:t>Person/party requesting costing:</w:t>
            </w:r>
          </w:p>
        </w:tc>
        <w:tc>
          <w:tcPr>
            <w:tcW w:w="5335" w:type="dxa"/>
          </w:tcPr>
          <w:p w:rsidR="004D5525" w:rsidRDefault="00E91E96" w:rsidP="004D5525">
            <w:pPr>
              <w:pStyle w:val="BodyText"/>
            </w:pPr>
            <w:r w:rsidRPr="00B724AC">
              <w:t>Senator Richard Di Natale, Australian Greens</w:t>
            </w:r>
          </w:p>
        </w:tc>
      </w:tr>
      <w:tr w:rsidR="007D3577" w:rsidTr="00060F22">
        <w:tc>
          <w:tcPr>
            <w:tcW w:w="3005" w:type="dxa"/>
          </w:tcPr>
          <w:p w:rsidR="007D3577" w:rsidRDefault="007D3577" w:rsidP="00060F22">
            <w:pPr>
              <w:pStyle w:val="BodyText"/>
            </w:pPr>
            <w:r>
              <w:t>Date of public release of policy:</w:t>
            </w:r>
          </w:p>
        </w:tc>
        <w:tc>
          <w:tcPr>
            <w:tcW w:w="5335" w:type="dxa"/>
          </w:tcPr>
          <w:p w:rsidR="007D3577" w:rsidRDefault="007325B6" w:rsidP="00060F22">
            <w:pPr>
              <w:pStyle w:val="BodyText"/>
            </w:pPr>
            <w:r>
              <w:t>14</w:t>
            </w:r>
            <w:r w:rsidR="003346FB">
              <w:t xml:space="preserve"> June 2016</w:t>
            </w:r>
          </w:p>
          <w:p w:rsidR="00BE420D" w:rsidRPr="00C17112" w:rsidRDefault="00FC4FDB" w:rsidP="00BE420D">
            <w:pPr>
              <w:pStyle w:val="BodyText"/>
            </w:pPr>
            <w:hyperlink r:id="rId13" w:history="1">
              <w:r w:rsidR="00BE420D" w:rsidRPr="00A820F9">
                <w:rPr>
                  <w:rStyle w:val="Hyperlink"/>
                </w:rPr>
                <w:t>http://greens.org.au/renew-community-housing</w:t>
              </w:r>
            </w:hyperlink>
          </w:p>
        </w:tc>
      </w:tr>
      <w:tr w:rsidR="004D5525" w:rsidTr="00D52D5F">
        <w:tc>
          <w:tcPr>
            <w:tcW w:w="3005" w:type="dxa"/>
          </w:tcPr>
          <w:p w:rsidR="004D5525" w:rsidRDefault="004D5525" w:rsidP="004D5525">
            <w:pPr>
              <w:pStyle w:val="BodyText"/>
            </w:pPr>
            <w:r>
              <w:t>Date costing request received:</w:t>
            </w:r>
          </w:p>
        </w:tc>
        <w:tc>
          <w:tcPr>
            <w:tcW w:w="5335" w:type="dxa"/>
          </w:tcPr>
          <w:p w:rsidR="004D5525" w:rsidRDefault="008724C2" w:rsidP="008724C2">
            <w:pPr>
              <w:pStyle w:val="BodyText"/>
            </w:pPr>
            <w:r>
              <w:t>30</w:t>
            </w:r>
            <w:r w:rsidR="00A4222E">
              <w:t xml:space="preserve"> </w:t>
            </w:r>
            <w:r w:rsidR="00E91E96">
              <w:t>June 2016</w:t>
            </w:r>
          </w:p>
        </w:tc>
      </w:tr>
      <w:tr w:rsidR="004D5525" w:rsidTr="00D52D5F">
        <w:tc>
          <w:tcPr>
            <w:tcW w:w="3005" w:type="dxa"/>
          </w:tcPr>
          <w:p w:rsidR="004D5525" w:rsidRDefault="004D5525" w:rsidP="004D5525">
            <w:pPr>
              <w:pStyle w:val="BodyText"/>
            </w:pPr>
            <w:r>
              <w:t>Date costing completed</w:t>
            </w:r>
            <w:r w:rsidR="00AA050C">
              <w:t>:</w:t>
            </w:r>
          </w:p>
        </w:tc>
        <w:tc>
          <w:tcPr>
            <w:tcW w:w="5335" w:type="dxa"/>
          </w:tcPr>
          <w:p w:rsidR="004D5525" w:rsidRPr="00C17112" w:rsidRDefault="008724C2" w:rsidP="004D5525">
            <w:pPr>
              <w:pStyle w:val="BodyText"/>
            </w:pPr>
            <w:r>
              <w:t>30</w:t>
            </w:r>
            <w:r w:rsidR="00A4222E">
              <w:t xml:space="preserve"> </w:t>
            </w:r>
            <w:r w:rsidR="00E91E96">
              <w:t>June 2016</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F4535C" w:rsidP="00220BE5">
            <w:pPr>
              <w:pStyle w:val="BodyText"/>
            </w:pPr>
            <w:r>
              <w:t>Release of the next economic and fiscal outlook report</w:t>
            </w:r>
          </w:p>
        </w:tc>
      </w:tr>
    </w:tbl>
    <w:p w:rsidR="0055581F" w:rsidRPr="00002D5D" w:rsidRDefault="008030EC" w:rsidP="00FC6579">
      <w:pPr>
        <w:pStyle w:val="Heading2"/>
      </w:pPr>
      <w:r w:rsidRPr="00002D5D">
        <w:lastRenderedPageBreak/>
        <w:t>Costing overview</w:t>
      </w:r>
    </w:p>
    <w:p w:rsidR="00E3443A" w:rsidRDefault="00E3443A" w:rsidP="00E3443A">
      <w:r>
        <w:t xml:space="preserve">This </w:t>
      </w:r>
      <w:r w:rsidR="00D90D86">
        <w:t>proposal</w:t>
      </w:r>
      <w:r>
        <w:t xml:space="preserve"> would be expected to decrease both</w:t>
      </w:r>
      <w:r w:rsidRPr="008A5180">
        <w:t xml:space="preserve"> the </w:t>
      </w:r>
      <w:r>
        <w:t xml:space="preserve">fiscal and </w:t>
      </w:r>
      <w:r w:rsidRPr="008A5180">
        <w:t>underlying cash balance</w:t>
      </w:r>
      <w:r>
        <w:t>s</w:t>
      </w:r>
      <w:r w:rsidRPr="008A5180">
        <w:t xml:space="preserve"> by </w:t>
      </w:r>
      <w:r w:rsidRPr="00365B03">
        <w:t>$</w:t>
      </w:r>
      <w:r w:rsidR="00BD28E9">
        <w:t>2</w:t>
      </w:r>
      <w:r w:rsidR="0088062D">
        <w:t>50</w:t>
      </w:r>
      <w:r w:rsidR="00BD28E9">
        <w:t>.0</w:t>
      </w:r>
      <w:r>
        <w:t> m</w:t>
      </w:r>
      <w:r w:rsidRPr="00365B03">
        <w:t>illion</w:t>
      </w:r>
      <w:r>
        <w:t xml:space="preserve"> over the 2016-17 Budget forward estimates period.  This reflects an increase in administered expenses of $</w:t>
      </w:r>
      <w:r w:rsidR="007D02C4">
        <w:t>24</w:t>
      </w:r>
      <w:r w:rsidR="0088062D">
        <w:t>1</w:t>
      </w:r>
      <w:r w:rsidR="007D02C4">
        <w:t>.0</w:t>
      </w:r>
      <w:r w:rsidRPr="00834F1E">
        <w:t xml:space="preserve"> </w:t>
      </w:r>
      <w:r>
        <w:t>million and an increase in departmental expenses of $9</w:t>
      </w:r>
      <w:r w:rsidR="00285102">
        <w:t>.0</w:t>
      </w:r>
      <w:r>
        <w:t> million over this period.</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6D7F1D">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AA050C">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AA050C">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AA050C">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AA050C">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AA050C">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AA050C">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E3443A"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E3443A" w:rsidRPr="00B73AC8" w:rsidRDefault="00E3443A" w:rsidP="00AA050C">
            <w:pPr>
              <w:pStyle w:val="TableTextCentred"/>
              <w:keepNext/>
              <w:keepLines/>
              <w:spacing w:line="240" w:lineRule="auto"/>
              <w:ind w:left="57" w:right="57"/>
              <w:jc w:val="left"/>
              <w:rPr>
                <w:szCs w:val="20"/>
              </w:rPr>
            </w:pPr>
            <w:r w:rsidRPr="00B73AC8">
              <w:rPr>
                <w:szCs w:val="20"/>
              </w:rPr>
              <w:t>Fiscal balance</w:t>
            </w:r>
          </w:p>
        </w:tc>
        <w:tc>
          <w:tcPr>
            <w:tcW w:w="682" w:type="pct"/>
          </w:tcPr>
          <w:p w:rsidR="00E3443A" w:rsidRPr="00C778F2" w:rsidRDefault="00E3443A" w:rsidP="00AA050C">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D04D9F">
              <w:t>62.0</w:t>
            </w:r>
          </w:p>
        </w:tc>
        <w:tc>
          <w:tcPr>
            <w:tcW w:w="682" w:type="pct"/>
          </w:tcPr>
          <w:p w:rsidR="00E3443A" w:rsidRPr="00C778F2" w:rsidRDefault="00E3443A" w:rsidP="00AA050C">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D04D9F">
              <w:t>62.0</w:t>
            </w:r>
          </w:p>
        </w:tc>
        <w:tc>
          <w:tcPr>
            <w:tcW w:w="682" w:type="pct"/>
          </w:tcPr>
          <w:p w:rsidR="00E3443A" w:rsidRPr="00C778F2" w:rsidRDefault="00E3443A" w:rsidP="00AA050C">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D04D9F">
              <w:t>62.0</w:t>
            </w:r>
          </w:p>
        </w:tc>
        <w:tc>
          <w:tcPr>
            <w:tcW w:w="682" w:type="pct"/>
          </w:tcPr>
          <w:p w:rsidR="00E3443A" w:rsidRPr="00C778F2" w:rsidRDefault="00E3443A" w:rsidP="00AA050C">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D04D9F">
              <w:t>62.0</w:t>
            </w:r>
          </w:p>
        </w:tc>
        <w:tc>
          <w:tcPr>
            <w:tcW w:w="681" w:type="pct"/>
          </w:tcPr>
          <w:p w:rsidR="00E3443A" w:rsidRPr="001F43BD" w:rsidRDefault="00E3443A" w:rsidP="00AA050C">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b/>
              </w:rPr>
            </w:pPr>
            <w:r w:rsidRPr="001F43BD">
              <w:rPr>
                <w:b/>
              </w:rPr>
              <w:t>-</w:t>
            </w:r>
            <w:r w:rsidR="00BD28E9">
              <w:rPr>
                <w:b/>
              </w:rPr>
              <w:t>2</w:t>
            </w:r>
            <w:r w:rsidR="00D04D9F">
              <w:rPr>
                <w:b/>
              </w:rPr>
              <w:t>50</w:t>
            </w:r>
            <w:r>
              <w:rPr>
                <w:b/>
              </w:rPr>
              <w:t>.0</w:t>
            </w:r>
          </w:p>
        </w:tc>
      </w:tr>
      <w:tr w:rsidR="00D04D9F"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D04D9F" w:rsidRPr="00B73AC8" w:rsidRDefault="00D04D9F" w:rsidP="00AA050C">
            <w:pPr>
              <w:pStyle w:val="TableTextCentred"/>
              <w:keepNext/>
              <w:keepLines/>
              <w:spacing w:line="240" w:lineRule="auto"/>
              <w:ind w:left="57" w:right="57"/>
              <w:jc w:val="left"/>
              <w:rPr>
                <w:szCs w:val="20"/>
              </w:rPr>
            </w:pPr>
            <w:r w:rsidRPr="00B73AC8">
              <w:rPr>
                <w:szCs w:val="20"/>
              </w:rPr>
              <w:t>Underlying cash balance</w:t>
            </w:r>
          </w:p>
        </w:tc>
        <w:tc>
          <w:tcPr>
            <w:tcW w:w="682" w:type="pct"/>
          </w:tcPr>
          <w:p w:rsidR="00D04D9F" w:rsidRPr="00C778F2" w:rsidRDefault="00D04D9F" w:rsidP="00AA050C">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-62.0</w:t>
            </w:r>
          </w:p>
        </w:tc>
        <w:tc>
          <w:tcPr>
            <w:tcW w:w="682" w:type="pct"/>
          </w:tcPr>
          <w:p w:rsidR="00D04D9F" w:rsidRPr="00C778F2" w:rsidRDefault="00D04D9F" w:rsidP="00AA050C">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-62.0</w:t>
            </w:r>
          </w:p>
        </w:tc>
        <w:tc>
          <w:tcPr>
            <w:tcW w:w="682" w:type="pct"/>
          </w:tcPr>
          <w:p w:rsidR="00D04D9F" w:rsidRPr="00C778F2" w:rsidRDefault="00D04D9F" w:rsidP="00AA050C">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-62.0</w:t>
            </w:r>
          </w:p>
        </w:tc>
        <w:tc>
          <w:tcPr>
            <w:tcW w:w="682" w:type="pct"/>
          </w:tcPr>
          <w:p w:rsidR="00D04D9F" w:rsidRPr="00C778F2" w:rsidRDefault="00D04D9F" w:rsidP="00AA050C">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-62.0</w:t>
            </w:r>
          </w:p>
        </w:tc>
        <w:tc>
          <w:tcPr>
            <w:tcW w:w="681" w:type="pct"/>
          </w:tcPr>
          <w:p w:rsidR="00D04D9F" w:rsidRPr="001F43BD" w:rsidRDefault="00D04D9F" w:rsidP="00AA050C">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b/>
              </w:rPr>
            </w:pPr>
            <w:r w:rsidRPr="001F43BD">
              <w:rPr>
                <w:b/>
              </w:rPr>
              <w:t>-</w:t>
            </w:r>
            <w:r>
              <w:rPr>
                <w:b/>
              </w:rPr>
              <w:t>250.0</w:t>
            </w:r>
          </w:p>
        </w:tc>
      </w:tr>
    </w:tbl>
    <w:p w:rsidR="006D7F1D" w:rsidRDefault="006D7F1D" w:rsidP="009D4063">
      <w:pPr>
        <w:pStyle w:val="Footnotes"/>
        <w:keepNext/>
        <w:keepLines/>
        <w:numPr>
          <w:ilvl w:val="0"/>
          <w:numId w:val="7"/>
        </w:numPr>
        <w:ind w:left="284" w:hanging="284"/>
      </w:pPr>
      <w:r w:rsidRPr="006D7F1D">
        <w:rPr>
          <w:lang w:eastAsia="en-AU"/>
        </w:rPr>
        <w:t>A positive number represents an increase in the relevant budget balance, a negative number a decrease.</w:t>
      </w:r>
      <w:r w:rsidR="003C6D25" w:rsidRPr="006D7F1D">
        <w:t xml:space="preserve"> </w:t>
      </w:r>
    </w:p>
    <w:p w:rsidR="009D4063" w:rsidRDefault="006D7F1D" w:rsidP="009D4063">
      <w:pPr>
        <w:pStyle w:val="Footnotes"/>
        <w:keepNext/>
        <w:keepLines/>
        <w:numPr>
          <w:ilvl w:val="0"/>
          <w:numId w:val="7"/>
        </w:numPr>
        <w:ind w:left="284" w:hanging="284"/>
      </w:pPr>
      <w:r>
        <w:t xml:space="preserve">Figures may not sum to totals </w:t>
      </w:r>
      <w:r w:rsidR="003C6D25" w:rsidRPr="006D7F1D">
        <w:t>due to rounding</w:t>
      </w:r>
      <w:r w:rsidR="003C6D25">
        <w:t>.</w:t>
      </w:r>
    </w:p>
    <w:p w:rsidR="00E3443A" w:rsidRDefault="00D90D86" w:rsidP="006D7F1D">
      <w:pPr>
        <w:spacing w:before="240" w:after="0" w:line="240" w:lineRule="auto"/>
        <w:rPr>
          <w:lang w:eastAsia="en-AU"/>
        </w:rPr>
      </w:pPr>
      <w:r>
        <w:rPr>
          <w:lang w:eastAsia="en-AU"/>
        </w:rPr>
        <w:t xml:space="preserve">The proposal </w:t>
      </w:r>
      <w:r w:rsidR="00E3443A">
        <w:rPr>
          <w:lang w:eastAsia="en-AU"/>
        </w:rPr>
        <w:t>would have ongoing financial implications beyond the 2016-17 Budget forward estimates period</w:t>
      </w:r>
      <w:r w:rsidR="005F67F7">
        <w:rPr>
          <w:lang w:eastAsia="en-AU"/>
        </w:rPr>
        <w:t xml:space="preserve"> until 20</w:t>
      </w:r>
      <w:r w:rsidR="00824C79">
        <w:rPr>
          <w:lang w:eastAsia="en-AU"/>
        </w:rPr>
        <w:t>29-</w:t>
      </w:r>
      <w:r w:rsidR="00B97886">
        <w:rPr>
          <w:lang w:eastAsia="en-AU"/>
        </w:rPr>
        <w:t>30</w:t>
      </w:r>
      <w:r w:rsidR="005F67F7">
        <w:rPr>
          <w:lang w:eastAsia="en-AU"/>
        </w:rPr>
        <w:t xml:space="preserve"> at which point funding for the proposal would terminate.  The annual impact over the period 2020-21 to 20</w:t>
      </w:r>
      <w:r w:rsidR="00824C79">
        <w:rPr>
          <w:lang w:eastAsia="en-AU"/>
        </w:rPr>
        <w:t>29-</w:t>
      </w:r>
      <w:r w:rsidR="00B97886">
        <w:rPr>
          <w:lang w:eastAsia="en-AU"/>
        </w:rPr>
        <w:t>30</w:t>
      </w:r>
      <w:r w:rsidR="005F67F7">
        <w:rPr>
          <w:lang w:eastAsia="en-AU"/>
        </w:rPr>
        <w:t xml:space="preserve"> would be in line with the impact in 2019-20. </w:t>
      </w:r>
      <w:r w:rsidR="00E3443A">
        <w:rPr>
          <w:lang w:eastAsia="en-AU"/>
        </w:rPr>
        <w:t xml:space="preserve"> A breakdown by administered and departmental </w:t>
      </w:r>
      <w:r>
        <w:rPr>
          <w:lang w:eastAsia="en-AU"/>
        </w:rPr>
        <w:t>expenses</w:t>
      </w:r>
      <w:r w:rsidR="00E3443A">
        <w:rPr>
          <w:lang w:eastAsia="en-AU"/>
        </w:rPr>
        <w:t xml:space="preserve"> is at </w:t>
      </w:r>
      <w:r w:rsidR="00E3443A" w:rsidRPr="00813888">
        <w:rPr>
          <w:u w:val="single"/>
          <w:lang w:eastAsia="en-AU"/>
        </w:rPr>
        <w:t>Attachment A</w:t>
      </w:r>
      <w:r w:rsidR="00E3443A">
        <w:rPr>
          <w:lang w:eastAsia="en-AU"/>
        </w:rPr>
        <w:t>.</w:t>
      </w:r>
    </w:p>
    <w:p w:rsidR="00566BE6" w:rsidRDefault="00E3443A" w:rsidP="00E3443A">
      <w:r w:rsidRPr="00C778F2">
        <w:rPr>
          <w:lang w:eastAsia="en-AU"/>
        </w:rPr>
        <w:t>This costing is considered to be of high reliability as it is</w:t>
      </w:r>
      <w:r>
        <w:rPr>
          <w:lang w:eastAsia="en-AU"/>
        </w:rPr>
        <w:t xml:space="preserve"> largely</w:t>
      </w:r>
      <w:r w:rsidRPr="00C778F2">
        <w:rPr>
          <w:lang w:eastAsia="en-AU"/>
        </w:rPr>
        <w:t xml:space="preserve"> based on </w:t>
      </w:r>
      <w:r>
        <w:rPr>
          <w:lang w:eastAsia="en-AU"/>
        </w:rPr>
        <w:t>specified capped amounts</w:t>
      </w:r>
      <w:r w:rsidRPr="00C778F2">
        <w:rPr>
          <w:lang w:eastAsia="en-AU"/>
        </w:rPr>
        <w:t>.</w:t>
      </w:r>
    </w:p>
    <w:p w:rsidR="008D3909" w:rsidRPr="00FC6579" w:rsidRDefault="005E3562" w:rsidP="00E40B8B">
      <w:pPr>
        <w:pStyle w:val="Heading2"/>
      </w:pPr>
      <w:r w:rsidRPr="00FC6579">
        <w:t>Key assumptions</w:t>
      </w:r>
    </w:p>
    <w:p w:rsidR="005E4A2F" w:rsidRDefault="005E4A2F" w:rsidP="00285102">
      <w:pPr>
        <w:pStyle w:val="Bullet1"/>
      </w:pPr>
      <w:r w:rsidRPr="00891DA9">
        <w:t xml:space="preserve">The PBO has not undertaken any analysis of whether the prescribed funding amounts </w:t>
      </w:r>
      <w:r>
        <w:t>would be</w:t>
      </w:r>
      <w:r w:rsidRPr="00891DA9">
        <w:t xml:space="preserve"> adequate to achieve the activities outlined</w:t>
      </w:r>
      <w:r>
        <w:t xml:space="preserve"> in the proposal</w:t>
      </w:r>
      <w:r w:rsidRPr="00891DA9">
        <w:t>.</w:t>
      </w:r>
    </w:p>
    <w:p w:rsidR="00A86B17" w:rsidRDefault="00315A89" w:rsidP="00285102">
      <w:pPr>
        <w:pStyle w:val="Bullet1"/>
      </w:pPr>
      <w:r>
        <w:t>I</w:t>
      </w:r>
      <w:r w:rsidR="00A86B17">
        <w:t xml:space="preserve">t </w:t>
      </w:r>
      <w:r>
        <w:t>was</w:t>
      </w:r>
      <w:r w:rsidR="00A86B17">
        <w:t xml:space="preserve"> assumed that </w:t>
      </w:r>
      <w:r w:rsidR="00285102">
        <w:t>around</w:t>
      </w:r>
      <w:r w:rsidR="00502A60">
        <w:t xml:space="preserve"> </w:t>
      </w:r>
      <w:r w:rsidR="00931B64">
        <w:t>30</w:t>
      </w:r>
      <w:r w:rsidR="00502A60">
        <w:t xml:space="preserve">,000 dwellings would be upgraded </w:t>
      </w:r>
      <w:r w:rsidR="00871F20">
        <w:t xml:space="preserve">annually </w:t>
      </w:r>
      <w:r w:rsidR="00AA050C">
        <w:t>until 2030.</w:t>
      </w:r>
    </w:p>
    <w:p w:rsidR="005E3562" w:rsidRPr="00FC6579" w:rsidRDefault="005E3562" w:rsidP="00E40B8B">
      <w:pPr>
        <w:pStyle w:val="Heading2"/>
      </w:pPr>
      <w:r w:rsidRPr="00FC6579">
        <w:t>Methodology</w:t>
      </w:r>
    </w:p>
    <w:p w:rsidR="00E3443A" w:rsidRDefault="00E3443A" w:rsidP="00E3443A">
      <w:r>
        <w:t xml:space="preserve">Administered </w:t>
      </w:r>
      <w:r w:rsidR="0028027E">
        <w:t>expense</w:t>
      </w:r>
      <w:r>
        <w:t xml:space="preserve"> estimates are as specified in the request.</w:t>
      </w:r>
    </w:p>
    <w:p w:rsidR="00E3443A" w:rsidRDefault="00E3443A" w:rsidP="00E3443A">
      <w:r>
        <w:t xml:space="preserve">Departmental </w:t>
      </w:r>
      <w:r w:rsidR="0028027E">
        <w:t>expense</w:t>
      </w:r>
      <w:r>
        <w:t xml:space="preserve"> estimates are in addition to the administered costs and are based on similar sized grant programs and estimates account for the net effect of indexation parameters and the efficiency dividend, in accordance with the Department </w:t>
      </w:r>
      <w:r w:rsidR="00AA050C">
        <w:t>of Finance’s costing practices.</w:t>
      </w:r>
    </w:p>
    <w:p w:rsidR="00E3443A" w:rsidRDefault="00E3443A" w:rsidP="00E3443A">
      <w:r>
        <w:t>Administered and departmental expense estimates were rounded to the nearest $1 million.</w:t>
      </w:r>
    </w:p>
    <w:p w:rsidR="005E3562" w:rsidRPr="00FC6579" w:rsidRDefault="005E3562" w:rsidP="00E40B8B">
      <w:pPr>
        <w:pStyle w:val="Heading2"/>
      </w:pPr>
      <w:r w:rsidRPr="00FC6579">
        <w:t>Data sources</w:t>
      </w:r>
    </w:p>
    <w:p w:rsidR="00E3443A" w:rsidRDefault="00E3443A" w:rsidP="00E3443A">
      <w:pPr>
        <w:pStyle w:val="Bullet1"/>
        <w:numPr>
          <w:ilvl w:val="0"/>
          <w:numId w:val="0"/>
        </w:numPr>
        <w:ind w:left="284" w:hanging="284"/>
      </w:pPr>
      <w:r>
        <w:t>Department of Finance provided indexation and efficiency dividend parameters.</w:t>
      </w:r>
    </w:p>
    <w:p w:rsidR="00CA5D42" w:rsidRPr="00FC6579" w:rsidRDefault="00CA5D42" w:rsidP="008F7036">
      <w:pPr>
        <w:pStyle w:val="Bullet3"/>
        <w:numPr>
          <w:ilvl w:val="0"/>
          <w:numId w:val="0"/>
        </w:numPr>
        <w:rPr>
          <w:highlight w:val="yellow"/>
        </w:rPr>
        <w:sectPr w:rsidR="00CA5D42" w:rsidRPr="00FC6579" w:rsidSect="00002D5D">
          <w:headerReference w:type="first" r:id="rId14"/>
          <w:footerReference w:type="first" r:id="rId15"/>
          <w:pgSz w:w="11906" w:h="16838"/>
          <w:pgMar w:top="1361" w:right="1797" w:bottom="1474" w:left="1797" w:header="709" w:footer="709" w:gutter="0"/>
          <w:cols w:space="708"/>
          <w:titlePg/>
          <w:docGrid w:linePitch="360"/>
        </w:sectPr>
      </w:pPr>
    </w:p>
    <w:p w:rsidR="00320157" w:rsidRPr="00FC6579" w:rsidRDefault="00320157" w:rsidP="00320157">
      <w:pPr>
        <w:pStyle w:val="Heading1"/>
        <w:spacing w:before="120" w:after="0"/>
      </w:pPr>
      <w:r w:rsidRPr="00FC6579">
        <w:lastRenderedPageBreak/>
        <w:t>Attachment A:</w:t>
      </w:r>
      <w:r w:rsidR="00AF2E4F">
        <w:t xml:space="preserve"> Repowering P</w:t>
      </w:r>
      <w:r>
        <w:t xml:space="preserve">ublic and </w:t>
      </w:r>
      <w:r w:rsidR="00AF2E4F">
        <w:t>C</w:t>
      </w:r>
      <w:r>
        <w:t xml:space="preserve">ommunity </w:t>
      </w:r>
      <w:r w:rsidR="00AF2E4F">
        <w:t>H</w:t>
      </w:r>
      <w:r>
        <w:t>ousing—financial implications</w:t>
      </w:r>
    </w:p>
    <w:p w:rsidR="00F52474" w:rsidRDefault="00F52474" w:rsidP="00FC6579">
      <w:pPr>
        <w:pStyle w:val="Captionheading"/>
        <w:rPr>
          <w:vertAlign w:val="superscript"/>
        </w:rPr>
      </w:pPr>
      <w:r w:rsidRPr="00FC6579">
        <w:t xml:space="preserve">Table </w:t>
      </w:r>
      <w:r w:rsidR="006A0E66">
        <w:t>A1</w:t>
      </w:r>
      <w:r w:rsidRPr="00FC6579">
        <w:t xml:space="preserve">: </w:t>
      </w:r>
      <w:r w:rsidR="00320157">
        <w:t xml:space="preserve">Repowering </w:t>
      </w:r>
      <w:r w:rsidR="00A52146">
        <w:t>P</w:t>
      </w:r>
      <w:r w:rsidR="00320157">
        <w:t xml:space="preserve">ublic and </w:t>
      </w:r>
      <w:r w:rsidR="00A52146">
        <w:t>C</w:t>
      </w:r>
      <w:r w:rsidR="00320157">
        <w:t xml:space="preserve">ommunity </w:t>
      </w:r>
      <w:r w:rsidR="00A52146">
        <w:t>H</w:t>
      </w:r>
      <w:r w:rsidR="00320157">
        <w:t>ousing</w:t>
      </w:r>
      <w:r w:rsidR="006A0E66">
        <w:t>—Financial implications (outturn prices</w:t>
      </w:r>
      <w:proofErr w:type="gramStart"/>
      <w:r w:rsidR="006A0E66">
        <w:t>)</w:t>
      </w:r>
      <w:r w:rsidR="006A0E66">
        <w:rPr>
          <w:vertAlign w:val="superscript"/>
        </w:rPr>
        <w:t>(</w:t>
      </w:r>
      <w:proofErr w:type="gramEnd"/>
      <w:r w:rsidR="006A0E66">
        <w:rPr>
          <w:vertAlign w:val="superscript"/>
        </w:rPr>
        <w:t>a)(b)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5"/>
        <w:gridCol w:w="1134"/>
        <w:gridCol w:w="1134"/>
        <w:gridCol w:w="1134"/>
        <w:gridCol w:w="1134"/>
        <w:gridCol w:w="1134"/>
      </w:tblGrid>
      <w:tr w:rsidR="006F4D70" w:rsidRPr="00EF1D6A" w:rsidTr="00E03F21">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6F4D70" w:rsidRPr="00EF1D6A" w:rsidRDefault="006F4D70" w:rsidP="00AA050C">
            <w:pPr>
              <w:pStyle w:val="TableText"/>
              <w:keepNext/>
              <w:keepLines/>
              <w:spacing w:line="240" w:lineRule="auto"/>
              <w:ind w:left="57" w:right="57"/>
              <w:rPr>
                <w:rFonts w:ascii="Calibri" w:hAnsi="Calibri"/>
                <w:b/>
                <w:szCs w:val="20"/>
              </w:rPr>
            </w:pP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6F4D70" w:rsidRPr="00C24267" w:rsidRDefault="006F4D70" w:rsidP="00AA050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6F4D70" w:rsidRPr="00C24267" w:rsidRDefault="006F4D70" w:rsidP="00AA050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6F4D70" w:rsidRPr="00C24267" w:rsidRDefault="006F4D70" w:rsidP="00AA050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6F4D70" w:rsidRPr="00C24267" w:rsidRDefault="006F4D70" w:rsidP="00AA050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6F4D70" w:rsidRPr="00AE30B5" w:rsidRDefault="006F4D70" w:rsidP="00AA050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Pr="00AE30B5">
              <w:rPr>
                <w:b/>
                <w:szCs w:val="20"/>
              </w:rPr>
              <w:t xml:space="preserve"> to 2019–20</w:t>
            </w:r>
          </w:p>
        </w:tc>
      </w:tr>
      <w:tr w:rsidR="006F4D70" w:rsidRPr="00EF1D6A" w:rsidTr="00E03F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6F4D70" w:rsidRPr="00AE30B5" w:rsidRDefault="006F4D70" w:rsidP="00AA050C">
            <w:pPr>
              <w:pStyle w:val="TableHeadingCentred"/>
              <w:spacing w:line="240" w:lineRule="auto"/>
              <w:ind w:left="57" w:right="57"/>
              <w:jc w:val="left"/>
              <w:rPr>
                <w:b/>
              </w:rPr>
            </w:pPr>
            <w:r>
              <w:rPr>
                <w:b/>
              </w:rPr>
              <w:t>Impact on f</w:t>
            </w:r>
            <w:r w:rsidRPr="00AE30B5">
              <w:rPr>
                <w:b/>
              </w:rPr>
              <w:t xml:space="preserve">iscal and underlying cash balances </w:t>
            </w:r>
          </w:p>
        </w:tc>
      </w:tr>
      <w:tr w:rsidR="006F4D70" w:rsidRPr="00AA050C" w:rsidTr="00E03F21">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
              <w:spacing w:line="240" w:lineRule="auto"/>
              <w:ind w:left="57" w:right="57"/>
              <w:rPr>
                <w:i/>
              </w:rPr>
            </w:pPr>
            <w:r w:rsidRPr="00AA050C">
              <w:rPr>
                <w:i/>
              </w:rPr>
              <w:t>Administered</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AA050C">
              <w:t>-6</w:t>
            </w:r>
            <w:r w:rsidR="00246B3A" w:rsidRPr="00AA050C">
              <w:t>0</w:t>
            </w:r>
            <w:r w:rsidR="009E0ADC" w:rsidRPr="00AA050C">
              <w:t>.</w:t>
            </w:r>
            <w:r w:rsidRPr="00AA050C">
              <w:t xml:space="preserve">0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AA050C">
              <w:t>-</w:t>
            </w:r>
            <w:r w:rsidR="009E0ADC" w:rsidRPr="00AA050C">
              <w:t>6</w:t>
            </w:r>
            <w:r w:rsidR="00246B3A" w:rsidRPr="00AA050C">
              <w:t>0</w:t>
            </w:r>
            <w:r w:rsidR="009E0ADC" w:rsidRPr="00AA050C">
              <w:t>.0</w:t>
            </w:r>
            <w:r w:rsidRPr="00AA050C">
              <w:t xml:space="preserve">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AA050C">
              <w:t>-</w:t>
            </w:r>
            <w:r w:rsidR="009E0ADC" w:rsidRPr="00AA050C">
              <w:t>6</w:t>
            </w:r>
            <w:r w:rsidR="00246B3A" w:rsidRPr="00AA050C">
              <w:t>0</w:t>
            </w:r>
            <w:r w:rsidR="009E0ADC" w:rsidRPr="00AA050C">
              <w:t>.</w:t>
            </w:r>
            <w:r w:rsidRPr="00AA050C">
              <w:t xml:space="preserve">0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rsidRPr="00AA050C">
              <w:t>-</w:t>
            </w:r>
            <w:r w:rsidR="009E0ADC" w:rsidRPr="00AA050C">
              <w:t>6</w:t>
            </w:r>
            <w:r w:rsidR="00246B3A" w:rsidRPr="00AA050C">
              <w:t>0</w:t>
            </w:r>
            <w:r w:rsidRPr="00AA050C">
              <w:t xml:space="preserve">.0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A050C">
              <w:rPr>
                <w:b/>
              </w:rPr>
              <w:t>-</w:t>
            </w:r>
            <w:r w:rsidR="00246B3A" w:rsidRPr="00AA050C">
              <w:rPr>
                <w:b/>
              </w:rPr>
              <w:t>2</w:t>
            </w:r>
            <w:r w:rsidR="009E0ADC" w:rsidRPr="00AA050C">
              <w:rPr>
                <w:b/>
              </w:rPr>
              <w:t>4</w:t>
            </w:r>
            <w:r w:rsidR="00246B3A" w:rsidRPr="00AA050C">
              <w:rPr>
                <w:b/>
              </w:rPr>
              <w:t>1</w:t>
            </w:r>
            <w:r w:rsidR="009E0ADC" w:rsidRPr="00AA050C">
              <w:rPr>
                <w:b/>
              </w:rPr>
              <w:t>.0</w:t>
            </w:r>
            <w:r w:rsidRPr="00AA050C">
              <w:rPr>
                <w:b/>
              </w:rPr>
              <w:t xml:space="preserve"> </w:t>
            </w:r>
          </w:p>
        </w:tc>
      </w:tr>
      <w:tr w:rsidR="006F4D70" w:rsidRPr="00AA050C" w:rsidTr="00E03F2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
              <w:spacing w:line="240" w:lineRule="auto"/>
              <w:ind w:left="57" w:right="57"/>
              <w:rPr>
                <w:i/>
              </w:rPr>
            </w:pPr>
            <w:r w:rsidRPr="00AA050C">
              <w:rPr>
                <w:i/>
              </w:rPr>
              <w:t>Departmental</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rsidRPr="00AA050C">
              <w:t>-</w:t>
            </w:r>
            <w:r w:rsidR="009E0ADC" w:rsidRPr="00AA050C">
              <w:t>2</w:t>
            </w:r>
            <w:r w:rsidRPr="00AA050C">
              <w:t xml:space="preserve">.0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rsidRPr="00AA050C">
              <w:t>-</w:t>
            </w:r>
            <w:r w:rsidR="009E0ADC" w:rsidRPr="00AA050C">
              <w:t>2.0</w:t>
            </w:r>
            <w:r w:rsidRPr="00AA050C">
              <w:t xml:space="preserve">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rsidRPr="00AA050C">
              <w:t>-</w:t>
            </w:r>
            <w:r w:rsidR="009E0ADC" w:rsidRPr="00AA050C">
              <w:t>2</w:t>
            </w:r>
            <w:r w:rsidRPr="00AA050C">
              <w:t xml:space="preserve">.0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rsidRPr="00AA050C">
              <w:t>-2.</w:t>
            </w:r>
            <w:r w:rsidR="009E0ADC" w:rsidRPr="00AA050C">
              <w:t>0</w:t>
            </w:r>
            <w:r w:rsidRPr="00AA050C">
              <w:t xml:space="preserve"> </w:t>
            </w:r>
          </w:p>
        </w:tc>
        <w:tc>
          <w:tcPr>
            <w:tcW w:w="682" w:type="pct"/>
            <w:tcBorders>
              <w:top w:val="single" w:sz="4" w:space="0" w:color="788184"/>
              <w:left w:val="single" w:sz="4" w:space="0" w:color="788184"/>
              <w:bottom w:val="single" w:sz="4" w:space="0" w:color="788184"/>
              <w:right w:val="single" w:sz="4" w:space="0" w:color="788184"/>
            </w:tcBorders>
          </w:tcPr>
          <w:p w:rsidR="006F4D70" w:rsidRPr="00AA050C" w:rsidRDefault="006F4D70" w:rsidP="00AA050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sidRPr="00AA050C">
              <w:rPr>
                <w:b/>
              </w:rPr>
              <w:t>-</w:t>
            </w:r>
            <w:r w:rsidR="009E0ADC" w:rsidRPr="00AA050C">
              <w:rPr>
                <w:b/>
              </w:rPr>
              <w:t>9.0</w:t>
            </w:r>
            <w:r w:rsidRPr="00AA050C">
              <w:rPr>
                <w:b/>
              </w:rPr>
              <w:t xml:space="preserve"> </w:t>
            </w:r>
          </w:p>
        </w:tc>
      </w:tr>
      <w:tr w:rsidR="001F0F0A" w:rsidRPr="0055406D" w:rsidTr="00E03F21">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1F0F0A" w:rsidRPr="0055406D" w:rsidRDefault="001F0F0A" w:rsidP="00AA050C">
            <w:pPr>
              <w:pStyle w:val="TableTextCentred"/>
              <w:keepNext/>
              <w:keepLines/>
              <w:spacing w:line="240" w:lineRule="auto"/>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1F0F0A" w:rsidRPr="00A1308B" w:rsidRDefault="001F0F0A" w:rsidP="00245411">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color w:val="000000" w:themeColor="text1"/>
              </w:rPr>
            </w:pPr>
            <w:r w:rsidRPr="00A1308B">
              <w:rPr>
                <w:b/>
                <w:i w:val="0"/>
                <w:color w:val="000000" w:themeColor="text1"/>
              </w:rPr>
              <w:t xml:space="preserve">-62.0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1F0F0A" w:rsidRPr="00A1308B" w:rsidRDefault="001F0F0A" w:rsidP="00245411">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color w:val="000000" w:themeColor="text1"/>
              </w:rPr>
            </w:pPr>
            <w:r w:rsidRPr="00A1308B">
              <w:rPr>
                <w:b/>
                <w:i w:val="0"/>
                <w:color w:val="000000" w:themeColor="text1"/>
              </w:rPr>
              <w:t xml:space="preserve">-62.0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1F0F0A" w:rsidRPr="00A1308B" w:rsidRDefault="001F0F0A" w:rsidP="00245411">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color w:val="000000" w:themeColor="text1"/>
              </w:rPr>
            </w:pPr>
            <w:r w:rsidRPr="00A1308B">
              <w:rPr>
                <w:b/>
                <w:i w:val="0"/>
                <w:color w:val="000000" w:themeColor="text1"/>
              </w:rPr>
              <w:t xml:space="preserve">-62.0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1F0F0A" w:rsidRPr="00A1308B" w:rsidRDefault="001F0F0A" w:rsidP="00245411">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color w:val="000000" w:themeColor="text1"/>
              </w:rPr>
            </w:pPr>
            <w:r w:rsidRPr="00A1308B">
              <w:rPr>
                <w:b/>
                <w:i w:val="0"/>
                <w:color w:val="000000" w:themeColor="text1"/>
              </w:rPr>
              <w:t xml:space="preserve">-62.0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1F0F0A" w:rsidRPr="009D4B34" w:rsidRDefault="001F0F0A" w:rsidP="00245411">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-250</w:t>
            </w:r>
            <w:r w:rsidRPr="009D4B34">
              <w:rPr>
                <w:b/>
                <w:i w:val="0"/>
              </w:rPr>
              <w:t>.</w:t>
            </w:r>
            <w:r>
              <w:rPr>
                <w:b/>
                <w:i w:val="0"/>
              </w:rPr>
              <w:t>0</w:t>
            </w:r>
            <w:r w:rsidRPr="009D4B34">
              <w:rPr>
                <w:b/>
                <w:i w:val="0"/>
              </w:rPr>
              <w:t xml:space="preserve"> </w:t>
            </w:r>
          </w:p>
        </w:tc>
      </w:tr>
    </w:tbl>
    <w:p w:rsidR="006B5AA7" w:rsidRDefault="006B5AA7" w:rsidP="00C824C5">
      <w:pPr>
        <w:pStyle w:val="Footnotes"/>
        <w:numPr>
          <w:ilvl w:val="0"/>
          <w:numId w:val="26"/>
        </w:numPr>
        <w:ind w:left="284" w:hanging="284"/>
      </w:pPr>
      <w:r w:rsidRPr="00751152">
        <w:t>A positive number indicates an increase in revenue or decrease in expenses or net capital investment in accrual and cash terms. A negative number indicates a decrease in revenue or an increase in expenses or net capital investment in accrual and cash terms.</w:t>
      </w:r>
    </w:p>
    <w:p w:rsidR="00485374" w:rsidRPr="00FC6579" w:rsidRDefault="006A0E66" w:rsidP="00C824C5">
      <w:pPr>
        <w:pStyle w:val="Footnotes"/>
        <w:ind w:left="284" w:hanging="284"/>
      </w:pPr>
      <w:r>
        <w:t>Figures may not sum to totals due to r</w:t>
      </w:r>
      <w:bookmarkStart w:id="0" w:name="_GoBack"/>
      <w:bookmarkEnd w:id="0"/>
      <w:r>
        <w:t>ounding.</w:t>
      </w:r>
    </w:p>
    <w:sectPr w:rsidR="00485374" w:rsidRPr="00FC6579" w:rsidSect="00AF2E4F">
      <w:headerReference w:type="first" r:id="rId16"/>
      <w:footerReference w:type="first" r:id="rId17"/>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4B3" w:rsidRDefault="002014B3" w:rsidP="008F588A">
      <w:pPr>
        <w:spacing w:line="240" w:lineRule="auto"/>
      </w:pPr>
      <w:r>
        <w:separator/>
      </w:r>
    </w:p>
    <w:p w:rsidR="002014B3" w:rsidRDefault="002014B3"/>
  </w:endnote>
  <w:endnote w:type="continuationSeparator" w:id="0">
    <w:p w:rsidR="002014B3" w:rsidRDefault="002014B3" w:rsidP="008F588A">
      <w:pPr>
        <w:spacing w:line="240" w:lineRule="auto"/>
      </w:pPr>
      <w:r>
        <w:continuationSeparator/>
      </w:r>
    </w:p>
    <w:p w:rsidR="002014B3" w:rsidRDefault="00201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3" w:rsidRPr="00C24267" w:rsidRDefault="002014B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0B06A2">
      <w:rPr>
        <w:noProof/>
      </w:rPr>
      <w:t>3</w:t>
    </w:r>
    <w:r w:rsidRPr="00C24267">
      <w:fldChar w:fldCharType="end"/>
    </w:r>
    <w:r w:rsidRPr="00C24267">
      <w:t xml:space="preserve"> of </w:t>
    </w:r>
    <w:r w:rsidR="00FC4FDB">
      <w:fldChar w:fldCharType="begin"/>
    </w:r>
    <w:r w:rsidR="00FC4FDB">
      <w:instrText xml:space="preserve"> NUMPAGES  \* Arabic  \* MERGEFORMAT </w:instrText>
    </w:r>
    <w:r w:rsidR="00FC4FDB">
      <w:fldChar w:fldCharType="separate"/>
    </w:r>
    <w:r w:rsidR="000B06A2">
      <w:rPr>
        <w:noProof/>
      </w:rPr>
      <w:t>4</w:t>
    </w:r>
    <w:r w:rsidR="00FC4FD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3" w:rsidRPr="00C24267" w:rsidRDefault="002014B3" w:rsidP="00C24267">
    <w:pPr>
      <w:pStyle w:val="Letterfooter"/>
    </w:pPr>
    <w:r w:rsidRPr="00C24267">
      <w:t>Parliamentary Budget Office   PO Box 6010   Parliament House   Canberra ACT 2600</w:t>
    </w:r>
  </w:p>
  <w:p w:rsidR="002014B3" w:rsidRPr="00C24267" w:rsidRDefault="002014B3"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3" w:rsidRPr="00C24267" w:rsidRDefault="002014B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0B06A2">
      <w:rPr>
        <w:noProof/>
      </w:rPr>
      <w:t>2</w:t>
    </w:r>
    <w:r w:rsidRPr="00C24267">
      <w:fldChar w:fldCharType="end"/>
    </w:r>
    <w:r w:rsidRPr="00C24267">
      <w:t xml:space="preserve"> of </w:t>
    </w:r>
    <w:r w:rsidR="00FC4FDB">
      <w:fldChar w:fldCharType="begin"/>
    </w:r>
    <w:r w:rsidR="00FC4FDB">
      <w:instrText xml:space="preserve"> NUMPAGES  \* Arabic  \* MERGEFORMAT </w:instrText>
    </w:r>
    <w:r w:rsidR="00FC4FDB">
      <w:fldChar w:fldCharType="separate"/>
    </w:r>
    <w:r w:rsidR="000B06A2">
      <w:rPr>
        <w:noProof/>
      </w:rPr>
      <w:t>4</w:t>
    </w:r>
    <w:r w:rsidR="00FC4FDB">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3" w:rsidRPr="00C24267" w:rsidRDefault="002014B3"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0B06A2">
      <w:rPr>
        <w:noProof/>
      </w:rPr>
      <w:t>4</w:t>
    </w:r>
    <w:r w:rsidRPr="00C24267">
      <w:fldChar w:fldCharType="end"/>
    </w:r>
    <w:r w:rsidRPr="00C24267">
      <w:t xml:space="preserve"> of </w:t>
    </w:r>
    <w:r w:rsidR="00FC4FDB">
      <w:fldChar w:fldCharType="begin"/>
    </w:r>
    <w:r w:rsidR="00FC4FDB">
      <w:instrText xml:space="preserve"> NUMPAGES  \* Arabic  \* MERGEFORMAT </w:instrText>
    </w:r>
    <w:r w:rsidR="00FC4FDB">
      <w:fldChar w:fldCharType="separate"/>
    </w:r>
    <w:r w:rsidR="000B06A2">
      <w:rPr>
        <w:noProof/>
      </w:rPr>
      <w:t>4</w:t>
    </w:r>
    <w:r w:rsidR="00FC4FD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4B3" w:rsidRDefault="002014B3" w:rsidP="008F588A">
      <w:pPr>
        <w:spacing w:line="240" w:lineRule="auto"/>
      </w:pPr>
      <w:r>
        <w:separator/>
      </w:r>
    </w:p>
    <w:p w:rsidR="002014B3" w:rsidRDefault="002014B3"/>
  </w:footnote>
  <w:footnote w:type="continuationSeparator" w:id="0">
    <w:p w:rsidR="002014B3" w:rsidRDefault="002014B3" w:rsidP="008F588A">
      <w:pPr>
        <w:spacing w:line="240" w:lineRule="auto"/>
      </w:pPr>
      <w:r>
        <w:continuationSeparator/>
      </w:r>
    </w:p>
    <w:p w:rsidR="002014B3" w:rsidRDefault="002014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3" w:rsidRDefault="002014B3" w:rsidP="00CB40E1">
    <w:pPr>
      <w:pStyle w:val="Header"/>
    </w:pPr>
    <w:r>
      <w:rPr>
        <w:noProof/>
        <w:lang w:eastAsia="en-AU"/>
      </w:rPr>
      <w:drawing>
        <wp:inline distT="0" distB="0" distL="0" distR="0" wp14:anchorId="3DCC4F9B" wp14:editId="6216B9CF">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2014B3" w:rsidRPr="00DA1C8A" w:rsidRDefault="002014B3"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3" w:rsidRPr="00C17112" w:rsidRDefault="002014B3" w:rsidP="00C17112">
    <w:pPr>
      <w:pStyle w:val="Header"/>
    </w:pPr>
    <w:r>
      <w:rPr>
        <w:noProof/>
        <w:lang w:eastAsia="en-AU"/>
      </w:rPr>
      <w:drawing>
        <wp:inline distT="0" distB="0" distL="0" distR="0" wp14:anchorId="1AFA89CE" wp14:editId="188559F0">
          <wp:extent cx="2696845" cy="5721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57" w:rsidRPr="00AA050C" w:rsidRDefault="00320157" w:rsidP="00AA0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7025BDA"/>
    <w:multiLevelType w:val="hybridMultilevel"/>
    <w:tmpl w:val="F9606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8">
    <w:nsid w:val="3C444F20"/>
    <w:multiLevelType w:val="hybridMultilevel"/>
    <w:tmpl w:val="A3268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0DE0A76"/>
    <w:multiLevelType w:val="hybridMultilevel"/>
    <w:tmpl w:val="DFBA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2346897"/>
    <w:multiLevelType w:val="hybridMultilevel"/>
    <w:tmpl w:val="5686E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2"/>
  </w:num>
  <w:num w:numId="2">
    <w:abstractNumId w:val="6"/>
  </w:num>
  <w:num w:numId="3">
    <w:abstractNumId w:val="4"/>
  </w:num>
  <w:num w:numId="4">
    <w:abstractNumId w:val="5"/>
  </w:num>
  <w:num w:numId="5">
    <w:abstractNumId w:val="12"/>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3"/>
  </w:num>
  <w:num w:numId="18">
    <w:abstractNumId w:val="11"/>
  </w:num>
  <w:num w:numId="19">
    <w:abstractNumId w:val="3"/>
  </w:num>
  <w:num w:numId="20">
    <w:abstractNumId w:val="1"/>
  </w:num>
  <w:num w:numId="21">
    <w:abstractNumId w:val="1"/>
  </w:num>
  <w:num w:numId="22">
    <w:abstractNumId w:val="1"/>
  </w:num>
  <w:num w:numId="23">
    <w:abstractNumId w:val="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num>
  <w:num w:numId="27">
    <w:abstractNumId w:val="9"/>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89"/>
    <w:rsid w:val="00002D5D"/>
    <w:rsid w:val="00015FB2"/>
    <w:rsid w:val="00040DCE"/>
    <w:rsid w:val="00060F22"/>
    <w:rsid w:val="00096F3A"/>
    <w:rsid w:val="000974DB"/>
    <w:rsid w:val="000B06A2"/>
    <w:rsid w:val="000C1A75"/>
    <w:rsid w:val="000D5C10"/>
    <w:rsid w:val="000E455D"/>
    <w:rsid w:val="001278D0"/>
    <w:rsid w:val="0014239B"/>
    <w:rsid w:val="001A02D1"/>
    <w:rsid w:val="001C729B"/>
    <w:rsid w:val="001F0F0A"/>
    <w:rsid w:val="002014B3"/>
    <w:rsid w:val="002173EB"/>
    <w:rsid w:val="00220BE5"/>
    <w:rsid w:val="002422A3"/>
    <w:rsid w:val="00246B3A"/>
    <w:rsid w:val="0028027E"/>
    <w:rsid w:val="00285102"/>
    <w:rsid w:val="002B4B89"/>
    <w:rsid w:val="002E4FD7"/>
    <w:rsid w:val="003017F8"/>
    <w:rsid w:val="00315A89"/>
    <w:rsid w:val="00315E34"/>
    <w:rsid w:val="00320157"/>
    <w:rsid w:val="00322DE5"/>
    <w:rsid w:val="00326DE2"/>
    <w:rsid w:val="003346FB"/>
    <w:rsid w:val="003C1FE8"/>
    <w:rsid w:val="003C6D25"/>
    <w:rsid w:val="003D7744"/>
    <w:rsid w:val="003E4F5F"/>
    <w:rsid w:val="003F73CA"/>
    <w:rsid w:val="00410A2C"/>
    <w:rsid w:val="00416EFF"/>
    <w:rsid w:val="00427473"/>
    <w:rsid w:val="00440E32"/>
    <w:rsid w:val="00461597"/>
    <w:rsid w:val="00485374"/>
    <w:rsid w:val="004C283B"/>
    <w:rsid w:val="004D13ED"/>
    <w:rsid w:val="004D5525"/>
    <w:rsid w:val="004F223B"/>
    <w:rsid w:val="00502A60"/>
    <w:rsid w:val="005035DA"/>
    <w:rsid w:val="00507897"/>
    <w:rsid w:val="00510A03"/>
    <w:rsid w:val="00515A85"/>
    <w:rsid w:val="00545F24"/>
    <w:rsid w:val="0055581F"/>
    <w:rsid w:val="0056229A"/>
    <w:rsid w:val="00566BE6"/>
    <w:rsid w:val="00570154"/>
    <w:rsid w:val="00570B5A"/>
    <w:rsid w:val="00587422"/>
    <w:rsid w:val="005A04C1"/>
    <w:rsid w:val="005A4267"/>
    <w:rsid w:val="005B1A4A"/>
    <w:rsid w:val="005B7B75"/>
    <w:rsid w:val="005C6967"/>
    <w:rsid w:val="005E3562"/>
    <w:rsid w:val="005E4A2F"/>
    <w:rsid w:val="005F67F7"/>
    <w:rsid w:val="005F7DE0"/>
    <w:rsid w:val="00616AB7"/>
    <w:rsid w:val="00627C2E"/>
    <w:rsid w:val="00640346"/>
    <w:rsid w:val="00660385"/>
    <w:rsid w:val="00662E65"/>
    <w:rsid w:val="0066665A"/>
    <w:rsid w:val="00692DD8"/>
    <w:rsid w:val="006A0E66"/>
    <w:rsid w:val="006B01C7"/>
    <w:rsid w:val="006B5AA7"/>
    <w:rsid w:val="006D53CC"/>
    <w:rsid w:val="006D7F1D"/>
    <w:rsid w:val="006F0CE9"/>
    <w:rsid w:val="006F4D70"/>
    <w:rsid w:val="00702DB9"/>
    <w:rsid w:val="007202A8"/>
    <w:rsid w:val="007229A9"/>
    <w:rsid w:val="007325B6"/>
    <w:rsid w:val="00751152"/>
    <w:rsid w:val="0075706F"/>
    <w:rsid w:val="007B029A"/>
    <w:rsid w:val="007D02C4"/>
    <w:rsid w:val="007D33AA"/>
    <w:rsid w:val="007D3577"/>
    <w:rsid w:val="007F5D73"/>
    <w:rsid w:val="007F7BCF"/>
    <w:rsid w:val="008030EC"/>
    <w:rsid w:val="00811D6D"/>
    <w:rsid w:val="00817E8E"/>
    <w:rsid w:val="00824C79"/>
    <w:rsid w:val="00841C3A"/>
    <w:rsid w:val="00844776"/>
    <w:rsid w:val="00861B13"/>
    <w:rsid w:val="00871F20"/>
    <w:rsid w:val="008724C2"/>
    <w:rsid w:val="0088062D"/>
    <w:rsid w:val="008850D9"/>
    <w:rsid w:val="008A4578"/>
    <w:rsid w:val="008B459F"/>
    <w:rsid w:val="008C03C3"/>
    <w:rsid w:val="008D3909"/>
    <w:rsid w:val="008D6ECA"/>
    <w:rsid w:val="008E1687"/>
    <w:rsid w:val="008F588A"/>
    <w:rsid w:val="008F7036"/>
    <w:rsid w:val="00902D2D"/>
    <w:rsid w:val="00915804"/>
    <w:rsid w:val="00931B64"/>
    <w:rsid w:val="00957285"/>
    <w:rsid w:val="009573AF"/>
    <w:rsid w:val="00977D7B"/>
    <w:rsid w:val="009963ED"/>
    <w:rsid w:val="009D4063"/>
    <w:rsid w:val="009E0ADC"/>
    <w:rsid w:val="00A05CAD"/>
    <w:rsid w:val="00A166DD"/>
    <w:rsid w:val="00A41BD3"/>
    <w:rsid w:val="00A4222E"/>
    <w:rsid w:val="00A4307E"/>
    <w:rsid w:val="00A449C2"/>
    <w:rsid w:val="00A45DB0"/>
    <w:rsid w:val="00A52146"/>
    <w:rsid w:val="00A65EA3"/>
    <w:rsid w:val="00A84B61"/>
    <w:rsid w:val="00A86B17"/>
    <w:rsid w:val="00AA050C"/>
    <w:rsid w:val="00AA3D6F"/>
    <w:rsid w:val="00AB4462"/>
    <w:rsid w:val="00AB55AE"/>
    <w:rsid w:val="00AB6F7D"/>
    <w:rsid w:val="00AC33ED"/>
    <w:rsid w:val="00AC7878"/>
    <w:rsid w:val="00AD493E"/>
    <w:rsid w:val="00AE30B5"/>
    <w:rsid w:val="00AE5755"/>
    <w:rsid w:val="00AF2E4F"/>
    <w:rsid w:val="00B027E5"/>
    <w:rsid w:val="00B06055"/>
    <w:rsid w:val="00B44D8A"/>
    <w:rsid w:val="00B73AC8"/>
    <w:rsid w:val="00B747A7"/>
    <w:rsid w:val="00B92067"/>
    <w:rsid w:val="00B97886"/>
    <w:rsid w:val="00BA2BBF"/>
    <w:rsid w:val="00BC559C"/>
    <w:rsid w:val="00BD28E9"/>
    <w:rsid w:val="00BE420D"/>
    <w:rsid w:val="00C17112"/>
    <w:rsid w:val="00C24267"/>
    <w:rsid w:val="00C37D1C"/>
    <w:rsid w:val="00C66480"/>
    <w:rsid w:val="00C824C5"/>
    <w:rsid w:val="00C90918"/>
    <w:rsid w:val="00CA12A0"/>
    <w:rsid w:val="00CA5D42"/>
    <w:rsid w:val="00CB40E1"/>
    <w:rsid w:val="00CD54ED"/>
    <w:rsid w:val="00CF6DB6"/>
    <w:rsid w:val="00D04D9F"/>
    <w:rsid w:val="00D0675E"/>
    <w:rsid w:val="00D134CA"/>
    <w:rsid w:val="00D52D5F"/>
    <w:rsid w:val="00D632C0"/>
    <w:rsid w:val="00D90D86"/>
    <w:rsid w:val="00D949A3"/>
    <w:rsid w:val="00DA1C8A"/>
    <w:rsid w:val="00DA3B55"/>
    <w:rsid w:val="00DB44F0"/>
    <w:rsid w:val="00DB49DF"/>
    <w:rsid w:val="00DD109E"/>
    <w:rsid w:val="00DD3E18"/>
    <w:rsid w:val="00DE7874"/>
    <w:rsid w:val="00E07E7B"/>
    <w:rsid w:val="00E12103"/>
    <w:rsid w:val="00E15AAE"/>
    <w:rsid w:val="00E21184"/>
    <w:rsid w:val="00E3443A"/>
    <w:rsid w:val="00E40B8B"/>
    <w:rsid w:val="00E43CCA"/>
    <w:rsid w:val="00E572AA"/>
    <w:rsid w:val="00E5742E"/>
    <w:rsid w:val="00E7302B"/>
    <w:rsid w:val="00E752A7"/>
    <w:rsid w:val="00E91E96"/>
    <w:rsid w:val="00EA265F"/>
    <w:rsid w:val="00EA5685"/>
    <w:rsid w:val="00ED43FF"/>
    <w:rsid w:val="00ED4758"/>
    <w:rsid w:val="00EE6600"/>
    <w:rsid w:val="00EF1D6A"/>
    <w:rsid w:val="00EF2E51"/>
    <w:rsid w:val="00F16C15"/>
    <w:rsid w:val="00F21865"/>
    <w:rsid w:val="00F31E24"/>
    <w:rsid w:val="00F37624"/>
    <w:rsid w:val="00F402E1"/>
    <w:rsid w:val="00F4535C"/>
    <w:rsid w:val="00F52474"/>
    <w:rsid w:val="00F5529D"/>
    <w:rsid w:val="00F5669E"/>
    <w:rsid w:val="00F75D33"/>
    <w:rsid w:val="00F83F48"/>
    <w:rsid w:val="00F954CF"/>
    <w:rsid w:val="00F97DFF"/>
    <w:rsid w:val="00FA46A5"/>
    <w:rsid w:val="00FC6579"/>
    <w:rsid w:val="00FD3FB3"/>
    <w:rsid w:val="00FE1053"/>
    <w:rsid w:val="00FE6904"/>
    <w:rsid w:val="00FF0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DA3B55"/>
    <w:pPr>
      <w:spacing w:before="70" w:after="70" w:line="260" w:lineRule="atLeast"/>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AA050C"/>
    <w:rPr>
      <w:rFonts w:eastAsia="Times New Roman" w:cs="Times New Roman"/>
      <w:spacing w:val="0"/>
      <w:lang w:eastAsia="en-AU"/>
    </w:rPr>
  </w:style>
  <w:style w:type="paragraph" w:customStyle="1" w:styleId="Bullet2">
    <w:name w:val="Bullet 2"/>
    <w:basedOn w:val="ListBullet2"/>
    <w:link w:val="Bullet2Char"/>
    <w:qFormat/>
    <w:rsid w:val="00AA050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AA050C"/>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AA050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Bullet4">
    <w:name w:val="Bullet 4"/>
    <w:basedOn w:val="Normal"/>
    <w:qFormat/>
    <w:rsid w:val="000D5C10"/>
    <w:pPr>
      <w:spacing w:before="120" w:after="0" w:line="240" w:lineRule="auto"/>
      <w:ind w:left="1135" w:hanging="284"/>
    </w:pPr>
    <w:rPr>
      <w:rFonts w:ascii="Times New Roman" w:eastAsia="Times New Roman" w:hAnsi="Times New Roman" w:cs="Times New Roman"/>
      <w:sz w:val="24"/>
      <w:szCs w:val="20"/>
      <w:lang w:eastAsia="en-AU"/>
    </w:rPr>
  </w:style>
  <w:style w:type="paragraph" w:styleId="Quote">
    <w:name w:val="Quote"/>
    <w:basedOn w:val="Normal"/>
    <w:next w:val="Normal"/>
    <w:link w:val="QuoteChar"/>
    <w:uiPriority w:val="29"/>
    <w:rsid w:val="00320157"/>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320157"/>
    <w:rPr>
      <w:rFonts w:ascii="Times New Roman" w:hAnsi="Times New Roman" w:cs="Times New Roman"/>
      <w:i/>
      <w:iCs/>
      <w:color w:val="000000" w:themeColor="text1"/>
      <w:sz w:val="24"/>
      <w:szCs w:val="24"/>
    </w:rPr>
  </w:style>
  <w:style w:type="character" w:styleId="CommentReference">
    <w:name w:val="annotation reference"/>
    <w:basedOn w:val="DefaultParagraphFont"/>
    <w:uiPriority w:val="99"/>
    <w:semiHidden/>
    <w:unhideWhenUsed/>
    <w:rsid w:val="00A4222E"/>
    <w:rPr>
      <w:sz w:val="16"/>
      <w:szCs w:val="16"/>
    </w:rPr>
  </w:style>
  <w:style w:type="paragraph" w:styleId="CommentText">
    <w:name w:val="annotation text"/>
    <w:basedOn w:val="Normal"/>
    <w:link w:val="CommentTextChar"/>
    <w:uiPriority w:val="99"/>
    <w:semiHidden/>
    <w:unhideWhenUsed/>
    <w:rsid w:val="00A4222E"/>
    <w:pPr>
      <w:spacing w:line="240" w:lineRule="auto"/>
    </w:pPr>
    <w:rPr>
      <w:sz w:val="20"/>
      <w:szCs w:val="20"/>
    </w:rPr>
  </w:style>
  <w:style w:type="character" w:customStyle="1" w:styleId="CommentTextChar">
    <w:name w:val="Comment Text Char"/>
    <w:basedOn w:val="DefaultParagraphFont"/>
    <w:link w:val="CommentText"/>
    <w:uiPriority w:val="99"/>
    <w:semiHidden/>
    <w:rsid w:val="00A4222E"/>
    <w:rPr>
      <w:sz w:val="20"/>
      <w:szCs w:val="20"/>
    </w:rPr>
  </w:style>
  <w:style w:type="paragraph" w:styleId="CommentSubject">
    <w:name w:val="annotation subject"/>
    <w:basedOn w:val="CommentText"/>
    <w:next w:val="CommentText"/>
    <w:link w:val="CommentSubjectChar"/>
    <w:uiPriority w:val="99"/>
    <w:semiHidden/>
    <w:unhideWhenUsed/>
    <w:rsid w:val="00A4222E"/>
    <w:rPr>
      <w:b/>
      <w:bCs/>
    </w:rPr>
  </w:style>
  <w:style w:type="character" w:customStyle="1" w:styleId="CommentSubjectChar">
    <w:name w:val="Comment Subject Char"/>
    <w:basedOn w:val="CommentTextChar"/>
    <w:link w:val="CommentSubject"/>
    <w:uiPriority w:val="99"/>
    <w:semiHidden/>
    <w:rsid w:val="00A422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DA3B55"/>
    <w:pPr>
      <w:spacing w:before="70" w:after="70" w:line="260" w:lineRule="atLeast"/>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uiPriority w:val="99"/>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AA050C"/>
    <w:rPr>
      <w:rFonts w:eastAsia="Times New Roman" w:cs="Times New Roman"/>
      <w:spacing w:val="0"/>
      <w:lang w:eastAsia="en-AU"/>
    </w:rPr>
  </w:style>
  <w:style w:type="paragraph" w:customStyle="1" w:styleId="Bullet2">
    <w:name w:val="Bullet 2"/>
    <w:basedOn w:val="ListBullet2"/>
    <w:link w:val="Bullet2Char"/>
    <w:qFormat/>
    <w:rsid w:val="00AA050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AA050C"/>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AA050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Bullet4">
    <w:name w:val="Bullet 4"/>
    <w:basedOn w:val="Normal"/>
    <w:qFormat/>
    <w:rsid w:val="000D5C10"/>
    <w:pPr>
      <w:spacing w:before="120" w:after="0" w:line="240" w:lineRule="auto"/>
      <w:ind w:left="1135" w:hanging="284"/>
    </w:pPr>
    <w:rPr>
      <w:rFonts w:ascii="Times New Roman" w:eastAsia="Times New Roman" w:hAnsi="Times New Roman" w:cs="Times New Roman"/>
      <w:sz w:val="24"/>
      <w:szCs w:val="20"/>
      <w:lang w:eastAsia="en-AU"/>
    </w:rPr>
  </w:style>
  <w:style w:type="paragraph" w:styleId="Quote">
    <w:name w:val="Quote"/>
    <w:basedOn w:val="Normal"/>
    <w:next w:val="Normal"/>
    <w:link w:val="QuoteChar"/>
    <w:uiPriority w:val="29"/>
    <w:rsid w:val="00320157"/>
    <w:pPr>
      <w:spacing w:before="240" w:after="0" w:line="240" w:lineRule="auto"/>
    </w:pPr>
    <w:rPr>
      <w:rFonts w:ascii="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320157"/>
    <w:rPr>
      <w:rFonts w:ascii="Times New Roman" w:hAnsi="Times New Roman" w:cs="Times New Roman"/>
      <w:i/>
      <w:iCs/>
      <w:color w:val="000000" w:themeColor="text1"/>
      <w:sz w:val="24"/>
      <w:szCs w:val="24"/>
    </w:rPr>
  </w:style>
  <w:style w:type="character" w:styleId="CommentReference">
    <w:name w:val="annotation reference"/>
    <w:basedOn w:val="DefaultParagraphFont"/>
    <w:uiPriority w:val="99"/>
    <w:semiHidden/>
    <w:unhideWhenUsed/>
    <w:rsid w:val="00A4222E"/>
    <w:rPr>
      <w:sz w:val="16"/>
      <w:szCs w:val="16"/>
    </w:rPr>
  </w:style>
  <w:style w:type="paragraph" w:styleId="CommentText">
    <w:name w:val="annotation text"/>
    <w:basedOn w:val="Normal"/>
    <w:link w:val="CommentTextChar"/>
    <w:uiPriority w:val="99"/>
    <w:semiHidden/>
    <w:unhideWhenUsed/>
    <w:rsid w:val="00A4222E"/>
    <w:pPr>
      <w:spacing w:line="240" w:lineRule="auto"/>
    </w:pPr>
    <w:rPr>
      <w:sz w:val="20"/>
      <w:szCs w:val="20"/>
    </w:rPr>
  </w:style>
  <w:style w:type="character" w:customStyle="1" w:styleId="CommentTextChar">
    <w:name w:val="Comment Text Char"/>
    <w:basedOn w:val="DefaultParagraphFont"/>
    <w:link w:val="CommentText"/>
    <w:uiPriority w:val="99"/>
    <w:semiHidden/>
    <w:rsid w:val="00A4222E"/>
    <w:rPr>
      <w:sz w:val="20"/>
      <w:szCs w:val="20"/>
    </w:rPr>
  </w:style>
  <w:style w:type="paragraph" w:styleId="CommentSubject">
    <w:name w:val="annotation subject"/>
    <w:basedOn w:val="CommentText"/>
    <w:next w:val="CommentText"/>
    <w:link w:val="CommentSubjectChar"/>
    <w:uiPriority w:val="99"/>
    <w:semiHidden/>
    <w:unhideWhenUsed/>
    <w:rsid w:val="00A4222E"/>
    <w:rPr>
      <w:b/>
      <w:bCs/>
    </w:rPr>
  </w:style>
  <w:style w:type="character" w:customStyle="1" w:styleId="CommentSubjectChar">
    <w:name w:val="Comment Subject Char"/>
    <w:basedOn w:val="CommentTextChar"/>
    <w:link w:val="CommentSubject"/>
    <w:uiPriority w:val="99"/>
    <w:semiHidden/>
    <w:rsid w:val="00A42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63907">
      <w:bodyDiv w:val="1"/>
      <w:marLeft w:val="0"/>
      <w:marRight w:val="0"/>
      <w:marTop w:val="0"/>
      <w:marBottom w:val="0"/>
      <w:divBdr>
        <w:top w:val="none" w:sz="0" w:space="0" w:color="auto"/>
        <w:left w:val="none" w:sz="0" w:space="0" w:color="auto"/>
        <w:bottom w:val="none" w:sz="0" w:space="0" w:color="auto"/>
        <w:right w:val="none" w:sz="0" w:space="0" w:color="auto"/>
      </w:divBdr>
    </w:div>
    <w:div w:id="13899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renew-community-hous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E7456E7-4178-4709-B95D-6B41A660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8</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PBO - GRN066 - Repowering Public and Community Housing - 30 June 2016</vt:lpstr>
    </vt:vector>
  </TitlesOfParts>
  <Company>Parliament of Australia</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GRN066 - Repowering Public and Community Housing - 30 June 2016</dc:title>
  <dc:creator>Parliamentary Budget Office</dc:creator>
  <cp:lastModifiedBy>Milligan, Louise (PBO)</cp:lastModifiedBy>
  <cp:revision>5</cp:revision>
  <cp:lastPrinted>2016-06-25T00:08:00Z</cp:lastPrinted>
  <dcterms:created xsi:type="dcterms:W3CDTF">2016-07-22T03:32:00Z</dcterms:created>
  <dcterms:modified xsi:type="dcterms:W3CDTF">2016-07-22T03:42:00Z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