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EB128E" w:rsidP="001729CD">
      <w:pPr>
        <w:spacing w:before="1560"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Senator Richard Di Natale</w:t>
      </w:r>
    </w:p>
    <w:p w:rsidR="00EB128E" w:rsidRPr="00002D5D" w:rsidRDefault="00EB128E"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Leader of the 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proofErr w:type="gramStart"/>
      <w:r>
        <w:rPr>
          <w:rFonts w:ascii="Times New Roman" w:hAnsi="Times New Roman" w:cs="Times New Roman"/>
          <w:sz w:val="24"/>
          <w:szCs w:val="24"/>
        </w:rPr>
        <w:t>CANBERRA  ACT</w:t>
      </w:r>
      <w:proofErr w:type="gramEnd"/>
      <w:r>
        <w:rPr>
          <w:rFonts w:ascii="Times New Roman" w:hAnsi="Times New Roman" w:cs="Times New Roman"/>
          <w:sz w:val="24"/>
          <w:szCs w:val="24"/>
        </w:rPr>
        <w:t xml:space="preserve">  2600</w:t>
      </w:r>
    </w:p>
    <w:p w:rsidR="00040DCE" w:rsidRPr="00002D5D" w:rsidRDefault="00040DCE" w:rsidP="00040DCE">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00EB128E">
        <w:rPr>
          <w:rFonts w:ascii="Times New Roman" w:hAnsi="Times New Roman" w:cs="Times New Roman"/>
          <w:sz w:val="24"/>
          <w:szCs w:val="24"/>
        </w:rPr>
        <w:t>Senator Di Natale</w:t>
      </w:r>
    </w:p>
    <w:p w:rsidR="00040DCE" w:rsidRPr="00002D5D" w:rsidRDefault="00040DCE" w:rsidP="00C17112">
      <w:pPr>
        <w:pStyle w:val="Lettertext"/>
      </w:pPr>
      <w:r w:rsidRPr="00002D5D">
        <w:t xml:space="preserve">Please find attached a response to your costing request, </w:t>
      </w:r>
      <w:r w:rsidR="00A94762">
        <w:rPr>
          <w:i/>
        </w:rPr>
        <w:t>E</w:t>
      </w:r>
      <w:r w:rsidR="00EB128E">
        <w:rPr>
          <w:i/>
        </w:rPr>
        <w:t xml:space="preserve">nergy </w:t>
      </w:r>
      <w:r w:rsidR="00A94762">
        <w:rPr>
          <w:i/>
        </w:rPr>
        <w:t>S</w:t>
      </w:r>
      <w:r w:rsidR="00EB128E">
        <w:rPr>
          <w:i/>
        </w:rPr>
        <w:t xml:space="preserve">torage </w:t>
      </w:r>
      <w:r w:rsidR="00A94762">
        <w:rPr>
          <w:i/>
        </w:rPr>
        <w:t>R</w:t>
      </w:r>
      <w:r w:rsidR="00EB128E">
        <w:rPr>
          <w:i/>
        </w:rPr>
        <w:t>evolution</w:t>
      </w:r>
      <w:r w:rsidRPr="00002D5D">
        <w:t xml:space="preserve"> (letter of </w:t>
      </w:r>
      <w:r w:rsidR="00010A28">
        <w:t xml:space="preserve">30 </w:t>
      </w:r>
      <w:r w:rsidR="00EB128E">
        <w:t>June</w:t>
      </w:r>
      <w:r w:rsidRPr="00002D5D">
        <w:t xml:space="preserve"> 2016).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06751E" w:rsidP="0006751E">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30 </w:t>
      </w:r>
      <w:r w:rsidR="009555BC">
        <w:rPr>
          <w:rFonts w:ascii="Times New Roman" w:hAnsi="Times New Roman" w:cs="Times New Roman"/>
          <w:sz w:val="24"/>
          <w:szCs w:val="24"/>
        </w:rPr>
        <w:t>June</w:t>
      </w:r>
      <w:r w:rsidR="00040DCE"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340" w:type="dxa"/>
        <w:tblLook w:val="04A0" w:firstRow="1" w:lastRow="0" w:firstColumn="1" w:lastColumn="0" w:noHBand="0" w:noVBand="1"/>
      </w:tblPr>
      <w:tblGrid>
        <w:gridCol w:w="3005"/>
        <w:gridCol w:w="5335"/>
      </w:tblGrid>
      <w:tr w:rsidR="004D5525" w:rsidTr="00D52D5F">
        <w:trPr>
          <w:cnfStyle w:val="100000000000" w:firstRow="1" w:lastRow="0" w:firstColumn="0" w:lastColumn="0" w:oddVBand="0" w:evenVBand="0" w:oddHBand="0" w:evenHBand="0" w:firstRowFirstColumn="0" w:firstRowLastColumn="0" w:lastRowFirstColumn="0" w:lastRowLastColumn="0"/>
        </w:trPr>
        <w:tc>
          <w:tcPr>
            <w:tcW w:w="3005" w:type="dxa"/>
          </w:tcPr>
          <w:p w:rsidR="004D5525" w:rsidRDefault="004D5525" w:rsidP="004D5525">
            <w:pPr>
              <w:pStyle w:val="BodyText"/>
            </w:pPr>
            <w:r>
              <w:t>Name of proposal:</w:t>
            </w:r>
          </w:p>
        </w:tc>
        <w:tc>
          <w:tcPr>
            <w:tcW w:w="5335" w:type="dxa"/>
          </w:tcPr>
          <w:p w:rsidR="004D5525" w:rsidRDefault="007B2424" w:rsidP="00BD2231">
            <w:pPr>
              <w:pStyle w:val="BodyText"/>
            </w:pPr>
            <w:r>
              <w:t>Energy Storage Revolution</w:t>
            </w:r>
          </w:p>
        </w:tc>
      </w:tr>
      <w:tr w:rsidR="004D5525" w:rsidTr="00D52D5F">
        <w:tc>
          <w:tcPr>
            <w:tcW w:w="3005" w:type="dxa"/>
          </w:tcPr>
          <w:p w:rsidR="004D5525" w:rsidRDefault="004D5525" w:rsidP="004D5525">
            <w:pPr>
              <w:pStyle w:val="BodyText"/>
            </w:pPr>
            <w:r>
              <w:t>Summary of proposal:</w:t>
            </w:r>
          </w:p>
        </w:tc>
        <w:tc>
          <w:tcPr>
            <w:tcW w:w="5335" w:type="dxa"/>
          </w:tcPr>
          <w:p w:rsidR="004D5525" w:rsidRDefault="00BD2231" w:rsidP="004D5525">
            <w:pPr>
              <w:pStyle w:val="BodyText"/>
            </w:pPr>
            <w:r>
              <w:t>The proposal has four components</w:t>
            </w:r>
            <w:r w:rsidR="007F5371">
              <w:t>.</w:t>
            </w:r>
          </w:p>
          <w:p w:rsidR="00063970" w:rsidRPr="00063970" w:rsidRDefault="00063970" w:rsidP="004D5525">
            <w:pPr>
              <w:pStyle w:val="BodyText"/>
              <w:rPr>
                <w:u w:val="single"/>
              </w:rPr>
            </w:pPr>
            <w:r>
              <w:rPr>
                <w:u w:val="single"/>
              </w:rPr>
              <w:t>Component 1: Refundable tax credit</w:t>
            </w:r>
          </w:p>
          <w:p w:rsidR="00720909" w:rsidRDefault="00720909" w:rsidP="00575518">
            <w:pPr>
              <w:pStyle w:val="Bullet1"/>
              <w:ind w:left="284" w:hanging="284"/>
            </w:pPr>
            <w:r>
              <w:t>This component would i</w:t>
            </w:r>
            <w:r w:rsidR="00BD2231" w:rsidRPr="00BE511D">
              <w:t>ntroduce a 50</w:t>
            </w:r>
            <w:r w:rsidR="009B0A69">
              <w:t> </w:t>
            </w:r>
            <w:r w:rsidR="00BD2231" w:rsidRPr="00BE511D">
              <w:t>per</w:t>
            </w:r>
            <w:r w:rsidR="009B0A69">
              <w:t> </w:t>
            </w:r>
            <w:r w:rsidR="00BD2231" w:rsidRPr="00BE511D">
              <w:t>cent refundable tax credit for individuals to assist with the cost of household solar energy storage systems.</w:t>
            </w:r>
          </w:p>
          <w:p w:rsidR="00720909" w:rsidRDefault="00BD2231" w:rsidP="00575518">
            <w:pPr>
              <w:pStyle w:val="Bullet2"/>
              <w:ind w:left="568" w:hanging="284"/>
            </w:pPr>
            <w:r w:rsidRPr="00BE511D">
              <w:t>The credit would apply regardless of income and would be capped at $5,000 in the 2016</w:t>
            </w:r>
            <w:r w:rsidR="009B0A69">
              <w:noBreakHyphen/>
            </w:r>
            <w:r w:rsidRPr="00BE511D">
              <w:t>17 financial year, declining to $1,000 from 1 July 2020.</w:t>
            </w:r>
          </w:p>
          <w:p w:rsidR="00BD2231" w:rsidRDefault="00BD2231" w:rsidP="00575518">
            <w:pPr>
              <w:pStyle w:val="Bullet2"/>
              <w:ind w:left="568" w:hanging="284"/>
            </w:pPr>
            <w:r w:rsidRPr="00BE511D">
              <w:t xml:space="preserve">A separate mechanism would be available so that those </w:t>
            </w:r>
            <w:r w:rsidRPr="00581498">
              <w:t>who do not lodge a tax return could claim the tax credit</w:t>
            </w:r>
            <w:r>
              <w:t>.</w:t>
            </w:r>
          </w:p>
          <w:p w:rsidR="00063970" w:rsidRPr="00063970" w:rsidRDefault="00063970" w:rsidP="00063970">
            <w:pPr>
              <w:pStyle w:val="BodyText"/>
              <w:rPr>
                <w:u w:val="single"/>
              </w:rPr>
            </w:pPr>
            <w:r w:rsidRPr="00063970">
              <w:rPr>
                <w:u w:val="single"/>
              </w:rPr>
              <w:t>Component 2: Low Income Solar Storage (LISS) grants</w:t>
            </w:r>
          </w:p>
          <w:p w:rsidR="00720909" w:rsidRDefault="00720909" w:rsidP="00575518">
            <w:pPr>
              <w:pStyle w:val="Bullet1"/>
              <w:ind w:left="284" w:hanging="284"/>
            </w:pPr>
            <w:r>
              <w:t>This component would i</w:t>
            </w:r>
            <w:r w:rsidR="00BD2231">
              <w:t xml:space="preserve">ntroduce a Low Income Solar Storage (LISS) grant to be administered by the </w:t>
            </w:r>
            <w:r w:rsidR="000B4427">
              <w:t>Clean Energy Regulator</w:t>
            </w:r>
            <w:r w:rsidR="00BD2231">
              <w:t xml:space="preserve"> (</w:t>
            </w:r>
            <w:r w:rsidR="000B4427">
              <w:t>CER</w:t>
            </w:r>
            <w:r w:rsidR="00BD2231">
              <w:t>).</w:t>
            </w:r>
          </w:p>
          <w:p w:rsidR="00720909" w:rsidRDefault="00BD2231" w:rsidP="00575518">
            <w:pPr>
              <w:pStyle w:val="Bullet2"/>
              <w:ind w:left="568" w:hanging="284"/>
            </w:pPr>
            <w:r>
              <w:t>The LISS grant would be available in addition to the refundable tax credit for households with adjusted taxable income of less than $80,000 per year.</w:t>
            </w:r>
          </w:p>
          <w:p w:rsidR="00720909" w:rsidRDefault="00BD2231" w:rsidP="00575518">
            <w:pPr>
              <w:pStyle w:val="Bullet2"/>
              <w:ind w:left="568" w:hanging="284"/>
            </w:pPr>
            <w:r>
              <w:t>In the 2016</w:t>
            </w:r>
            <w:r w:rsidR="00E161EB">
              <w:noBreakHyphen/>
            </w:r>
            <w:r>
              <w:t>17 financial year, the LISS grant would be capped at $5,000 or half of the total cost of the system, whichever is lower.</w:t>
            </w:r>
          </w:p>
          <w:p w:rsidR="00BD2231" w:rsidRDefault="00BD2231" w:rsidP="00575518">
            <w:pPr>
              <w:pStyle w:val="Bullet2"/>
              <w:ind w:left="568" w:hanging="284"/>
            </w:pPr>
            <w:r>
              <w:t>This would gradually decline to be $1,000 from 1 July 2020.  The number of LISS grants would be capped at 20,000 per year.</w:t>
            </w:r>
          </w:p>
          <w:p w:rsidR="00063970" w:rsidRPr="00063970" w:rsidRDefault="00063970" w:rsidP="00063970">
            <w:pPr>
              <w:pStyle w:val="BodyText"/>
              <w:rPr>
                <w:u w:val="single"/>
              </w:rPr>
            </w:pPr>
            <w:r>
              <w:rPr>
                <w:u w:val="single"/>
              </w:rPr>
              <w:t xml:space="preserve">Component 3: Review by </w:t>
            </w:r>
            <w:r w:rsidR="00E21995">
              <w:rPr>
                <w:u w:val="single"/>
              </w:rPr>
              <w:t xml:space="preserve">the </w:t>
            </w:r>
            <w:r w:rsidR="000B4427">
              <w:rPr>
                <w:u w:val="single"/>
              </w:rPr>
              <w:t>CER</w:t>
            </w:r>
          </w:p>
          <w:p w:rsidR="00BD2231" w:rsidRDefault="00720909" w:rsidP="00575518">
            <w:pPr>
              <w:pStyle w:val="Bullet1"/>
              <w:ind w:left="284" w:hanging="284"/>
            </w:pPr>
            <w:r>
              <w:t>This component would f</w:t>
            </w:r>
            <w:r w:rsidR="00BD2231">
              <w:t xml:space="preserve">und </w:t>
            </w:r>
            <w:r w:rsidR="000B4427">
              <w:t xml:space="preserve">CER </w:t>
            </w:r>
            <w:r w:rsidR="00BD2231">
              <w:t>to review the operation of the tax credit and LISS grand scheme and advise Parliament as to whether the scheme should continue in some form beyond 2020.</w:t>
            </w:r>
          </w:p>
          <w:p w:rsidR="00575518" w:rsidRDefault="00575518" w:rsidP="00575518">
            <w:pPr>
              <w:pStyle w:val="Bullet1"/>
              <w:numPr>
                <w:ilvl w:val="0"/>
                <w:numId w:val="0"/>
              </w:numPr>
              <w:ind w:left="454" w:hanging="454"/>
            </w:pPr>
          </w:p>
          <w:p w:rsidR="00063970" w:rsidRPr="00063970" w:rsidRDefault="00063970" w:rsidP="00063970">
            <w:pPr>
              <w:pStyle w:val="BodyText"/>
              <w:rPr>
                <w:u w:val="single"/>
              </w:rPr>
            </w:pPr>
            <w:r>
              <w:rPr>
                <w:u w:val="single"/>
              </w:rPr>
              <w:lastRenderedPageBreak/>
              <w:t xml:space="preserve">Component 4: </w:t>
            </w:r>
            <w:r w:rsidR="006210FF">
              <w:rPr>
                <w:u w:val="single"/>
              </w:rPr>
              <w:t>Business battery storage depreciation</w:t>
            </w:r>
          </w:p>
          <w:p w:rsidR="00581498" w:rsidRDefault="00720909" w:rsidP="00575518">
            <w:pPr>
              <w:pStyle w:val="Bullet1"/>
              <w:ind w:left="284" w:hanging="284"/>
            </w:pPr>
            <w:r>
              <w:t>This component would d</w:t>
            </w:r>
            <w:r w:rsidR="00BD2231">
              <w:t xml:space="preserve">ecrease the period over which the cost of installing battery storage systems at business premises </w:t>
            </w:r>
            <w:r w:rsidR="00575518">
              <w:t>is depreciated from 15 to three </w:t>
            </w:r>
            <w:r w:rsidR="00BD2231">
              <w:t>years.</w:t>
            </w:r>
          </w:p>
          <w:p w:rsidR="00BD2231" w:rsidRDefault="00BD2231" w:rsidP="00BD2231">
            <w:pPr>
              <w:pStyle w:val="BodyText"/>
            </w:pPr>
            <w:r>
              <w:t>The following table provides the proposed maximum refundable tax credit and LISS grant amounts in each year under the proposal:</w:t>
            </w:r>
          </w:p>
          <w:tbl>
            <w:tblPr>
              <w:tblStyle w:val="TableGrid"/>
              <w:tblW w:w="0" w:type="auto"/>
              <w:tblLook w:val="04A0" w:firstRow="1" w:lastRow="0" w:firstColumn="1" w:lastColumn="0" w:noHBand="0" w:noVBand="1"/>
            </w:tblPr>
            <w:tblGrid>
              <w:gridCol w:w="850"/>
              <w:gridCol w:w="850"/>
              <w:gridCol w:w="851"/>
              <w:gridCol w:w="851"/>
              <w:gridCol w:w="851"/>
              <w:gridCol w:w="851"/>
            </w:tblGrid>
            <w:tr w:rsidR="00BD2231" w:rsidTr="00BD22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0" w:type="dxa"/>
                </w:tcPr>
                <w:p w:rsidR="00BD2231" w:rsidRDefault="00BD2231" w:rsidP="00BD2231">
                  <w:pPr>
                    <w:pStyle w:val="BodyText"/>
                    <w:spacing w:before="120"/>
                  </w:pPr>
                </w:p>
              </w:tc>
              <w:tc>
                <w:tcPr>
                  <w:tcW w:w="850" w:type="dxa"/>
                </w:tcPr>
                <w:p w:rsidR="00BD2231" w:rsidRPr="00BD2231" w:rsidRDefault="00BD2231" w:rsidP="00BD2231">
                  <w:pPr>
                    <w:pStyle w:val="BodyText"/>
                    <w:spacing w:before="120"/>
                    <w:cnfStyle w:val="100000000000" w:firstRow="1" w:lastRow="0" w:firstColumn="0" w:lastColumn="0" w:oddVBand="0" w:evenVBand="0" w:oddHBand="0" w:evenHBand="0" w:firstRowFirstColumn="0" w:firstRowLastColumn="0" w:lastRowFirstColumn="0" w:lastRowLastColumn="0"/>
                    <w:rPr>
                      <w:sz w:val="18"/>
                      <w:szCs w:val="18"/>
                    </w:rPr>
                  </w:pPr>
                  <w:r w:rsidRPr="00BD2231">
                    <w:rPr>
                      <w:sz w:val="18"/>
                      <w:szCs w:val="18"/>
                    </w:rPr>
                    <w:t>2016-17</w:t>
                  </w:r>
                </w:p>
              </w:tc>
              <w:tc>
                <w:tcPr>
                  <w:tcW w:w="851" w:type="dxa"/>
                </w:tcPr>
                <w:p w:rsidR="00BD2231" w:rsidRPr="00BD2231" w:rsidRDefault="00BD2231" w:rsidP="00BD2231">
                  <w:pPr>
                    <w:pStyle w:val="BodyText"/>
                    <w:spacing w:before="120"/>
                    <w:cnfStyle w:val="100000000000" w:firstRow="1" w:lastRow="0" w:firstColumn="0" w:lastColumn="0" w:oddVBand="0" w:evenVBand="0" w:oddHBand="0" w:evenHBand="0" w:firstRowFirstColumn="0" w:firstRowLastColumn="0" w:lastRowFirstColumn="0" w:lastRowLastColumn="0"/>
                    <w:rPr>
                      <w:sz w:val="18"/>
                      <w:szCs w:val="18"/>
                    </w:rPr>
                  </w:pPr>
                  <w:r w:rsidRPr="00BD2231">
                    <w:rPr>
                      <w:sz w:val="18"/>
                      <w:szCs w:val="18"/>
                    </w:rPr>
                    <w:t>2017-18</w:t>
                  </w:r>
                </w:p>
              </w:tc>
              <w:tc>
                <w:tcPr>
                  <w:tcW w:w="851" w:type="dxa"/>
                </w:tcPr>
                <w:p w:rsidR="00BD2231" w:rsidRPr="00BD2231" w:rsidRDefault="00BD2231" w:rsidP="00BD2231">
                  <w:pPr>
                    <w:pStyle w:val="BodyText"/>
                    <w:spacing w:before="120"/>
                    <w:cnfStyle w:val="100000000000" w:firstRow="1" w:lastRow="0" w:firstColumn="0" w:lastColumn="0" w:oddVBand="0" w:evenVBand="0" w:oddHBand="0" w:evenHBand="0" w:firstRowFirstColumn="0" w:firstRowLastColumn="0" w:lastRowFirstColumn="0" w:lastRowLastColumn="0"/>
                    <w:rPr>
                      <w:sz w:val="18"/>
                      <w:szCs w:val="18"/>
                    </w:rPr>
                  </w:pPr>
                  <w:r w:rsidRPr="00BD2231">
                    <w:rPr>
                      <w:sz w:val="18"/>
                      <w:szCs w:val="18"/>
                    </w:rPr>
                    <w:t>2018-19</w:t>
                  </w:r>
                </w:p>
              </w:tc>
              <w:tc>
                <w:tcPr>
                  <w:tcW w:w="851" w:type="dxa"/>
                </w:tcPr>
                <w:p w:rsidR="00BD2231" w:rsidRPr="00BD2231" w:rsidRDefault="00BD2231" w:rsidP="00BD2231">
                  <w:pPr>
                    <w:pStyle w:val="BodyText"/>
                    <w:spacing w:before="120"/>
                    <w:cnfStyle w:val="100000000000" w:firstRow="1" w:lastRow="0" w:firstColumn="0" w:lastColumn="0" w:oddVBand="0" w:evenVBand="0" w:oddHBand="0" w:evenHBand="0" w:firstRowFirstColumn="0" w:firstRowLastColumn="0" w:lastRowFirstColumn="0" w:lastRowLastColumn="0"/>
                    <w:rPr>
                      <w:sz w:val="18"/>
                      <w:szCs w:val="18"/>
                    </w:rPr>
                  </w:pPr>
                  <w:r w:rsidRPr="00BD2231">
                    <w:rPr>
                      <w:sz w:val="18"/>
                      <w:szCs w:val="18"/>
                    </w:rPr>
                    <w:t>2019-20</w:t>
                  </w:r>
                </w:p>
              </w:tc>
              <w:tc>
                <w:tcPr>
                  <w:tcW w:w="851" w:type="dxa"/>
                </w:tcPr>
                <w:p w:rsidR="00BD2231" w:rsidRPr="00BD2231" w:rsidRDefault="00BD2231" w:rsidP="00BD2231">
                  <w:pPr>
                    <w:pStyle w:val="BodyText"/>
                    <w:spacing w:before="120"/>
                    <w:cnfStyle w:val="100000000000" w:firstRow="1" w:lastRow="0" w:firstColumn="0" w:lastColumn="0" w:oddVBand="0" w:evenVBand="0" w:oddHBand="0" w:evenHBand="0" w:firstRowFirstColumn="0" w:firstRowLastColumn="0" w:lastRowFirstColumn="0" w:lastRowLastColumn="0"/>
                    <w:rPr>
                      <w:sz w:val="18"/>
                      <w:szCs w:val="18"/>
                    </w:rPr>
                  </w:pPr>
                  <w:r w:rsidRPr="00BD2231">
                    <w:rPr>
                      <w:sz w:val="18"/>
                      <w:szCs w:val="18"/>
                    </w:rPr>
                    <w:t>2020-21</w:t>
                  </w:r>
                </w:p>
              </w:tc>
            </w:tr>
            <w:tr w:rsidR="00BD2231" w:rsidTr="00BD2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BD2231" w:rsidRPr="00BD2231" w:rsidRDefault="00BD2231" w:rsidP="00BD2231">
                  <w:pPr>
                    <w:pStyle w:val="BodyText"/>
                    <w:spacing w:before="120"/>
                    <w:rPr>
                      <w:sz w:val="18"/>
                      <w:szCs w:val="18"/>
                    </w:rPr>
                  </w:pPr>
                  <w:r w:rsidRPr="00BD2231">
                    <w:rPr>
                      <w:sz w:val="18"/>
                      <w:szCs w:val="18"/>
                    </w:rPr>
                    <w:t>Tax credit</w:t>
                  </w:r>
                </w:p>
              </w:tc>
              <w:tc>
                <w:tcPr>
                  <w:tcW w:w="850" w:type="dxa"/>
                </w:tcPr>
                <w:p w:rsidR="00BD2231" w:rsidRPr="00BD2231" w:rsidRDefault="00BD2231" w:rsidP="00BD2231">
                  <w:pPr>
                    <w:pStyle w:val="BodyText"/>
                    <w:spacing w:before="120"/>
                    <w:jc w:val="right"/>
                    <w:cnfStyle w:val="000000100000" w:firstRow="0" w:lastRow="0" w:firstColumn="0" w:lastColumn="0" w:oddVBand="0" w:evenVBand="0" w:oddHBand="1" w:evenHBand="0" w:firstRowFirstColumn="0" w:firstRowLastColumn="0" w:lastRowFirstColumn="0" w:lastRowLastColumn="0"/>
                    <w:rPr>
                      <w:sz w:val="18"/>
                      <w:szCs w:val="18"/>
                    </w:rPr>
                  </w:pPr>
                  <w:r w:rsidRPr="00BD2231">
                    <w:rPr>
                      <w:sz w:val="18"/>
                      <w:szCs w:val="18"/>
                    </w:rPr>
                    <w:t>$5,000</w:t>
                  </w:r>
                </w:p>
              </w:tc>
              <w:tc>
                <w:tcPr>
                  <w:tcW w:w="851" w:type="dxa"/>
                </w:tcPr>
                <w:p w:rsidR="00BD2231" w:rsidRPr="00BD2231" w:rsidRDefault="00BD2231" w:rsidP="00BD2231">
                  <w:pPr>
                    <w:pStyle w:val="BodyText"/>
                    <w:spacing w:before="120"/>
                    <w:jc w:val="right"/>
                    <w:cnfStyle w:val="000000100000" w:firstRow="0" w:lastRow="0" w:firstColumn="0" w:lastColumn="0" w:oddVBand="0" w:evenVBand="0" w:oddHBand="1" w:evenHBand="0" w:firstRowFirstColumn="0" w:firstRowLastColumn="0" w:lastRowFirstColumn="0" w:lastRowLastColumn="0"/>
                    <w:rPr>
                      <w:sz w:val="18"/>
                      <w:szCs w:val="18"/>
                    </w:rPr>
                  </w:pPr>
                  <w:r w:rsidRPr="00BD2231">
                    <w:rPr>
                      <w:sz w:val="18"/>
                      <w:szCs w:val="18"/>
                    </w:rPr>
                    <w:t>$4,000</w:t>
                  </w:r>
                </w:p>
              </w:tc>
              <w:tc>
                <w:tcPr>
                  <w:tcW w:w="851" w:type="dxa"/>
                </w:tcPr>
                <w:p w:rsidR="00BD2231" w:rsidRPr="00BD2231" w:rsidRDefault="00BD2231" w:rsidP="00BD2231">
                  <w:pPr>
                    <w:pStyle w:val="BodyText"/>
                    <w:spacing w:before="120"/>
                    <w:jc w:val="right"/>
                    <w:cnfStyle w:val="000000100000" w:firstRow="0" w:lastRow="0" w:firstColumn="0" w:lastColumn="0" w:oddVBand="0" w:evenVBand="0" w:oddHBand="1" w:evenHBand="0" w:firstRowFirstColumn="0" w:firstRowLastColumn="0" w:lastRowFirstColumn="0" w:lastRowLastColumn="0"/>
                    <w:rPr>
                      <w:sz w:val="18"/>
                      <w:szCs w:val="18"/>
                    </w:rPr>
                  </w:pPr>
                  <w:r w:rsidRPr="00BD2231">
                    <w:rPr>
                      <w:sz w:val="18"/>
                      <w:szCs w:val="18"/>
                    </w:rPr>
                    <w:t>$3,000</w:t>
                  </w:r>
                </w:p>
              </w:tc>
              <w:tc>
                <w:tcPr>
                  <w:tcW w:w="851" w:type="dxa"/>
                </w:tcPr>
                <w:p w:rsidR="00BD2231" w:rsidRPr="00BD2231" w:rsidRDefault="00BD2231" w:rsidP="00BD2231">
                  <w:pPr>
                    <w:pStyle w:val="BodyText"/>
                    <w:spacing w:before="120"/>
                    <w:jc w:val="right"/>
                    <w:cnfStyle w:val="000000100000" w:firstRow="0" w:lastRow="0" w:firstColumn="0" w:lastColumn="0" w:oddVBand="0" w:evenVBand="0" w:oddHBand="1" w:evenHBand="0" w:firstRowFirstColumn="0" w:firstRowLastColumn="0" w:lastRowFirstColumn="0" w:lastRowLastColumn="0"/>
                    <w:rPr>
                      <w:sz w:val="18"/>
                      <w:szCs w:val="18"/>
                    </w:rPr>
                  </w:pPr>
                  <w:r w:rsidRPr="00BD2231">
                    <w:rPr>
                      <w:sz w:val="18"/>
                      <w:szCs w:val="18"/>
                    </w:rPr>
                    <w:t>$2,000</w:t>
                  </w:r>
                </w:p>
              </w:tc>
              <w:tc>
                <w:tcPr>
                  <w:tcW w:w="851" w:type="dxa"/>
                </w:tcPr>
                <w:p w:rsidR="00BD2231" w:rsidRPr="00BD2231" w:rsidRDefault="00BD2231" w:rsidP="00BD2231">
                  <w:pPr>
                    <w:pStyle w:val="BodyText"/>
                    <w:spacing w:before="120"/>
                    <w:jc w:val="right"/>
                    <w:cnfStyle w:val="000000100000" w:firstRow="0" w:lastRow="0" w:firstColumn="0" w:lastColumn="0" w:oddVBand="0" w:evenVBand="0" w:oddHBand="1" w:evenHBand="0" w:firstRowFirstColumn="0" w:firstRowLastColumn="0" w:lastRowFirstColumn="0" w:lastRowLastColumn="0"/>
                    <w:rPr>
                      <w:sz w:val="18"/>
                      <w:szCs w:val="18"/>
                    </w:rPr>
                  </w:pPr>
                  <w:r w:rsidRPr="00BD2231">
                    <w:rPr>
                      <w:sz w:val="18"/>
                      <w:szCs w:val="18"/>
                    </w:rPr>
                    <w:t>$1,000</w:t>
                  </w:r>
                </w:p>
              </w:tc>
            </w:tr>
            <w:tr w:rsidR="00BD2231" w:rsidTr="00BD2231">
              <w:tc>
                <w:tcPr>
                  <w:cnfStyle w:val="001000000000" w:firstRow="0" w:lastRow="0" w:firstColumn="1" w:lastColumn="0" w:oddVBand="0" w:evenVBand="0" w:oddHBand="0" w:evenHBand="0" w:firstRowFirstColumn="0" w:firstRowLastColumn="0" w:lastRowFirstColumn="0" w:lastRowLastColumn="0"/>
                  <w:tcW w:w="850" w:type="dxa"/>
                </w:tcPr>
                <w:p w:rsidR="00BD2231" w:rsidRPr="00BD2231" w:rsidRDefault="00BD2231" w:rsidP="00BD2231">
                  <w:pPr>
                    <w:pStyle w:val="BodyText"/>
                    <w:spacing w:before="120"/>
                    <w:rPr>
                      <w:sz w:val="18"/>
                      <w:szCs w:val="18"/>
                    </w:rPr>
                  </w:pPr>
                  <w:r w:rsidRPr="00BD2231">
                    <w:rPr>
                      <w:sz w:val="18"/>
                      <w:szCs w:val="18"/>
                    </w:rPr>
                    <w:t>LISS grant</w:t>
                  </w:r>
                </w:p>
              </w:tc>
              <w:tc>
                <w:tcPr>
                  <w:tcW w:w="850" w:type="dxa"/>
                </w:tcPr>
                <w:p w:rsidR="00BD2231" w:rsidRPr="00BD2231" w:rsidRDefault="00BD2231" w:rsidP="00BD2231">
                  <w:pPr>
                    <w:pStyle w:val="BodyText"/>
                    <w:spacing w:before="120"/>
                    <w:jc w:val="right"/>
                    <w:cnfStyle w:val="000000000000" w:firstRow="0" w:lastRow="0" w:firstColumn="0" w:lastColumn="0" w:oddVBand="0" w:evenVBand="0" w:oddHBand="0" w:evenHBand="0" w:firstRowFirstColumn="0" w:firstRowLastColumn="0" w:lastRowFirstColumn="0" w:lastRowLastColumn="0"/>
                    <w:rPr>
                      <w:sz w:val="18"/>
                      <w:szCs w:val="18"/>
                    </w:rPr>
                  </w:pPr>
                  <w:r w:rsidRPr="00BD2231">
                    <w:rPr>
                      <w:sz w:val="18"/>
                      <w:szCs w:val="18"/>
                    </w:rPr>
                    <w:t>$5,000</w:t>
                  </w:r>
                </w:p>
              </w:tc>
              <w:tc>
                <w:tcPr>
                  <w:tcW w:w="851" w:type="dxa"/>
                </w:tcPr>
                <w:p w:rsidR="00BD2231" w:rsidRPr="00BD2231" w:rsidRDefault="00BD2231" w:rsidP="00BD2231">
                  <w:pPr>
                    <w:pStyle w:val="BodyText"/>
                    <w:spacing w:before="120"/>
                    <w:jc w:val="right"/>
                    <w:cnfStyle w:val="000000000000" w:firstRow="0" w:lastRow="0" w:firstColumn="0" w:lastColumn="0" w:oddVBand="0" w:evenVBand="0" w:oddHBand="0" w:evenHBand="0" w:firstRowFirstColumn="0" w:firstRowLastColumn="0" w:lastRowFirstColumn="0" w:lastRowLastColumn="0"/>
                    <w:rPr>
                      <w:sz w:val="18"/>
                      <w:szCs w:val="18"/>
                    </w:rPr>
                  </w:pPr>
                  <w:r w:rsidRPr="00BD2231">
                    <w:rPr>
                      <w:sz w:val="18"/>
                      <w:szCs w:val="18"/>
                    </w:rPr>
                    <w:t>$4,000</w:t>
                  </w:r>
                </w:p>
              </w:tc>
              <w:tc>
                <w:tcPr>
                  <w:tcW w:w="851" w:type="dxa"/>
                </w:tcPr>
                <w:p w:rsidR="00BD2231" w:rsidRPr="00BD2231" w:rsidRDefault="00BD2231" w:rsidP="00BD2231">
                  <w:pPr>
                    <w:pStyle w:val="BodyText"/>
                    <w:spacing w:before="120"/>
                    <w:jc w:val="right"/>
                    <w:cnfStyle w:val="000000000000" w:firstRow="0" w:lastRow="0" w:firstColumn="0" w:lastColumn="0" w:oddVBand="0" w:evenVBand="0" w:oddHBand="0" w:evenHBand="0" w:firstRowFirstColumn="0" w:firstRowLastColumn="0" w:lastRowFirstColumn="0" w:lastRowLastColumn="0"/>
                    <w:rPr>
                      <w:sz w:val="18"/>
                      <w:szCs w:val="18"/>
                    </w:rPr>
                  </w:pPr>
                  <w:r w:rsidRPr="00BD2231">
                    <w:rPr>
                      <w:sz w:val="18"/>
                      <w:szCs w:val="18"/>
                    </w:rPr>
                    <w:t>$3,000</w:t>
                  </w:r>
                </w:p>
              </w:tc>
              <w:tc>
                <w:tcPr>
                  <w:tcW w:w="851" w:type="dxa"/>
                </w:tcPr>
                <w:p w:rsidR="00BD2231" w:rsidRPr="00BD2231" w:rsidRDefault="00BD2231" w:rsidP="00BD2231">
                  <w:pPr>
                    <w:pStyle w:val="BodyText"/>
                    <w:spacing w:before="120"/>
                    <w:jc w:val="right"/>
                    <w:cnfStyle w:val="000000000000" w:firstRow="0" w:lastRow="0" w:firstColumn="0" w:lastColumn="0" w:oddVBand="0" w:evenVBand="0" w:oddHBand="0" w:evenHBand="0" w:firstRowFirstColumn="0" w:firstRowLastColumn="0" w:lastRowFirstColumn="0" w:lastRowLastColumn="0"/>
                    <w:rPr>
                      <w:sz w:val="18"/>
                      <w:szCs w:val="18"/>
                    </w:rPr>
                  </w:pPr>
                  <w:r w:rsidRPr="00BD2231">
                    <w:rPr>
                      <w:sz w:val="18"/>
                      <w:szCs w:val="18"/>
                    </w:rPr>
                    <w:t>$2,000</w:t>
                  </w:r>
                </w:p>
              </w:tc>
              <w:tc>
                <w:tcPr>
                  <w:tcW w:w="851" w:type="dxa"/>
                </w:tcPr>
                <w:p w:rsidR="00BD2231" w:rsidRPr="00BD2231" w:rsidRDefault="00BD2231" w:rsidP="00BD2231">
                  <w:pPr>
                    <w:pStyle w:val="BodyText"/>
                    <w:spacing w:before="120"/>
                    <w:jc w:val="right"/>
                    <w:cnfStyle w:val="000000000000" w:firstRow="0" w:lastRow="0" w:firstColumn="0" w:lastColumn="0" w:oddVBand="0" w:evenVBand="0" w:oddHBand="0" w:evenHBand="0" w:firstRowFirstColumn="0" w:firstRowLastColumn="0" w:lastRowFirstColumn="0" w:lastRowLastColumn="0"/>
                    <w:rPr>
                      <w:sz w:val="18"/>
                      <w:szCs w:val="18"/>
                    </w:rPr>
                  </w:pPr>
                  <w:r w:rsidRPr="00BD2231">
                    <w:rPr>
                      <w:sz w:val="18"/>
                      <w:szCs w:val="18"/>
                    </w:rPr>
                    <w:t>$1,000</w:t>
                  </w:r>
                </w:p>
              </w:tc>
            </w:tr>
          </w:tbl>
          <w:p w:rsidR="00BD2231" w:rsidRDefault="00BD2231" w:rsidP="00BD2231">
            <w:r>
              <w:t>The proposal would have effect from 1 September 2016 and would cease after 31 December 2020.</w:t>
            </w:r>
          </w:p>
        </w:tc>
      </w:tr>
      <w:tr w:rsidR="004D5525" w:rsidTr="00D52D5F">
        <w:tc>
          <w:tcPr>
            <w:tcW w:w="3005" w:type="dxa"/>
          </w:tcPr>
          <w:p w:rsidR="004D5525" w:rsidRDefault="004D5525" w:rsidP="004D5525">
            <w:pPr>
              <w:pStyle w:val="BodyText"/>
            </w:pPr>
            <w:r>
              <w:lastRenderedPageBreak/>
              <w:t>Person/party requesting costing:</w:t>
            </w:r>
          </w:p>
        </w:tc>
        <w:tc>
          <w:tcPr>
            <w:tcW w:w="5335" w:type="dxa"/>
          </w:tcPr>
          <w:p w:rsidR="004D5525" w:rsidRDefault="00C0082F" w:rsidP="004D5525">
            <w:pPr>
              <w:pStyle w:val="BodyText"/>
            </w:pPr>
            <w:r>
              <w:t>Senator Richard Di Natale, Australian Greens</w:t>
            </w:r>
          </w:p>
        </w:tc>
      </w:tr>
      <w:tr w:rsidR="007D3577" w:rsidTr="00060F22">
        <w:tc>
          <w:tcPr>
            <w:tcW w:w="3005" w:type="dxa"/>
          </w:tcPr>
          <w:p w:rsidR="007D3577" w:rsidRDefault="007D3577" w:rsidP="00060F22">
            <w:pPr>
              <w:pStyle w:val="BodyText"/>
            </w:pPr>
            <w:r>
              <w:t>Date of public release of policy:</w:t>
            </w:r>
          </w:p>
        </w:tc>
        <w:tc>
          <w:tcPr>
            <w:tcW w:w="5335" w:type="dxa"/>
          </w:tcPr>
          <w:p w:rsidR="007D3577" w:rsidRDefault="00631EE1" w:rsidP="00631EE1">
            <w:pPr>
              <w:pStyle w:val="BodyText"/>
            </w:pPr>
            <w:r>
              <w:t xml:space="preserve">5 May </w:t>
            </w:r>
            <w:r w:rsidR="00C0082F">
              <w:t>2016</w:t>
            </w:r>
          </w:p>
          <w:p w:rsidR="00631EE1" w:rsidRPr="00C17112" w:rsidRDefault="00707B97" w:rsidP="00631EE1">
            <w:pPr>
              <w:pStyle w:val="BodyText"/>
            </w:pPr>
            <w:hyperlink r:id="rId13" w:history="1">
              <w:r w:rsidR="00631EE1" w:rsidRPr="003A7C47">
                <w:rPr>
                  <w:rStyle w:val="Hyperlink"/>
                </w:rPr>
                <w:t>http://greens.org.au/batteries</w:t>
              </w:r>
            </w:hyperlink>
          </w:p>
        </w:tc>
      </w:tr>
      <w:tr w:rsidR="004D5525" w:rsidTr="00D52D5F">
        <w:tc>
          <w:tcPr>
            <w:tcW w:w="3005" w:type="dxa"/>
          </w:tcPr>
          <w:p w:rsidR="004D5525" w:rsidRDefault="004D5525" w:rsidP="004D5525">
            <w:pPr>
              <w:pStyle w:val="BodyText"/>
            </w:pPr>
            <w:r>
              <w:t>Date costing request received:</w:t>
            </w:r>
          </w:p>
        </w:tc>
        <w:tc>
          <w:tcPr>
            <w:tcW w:w="5335" w:type="dxa"/>
          </w:tcPr>
          <w:p w:rsidR="004D5525" w:rsidRDefault="003C0253" w:rsidP="004D5525">
            <w:pPr>
              <w:pStyle w:val="BodyText"/>
            </w:pPr>
            <w:r>
              <w:t xml:space="preserve">30 </w:t>
            </w:r>
            <w:r w:rsidR="00C0082F">
              <w:t>June 2016</w:t>
            </w:r>
          </w:p>
        </w:tc>
      </w:tr>
      <w:tr w:rsidR="004D5525" w:rsidTr="00D52D5F">
        <w:tc>
          <w:tcPr>
            <w:tcW w:w="3005" w:type="dxa"/>
          </w:tcPr>
          <w:p w:rsidR="004D5525" w:rsidRDefault="004D5525" w:rsidP="004D5525">
            <w:pPr>
              <w:pStyle w:val="BodyText"/>
            </w:pPr>
            <w:r>
              <w:t>Date costing completed</w:t>
            </w:r>
            <w:r w:rsidR="00575518">
              <w:t>:</w:t>
            </w:r>
          </w:p>
        </w:tc>
        <w:tc>
          <w:tcPr>
            <w:tcW w:w="5335" w:type="dxa"/>
          </w:tcPr>
          <w:p w:rsidR="004D5525" w:rsidRPr="00C17112" w:rsidRDefault="003C0253" w:rsidP="004D5525">
            <w:pPr>
              <w:pStyle w:val="BodyText"/>
            </w:pPr>
            <w:r>
              <w:t>30</w:t>
            </w:r>
            <w:r w:rsidR="00C0082F">
              <w:t xml:space="preserve"> June 2016</w:t>
            </w:r>
          </w:p>
        </w:tc>
      </w:tr>
      <w:tr w:rsidR="004D5525" w:rsidTr="00D52D5F">
        <w:tc>
          <w:tcPr>
            <w:tcW w:w="3005" w:type="dxa"/>
          </w:tcPr>
          <w:p w:rsidR="004D5525" w:rsidRPr="00220BE5" w:rsidRDefault="004D5525" w:rsidP="004D5525">
            <w:pPr>
              <w:pStyle w:val="BodyText"/>
            </w:pPr>
            <w:r w:rsidRPr="00220BE5">
              <w:t>Expiry date for the costing:</w:t>
            </w:r>
          </w:p>
        </w:tc>
        <w:tc>
          <w:tcPr>
            <w:tcW w:w="5335" w:type="dxa"/>
          </w:tcPr>
          <w:p w:rsidR="004D5525" w:rsidRPr="00220BE5" w:rsidRDefault="00F4535C" w:rsidP="00220BE5">
            <w:pPr>
              <w:pStyle w:val="BodyText"/>
            </w:pPr>
            <w:r>
              <w:t>Release of the next economic and fiscal outlook report</w:t>
            </w:r>
          </w:p>
        </w:tc>
      </w:tr>
    </w:tbl>
    <w:p w:rsidR="0055581F" w:rsidRPr="00002D5D" w:rsidRDefault="008030EC" w:rsidP="00FC6579">
      <w:pPr>
        <w:pStyle w:val="Heading2"/>
      </w:pPr>
      <w:r w:rsidRPr="00002D5D">
        <w:t>Costing overview</w:t>
      </w:r>
    </w:p>
    <w:p w:rsidR="008D3909" w:rsidRDefault="00C0082F" w:rsidP="00002D5D">
      <w:r w:rsidRPr="00C0082F">
        <w:t>The</w:t>
      </w:r>
      <w:r>
        <w:t xml:space="preserve"> proposal would be expected to decrease the fiscal balance by $3,588 million and </w:t>
      </w:r>
      <w:r w:rsidR="00E21995">
        <w:t xml:space="preserve">decrease </w:t>
      </w:r>
      <w:r>
        <w:t>the underlying cash balance by $2,868 million over the 2016</w:t>
      </w:r>
      <w:r>
        <w:noBreakHyphen/>
        <w:t xml:space="preserve">17 Budget forward estimates period.  On a fiscal balance basis, this reflects </w:t>
      </w:r>
      <w:r w:rsidR="00B64C2D">
        <w:t xml:space="preserve">a decrease in revenue of $54 million and </w:t>
      </w:r>
      <w:r>
        <w:t>an increase in expenses of $3,534 million</w:t>
      </w:r>
      <w:r w:rsidR="00E161EB">
        <w:t>.</w:t>
      </w:r>
      <w:r>
        <w:t xml:space="preserve">  </w:t>
      </w:r>
      <w:r w:rsidR="00720909">
        <w:t>Detailed</w:t>
      </w:r>
      <w:r>
        <w:t xml:space="preserve"> financial implications of the proposal to 2022</w:t>
      </w:r>
      <w:r>
        <w:noBreakHyphen/>
        <w:t xml:space="preserve">23 </w:t>
      </w:r>
      <w:r w:rsidR="00720909">
        <w:t>are provided at</w:t>
      </w:r>
      <w:r>
        <w:t xml:space="preserve"> </w:t>
      </w:r>
      <w:r>
        <w:rPr>
          <w:u w:val="single"/>
        </w:rPr>
        <w:t>Attachment A</w:t>
      </w:r>
      <w:r>
        <w:t>.</w:t>
      </w:r>
    </w:p>
    <w:p w:rsidR="00720909" w:rsidRDefault="00720909" w:rsidP="00720909">
      <w:r>
        <w:t>The underlying cash balance impact of this proposal differs from the fiscal balance impact due to the timing of the refundable tax credit payments.  The fiscal balance impact of the refundable tax credit occurs in the year in which the qualifying solar energy storage system purchase is made.  The underlying cash balance impact occurs when the tax return or separate application for a tax credit is processed.</w:t>
      </w:r>
    </w:p>
    <w:p w:rsidR="00C0082F" w:rsidRDefault="00042691" w:rsidP="00002D5D">
      <w:r>
        <w:lastRenderedPageBreak/>
        <w:t>Departmental expenses for c</w:t>
      </w:r>
      <w:r w:rsidR="00C0082F">
        <w:t xml:space="preserve">omponents 1, 2 and 3 </w:t>
      </w:r>
      <w:r>
        <w:t xml:space="preserve">have </w:t>
      </w:r>
      <w:r w:rsidR="00C0082F">
        <w:t xml:space="preserve">been estimated based on the cost of administering and reviewing similar tax credit and grant programs in the past.  Departmental expenses for </w:t>
      </w:r>
      <w:r>
        <w:t>c</w:t>
      </w:r>
      <w:r w:rsidR="00C0082F">
        <w:t>omponent 4 are not expected to be significant</w:t>
      </w:r>
      <w:r w:rsidR="00D952EE">
        <w:t xml:space="preserve"> and have not been included in this costing</w:t>
      </w:r>
      <w:r w:rsidR="00C0082F">
        <w:t>.</w:t>
      </w:r>
    </w:p>
    <w:p w:rsidR="00C0082F" w:rsidRDefault="00C0082F" w:rsidP="00002D5D">
      <w:r>
        <w:t xml:space="preserve">The proposal </w:t>
      </w:r>
      <w:r w:rsidR="00720909">
        <w:t>would have</w:t>
      </w:r>
      <w:r>
        <w:t xml:space="preserve"> a significantly reduced impact beyond the 2016</w:t>
      </w:r>
      <w:r>
        <w:noBreakHyphen/>
        <w:t xml:space="preserve">17 Budget forward </w:t>
      </w:r>
      <w:proofErr w:type="gramStart"/>
      <w:r>
        <w:t>estimates</w:t>
      </w:r>
      <w:proofErr w:type="gramEnd"/>
      <w:r>
        <w:t xml:space="preserve"> period.</w:t>
      </w:r>
    </w:p>
    <w:p w:rsidR="00C0082F" w:rsidRDefault="00C0082F" w:rsidP="00C0082F">
      <w:pPr>
        <w:pStyle w:val="Bullet1"/>
      </w:pPr>
      <w:r>
        <w:t>The household components of the proposal (</w:t>
      </w:r>
      <w:r w:rsidR="002309F4">
        <w:t>c</w:t>
      </w:r>
      <w:r>
        <w:t xml:space="preserve">omponents 1 to 3) would continue to have financial implications on an underlying cash basis in the 2021-22 financial </w:t>
      </w:r>
      <w:proofErr w:type="gramStart"/>
      <w:r>
        <w:t>year</w:t>
      </w:r>
      <w:proofErr w:type="gramEnd"/>
      <w:r>
        <w:t xml:space="preserve"> as tax credit claims are paid.</w:t>
      </w:r>
      <w:r w:rsidR="0079565E">
        <w:t xml:space="preserve">  The tax credit and LISS grants would not be claimable for installations from 1 January 2021.</w:t>
      </w:r>
    </w:p>
    <w:p w:rsidR="0079565E" w:rsidRDefault="000E6521" w:rsidP="00C0082F">
      <w:pPr>
        <w:pStyle w:val="Bullet1"/>
      </w:pPr>
      <w:r>
        <w:t>The business component (c</w:t>
      </w:r>
      <w:r w:rsidR="0079565E">
        <w:t>omponent 4) would have an ongoing positive impact from 2022</w:t>
      </w:r>
      <w:r w:rsidR="0079565E">
        <w:noBreakHyphen/>
        <w:t>23 as changes in depreciation policy have an impact on the timing, but not on the total amount, of depreciation deductions over the full life cycle of the asset – the decrease in revenue seen in the forward estimates period w</w:t>
      </w:r>
      <w:r w:rsidR="00720909">
        <w:t>ould</w:t>
      </w:r>
      <w:r w:rsidR="0079565E">
        <w:t xml:space="preserve"> reverse over the course of the current 15 year depreciation time scale.</w:t>
      </w:r>
    </w:p>
    <w:p w:rsidR="0079565E" w:rsidRPr="00C0082F" w:rsidRDefault="0079565E" w:rsidP="0079565E">
      <w:r>
        <w:t>This costing is considered to be of very low reliability.  It relies on a number of assumptions, and variations in assumptions may lead to a significant change in the estimated financial impact.</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proofErr w:type="gramStart"/>
      <w:r w:rsidRPr="00FC6579">
        <w:t>)</w:t>
      </w:r>
      <w:r w:rsidRPr="00844776">
        <w:rPr>
          <w:vertAlign w:val="superscript"/>
        </w:rPr>
        <w:t>(</w:t>
      </w:r>
      <w:proofErr w:type="gramEnd"/>
      <w:r w:rsidRPr="00844776">
        <w:rPr>
          <w:vertAlign w:val="superscript"/>
        </w:rPr>
        <w:t>a)</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EA26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CA5D42" w:rsidRPr="00B73AC8" w:rsidRDefault="00CA5D42" w:rsidP="00575518">
            <w:pPr>
              <w:pStyle w:val="TableText"/>
              <w:keepNext/>
              <w:keepLines/>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tcPr>
          <w:p w:rsidR="00CA5D42" w:rsidRPr="00B73AC8" w:rsidRDefault="00CA5D42" w:rsidP="00575518">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tcPr>
          <w:p w:rsidR="00CA5D42" w:rsidRPr="00B73AC8" w:rsidRDefault="00CA5D42" w:rsidP="00575518">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tcPr>
          <w:p w:rsidR="00CA5D42" w:rsidRPr="00B73AC8" w:rsidRDefault="00CA5D42" w:rsidP="00575518">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tcPr>
          <w:p w:rsidR="00CA5D42" w:rsidRPr="00B73AC8" w:rsidRDefault="00CA5D42" w:rsidP="00575518">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tcPr>
          <w:p w:rsidR="00CA5D42" w:rsidRPr="00F97DFF" w:rsidRDefault="00CA5D42" w:rsidP="00575518">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F97DFF">
              <w:rPr>
                <w:rFonts w:ascii="Calibri" w:hAnsi="Calibri"/>
                <w:b/>
                <w:szCs w:val="20"/>
              </w:rPr>
              <w:t>Total</w:t>
            </w:r>
          </w:p>
        </w:tc>
      </w:tr>
      <w:tr w:rsidR="00EA265F" w:rsidRPr="00B73AC8" w:rsidTr="00EA2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EA265F" w:rsidRPr="00B73AC8" w:rsidRDefault="00EA265F" w:rsidP="00575518">
            <w:pPr>
              <w:pStyle w:val="TableTextCentred"/>
              <w:keepNext/>
              <w:keepLines/>
              <w:jc w:val="left"/>
              <w:rPr>
                <w:szCs w:val="20"/>
              </w:rPr>
            </w:pPr>
            <w:r w:rsidRPr="00B73AC8">
              <w:rPr>
                <w:szCs w:val="20"/>
              </w:rPr>
              <w:t>Fiscal balance</w:t>
            </w:r>
          </w:p>
        </w:tc>
        <w:tc>
          <w:tcPr>
            <w:tcW w:w="682" w:type="pct"/>
          </w:tcPr>
          <w:p w:rsidR="00EA265F" w:rsidRPr="00B73AC8" w:rsidRDefault="0079565E" w:rsidP="00575518">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-538.0</w:t>
            </w:r>
          </w:p>
        </w:tc>
        <w:tc>
          <w:tcPr>
            <w:tcW w:w="682" w:type="pct"/>
          </w:tcPr>
          <w:p w:rsidR="00EA265F" w:rsidRPr="00B73AC8" w:rsidRDefault="0079565E" w:rsidP="00575518">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-1,087.0</w:t>
            </w:r>
          </w:p>
        </w:tc>
        <w:tc>
          <w:tcPr>
            <w:tcW w:w="682" w:type="pct"/>
          </w:tcPr>
          <w:p w:rsidR="00EA265F" w:rsidRPr="00B73AC8" w:rsidRDefault="0079565E" w:rsidP="00575518">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-1,180.0</w:t>
            </w:r>
          </w:p>
        </w:tc>
        <w:tc>
          <w:tcPr>
            <w:tcW w:w="682" w:type="pct"/>
          </w:tcPr>
          <w:p w:rsidR="00EA265F" w:rsidRPr="00B73AC8" w:rsidRDefault="0079565E" w:rsidP="00575518">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-783.0</w:t>
            </w:r>
          </w:p>
        </w:tc>
        <w:tc>
          <w:tcPr>
            <w:tcW w:w="681" w:type="pct"/>
          </w:tcPr>
          <w:p w:rsidR="00EA265F" w:rsidRPr="00F97DFF" w:rsidRDefault="0079565E" w:rsidP="00575518">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b/>
                <w:szCs w:val="20"/>
              </w:rPr>
            </w:pPr>
            <w:r>
              <w:rPr>
                <w:rFonts w:ascii="Calibri" w:hAnsi="Calibri"/>
                <w:b/>
                <w:szCs w:val="20"/>
              </w:rPr>
              <w:t>-3,588.0</w:t>
            </w:r>
          </w:p>
        </w:tc>
      </w:tr>
      <w:tr w:rsidR="00692DD8" w:rsidRPr="00B73AC8" w:rsidTr="00EA265F">
        <w:tc>
          <w:tcPr>
            <w:cnfStyle w:val="001000000000" w:firstRow="0" w:lastRow="0" w:firstColumn="1" w:lastColumn="0" w:oddVBand="0" w:evenVBand="0" w:oddHBand="0" w:evenHBand="0" w:firstRowFirstColumn="0" w:firstRowLastColumn="0" w:lastRowFirstColumn="0" w:lastRowLastColumn="0"/>
            <w:tcW w:w="1591" w:type="pct"/>
          </w:tcPr>
          <w:p w:rsidR="00CA5D42" w:rsidRPr="00B73AC8" w:rsidRDefault="00CA5D42" w:rsidP="00575518">
            <w:pPr>
              <w:pStyle w:val="TableTextCentred"/>
              <w:keepNext/>
              <w:keepLines/>
              <w:jc w:val="left"/>
              <w:rPr>
                <w:szCs w:val="20"/>
              </w:rPr>
            </w:pPr>
            <w:r w:rsidRPr="00B73AC8">
              <w:rPr>
                <w:szCs w:val="20"/>
              </w:rPr>
              <w:t>Underlying cash balance</w:t>
            </w:r>
          </w:p>
        </w:tc>
        <w:tc>
          <w:tcPr>
            <w:tcW w:w="682" w:type="pct"/>
          </w:tcPr>
          <w:p w:rsidR="00CA5D42" w:rsidRPr="00B73AC8" w:rsidRDefault="0079565E" w:rsidP="00575518">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-108.0</w:t>
            </w:r>
          </w:p>
        </w:tc>
        <w:tc>
          <w:tcPr>
            <w:tcW w:w="682" w:type="pct"/>
          </w:tcPr>
          <w:p w:rsidR="00CA5D42" w:rsidRPr="00B73AC8" w:rsidRDefault="0079565E" w:rsidP="00575518">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-527.0</w:t>
            </w:r>
          </w:p>
        </w:tc>
        <w:tc>
          <w:tcPr>
            <w:tcW w:w="682" w:type="pct"/>
          </w:tcPr>
          <w:p w:rsidR="00CA5D42" w:rsidRPr="00B73AC8" w:rsidRDefault="0079565E" w:rsidP="00575518">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-1,070.0</w:t>
            </w:r>
          </w:p>
        </w:tc>
        <w:tc>
          <w:tcPr>
            <w:tcW w:w="682" w:type="pct"/>
          </w:tcPr>
          <w:p w:rsidR="00CA5D42" w:rsidRPr="00B73AC8" w:rsidRDefault="0079565E" w:rsidP="00575518">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-1,163.0</w:t>
            </w:r>
          </w:p>
        </w:tc>
        <w:tc>
          <w:tcPr>
            <w:tcW w:w="681" w:type="pct"/>
          </w:tcPr>
          <w:p w:rsidR="00CA5D42" w:rsidRPr="00F97DFF" w:rsidRDefault="0079565E" w:rsidP="00575518">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b/>
                <w:szCs w:val="20"/>
              </w:rPr>
            </w:pPr>
            <w:r>
              <w:rPr>
                <w:rFonts w:ascii="Calibri" w:hAnsi="Calibri"/>
                <w:b/>
                <w:szCs w:val="20"/>
              </w:rPr>
              <w:t>-2,868.0</w:t>
            </w:r>
          </w:p>
        </w:tc>
      </w:tr>
    </w:tbl>
    <w:p w:rsidR="009D4063" w:rsidRDefault="00D805AE" w:rsidP="009D4063">
      <w:pPr>
        <w:pStyle w:val="Footnotes"/>
        <w:keepNext/>
        <w:keepLines/>
        <w:numPr>
          <w:ilvl w:val="0"/>
          <w:numId w:val="7"/>
        </w:numPr>
        <w:ind w:left="284" w:hanging="284"/>
      </w:pPr>
      <w:r>
        <w:t xml:space="preserve">A positive number represents an increase in the relevant budget </w:t>
      </w:r>
      <w:proofErr w:type="gramStart"/>
      <w:r>
        <w:t>balance,</w:t>
      </w:r>
      <w:proofErr w:type="gramEnd"/>
      <w:r>
        <w:t xml:space="preserve"> a negative number represents a decrease.</w:t>
      </w:r>
    </w:p>
    <w:p w:rsidR="00D747D2" w:rsidRDefault="00D747D2" w:rsidP="009D4063">
      <w:pPr>
        <w:pStyle w:val="Footnotes"/>
        <w:keepNext/>
        <w:keepLines/>
        <w:numPr>
          <w:ilvl w:val="0"/>
          <w:numId w:val="7"/>
        </w:numPr>
        <w:ind w:left="284" w:hanging="284"/>
      </w:pPr>
      <w:r>
        <w:t>Figures may not sum to totals due to rounding.</w:t>
      </w:r>
    </w:p>
    <w:p w:rsidR="008D3909" w:rsidRPr="00FC6579" w:rsidRDefault="005E3562" w:rsidP="00E40B8B">
      <w:pPr>
        <w:pStyle w:val="Heading2"/>
      </w:pPr>
      <w:r w:rsidRPr="00FC6579">
        <w:t>Key assumptions</w:t>
      </w:r>
    </w:p>
    <w:p w:rsidR="00C8169A" w:rsidRDefault="00C8169A" w:rsidP="00575518">
      <w:pPr>
        <w:pStyle w:val="Heading4"/>
      </w:pPr>
      <w:r w:rsidRPr="00C8169A">
        <w:t>Household</w:t>
      </w:r>
      <w:r>
        <w:t xml:space="preserve"> components</w:t>
      </w:r>
    </w:p>
    <w:p w:rsidR="00C8169A" w:rsidRPr="00575518" w:rsidRDefault="00C8169A" w:rsidP="00575518">
      <w:pPr>
        <w:pStyle w:val="Bullet1"/>
      </w:pPr>
      <w:r w:rsidRPr="00575518">
        <w:t>The estimated total number of household installations in each year of the proposal has been based on the Australian Energy Market Operator report titled 2015 Emerging Technologies Information Paper, and the growth trajectory of installations of photovoltaic cell systems between 1 January</w:t>
      </w:r>
      <w:r w:rsidR="000A353B" w:rsidRPr="00575518">
        <w:t> </w:t>
      </w:r>
      <w:r w:rsidRPr="00575518">
        <w:t>2009 and 31</w:t>
      </w:r>
      <w:r w:rsidR="000A353B" w:rsidRPr="00575518">
        <w:t> </w:t>
      </w:r>
      <w:r w:rsidRPr="00575518">
        <w:t>December 2013, as reported by the Australian Photovoltaic Institute.</w:t>
      </w:r>
    </w:p>
    <w:p w:rsidR="00C8169A" w:rsidRPr="00575518" w:rsidRDefault="00C8169A" w:rsidP="00575518">
      <w:pPr>
        <w:pStyle w:val="Bullet1"/>
      </w:pPr>
      <w:r w:rsidRPr="00575518">
        <w:t>For the purpose of converting the aggregate capacity reported in the 2015 Emerging Technologies Information Paper into the number of installations, it is assumed that the average capacity of an installation will be 10 kilowatt hours, and this average capacity will remain constant over the five year period.</w:t>
      </w:r>
    </w:p>
    <w:p w:rsidR="00C8169A" w:rsidRPr="00575518" w:rsidRDefault="00C8169A" w:rsidP="00575518">
      <w:pPr>
        <w:pStyle w:val="Bullet1"/>
      </w:pPr>
      <w:r w:rsidRPr="00575518">
        <w:lastRenderedPageBreak/>
        <w:t>There is assumed to be no difference in the average cost or capacity of household solar energy storage system installations between those eligible for LISS grants and those ineligible for such grants.</w:t>
      </w:r>
    </w:p>
    <w:p w:rsidR="00C8169A" w:rsidRPr="00575518" w:rsidRDefault="00C8169A" w:rsidP="00575518">
      <w:pPr>
        <w:pStyle w:val="Bullet1"/>
      </w:pPr>
      <w:r w:rsidRPr="00575518">
        <w:t>It is assumed that all LISS grants available (20,000 in each financial year from 2016</w:t>
      </w:r>
      <w:r w:rsidRPr="00575518">
        <w:noBreakHyphen/>
        <w:t>17 to 2020</w:t>
      </w:r>
      <w:r w:rsidRPr="00575518">
        <w:noBreakHyphen/>
        <w:t>21) would be claimed and paid in each financial year.</w:t>
      </w:r>
    </w:p>
    <w:p w:rsidR="00C8169A" w:rsidRPr="00575518" w:rsidRDefault="00C8169A" w:rsidP="00575518">
      <w:pPr>
        <w:pStyle w:val="Bullet2"/>
      </w:pPr>
      <w:r w:rsidRPr="00575518">
        <w:t>This has been based on the incomes of household</w:t>
      </w:r>
      <w:r w:rsidR="00277775" w:rsidRPr="00575518">
        <w:t>s</w:t>
      </w:r>
      <w:r w:rsidRPr="00575518">
        <w:t xml:space="preserve"> with solar photovoltaic cells in 2012, as well as the expected out of pocket cost of a solar storage system after accounting for the tax credit and the LISS grant.</w:t>
      </w:r>
    </w:p>
    <w:p w:rsidR="00C8169A" w:rsidRPr="00575518" w:rsidRDefault="00C8169A" w:rsidP="00575518">
      <w:pPr>
        <w:pStyle w:val="Bullet1"/>
      </w:pPr>
      <w:r w:rsidRPr="00575518">
        <w:t>Tax credits are assumed to be claimed for all installations from 1 September 2016 to 31 December 2020, inclusive.  All tax credits are assumed to be claimed and paid in the financial year immediately following the financial year of installation.</w:t>
      </w:r>
    </w:p>
    <w:p w:rsidR="000E6521" w:rsidRPr="00575518" w:rsidRDefault="000E6521" w:rsidP="00575518">
      <w:pPr>
        <w:pStyle w:val="Bullet1"/>
      </w:pPr>
      <w:r w:rsidRPr="00575518">
        <w:t>The average cost of a household solar energy system installation is assumed to be $10,000 in 2016</w:t>
      </w:r>
      <w:r w:rsidRPr="00575518">
        <w:noBreakHyphen/>
        <w:t>17.  This average cost is assumed to decrease over time in a linear manner, reaching $5,000 from 1 July 2020.</w:t>
      </w:r>
    </w:p>
    <w:p w:rsidR="00C8169A" w:rsidRDefault="00C8169A" w:rsidP="00575518">
      <w:pPr>
        <w:pStyle w:val="Heading4"/>
      </w:pPr>
      <w:r>
        <w:t>Business component</w:t>
      </w:r>
    </w:p>
    <w:p w:rsidR="00C8169A" w:rsidRDefault="00C8169A" w:rsidP="00C8169A">
      <w:pPr>
        <w:pStyle w:val="Bullet1"/>
      </w:pPr>
      <w:r>
        <w:t xml:space="preserve">The estimated total number of business battery installations in each year of the proposal is proportional to the number of business photovoltaic solar panel installations in each year, which </w:t>
      </w:r>
      <w:r w:rsidR="00277775">
        <w:t>has</w:t>
      </w:r>
      <w:r w:rsidR="00575518">
        <w:t xml:space="preserve"> </w:t>
      </w:r>
      <w:r>
        <w:t xml:space="preserve">been based on the Green Energy Markets report titled </w:t>
      </w:r>
      <w:r>
        <w:rPr>
          <w:i/>
        </w:rPr>
        <w:t>Small-scale technology certificates – Data modelling for 2015 to 2017</w:t>
      </w:r>
      <w:r>
        <w:t>.</w:t>
      </w:r>
    </w:p>
    <w:p w:rsidR="00C8169A" w:rsidRDefault="00C8169A" w:rsidP="00C8169A">
      <w:pPr>
        <w:pStyle w:val="Bullet1"/>
      </w:pPr>
      <w:r>
        <w:t xml:space="preserve">This costing assumes two types of behavioural response for </w:t>
      </w:r>
      <w:r w:rsidR="001B5806">
        <w:t>business battery installations:</w:t>
      </w:r>
    </w:p>
    <w:p w:rsidR="001B5806" w:rsidRDefault="001B5806" w:rsidP="001B5806">
      <w:pPr>
        <w:pStyle w:val="Bullet2"/>
      </w:pPr>
      <w:r>
        <w:t>First, 10 per cent of businesses that choose to install a new photovoltaic system will also invest in battery storage.</w:t>
      </w:r>
    </w:p>
    <w:p w:rsidR="001E563B" w:rsidRDefault="001B5806" w:rsidP="001B5806">
      <w:pPr>
        <w:pStyle w:val="Bullet2"/>
      </w:pPr>
      <w:r>
        <w:t>Second, an additional 10</w:t>
      </w:r>
      <w:r w:rsidR="000A353B">
        <w:t> </w:t>
      </w:r>
      <w:r>
        <w:t>per</w:t>
      </w:r>
      <w:r w:rsidR="000A353B">
        <w:t> </w:t>
      </w:r>
      <w:r>
        <w:t>cent of businesses will install a photovoltaic and battery storage system in response to the proposal, where previously they would not have invested in a photovoltaic system.</w:t>
      </w:r>
    </w:p>
    <w:p w:rsidR="001B5806" w:rsidRDefault="001B5806" w:rsidP="001B5806">
      <w:pPr>
        <w:pStyle w:val="Bullet2"/>
      </w:pPr>
      <w:r>
        <w:t>This results in battery storage activity equivalent to 20 per cent of the current photovoltaic installation rate.</w:t>
      </w:r>
    </w:p>
    <w:p w:rsidR="001B5806" w:rsidRDefault="001B5806" w:rsidP="001B5806">
      <w:pPr>
        <w:pStyle w:val="Bullet1"/>
      </w:pPr>
      <w:r>
        <w:t>The costing assumes that businesses that currently have a photovoltaic system installed do not install battery storage as the cost of retro-fitting existing infrastructure is prohibitive.</w:t>
      </w:r>
    </w:p>
    <w:p w:rsidR="001B5806" w:rsidRDefault="001B5806" w:rsidP="00575518">
      <w:pPr>
        <w:pStyle w:val="Heading4"/>
      </w:pPr>
      <w:r>
        <w:t>All components</w:t>
      </w:r>
    </w:p>
    <w:p w:rsidR="001B5806" w:rsidRPr="001B5806" w:rsidRDefault="001B5806" w:rsidP="001B5806">
      <w:pPr>
        <w:pStyle w:val="Bullet1"/>
      </w:pPr>
      <w:r>
        <w:t>Assets are assumed to be purchased evenly throughout the year.</w:t>
      </w:r>
    </w:p>
    <w:p w:rsidR="005E3562" w:rsidRPr="00FC6579" w:rsidRDefault="005E3562" w:rsidP="00E40B8B">
      <w:pPr>
        <w:pStyle w:val="Heading2"/>
      </w:pPr>
      <w:r w:rsidRPr="00FC6579">
        <w:lastRenderedPageBreak/>
        <w:t>Methodology</w:t>
      </w:r>
    </w:p>
    <w:p w:rsidR="005E3562" w:rsidRDefault="0039223F" w:rsidP="00575518">
      <w:pPr>
        <w:pStyle w:val="Heading4"/>
      </w:pPr>
      <w:r>
        <w:t>Household components</w:t>
      </w:r>
    </w:p>
    <w:p w:rsidR="0039223F" w:rsidRDefault="0039223F" w:rsidP="0039223F">
      <w:pPr>
        <w:pStyle w:val="Bullet1"/>
      </w:pPr>
      <w:r>
        <w:t>The number of household installations was estimated for each financial year.  The assumed average cost of installations (and thus the average tax credit) was then applied to the number of installations to derive the cost of refundable tax credits in each financial year.</w:t>
      </w:r>
    </w:p>
    <w:p w:rsidR="0039223F" w:rsidRDefault="0039223F" w:rsidP="0039223F">
      <w:pPr>
        <w:pStyle w:val="Bullet1"/>
      </w:pPr>
      <w:r>
        <w:t>The cost of the LISS grants program was estimated by multiplying the number of grants available in each year by the maximum value of the grant in the relevant year.</w:t>
      </w:r>
    </w:p>
    <w:p w:rsidR="0039223F" w:rsidRDefault="0039223F" w:rsidP="00575518">
      <w:pPr>
        <w:pStyle w:val="Heading4"/>
      </w:pPr>
      <w:r>
        <w:t>Business component</w:t>
      </w:r>
    </w:p>
    <w:p w:rsidR="00A60ECC" w:rsidRDefault="0039223F" w:rsidP="0039223F">
      <w:pPr>
        <w:pStyle w:val="Bullet1"/>
      </w:pPr>
      <w:r>
        <w:t xml:space="preserve">The number of business photovoltaic installations was estimated for each year, and a proportion of these systems </w:t>
      </w:r>
      <w:proofErr w:type="gramStart"/>
      <w:r>
        <w:t>was</w:t>
      </w:r>
      <w:proofErr w:type="gramEnd"/>
      <w:r>
        <w:t xml:space="preserve"> assumed to include battery storage.  The period for depreciating these </w:t>
      </w:r>
      <w:r w:rsidR="00A60ECC">
        <w:t>battery assets was reduced from 15</w:t>
      </w:r>
      <w:r w:rsidR="000A353B">
        <w:t> </w:t>
      </w:r>
      <w:r w:rsidR="00A60ECC">
        <w:t>years to three, with businesses claiming depreciation expenses over three years rather than the current 15</w:t>
      </w:r>
      <w:r w:rsidR="000A353B">
        <w:t> </w:t>
      </w:r>
      <w:r w:rsidR="00A60ECC">
        <w:t>years.</w:t>
      </w:r>
    </w:p>
    <w:p w:rsidR="00A60ECC" w:rsidRDefault="00A60ECC" w:rsidP="00575518">
      <w:pPr>
        <w:pStyle w:val="Heading4"/>
      </w:pPr>
      <w:r>
        <w:t>All components</w:t>
      </w:r>
    </w:p>
    <w:p w:rsidR="00A60ECC" w:rsidRDefault="00A60ECC" w:rsidP="00A60ECC">
      <w:pPr>
        <w:pStyle w:val="Bullet1"/>
      </w:pPr>
      <w:r>
        <w:t>Departmental expenses for the administration and review of the program have been estimated based on the cost of administering and reviewing similar tax credit and grant programs in the past.</w:t>
      </w:r>
    </w:p>
    <w:p w:rsidR="00A60ECC" w:rsidRDefault="00A60ECC" w:rsidP="00A60ECC">
      <w:pPr>
        <w:pStyle w:val="Bullet1"/>
      </w:pPr>
      <w:r>
        <w:t>The costing takes into account the timing of payments and revenue.</w:t>
      </w:r>
    </w:p>
    <w:p w:rsidR="0039223F" w:rsidRPr="0039223F" w:rsidRDefault="00A60ECC" w:rsidP="00A60ECC">
      <w:pPr>
        <w:pStyle w:val="Bullet1"/>
      </w:pPr>
      <w:r>
        <w:t>Estimates of administered expenses have been rounded to the nearest $10 million.  Estimates of departmental expenses and revenue have been rounded to the nearest $1 million.</w:t>
      </w:r>
      <w:r w:rsidR="0039223F">
        <w:t xml:space="preserve"> </w:t>
      </w:r>
    </w:p>
    <w:p w:rsidR="005E3562" w:rsidRPr="00FC6579" w:rsidRDefault="005E3562" w:rsidP="00E40B8B">
      <w:pPr>
        <w:pStyle w:val="Heading2"/>
      </w:pPr>
      <w:r w:rsidRPr="00FC6579">
        <w:t>Data sources</w:t>
      </w:r>
    </w:p>
    <w:p w:rsidR="00CA5D42" w:rsidRDefault="00A60ECC" w:rsidP="00A60ECC">
      <w:pPr>
        <w:pStyle w:val="Bullet1"/>
      </w:pPr>
      <w:r w:rsidRPr="00A60ECC">
        <w:rPr>
          <w:i/>
        </w:rPr>
        <w:t>2015 Emerging Technologies Information Paper</w:t>
      </w:r>
      <w:r w:rsidRPr="00A60ECC">
        <w:t>, Australian Energy Market Operator</w:t>
      </w:r>
      <w:r w:rsidR="005E3562" w:rsidRPr="00A60ECC">
        <w:t>.</w:t>
      </w:r>
    </w:p>
    <w:p w:rsidR="00A60ECC" w:rsidRDefault="00A60ECC" w:rsidP="00A60ECC">
      <w:pPr>
        <w:pStyle w:val="Bullet1"/>
      </w:pPr>
      <w:r>
        <w:rPr>
          <w:i/>
        </w:rPr>
        <w:t>Australian PV installations since April 2001: total capacity (kW)</w:t>
      </w:r>
      <w:r>
        <w:t>, Australian Photovoltaic Institute.</w:t>
      </w:r>
    </w:p>
    <w:p w:rsidR="00A60ECC" w:rsidRDefault="00A60ECC" w:rsidP="00A60ECC">
      <w:pPr>
        <w:pStyle w:val="Bullet1"/>
      </w:pPr>
      <w:r>
        <w:rPr>
          <w:i/>
        </w:rPr>
        <w:t>4670.0 – Household Energy Consumption Survey, 2012</w:t>
      </w:r>
      <w:r>
        <w:t>, Australian Bureau of Statistics.</w:t>
      </w:r>
    </w:p>
    <w:p w:rsidR="00A60ECC" w:rsidRDefault="00A60ECC" w:rsidP="00A60ECC">
      <w:pPr>
        <w:pStyle w:val="Bullet1"/>
      </w:pPr>
      <w:r>
        <w:rPr>
          <w:i/>
        </w:rPr>
        <w:t>Small-scale technology certificates – Data modelling for 2015 to 2017</w:t>
      </w:r>
      <w:r>
        <w:t>, Green Energy Markets.</w:t>
      </w:r>
    </w:p>
    <w:p w:rsidR="00A60ECC" w:rsidRDefault="00A60ECC" w:rsidP="00A60ECC">
      <w:pPr>
        <w:pStyle w:val="Bullet1"/>
      </w:pPr>
      <w:r>
        <w:rPr>
          <w:i/>
        </w:rPr>
        <w:t>Energy storage study</w:t>
      </w:r>
      <w:r>
        <w:t>, AECOM.</w:t>
      </w:r>
    </w:p>
    <w:p w:rsidR="00A60ECC" w:rsidRDefault="00A60ECC" w:rsidP="00A60ECC">
      <w:pPr>
        <w:pStyle w:val="Bullet1"/>
      </w:pPr>
      <w:r>
        <w:rPr>
          <w:i/>
        </w:rPr>
        <w:t>Emerging technologies information paper</w:t>
      </w:r>
      <w:r>
        <w:t>, Australian Energy Market Operator.</w:t>
      </w:r>
    </w:p>
    <w:p w:rsidR="00A60ECC" w:rsidRDefault="00A60ECC" w:rsidP="00A60ECC">
      <w:pPr>
        <w:pStyle w:val="Bullet1"/>
      </w:pPr>
      <w:r>
        <w:rPr>
          <w:i/>
        </w:rPr>
        <w:t>Global trends in clean energy investment</w:t>
      </w:r>
      <w:r>
        <w:t>, Bloomberg New Energy Finance.</w:t>
      </w:r>
    </w:p>
    <w:p w:rsidR="00A60ECC" w:rsidRPr="00A60ECC" w:rsidRDefault="00A60ECC" w:rsidP="00A60ECC">
      <w:pPr>
        <w:pStyle w:val="Bullet1"/>
        <w:sectPr w:rsidR="00A60ECC" w:rsidRPr="00A60ECC" w:rsidSect="00002D5D">
          <w:headerReference w:type="first" r:id="rId14"/>
          <w:footerReference w:type="first" r:id="rId15"/>
          <w:pgSz w:w="11906" w:h="16838"/>
          <w:pgMar w:top="1361" w:right="1797" w:bottom="1474" w:left="1797" w:header="709" w:footer="709" w:gutter="0"/>
          <w:cols w:space="708"/>
          <w:titlePg/>
          <w:docGrid w:linePitch="360"/>
        </w:sectPr>
      </w:pPr>
    </w:p>
    <w:p w:rsidR="001A02D1" w:rsidRPr="00FC6579" w:rsidRDefault="001A02D1" w:rsidP="00FC6579">
      <w:pPr>
        <w:pStyle w:val="Heading1"/>
      </w:pPr>
      <w:r w:rsidRPr="00FC6579">
        <w:lastRenderedPageBreak/>
        <w:t>Attachment A:</w:t>
      </w:r>
      <w:r w:rsidR="00841C3A">
        <w:t xml:space="preserve"> </w:t>
      </w:r>
      <w:r w:rsidR="007B2424">
        <w:t>Energy Storage Revolution</w:t>
      </w:r>
      <w:r w:rsidR="00A60ECC" w:rsidRPr="006535A5">
        <w:t xml:space="preserve"> </w:t>
      </w:r>
      <w:r w:rsidR="00440E32">
        <w:t>—financial</w:t>
      </w:r>
      <w:r w:rsidR="00841C3A">
        <w:t> </w:t>
      </w:r>
      <w:r w:rsidR="00440E32">
        <w:t>implications</w:t>
      </w:r>
    </w:p>
    <w:p w:rsidR="00EA265F" w:rsidRPr="00E30FB5" w:rsidRDefault="00EA265F" w:rsidP="00EA265F">
      <w:pPr>
        <w:pStyle w:val="Captionheading"/>
        <w:rPr>
          <w:vertAlign w:val="superscript"/>
        </w:rPr>
      </w:pPr>
      <w:r w:rsidRPr="00FC5643">
        <w:t xml:space="preserve">Table </w:t>
      </w:r>
      <w:r>
        <w:t>A1</w:t>
      </w:r>
      <w:r w:rsidRPr="00FC5643">
        <w:t xml:space="preserve">: </w:t>
      </w:r>
      <w:r w:rsidR="006535A5">
        <w:t>Combined impact of all components</w:t>
      </w:r>
      <w:r w:rsidR="00EA5685">
        <w:t>—</w:t>
      </w:r>
      <w:r w:rsidR="006535A5">
        <w:t>Financial implications</w:t>
      </w:r>
      <w:r w:rsidR="0079121C">
        <w:t>—</w:t>
      </w:r>
      <w:r w:rsidR="00E81071">
        <w:t xml:space="preserve">Fiscal </w:t>
      </w:r>
      <w:proofErr w:type="gramStart"/>
      <w:r w:rsidR="00E81071">
        <w:t>balance</w:t>
      </w:r>
      <w:r>
        <w:rPr>
          <w:vertAlign w:val="superscript"/>
        </w:rPr>
        <w:t>(</w:t>
      </w:r>
      <w:proofErr w:type="gramEnd"/>
      <w:r>
        <w:rPr>
          <w:vertAlign w:val="superscript"/>
        </w:rPr>
        <w:t>a)</w:t>
      </w:r>
      <w:r w:rsidR="00F4535C">
        <w:rPr>
          <w:vertAlign w:val="superscript"/>
        </w:rPr>
        <w:t>(b)</w:t>
      </w:r>
    </w:p>
    <w:tbl>
      <w:tblPr>
        <w:tblStyle w:val="TableGrid"/>
        <w:tblW w:w="3662" w:type="pct"/>
        <w:tblLook w:val="0680" w:firstRow="0" w:lastRow="0" w:firstColumn="1" w:lastColumn="0" w:noHBand="1" w:noVBand="1"/>
      </w:tblPr>
      <w:tblGrid>
        <w:gridCol w:w="2146"/>
        <w:gridCol w:w="905"/>
        <w:gridCol w:w="901"/>
        <w:gridCol w:w="901"/>
        <w:gridCol w:w="901"/>
        <w:gridCol w:w="907"/>
        <w:gridCol w:w="901"/>
        <w:gridCol w:w="901"/>
        <w:gridCol w:w="901"/>
        <w:gridCol w:w="899"/>
      </w:tblGrid>
      <w:tr w:rsidR="00BB7976" w:rsidRPr="00B31810" w:rsidTr="00737C19">
        <w:trPr>
          <w:cantSplit/>
        </w:trPr>
        <w:tc>
          <w:tcPr>
            <w:cnfStyle w:val="001000000000" w:firstRow="0" w:lastRow="0" w:firstColumn="1" w:lastColumn="0" w:oddVBand="0" w:evenVBand="0" w:oddHBand="0" w:evenHBand="0" w:firstRowFirstColumn="0" w:firstRowLastColumn="0" w:lastRowFirstColumn="0" w:lastRowLastColumn="0"/>
            <w:tcW w:w="1045" w:type="pct"/>
            <w:shd w:val="clear" w:color="auto" w:fill="D7DDE9"/>
          </w:tcPr>
          <w:p w:rsidR="00BB7976" w:rsidRPr="0064766E" w:rsidRDefault="00BB7976" w:rsidP="00004FB7">
            <w:pPr>
              <w:keepNext/>
              <w:keepLines/>
              <w:spacing w:before="70" w:after="70" w:line="240" w:lineRule="auto"/>
              <w:ind w:left="57" w:right="57"/>
              <w:rPr>
                <w:szCs w:val="20"/>
              </w:rPr>
            </w:pPr>
            <w:r w:rsidRPr="0064766E">
              <w:rPr>
                <w:szCs w:val="20"/>
              </w:rPr>
              <w:t>($m)</w:t>
            </w:r>
          </w:p>
        </w:tc>
        <w:tc>
          <w:tcPr>
            <w:tcW w:w="441" w:type="pct"/>
            <w:shd w:val="clear" w:color="auto" w:fill="D7DDE9"/>
          </w:tcPr>
          <w:p w:rsidR="00BB7976" w:rsidRPr="0064766E" w:rsidRDefault="00BB7976" w:rsidP="00004FB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2016–17</w:t>
            </w:r>
          </w:p>
        </w:tc>
        <w:tc>
          <w:tcPr>
            <w:tcW w:w="439" w:type="pct"/>
            <w:shd w:val="clear" w:color="auto" w:fill="D7DDE9"/>
          </w:tcPr>
          <w:p w:rsidR="00BB7976" w:rsidRPr="0064766E" w:rsidRDefault="00BB7976" w:rsidP="00004FB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2017–18</w:t>
            </w:r>
          </w:p>
        </w:tc>
        <w:tc>
          <w:tcPr>
            <w:tcW w:w="439" w:type="pct"/>
            <w:shd w:val="clear" w:color="auto" w:fill="D7DDE9"/>
          </w:tcPr>
          <w:p w:rsidR="00BB7976" w:rsidRPr="0064766E" w:rsidRDefault="00BB7976" w:rsidP="00004FB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2018–19</w:t>
            </w:r>
          </w:p>
        </w:tc>
        <w:tc>
          <w:tcPr>
            <w:tcW w:w="439" w:type="pct"/>
            <w:shd w:val="clear" w:color="auto" w:fill="D7DDE9"/>
          </w:tcPr>
          <w:p w:rsidR="00BB7976" w:rsidRPr="0064766E" w:rsidRDefault="00BB7976" w:rsidP="00004FB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2019–20</w:t>
            </w:r>
          </w:p>
        </w:tc>
        <w:tc>
          <w:tcPr>
            <w:tcW w:w="442" w:type="pct"/>
            <w:shd w:val="clear" w:color="auto" w:fill="D7DDE9"/>
          </w:tcPr>
          <w:p w:rsidR="00BB7976" w:rsidRPr="0064766E" w:rsidRDefault="00BB7976" w:rsidP="00004FB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Total to 2019–20</w:t>
            </w:r>
          </w:p>
        </w:tc>
        <w:tc>
          <w:tcPr>
            <w:tcW w:w="439" w:type="pct"/>
            <w:shd w:val="clear" w:color="auto" w:fill="D7DDE9"/>
          </w:tcPr>
          <w:p w:rsidR="00BB7976" w:rsidRPr="0064766E" w:rsidRDefault="00BB7976" w:rsidP="00004FB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2020–21</w:t>
            </w:r>
          </w:p>
        </w:tc>
        <w:tc>
          <w:tcPr>
            <w:tcW w:w="439" w:type="pct"/>
            <w:shd w:val="clear" w:color="auto" w:fill="D7DDE9"/>
          </w:tcPr>
          <w:p w:rsidR="00BB7976" w:rsidRPr="0064766E" w:rsidRDefault="00BB7976" w:rsidP="00004FB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2021–22</w:t>
            </w:r>
          </w:p>
        </w:tc>
        <w:tc>
          <w:tcPr>
            <w:tcW w:w="439" w:type="pct"/>
            <w:shd w:val="clear" w:color="auto" w:fill="D7DDE9"/>
          </w:tcPr>
          <w:p w:rsidR="00BB7976" w:rsidRPr="0064766E" w:rsidRDefault="00BB7976" w:rsidP="00004FB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2022–23</w:t>
            </w:r>
          </w:p>
        </w:tc>
        <w:tc>
          <w:tcPr>
            <w:tcW w:w="439" w:type="pct"/>
            <w:shd w:val="clear" w:color="auto" w:fill="D7DDE9"/>
          </w:tcPr>
          <w:p w:rsidR="00BB7976" w:rsidRPr="0064766E" w:rsidRDefault="00BB7976" w:rsidP="00004FB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 xml:space="preserve">Total to </w:t>
            </w:r>
            <w:r w:rsidR="005628B8">
              <w:rPr>
                <w:b/>
                <w:szCs w:val="20"/>
              </w:rPr>
              <w:t>2022-23</w:t>
            </w:r>
          </w:p>
        </w:tc>
      </w:tr>
      <w:tr w:rsidR="006535A5" w:rsidRPr="00EF1D6A" w:rsidTr="00BB7976">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4" w:space="0" w:color="788184"/>
              <w:left w:val="single" w:sz="4" w:space="0" w:color="788184"/>
              <w:bottom w:val="single" w:sz="4" w:space="0" w:color="788184"/>
              <w:right w:val="single" w:sz="4" w:space="0" w:color="788184"/>
            </w:tcBorders>
            <w:shd w:val="clear" w:color="auto" w:fill="E9ECF3"/>
          </w:tcPr>
          <w:p w:rsidR="006535A5" w:rsidRPr="0064766E" w:rsidRDefault="006535A5" w:rsidP="00004FB7">
            <w:pPr>
              <w:pStyle w:val="TableHeadingCentred"/>
              <w:jc w:val="left"/>
              <w:rPr>
                <w:b/>
                <w:szCs w:val="20"/>
              </w:rPr>
            </w:pPr>
            <w:r w:rsidRPr="0064766E">
              <w:rPr>
                <w:b/>
                <w:szCs w:val="20"/>
              </w:rPr>
              <w:t xml:space="preserve">Impact on fiscal </w:t>
            </w:r>
            <w:r>
              <w:rPr>
                <w:b/>
                <w:szCs w:val="20"/>
              </w:rPr>
              <w:t>balance</w:t>
            </w:r>
          </w:p>
        </w:tc>
      </w:tr>
      <w:tr w:rsidR="005628B8" w:rsidTr="00737C19">
        <w:trPr>
          <w:cantSplit/>
        </w:trPr>
        <w:tc>
          <w:tcPr>
            <w:cnfStyle w:val="001000000000" w:firstRow="0" w:lastRow="0" w:firstColumn="1" w:lastColumn="0" w:oddVBand="0" w:evenVBand="0" w:oddHBand="0" w:evenHBand="0" w:firstRowFirstColumn="0" w:firstRowLastColumn="0" w:lastRowFirstColumn="0" w:lastRowLastColumn="0"/>
            <w:tcW w:w="1045" w:type="pct"/>
          </w:tcPr>
          <w:p w:rsidR="005628B8" w:rsidRPr="00E161EB" w:rsidRDefault="005628B8" w:rsidP="00004FB7">
            <w:pPr>
              <w:spacing w:before="70" w:after="70" w:line="240" w:lineRule="auto"/>
              <w:ind w:left="57" w:right="57"/>
              <w:rPr>
                <w:color w:val="000000"/>
                <w:szCs w:val="20"/>
              </w:rPr>
            </w:pPr>
            <w:r w:rsidRPr="00E161EB">
              <w:rPr>
                <w:color w:val="000000"/>
                <w:szCs w:val="20"/>
              </w:rPr>
              <w:t>Revenue</w:t>
            </w:r>
          </w:p>
        </w:tc>
        <w:tc>
          <w:tcPr>
            <w:tcW w:w="441" w:type="pct"/>
            <w:vAlign w:val="bottom"/>
          </w:tcPr>
          <w:p w:rsidR="005628B8" w:rsidRPr="00E161EB"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-5.0</w:t>
            </w:r>
          </w:p>
        </w:tc>
        <w:tc>
          <w:tcPr>
            <w:tcW w:w="439" w:type="pct"/>
            <w:vAlign w:val="bottom"/>
          </w:tcPr>
          <w:p w:rsidR="005628B8" w:rsidRPr="00E161EB"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-14.0</w:t>
            </w:r>
          </w:p>
        </w:tc>
        <w:tc>
          <w:tcPr>
            <w:tcW w:w="439" w:type="pct"/>
            <w:vAlign w:val="bottom"/>
          </w:tcPr>
          <w:p w:rsidR="005628B8" w:rsidRPr="00E161EB"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-17.0</w:t>
            </w:r>
          </w:p>
        </w:tc>
        <w:tc>
          <w:tcPr>
            <w:tcW w:w="439" w:type="pct"/>
            <w:vAlign w:val="bottom"/>
          </w:tcPr>
          <w:p w:rsidR="005628B8" w:rsidRPr="00E161EB"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-18.0</w:t>
            </w:r>
          </w:p>
        </w:tc>
        <w:tc>
          <w:tcPr>
            <w:tcW w:w="442" w:type="pct"/>
            <w:vAlign w:val="bottom"/>
          </w:tcPr>
          <w:p w:rsidR="005628B8" w:rsidRPr="00E161EB"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E161EB">
              <w:rPr>
                <w:rFonts w:ascii="Calibri" w:hAnsi="Calibri"/>
                <w:b/>
                <w:color w:val="000000"/>
                <w:szCs w:val="20"/>
              </w:rPr>
              <w:t>-54.0</w:t>
            </w:r>
          </w:p>
        </w:tc>
        <w:tc>
          <w:tcPr>
            <w:tcW w:w="439" w:type="pct"/>
            <w:vAlign w:val="bottom"/>
          </w:tcPr>
          <w:p w:rsidR="005628B8" w:rsidRPr="00E161EB"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-15.0</w:t>
            </w:r>
          </w:p>
        </w:tc>
        <w:tc>
          <w:tcPr>
            <w:tcW w:w="439" w:type="pct"/>
            <w:vAlign w:val="bottom"/>
          </w:tcPr>
          <w:p w:rsidR="005628B8" w:rsidRPr="00E161EB"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-5.0</w:t>
            </w:r>
          </w:p>
        </w:tc>
        <w:tc>
          <w:tcPr>
            <w:tcW w:w="439" w:type="pct"/>
            <w:vAlign w:val="bottom"/>
          </w:tcPr>
          <w:p w:rsidR="005628B8" w:rsidRPr="00E161EB"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3.0</w:t>
            </w:r>
          </w:p>
        </w:tc>
        <w:tc>
          <w:tcPr>
            <w:tcW w:w="439" w:type="pct"/>
            <w:vAlign w:val="bottom"/>
          </w:tcPr>
          <w:p w:rsidR="005628B8" w:rsidRPr="00E161EB"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E161EB">
              <w:rPr>
                <w:rFonts w:ascii="Calibri" w:hAnsi="Calibri"/>
                <w:b/>
                <w:color w:val="000000"/>
                <w:szCs w:val="20"/>
              </w:rPr>
              <w:t>-71.0</w:t>
            </w:r>
          </w:p>
        </w:tc>
      </w:tr>
      <w:tr w:rsidR="0079121C" w:rsidTr="00737C19">
        <w:trPr>
          <w:cantSplit/>
        </w:trPr>
        <w:tc>
          <w:tcPr>
            <w:cnfStyle w:val="001000000000" w:firstRow="0" w:lastRow="0" w:firstColumn="1" w:lastColumn="0" w:oddVBand="0" w:evenVBand="0" w:oddHBand="0" w:evenHBand="0" w:firstRowFirstColumn="0" w:firstRowLastColumn="0" w:lastRowFirstColumn="0" w:lastRowLastColumn="0"/>
            <w:tcW w:w="1045" w:type="pct"/>
          </w:tcPr>
          <w:p w:rsidR="0079121C" w:rsidRPr="00E161EB" w:rsidRDefault="0079121C" w:rsidP="00004FB7">
            <w:pPr>
              <w:spacing w:before="70" w:after="70" w:line="240" w:lineRule="auto"/>
              <w:ind w:left="57" w:right="57"/>
              <w:rPr>
                <w:color w:val="000000"/>
                <w:szCs w:val="20"/>
              </w:rPr>
            </w:pPr>
            <w:r w:rsidRPr="00E161EB">
              <w:rPr>
                <w:color w:val="000000"/>
                <w:szCs w:val="20"/>
              </w:rPr>
              <w:t>Expenses</w:t>
            </w:r>
          </w:p>
        </w:tc>
        <w:tc>
          <w:tcPr>
            <w:tcW w:w="441" w:type="pct"/>
            <w:vAlign w:val="bottom"/>
          </w:tcPr>
          <w:p w:rsidR="0079121C" w:rsidRPr="00E161EB" w:rsidRDefault="0079121C"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-533.0</w:t>
            </w:r>
          </w:p>
        </w:tc>
        <w:tc>
          <w:tcPr>
            <w:tcW w:w="439" w:type="pct"/>
            <w:vAlign w:val="bottom"/>
          </w:tcPr>
          <w:p w:rsidR="0079121C" w:rsidRPr="00E161EB" w:rsidRDefault="0079121C"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-1,073.0</w:t>
            </w:r>
          </w:p>
        </w:tc>
        <w:tc>
          <w:tcPr>
            <w:tcW w:w="439" w:type="pct"/>
            <w:vAlign w:val="bottom"/>
          </w:tcPr>
          <w:p w:rsidR="0079121C" w:rsidRPr="00E161EB" w:rsidRDefault="0079121C"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-1,163.0</w:t>
            </w:r>
          </w:p>
        </w:tc>
        <w:tc>
          <w:tcPr>
            <w:tcW w:w="439" w:type="pct"/>
            <w:vAlign w:val="bottom"/>
          </w:tcPr>
          <w:p w:rsidR="0079121C" w:rsidRPr="00E161EB" w:rsidRDefault="0079121C"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-765.0</w:t>
            </w:r>
          </w:p>
        </w:tc>
        <w:tc>
          <w:tcPr>
            <w:tcW w:w="442" w:type="pct"/>
            <w:vAlign w:val="bottom"/>
          </w:tcPr>
          <w:p w:rsidR="0079121C" w:rsidRPr="00E161EB" w:rsidRDefault="0079121C"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E161EB">
              <w:rPr>
                <w:rFonts w:ascii="Calibri" w:hAnsi="Calibri"/>
                <w:b/>
                <w:color w:val="000000"/>
                <w:szCs w:val="20"/>
              </w:rPr>
              <w:t>-3,534.0</w:t>
            </w:r>
          </w:p>
        </w:tc>
        <w:tc>
          <w:tcPr>
            <w:tcW w:w="439" w:type="pct"/>
            <w:vAlign w:val="bottom"/>
          </w:tcPr>
          <w:p w:rsidR="0079121C" w:rsidRPr="00E161EB" w:rsidRDefault="0079121C"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-185.0</w:t>
            </w:r>
          </w:p>
        </w:tc>
        <w:tc>
          <w:tcPr>
            <w:tcW w:w="439" w:type="pct"/>
            <w:vAlign w:val="bottom"/>
          </w:tcPr>
          <w:p w:rsidR="0079121C" w:rsidRPr="00E161EB" w:rsidRDefault="0079121C"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-1.0</w:t>
            </w:r>
          </w:p>
        </w:tc>
        <w:tc>
          <w:tcPr>
            <w:tcW w:w="439" w:type="pct"/>
            <w:vAlign w:val="bottom"/>
          </w:tcPr>
          <w:p w:rsidR="0079121C" w:rsidRPr="00E161EB" w:rsidRDefault="0079121C"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w:t>
            </w:r>
          </w:p>
        </w:tc>
        <w:tc>
          <w:tcPr>
            <w:tcW w:w="439" w:type="pct"/>
            <w:vAlign w:val="bottom"/>
          </w:tcPr>
          <w:p w:rsidR="0079121C" w:rsidRPr="00E161EB" w:rsidRDefault="0079121C"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E161EB">
              <w:rPr>
                <w:rFonts w:ascii="Calibri" w:hAnsi="Calibri"/>
                <w:b/>
                <w:color w:val="000000"/>
                <w:szCs w:val="20"/>
              </w:rPr>
              <w:t>-3,720.0</w:t>
            </w:r>
          </w:p>
        </w:tc>
      </w:tr>
      <w:tr w:rsidR="005628B8" w:rsidTr="00737C19">
        <w:trPr>
          <w:cantSplit/>
        </w:trPr>
        <w:tc>
          <w:tcPr>
            <w:cnfStyle w:val="001000000000" w:firstRow="0" w:lastRow="0" w:firstColumn="1" w:lastColumn="0" w:oddVBand="0" w:evenVBand="0" w:oddHBand="0" w:evenHBand="0" w:firstRowFirstColumn="0" w:firstRowLastColumn="0" w:lastRowFirstColumn="0" w:lastRowLastColumn="0"/>
            <w:tcW w:w="1045" w:type="pct"/>
          </w:tcPr>
          <w:p w:rsidR="005628B8" w:rsidRPr="0079121C" w:rsidRDefault="005628B8" w:rsidP="00004FB7">
            <w:pPr>
              <w:spacing w:before="70" w:after="70" w:line="240" w:lineRule="auto"/>
              <w:ind w:left="57" w:right="57"/>
              <w:rPr>
                <w:i/>
                <w:color w:val="000000"/>
                <w:szCs w:val="20"/>
              </w:rPr>
            </w:pPr>
            <w:r w:rsidRPr="0079121C">
              <w:rPr>
                <w:i/>
                <w:color w:val="000000"/>
                <w:szCs w:val="20"/>
              </w:rPr>
              <w:t xml:space="preserve">Administered </w:t>
            </w:r>
          </w:p>
        </w:tc>
        <w:tc>
          <w:tcPr>
            <w:tcW w:w="441"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-530.0</w:t>
            </w:r>
          </w:p>
        </w:tc>
        <w:tc>
          <w:tcPr>
            <w:tcW w:w="439"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-1,070.0</w:t>
            </w:r>
          </w:p>
        </w:tc>
        <w:tc>
          <w:tcPr>
            <w:tcW w:w="439"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-1,160.0</w:t>
            </w:r>
          </w:p>
        </w:tc>
        <w:tc>
          <w:tcPr>
            <w:tcW w:w="439"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-760.0</w:t>
            </w:r>
          </w:p>
        </w:tc>
        <w:tc>
          <w:tcPr>
            <w:tcW w:w="442"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i/>
                <w:color w:val="000000"/>
                <w:szCs w:val="20"/>
              </w:rPr>
            </w:pPr>
            <w:r w:rsidRPr="005628B8">
              <w:rPr>
                <w:rFonts w:ascii="Calibri" w:hAnsi="Calibri"/>
                <w:b/>
                <w:i/>
                <w:color w:val="000000"/>
                <w:szCs w:val="20"/>
              </w:rPr>
              <w:t>-3,520.0</w:t>
            </w:r>
          </w:p>
        </w:tc>
        <w:tc>
          <w:tcPr>
            <w:tcW w:w="439"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-180.0</w:t>
            </w:r>
          </w:p>
        </w:tc>
        <w:tc>
          <w:tcPr>
            <w:tcW w:w="439"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w:t>
            </w:r>
          </w:p>
        </w:tc>
        <w:tc>
          <w:tcPr>
            <w:tcW w:w="439"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w:t>
            </w:r>
          </w:p>
        </w:tc>
        <w:tc>
          <w:tcPr>
            <w:tcW w:w="439"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i/>
                <w:color w:val="000000"/>
                <w:szCs w:val="20"/>
              </w:rPr>
            </w:pPr>
            <w:r w:rsidRPr="005628B8">
              <w:rPr>
                <w:rFonts w:ascii="Calibri" w:hAnsi="Calibri"/>
                <w:b/>
                <w:i/>
                <w:color w:val="000000"/>
                <w:szCs w:val="20"/>
              </w:rPr>
              <w:t>-3,700.0</w:t>
            </w:r>
          </w:p>
        </w:tc>
      </w:tr>
      <w:tr w:rsidR="005628B8" w:rsidTr="00737C19">
        <w:trPr>
          <w:cantSplit/>
        </w:trPr>
        <w:tc>
          <w:tcPr>
            <w:cnfStyle w:val="001000000000" w:firstRow="0" w:lastRow="0" w:firstColumn="1" w:lastColumn="0" w:oddVBand="0" w:evenVBand="0" w:oddHBand="0" w:evenHBand="0" w:firstRowFirstColumn="0" w:firstRowLastColumn="0" w:lastRowFirstColumn="0" w:lastRowLastColumn="0"/>
            <w:tcW w:w="1045" w:type="pct"/>
          </w:tcPr>
          <w:p w:rsidR="005628B8" w:rsidRPr="0079121C" w:rsidRDefault="005628B8" w:rsidP="00004FB7">
            <w:pPr>
              <w:spacing w:before="70" w:after="70" w:line="240" w:lineRule="auto"/>
              <w:ind w:left="57" w:right="57"/>
              <w:rPr>
                <w:i/>
                <w:color w:val="000000"/>
                <w:szCs w:val="20"/>
              </w:rPr>
            </w:pPr>
            <w:r w:rsidRPr="0079121C">
              <w:rPr>
                <w:i/>
                <w:color w:val="000000"/>
                <w:szCs w:val="20"/>
              </w:rPr>
              <w:t xml:space="preserve">Departmental </w:t>
            </w:r>
          </w:p>
        </w:tc>
        <w:tc>
          <w:tcPr>
            <w:tcW w:w="441"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-3.0</w:t>
            </w:r>
          </w:p>
        </w:tc>
        <w:tc>
          <w:tcPr>
            <w:tcW w:w="439"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-3.0</w:t>
            </w:r>
          </w:p>
        </w:tc>
        <w:tc>
          <w:tcPr>
            <w:tcW w:w="439"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-3.0</w:t>
            </w:r>
          </w:p>
        </w:tc>
        <w:tc>
          <w:tcPr>
            <w:tcW w:w="439"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-5.0</w:t>
            </w:r>
          </w:p>
        </w:tc>
        <w:tc>
          <w:tcPr>
            <w:tcW w:w="442"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i/>
                <w:color w:val="000000"/>
                <w:szCs w:val="20"/>
              </w:rPr>
            </w:pPr>
            <w:r w:rsidRPr="005628B8">
              <w:rPr>
                <w:rFonts w:ascii="Calibri" w:hAnsi="Calibri"/>
                <w:b/>
                <w:i/>
                <w:color w:val="000000"/>
                <w:szCs w:val="20"/>
              </w:rPr>
              <w:t>-14.0</w:t>
            </w:r>
          </w:p>
        </w:tc>
        <w:tc>
          <w:tcPr>
            <w:tcW w:w="439"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-5.0</w:t>
            </w:r>
          </w:p>
        </w:tc>
        <w:tc>
          <w:tcPr>
            <w:tcW w:w="439"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-1.0</w:t>
            </w:r>
          </w:p>
        </w:tc>
        <w:tc>
          <w:tcPr>
            <w:tcW w:w="439"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w:t>
            </w:r>
          </w:p>
        </w:tc>
        <w:tc>
          <w:tcPr>
            <w:tcW w:w="439" w:type="pct"/>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i/>
                <w:color w:val="000000"/>
                <w:szCs w:val="20"/>
              </w:rPr>
            </w:pPr>
            <w:r w:rsidRPr="005628B8">
              <w:rPr>
                <w:rFonts w:ascii="Calibri" w:hAnsi="Calibri"/>
                <w:b/>
                <w:i/>
                <w:color w:val="000000"/>
                <w:szCs w:val="20"/>
              </w:rPr>
              <w:t>-20.0</w:t>
            </w:r>
          </w:p>
        </w:tc>
      </w:tr>
      <w:tr w:rsidR="005628B8" w:rsidRPr="008D6ECA" w:rsidTr="00737C19">
        <w:trPr>
          <w:cantSplit/>
        </w:trPr>
        <w:tc>
          <w:tcPr>
            <w:cnfStyle w:val="001000000000" w:firstRow="0" w:lastRow="0" w:firstColumn="1" w:lastColumn="0" w:oddVBand="0" w:evenVBand="0" w:oddHBand="0" w:evenHBand="0" w:firstRowFirstColumn="0" w:firstRowLastColumn="0" w:lastRowFirstColumn="0" w:lastRowLastColumn="0"/>
            <w:tcW w:w="1045" w:type="pct"/>
            <w:shd w:val="clear" w:color="auto" w:fill="E9ECF3"/>
          </w:tcPr>
          <w:p w:rsidR="005628B8" w:rsidRPr="0064766E" w:rsidRDefault="005628B8" w:rsidP="00004FB7">
            <w:pPr>
              <w:spacing w:before="70" w:after="70" w:line="240" w:lineRule="auto"/>
              <w:ind w:left="57" w:right="57"/>
              <w:rPr>
                <w:b/>
                <w:bCs/>
                <w:color w:val="000000"/>
                <w:szCs w:val="20"/>
              </w:rPr>
            </w:pPr>
            <w:r w:rsidRPr="0064766E">
              <w:rPr>
                <w:b/>
                <w:bCs/>
                <w:color w:val="000000"/>
                <w:szCs w:val="20"/>
              </w:rPr>
              <w:t>Total</w:t>
            </w:r>
          </w:p>
        </w:tc>
        <w:tc>
          <w:tcPr>
            <w:tcW w:w="441" w:type="pct"/>
            <w:shd w:val="clear" w:color="auto" w:fill="E9ECF3"/>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-538.0</w:t>
            </w:r>
          </w:p>
        </w:tc>
        <w:tc>
          <w:tcPr>
            <w:tcW w:w="439" w:type="pct"/>
            <w:shd w:val="clear" w:color="auto" w:fill="E9ECF3"/>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-1,087.0</w:t>
            </w:r>
          </w:p>
        </w:tc>
        <w:tc>
          <w:tcPr>
            <w:tcW w:w="439" w:type="pct"/>
            <w:shd w:val="clear" w:color="auto" w:fill="E9ECF3"/>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-1,180.0</w:t>
            </w:r>
          </w:p>
        </w:tc>
        <w:tc>
          <w:tcPr>
            <w:tcW w:w="439" w:type="pct"/>
            <w:shd w:val="clear" w:color="auto" w:fill="E9ECF3"/>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-783.0</w:t>
            </w:r>
          </w:p>
        </w:tc>
        <w:tc>
          <w:tcPr>
            <w:tcW w:w="442" w:type="pct"/>
            <w:shd w:val="clear" w:color="auto" w:fill="E9ECF3"/>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-3,588.0</w:t>
            </w:r>
          </w:p>
        </w:tc>
        <w:tc>
          <w:tcPr>
            <w:tcW w:w="439" w:type="pct"/>
            <w:shd w:val="clear" w:color="auto" w:fill="E9ECF3"/>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-200.0</w:t>
            </w:r>
          </w:p>
        </w:tc>
        <w:tc>
          <w:tcPr>
            <w:tcW w:w="439" w:type="pct"/>
            <w:shd w:val="clear" w:color="auto" w:fill="E9ECF3"/>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-6.0</w:t>
            </w:r>
          </w:p>
        </w:tc>
        <w:tc>
          <w:tcPr>
            <w:tcW w:w="439" w:type="pct"/>
            <w:shd w:val="clear" w:color="auto" w:fill="E9ECF3"/>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3.0</w:t>
            </w:r>
          </w:p>
        </w:tc>
        <w:tc>
          <w:tcPr>
            <w:tcW w:w="439" w:type="pct"/>
            <w:shd w:val="clear" w:color="auto" w:fill="E9ECF3"/>
            <w:vAlign w:val="bottom"/>
          </w:tcPr>
          <w:p w:rsidR="005628B8" w:rsidRPr="005628B8" w:rsidRDefault="005628B8" w:rsidP="00004FB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-3,791.0</w:t>
            </w:r>
          </w:p>
        </w:tc>
      </w:tr>
    </w:tbl>
    <w:p w:rsidR="00737C19" w:rsidRPr="00DB3B7E" w:rsidRDefault="00737C19" w:rsidP="00737C19">
      <w:pPr>
        <w:pStyle w:val="Footnotes"/>
        <w:keepNext/>
        <w:keepLines/>
        <w:numPr>
          <w:ilvl w:val="0"/>
          <w:numId w:val="30"/>
        </w:numPr>
        <w:ind w:left="284" w:right="3655" w:hanging="284"/>
      </w:pPr>
      <w:r w:rsidRPr="00DB3B7E">
        <w:t>A positive number for the fiscal balance indicates an increase in revenue or a decrease in expenses or net capita</w:t>
      </w:r>
      <w:r>
        <w:t xml:space="preserve">l investment in accrual terms.  </w:t>
      </w:r>
      <w:r w:rsidRPr="00DB3B7E">
        <w:t xml:space="preserve">A negative number for the fiscal balance indicates a decrease in revenue or an increase in expenses or net capital investment in accrual terms.   </w:t>
      </w:r>
    </w:p>
    <w:p w:rsidR="00E81071" w:rsidRPr="00EC7179" w:rsidRDefault="00E81071" w:rsidP="00E81071">
      <w:pPr>
        <w:numPr>
          <w:ilvl w:val="0"/>
          <w:numId w:val="7"/>
        </w:numPr>
        <w:spacing w:before="113" w:after="0" w:line="260" w:lineRule="atLeast"/>
        <w:ind w:left="284" w:hanging="284"/>
        <w:rPr>
          <w:sz w:val="20"/>
          <w:szCs w:val="20"/>
        </w:rPr>
      </w:pPr>
      <w:r w:rsidRPr="00EC7179">
        <w:rPr>
          <w:sz w:val="20"/>
          <w:szCs w:val="20"/>
        </w:rPr>
        <w:t>Figures may not sum to total due to rounding.</w:t>
      </w:r>
    </w:p>
    <w:p w:rsidR="00754137" w:rsidRPr="00754137" w:rsidRDefault="00E81071" w:rsidP="00754137">
      <w:pPr>
        <w:numPr>
          <w:ilvl w:val="0"/>
          <w:numId w:val="18"/>
        </w:numPr>
        <w:spacing w:before="113" w:after="0" w:line="260" w:lineRule="atLeast"/>
        <w:ind w:left="284" w:hanging="284"/>
        <w:rPr>
          <w:sz w:val="20"/>
          <w:szCs w:val="20"/>
        </w:rPr>
      </w:pPr>
      <w:r w:rsidRPr="00EC7179">
        <w:rPr>
          <w:sz w:val="20"/>
          <w:szCs w:val="20"/>
        </w:rPr>
        <w:t>Indicates nil.</w:t>
      </w:r>
    </w:p>
    <w:p w:rsidR="00E81071" w:rsidRPr="00E30FB5" w:rsidRDefault="00E81071" w:rsidP="00754137">
      <w:pPr>
        <w:pStyle w:val="Captionheading"/>
        <w:keepLines/>
        <w:rPr>
          <w:vertAlign w:val="superscript"/>
        </w:rPr>
      </w:pPr>
      <w:r w:rsidRPr="00FC5643">
        <w:lastRenderedPageBreak/>
        <w:t xml:space="preserve">Table </w:t>
      </w:r>
      <w:r>
        <w:t>A2</w:t>
      </w:r>
      <w:r w:rsidRPr="00FC5643">
        <w:t xml:space="preserve">: </w:t>
      </w:r>
      <w:r>
        <w:t>Combined impact of all components— Financial implications — Underlying cash balance</w:t>
      </w:r>
      <w:r>
        <w:rPr>
          <w:vertAlign w:val="superscript"/>
        </w:rPr>
        <w:t xml:space="preserve"> (a</w:t>
      </w:r>
      <w:proofErr w:type="gramStart"/>
      <w:r>
        <w:rPr>
          <w:vertAlign w:val="superscript"/>
        </w:rPr>
        <w:t>)(</w:t>
      </w:r>
      <w:proofErr w:type="gramEnd"/>
      <w:r>
        <w:rPr>
          <w:vertAlign w:val="superscript"/>
        </w:rPr>
        <w:t>b)</w:t>
      </w:r>
    </w:p>
    <w:tbl>
      <w:tblPr>
        <w:tblStyle w:val="TableGrid"/>
        <w:tblW w:w="3662" w:type="pct"/>
        <w:tblLook w:val="0680" w:firstRow="0" w:lastRow="0" w:firstColumn="1" w:lastColumn="0" w:noHBand="1" w:noVBand="1"/>
      </w:tblPr>
      <w:tblGrid>
        <w:gridCol w:w="2148"/>
        <w:gridCol w:w="905"/>
        <w:gridCol w:w="901"/>
        <w:gridCol w:w="901"/>
        <w:gridCol w:w="901"/>
        <w:gridCol w:w="907"/>
        <w:gridCol w:w="901"/>
        <w:gridCol w:w="901"/>
        <w:gridCol w:w="901"/>
        <w:gridCol w:w="897"/>
      </w:tblGrid>
      <w:tr w:rsidR="005628B8" w:rsidRPr="00B31810" w:rsidTr="00737C19">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D7DDE9"/>
          </w:tcPr>
          <w:p w:rsidR="005628B8" w:rsidRPr="0064766E" w:rsidRDefault="005628B8" w:rsidP="00754137">
            <w:pPr>
              <w:keepNext/>
              <w:keepLines/>
              <w:spacing w:before="70" w:after="70" w:line="240" w:lineRule="auto"/>
              <w:ind w:left="57" w:right="57"/>
              <w:rPr>
                <w:szCs w:val="20"/>
              </w:rPr>
            </w:pPr>
            <w:r w:rsidRPr="0064766E">
              <w:rPr>
                <w:szCs w:val="20"/>
              </w:rPr>
              <w:t>($m)</w:t>
            </w:r>
          </w:p>
        </w:tc>
        <w:tc>
          <w:tcPr>
            <w:tcW w:w="441" w:type="pct"/>
            <w:shd w:val="clear" w:color="auto" w:fill="D7DDE9"/>
          </w:tcPr>
          <w:p w:rsidR="005628B8" w:rsidRPr="0064766E" w:rsidRDefault="005628B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2016–17</w:t>
            </w:r>
          </w:p>
        </w:tc>
        <w:tc>
          <w:tcPr>
            <w:tcW w:w="439" w:type="pct"/>
            <w:shd w:val="clear" w:color="auto" w:fill="D7DDE9"/>
          </w:tcPr>
          <w:p w:rsidR="005628B8" w:rsidRPr="0064766E" w:rsidRDefault="005628B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2017–18</w:t>
            </w:r>
          </w:p>
        </w:tc>
        <w:tc>
          <w:tcPr>
            <w:tcW w:w="439" w:type="pct"/>
            <w:shd w:val="clear" w:color="auto" w:fill="D7DDE9"/>
          </w:tcPr>
          <w:p w:rsidR="005628B8" w:rsidRPr="0064766E" w:rsidRDefault="005628B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2018–19</w:t>
            </w:r>
          </w:p>
        </w:tc>
        <w:tc>
          <w:tcPr>
            <w:tcW w:w="439" w:type="pct"/>
            <w:shd w:val="clear" w:color="auto" w:fill="D7DDE9"/>
          </w:tcPr>
          <w:p w:rsidR="005628B8" w:rsidRPr="0064766E" w:rsidRDefault="005628B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2019–20</w:t>
            </w:r>
          </w:p>
        </w:tc>
        <w:tc>
          <w:tcPr>
            <w:tcW w:w="442" w:type="pct"/>
            <w:shd w:val="clear" w:color="auto" w:fill="D7DDE9"/>
          </w:tcPr>
          <w:p w:rsidR="005628B8" w:rsidRPr="0064766E" w:rsidRDefault="005628B8"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Total to 2019–20</w:t>
            </w:r>
          </w:p>
        </w:tc>
        <w:tc>
          <w:tcPr>
            <w:tcW w:w="439" w:type="pct"/>
            <w:shd w:val="clear" w:color="auto" w:fill="D7DDE9"/>
          </w:tcPr>
          <w:p w:rsidR="005628B8" w:rsidRPr="0064766E" w:rsidRDefault="005628B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2020–21</w:t>
            </w:r>
          </w:p>
        </w:tc>
        <w:tc>
          <w:tcPr>
            <w:tcW w:w="439" w:type="pct"/>
            <w:shd w:val="clear" w:color="auto" w:fill="D7DDE9"/>
          </w:tcPr>
          <w:p w:rsidR="005628B8" w:rsidRPr="0064766E" w:rsidRDefault="005628B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2021–22</w:t>
            </w:r>
          </w:p>
        </w:tc>
        <w:tc>
          <w:tcPr>
            <w:tcW w:w="439" w:type="pct"/>
            <w:shd w:val="clear" w:color="auto" w:fill="D7DDE9"/>
          </w:tcPr>
          <w:p w:rsidR="005628B8" w:rsidRPr="0064766E" w:rsidRDefault="005628B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2022–23</w:t>
            </w:r>
          </w:p>
        </w:tc>
        <w:tc>
          <w:tcPr>
            <w:tcW w:w="438" w:type="pct"/>
            <w:shd w:val="clear" w:color="auto" w:fill="D7DDE9"/>
          </w:tcPr>
          <w:p w:rsidR="005628B8" w:rsidRPr="0064766E" w:rsidRDefault="005628B8"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 xml:space="preserve">Total to </w:t>
            </w:r>
            <w:r>
              <w:rPr>
                <w:b/>
                <w:szCs w:val="20"/>
              </w:rPr>
              <w:t>2022-23</w:t>
            </w:r>
          </w:p>
        </w:tc>
      </w:tr>
      <w:tr w:rsidR="006535A5" w:rsidRPr="00EF1D6A" w:rsidTr="005628B8">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4" w:space="0" w:color="788184"/>
              <w:left w:val="single" w:sz="4" w:space="0" w:color="788184"/>
              <w:bottom w:val="single" w:sz="4" w:space="0" w:color="788184"/>
              <w:right w:val="single" w:sz="4" w:space="0" w:color="788184"/>
            </w:tcBorders>
            <w:shd w:val="clear" w:color="auto" w:fill="E9ECF3"/>
          </w:tcPr>
          <w:p w:rsidR="006535A5" w:rsidRPr="0064766E" w:rsidRDefault="006535A5" w:rsidP="00754137">
            <w:pPr>
              <w:pStyle w:val="TableHeadingCentred"/>
              <w:jc w:val="left"/>
              <w:rPr>
                <w:b/>
                <w:szCs w:val="20"/>
              </w:rPr>
            </w:pPr>
            <w:r w:rsidRPr="0064766E">
              <w:rPr>
                <w:b/>
                <w:szCs w:val="20"/>
              </w:rPr>
              <w:t xml:space="preserve">Impact on </w:t>
            </w:r>
            <w:r w:rsidR="005628B8">
              <w:rPr>
                <w:b/>
                <w:szCs w:val="20"/>
              </w:rPr>
              <w:t>underlying cash balance</w:t>
            </w:r>
          </w:p>
        </w:tc>
      </w:tr>
      <w:tr w:rsidR="005628B8" w:rsidTr="00737C19">
        <w:trPr>
          <w:cantSplit/>
        </w:trPr>
        <w:tc>
          <w:tcPr>
            <w:cnfStyle w:val="001000000000" w:firstRow="0" w:lastRow="0" w:firstColumn="1" w:lastColumn="0" w:oddVBand="0" w:evenVBand="0" w:oddHBand="0" w:evenHBand="0" w:firstRowFirstColumn="0" w:firstRowLastColumn="0" w:lastRowFirstColumn="0" w:lastRowLastColumn="0"/>
            <w:tcW w:w="1046" w:type="pct"/>
          </w:tcPr>
          <w:p w:rsidR="005628B8" w:rsidRPr="00E161EB" w:rsidRDefault="005628B8" w:rsidP="00754137">
            <w:pPr>
              <w:keepNext/>
              <w:keepLines/>
              <w:spacing w:before="70" w:after="70" w:line="240" w:lineRule="auto"/>
              <w:ind w:left="57" w:right="57"/>
              <w:rPr>
                <w:color w:val="000000"/>
                <w:szCs w:val="20"/>
              </w:rPr>
            </w:pPr>
            <w:r w:rsidRPr="00E161EB">
              <w:rPr>
                <w:color w:val="000000"/>
                <w:szCs w:val="20"/>
              </w:rPr>
              <w:t>Revenue</w:t>
            </w:r>
          </w:p>
        </w:tc>
        <w:tc>
          <w:tcPr>
            <w:tcW w:w="441" w:type="pct"/>
          </w:tcPr>
          <w:p w:rsidR="005628B8" w:rsidRPr="00E161EB"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-5.0</w:t>
            </w:r>
          </w:p>
        </w:tc>
        <w:tc>
          <w:tcPr>
            <w:tcW w:w="439" w:type="pct"/>
          </w:tcPr>
          <w:p w:rsidR="005628B8" w:rsidRPr="00E161EB"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-14.0</w:t>
            </w:r>
          </w:p>
        </w:tc>
        <w:tc>
          <w:tcPr>
            <w:tcW w:w="439" w:type="pct"/>
          </w:tcPr>
          <w:p w:rsidR="005628B8" w:rsidRPr="00E161EB"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-17.0</w:t>
            </w:r>
          </w:p>
        </w:tc>
        <w:tc>
          <w:tcPr>
            <w:tcW w:w="439" w:type="pct"/>
          </w:tcPr>
          <w:p w:rsidR="005628B8" w:rsidRPr="00E161EB"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-18.0</w:t>
            </w:r>
          </w:p>
        </w:tc>
        <w:tc>
          <w:tcPr>
            <w:tcW w:w="442" w:type="pct"/>
          </w:tcPr>
          <w:p w:rsidR="005628B8" w:rsidRPr="00E161EB"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E161EB">
              <w:rPr>
                <w:rFonts w:ascii="Calibri" w:hAnsi="Calibri"/>
                <w:b/>
                <w:color w:val="000000"/>
                <w:szCs w:val="20"/>
              </w:rPr>
              <w:t>-54.0</w:t>
            </w:r>
          </w:p>
        </w:tc>
        <w:tc>
          <w:tcPr>
            <w:tcW w:w="439" w:type="pct"/>
          </w:tcPr>
          <w:p w:rsidR="005628B8" w:rsidRPr="00E161EB"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-15.0</w:t>
            </w:r>
          </w:p>
        </w:tc>
        <w:tc>
          <w:tcPr>
            <w:tcW w:w="439" w:type="pct"/>
          </w:tcPr>
          <w:p w:rsidR="005628B8" w:rsidRPr="00E161EB"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-5.0</w:t>
            </w:r>
          </w:p>
        </w:tc>
        <w:tc>
          <w:tcPr>
            <w:tcW w:w="439" w:type="pct"/>
          </w:tcPr>
          <w:p w:rsidR="005628B8" w:rsidRPr="00E161EB"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E161EB">
              <w:rPr>
                <w:rFonts w:ascii="Calibri" w:hAnsi="Calibri"/>
                <w:color w:val="000000"/>
                <w:szCs w:val="20"/>
              </w:rPr>
              <w:t>3.0</w:t>
            </w:r>
          </w:p>
        </w:tc>
        <w:tc>
          <w:tcPr>
            <w:tcW w:w="438" w:type="pct"/>
          </w:tcPr>
          <w:p w:rsidR="005628B8" w:rsidRPr="00E161EB"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E161EB">
              <w:rPr>
                <w:rFonts w:ascii="Calibri" w:hAnsi="Calibri"/>
                <w:b/>
                <w:color w:val="000000"/>
                <w:szCs w:val="20"/>
              </w:rPr>
              <w:t>-71.0</w:t>
            </w:r>
          </w:p>
        </w:tc>
      </w:tr>
      <w:tr w:rsidR="0079121C" w:rsidTr="00737C19">
        <w:trPr>
          <w:cantSplit/>
        </w:trPr>
        <w:tc>
          <w:tcPr>
            <w:cnfStyle w:val="001000000000" w:firstRow="0" w:lastRow="0" w:firstColumn="1" w:lastColumn="0" w:oddVBand="0" w:evenVBand="0" w:oddHBand="0" w:evenHBand="0" w:firstRowFirstColumn="0" w:firstRowLastColumn="0" w:lastRowFirstColumn="0" w:lastRowLastColumn="0"/>
            <w:tcW w:w="1046" w:type="pct"/>
          </w:tcPr>
          <w:p w:rsidR="0079121C" w:rsidRPr="00E161EB" w:rsidRDefault="0079121C" w:rsidP="00754137">
            <w:pPr>
              <w:keepNext/>
              <w:keepLines/>
              <w:spacing w:before="70" w:after="70" w:line="240" w:lineRule="auto"/>
              <w:ind w:left="57" w:right="57"/>
              <w:rPr>
                <w:i/>
                <w:color w:val="000000"/>
                <w:szCs w:val="20"/>
              </w:rPr>
            </w:pPr>
            <w:r w:rsidRPr="00E161EB">
              <w:rPr>
                <w:color w:val="000000"/>
                <w:szCs w:val="20"/>
              </w:rPr>
              <w:t>Expenses</w:t>
            </w:r>
          </w:p>
        </w:tc>
        <w:tc>
          <w:tcPr>
            <w:tcW w:w="441" w:type="pct"/>
            <w:vAlign w:val="bottom"/>
          </w:tcPr>
          <w:p w:rsidR="0079121C" w:rsidRPr="00E161EB" w:rsidRDefault="0079121C"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E161EB">
              <w:rPr>
                <w:rFonts w:ascii="Calibri" w:hAnsi="Calibri"/>
                <w:color w:val="000000"/>
                <w:szCs w:val="20"/>
              </w:rPr>
              <w:t>-103.0</w:t>
            </w:r>
          </w:p>
        </w:tc>
        <w:tc>
          <w:tcPr>
            <w:tcW w:w="439" w:type="pct"/>
            <w:vAlign w:val="bottom"/>
          </w:tcPr>
          <w:p w:rsidR="0079121C" w:rsidRPr="00E161EB" w:rsidRDefault="0079121C"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E161EB">
              <w:rPr>
                <w:rFonts w:ascii="Calibri" w:hAnsi="Calibri"/>
                <w:color w:val="000000"/>
                <w:szCs w:val="20"/>
              </w:rPr>
              <w:t>-513.0</w:t>
            </w:r>
          </w:p>
        </w:tc>
        <w:tc>
          <w:tcPr>
            <w:tcW w:w="439" w:type="pct"/>
            <w:vAlign w:val="bottom"/>
          </w:tcPr>
          <w:p w:rsidR="0079121C" w:rsidRPr="00E161EB" w:rsidRDefault="0079121C"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E161EB">
              <w:rPr>
                <w:rFonts w:ascii="Calibri" w:hAnsi="Calibri"/>
                <w:color w:val="000000"/>
                <w:szCs w:val="20"/>
              </w:rPr>
              <w:t>-1,053.0</w:t>
            </w:r>
          </w:p>
        </w:tc>
        <w:tc>
          <w:tcPr>
            <w:tcW w:w="439" w:type="pct"/>
            <w:vAlign w:val="bottom"/>
          </w:tcPr>
          <w:p w:rsidR="0079121C" w:rsidRPr="00E161EB" w:rsidRDefault="0079121C"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E161EB">
              <w:rPr>
                <w:rFonts w:ascii="Calibri" w:hAnsi="Calibri"/>
                <w:color w:val="000000"/>
                <w:szCs w:val="20"/>
              </w:rPr>
              <w:t>-1,145.0</w:t>
            </w:r>
          </w:p>
        </w:tc>
        <w:tc>
          <w:tcPr>
            <w:tcW w:w="442" w:type="pct"/>
            <w:vAlign w:val="bottom"/>
          </w:tcPr>
          <w:p w:rsidR="0079121C" w:rsidRPr="005628B8" w:rsidRDefault="0079121C"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i/>
                <w:color w:val="000000"/>
                <w:szCs w:val="20"/>
              </w:rPr>
            </w:pPr>
            <w:r w:rsidRPr="00620ABE">
              <w:rPr>
                <w:rFonts w:ascii="Calibri" w:hAnsi="Calibri"/>
                <w:b/>
                <w:color w:val="000000"/>
                <w:szCs w:val="20"/>
              </w:rPr>
              <w:t>-</w:t>
            </w:r>
            <w:r>
              <w:rPr>
                <w:rFonts w:ascii="Calibri" w:hAnsi="Calibri"/>
                <w:b/>
                <w:color w:val="000000"/>
                <w:szCs w:val="20"/>
              </w:rPr>
              <w:t>2,814</w:t>
            </w:r>
            <w:r w:rsidRPr="00620ABE">
              <w:rPr>
                <w:rFonts w:ascii="Calibri" w:hAnsi="Calibri"/>
                <w:b/>
                <w:color w:val="000000"/>
                <w:szCs w:val="20"/>
              </w:rPr>
              <w:t>.0</w:t>
            </w:r>
          </w:p>
        </w:tc>
        <w:tc>
          <w:tcPr>
            <w:tcW w:w="439" w:type="pct"/>
            <w:vAlign w:val="bottom"/>
          </w:tcPr>
          <w:p w:rsidR="0079121C" w:rsidRPr="00E161EB" w:rsidRDefault="0079121C"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E161EB">
              <w:rPr>
                <w:rFonts w:ascii="Calibri" w:hAnsi="Calibri"/>
                <w:color w:val="000000"/>
                <w:szCs w:val="20"/>
              </w:rPr>
              <w:t>-745.0</w:t>
            </w:r>
          </w:p>
        </w:tc>
        <w:tc>
          <w:tcPr>
            <w:tcW w:w="439" w:type="pct"/>
            <w:vAlign w:val="bottom"/>
          </w:tcPr>
          <w:p w:rsidR="0079121C" w:rsidRPr="00E161EB" w:rsidRDefault="0079121C"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E161EB">
              <w:rPr>
                <w:rFonts w:ascii="Calibri" w:hAnsi="Calibri"/>
                <w:color w:val="000000"/>
                <w:szCs w:val="20"/>
              </w:rPr>
              <w:t>-161.0</w:t>
            </w:r>
          </w:p>
        </w:tc>
        <w:tc>
          <w:tcPr>
            <w:tcW w:w="439" w:type="pct"/>
            <w:vAlign w:val="bottom"/>
          </w:tcPr>
          <w:p w:rsidR="0079121C" w:rsidRPr="00E161EB" w:rsidRDefault="0079121C"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E161EB">
              <w:rPr>
                <w:rFonts w:ascii="Calibri" w:hAnsi="Calibri"/>
                <w:color w:val="000000"/>
                <w:szCs w:val="20"/>
              </w:rPr>
              <w:t>-</w:t>
            </w:r>
          </w:p>
        </w:tc>
        <w:tc>
          <w:tcPr>
            <w:tcW w:w="438" w:type="pct"/>
            <w:vAlign w:val="bottom"/>
          </w:tcPr>
          <w:p w:rsidR="0079121C" w:rsidRPr="005628B8" w:rsidRDefault="0079121C"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i/>
                <w:color w:val="000000"/>
                <w:szCs w:val="20"/>
              </w:rPr>
            </w:pPr>
            <w:r w:rsidRPr="00620ABE">
              <w:rPr>
                <w:rFonts w:ascii="Calibri" w:hAnsi="Calibri"/>
                <w:b/>
                <w:color w:val="000000"/>
                <w:szCs w:val="20"/>
              </w:rPr>
              <w:t>-3,720.0</w:t>
            </w:r>
          </w:p>
        </w:tc>
      </w:tr>
      <w:tr w:rsidR="005628B8" w:rsidTr="00737C19">
        <w:trPr>
          <w:cantSplit/>
        </w:trPr>
        <w:tc>
          <w:tcPr>
            <w:cnfStyle w:val="001000000000" w:firstRow="0" w:lastRow="0" w:firstColumn="1" w:lastColumn="0" w:oddVBand="0" w:evenVBand="0" w:oddHBand="0" w:evenHBand="0" w:firstRowFirstColumn="0" w:firstRowLastColumn="0" w:lastRowFirstColumn="0" w:lastRowLastColumn="0"/>
            <w:tcW w:w="1046" w:type="pct"/>
          </w:tcPr>
          <w:p w:rsidR="005628B8" w:rsidRPr="0079121C" w:rsidRDefault="005628B8" w:rsidP="00754137">
            <w:pPr>
              <w:keepNext/>
              <w:keepLines/>
              <w:spacing w:before="70" w:after="70" w:line="240" w:lineRule="auto"/>
              <w:ind w:left="57" w:right="57"/>
              <w:rPr>
                <w:i/>
                <w:color w:val="000000"/>
                <w:szCs w:val="20"/>
              </w:rPr>
            </w:pPr>
            <w:r w:rsidRPr="0079121C">
              <w:rPr>
                <w:i/>
                <w:color w:val="000000"/>
                <w:szCs w:val="20"/>
              </w:rPr>
              <w:t>Administered expenses</w:t>
            </w:r>
          </w:p>
        </w:tc>
        <w:tc>
          <w:tcPr>
            <w:tcW w:w="441"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-100.0</w:t>
            </w:r>
          </w:p>
        </w:tc>
        <w:tc>
          <w:tcPr>
            <w:tcW w:w="439"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-510.0</w:t>
            </w:r>
          </w:p>
        </w:tc>
        <w:tc>
          <w:tcPr>
            <w:tcW w:w="439"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-1,050.0</w:t>
            </w:r>
          </w:p>
        </w:tc>
        <w:tc>
          <w:tcPr>
            <w:tcW w:w="439"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-1,140.0</w:t>
            </w:r>
          </w:p>
        </w:tc>
        <w:tc>
          <w:tcPr>
            <w:tcW w:w="442"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i/>
                <w:color w:val="000000"/>
                <w:szCs w:val="20"/>
              </w:rPr>
            </w:pPr>
            <w:r w:rsidRPr="005628B8">
              <w:rPr>
                <w:rFonts w:ascii="Calibri" w:hAnsi="Calibri"/>
                <w:b/>
                <w:i/>
                <w:color w:val="000000"/>
                <w:szCs w:val="20"/>
              </w:rPr>
              <w:t>-2,800.0</w:t>
            </w:r>
          </w:p>
        </w:tc>
        <w:tc>
          <w:tcPr>
            <w:tcW w:w="439"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-740.0</w:t>
            </w:r>
          </w:p>
        </w:tc>
        <w:tc>
          <w:tcPr>
            <w:tcW w:w="439"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-160.0</w:t>
            </w:r>
          </w:p>
        </w:tc>
        <w:tc>
          <w:tcPr>
            <w:tcW w:w="439"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w:t>
            </w:r>
          </w:p>
        </w:tc>
        <w:tc>
          <w:tcPr>
            <w:tcW w:w="438"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i/>
                <w:color w:val="000000"/>
                <w:szCs w:val="20"/>
              </w:rPr>
            </w:pPr>
            <w:r w:rsidRPr="005628B8">
              <w:rPr>
                <w:rFonts w:ascii="Calibri" w:hAnsi="Calibri"/>
                <w:b/>
                <w:i/>
                <w:color w:val="000000"/>
                <w:szCs w:val="20"/>
              </w:rPr>
              <w:t>-3,700.0</w:t>
            </w:r>
          </w:p>
        </w:tc>
      </w:tr>
      <w:tr w:rsidR="005628B8" w:rsidTr="00737C19">
        <w:trPr>
          <w:cantSplit/>
        </w:trPr>
        <w:tc>
          <w:tcPr>
            <w:cnfStyle w:val="001000000000" w:firstRow="0" w:lastRow="0" w:firstColumn="1" w:lastColumn="0" w:oddVBand="0" w:evenVBand="0" w:oddHBand="0" w:evenHBand="0" w:firstRowFirstColumn="0" w:firstRowLastColumn="0" w:lastRowFirstColumn="0" w:lastRowLastColumn="0"/>
            <w:tcW w:w="1046" w:type="pct"/>
          </w:tcPr>
          <w:p w:rsidR="005628B8" w:rsidRPr="00E161EB" w:rsidRDefault="005628B8" w:rsidP="00754137">
            <w:pPr>
              <w:keepNext/>
              <w:keepLines/>
              <w:spacing w:before="70" w:after="70" w:line="240" w:lineRule="auto"/>
              <w:ind w:left="57" w:right="57"/>
              <w:rPr>
                <w:i/>
                <w:color w:val="000000"/>
                <w:szCs w:val="20"/>
              </w:rPr>
            </w:pPr>
            <w:r w:rsidRPr="00E161EB">
              <w:rPr>
                <w:i/>
                <w:color w:val="000000"/>
                <w:szCs w:val="20"/>
              </w:rPr>
              <w:t>Departmental expenses</w:t>
            </w:r>
          </w:p>
        </w:tc>
        <w:tc>
          <w:tcPr>
            <w:tcW w:w="441"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-3.0</w:t>
            </w:r>
          </w:p>
        </w:tc>
        <w:tc>
          <w:tcPr>
            <w:tcW w:w="439"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-3.0</w:t>
            </w:r>
          </w:p>
        </w:tc>
        <w:tc>
          <w:tcPr>
            <w:tcW w:w="439"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-3.0</w:t>
            </w:r>
          </w:p>
        </w:tc>
        <w:tc>
          <w:tcPr>
            <w:tcW w:w="439"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-5.0</w:t>
            </w:r>
          </w:p>
        </w:tc>
        <w:tc>
          <w:tcPr>
            <w:tcW w:w="442"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i/>
                <w:color w:val="000000"/>
                <w:szCs w:val="20"/>
              </w:rPr>
            </w:pPr>
            <w:r w:rsidRPr="005628B8">
              <w:rPr>
                <w:rFonts w:ascii="Calibri" w:hAnsi="Calibri"/>
                <w:b/>
                <w:i/>
                <w:color w:val="000000"/>
                <w:szCs w:val="20"/>
              </w:rPr>
              <w:t>-14.0</w:t>
            </w:r>
          </w:p>
        </w:tc>
        <w:tc>
          <w:tcPr>
            <w:tcW w:w="439"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-5.0</w:t>
            </w:r>
          </w:p>
        </w:tc>
        <w:tc>
          <w:tcPr>
            <w:tcW w:w="439"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-1.0</w:t>
            </w:r>
          </w:p>
        </w:tc>
        <w:tc>
          <w:tcPr>
            <w:tcW w:w="439"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Cs w:val="20"/>
              </w:rPr>
            </w:pPr>
            <w:r w:rsidRPr="005628B8">
              <w:rPr>
                <w:rFonts w:ascii="Calibri" w:hAnsi="Calibri"/>
                <w:i/>
                <w:color w:val="000000"/>
                <w:szCs w:val="20"/>
              </w:rPr>
              <w:t>-</w:t>
            </w:r>
          </w:p>
        </w:tc>
        <w:tc>
          <w:tcPr>
            <w:tcW w:w="438" w:type="pct"/>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i/>
                <w:color w:val="000000"/>
                <w:szCs w:val="20"/>
              </w:rPr>
            </w:pPr>
            <w:r w:rsidRPr="005628B8">
              <w:rPr>
                <w:rFonts w:ascii="Calibri" w:hAnsi="Calibri"/>
                <w:b/>
                <w:i/>
                <w:color w:val="000000"/>
                <w:szCs w:val="20"/>
              </w:rPr>
              <w:t>-20.0</w:t>
            </w:r>
          </w:p>
        </w:tc>
      </w:tr>
      <w:tr w:rsidR="005628B8" w:rsidRPr="008D6ECA" w:rsidTr="00737C19">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E9ECF3"/>
          </w:tcPr>
          <w:p w:rsidR="005628B8" w:rsidRPr="0064766E" w:rsidRDefault="005628B8" w:rsidP="00754137">
            <w:pPr>
              <w:keepNext/>
              <w:keepLines/>
              <w:spacing w:before="70" w:after="70" w:line="240" w:lineRule="auto"/>
              <w:ind w:left="57" w:right="57"/>
              <w:rPr>
                <w:b/>
                <w:bCs/>
                <w:color w:val="000000"/>
                <w:szCs w:val="20"/>
              </w:rPr>
            </w:pPr>
            <w:r w:rsidRPr="0064766E">
              <w:rPr>
                <w:b/>
                <w:bCs/>
                <w:color w:val="000000"/>
                <w:szCs w:val="20"/>
              </w:rPr>
              <w:t>Total</w:t>
            </w:r>
          </w:p>
        </w:tc>
        <w:tc>
          <w:tcPr>
            <w:tcW w:w="441" w:type="pct"/>
            <w:shd w:val="clear" w:color="auto" w:fill="E9ECF3"/>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-108.0</w:t>
            </w:r>
          </w:p>
        </w:tc>
        <w:tc>
          <w:tcPr>
            <w:tcW w:w="439" w:type="pct"/>
            <w:shd w:val="clear" w:color="auto" w:fill="E9ECF3"/>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-527.0</w:t>
            </w:r>
          </w:p>
        </w:tc>
        <w:tc>
          <w:tcPr>
            <w:tcW w:w="439" w:type="pct"/>
            <w:shd w:val="clear" w:color="auto" w:fill="E9ECF3"/>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-1,070.0</w:t>
            </w:r>
          </w:p>
        </w:tc>
        <w:tc>
          <w:tcPr>
            <w:tcW w:w="439" w:type="pct"/>
            <w:shd w:val="clear" w:color="auto" w:fill="E9ECF3"/>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-1,163.0</w:t>
            </w:r>
          </w:p>
        </w:tc>
        <w:tc>
          <w:tcPr>
            <w:tcW w:w="442" w:type="pct"/>
            <w:shd w:val="clear" w:color="auto" w:fill="E9ECF3"/>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-2,868.0</w:t>
            </w:r>
          </w:p>
        </w:tc>
        <w:tc>
          <w:tcPr>
            <w:tcW w:w="439" w:type="pct"/>
            <w:shd w:val="clear" w:color="auto" w:fill="E9ECF3"/>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-760.0</w:t>
            </w:r>
          </w:p>
        </w:tc>
        <w:tc>
          <w:tcPr>
            <w:tcW w:w="439" w:type="pct"/>
            <w:shd w:val="clear" w:color="auto" w:fill="E9ECF3"/>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-166.0</w:t>
            </w:r>
          </w:p>
        </w:tc>
        <w:tc>
          <w:tcPr>
            <w:tcW w:w="439" w:type="pct"/>
            <w:shd w:val="clear" w:color="auto" w:fill="E9ECF3"/>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3.0</w:t>
            </w:r>
          </w:p>
        </w:tc>
        <w:tc>
          <w:tcPr>
            <w:tcW w:w="438" w:type="pct"/>
            <w:shd w:val="clear" w:color="auto" w:fill="E9ECF3"/>
          </w:tcPr>
          <w:p w:rsidR="005628B8" w:rsidRPr="005628B8" w:rsidRDefault="005628B8" w:rsidP="00754137">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628B8">
              <w:rPr>
                <w:rFonts w:ascii="Calibri" w:hAnsi="Calibri"/>
                <w:b/>
                <w:color w:val="000000"/>
                <w:szCs w:val="20"/>
              </w:rPr>
              <w:t>-3,791.0</w:t>
            </w:r>
          </w:p>
        </w:tc>
      </w:tr>
    </w:tbl>
    <w:p w:rsidR="00737C19" w:rsidRPr="00DB3B7E" w:rsidRDefault="00737C19" w:rsidP="00754137">
      <w:pPr>
        <w:pStyle w:val="Footnotes"/>
        <w:keepNext/>
        <w:keepLines/>
        <w:numPr>
          <w:ilvl w:val="0"/>
          <w:numId w:val="36"/>
        </w:numPr>
        <w:ind w:left="284" w:right="3655" w:hanging="284"/>
      </w:pPr>
      <w:r w:rsidRPr="00DB3B7E">
        <w:t xml:space="preserve">A positive number for the underlying cash balance indicates an increase in receipts or a decrease in outlays or net capital investment in cash terms. </w:t>
      </w:r>
      <w:r>
        <w:t xml:space="preserve"> </w:t>
      </w:r>
      <w:r w:rsidRPr="00DB3B7E">
        <w:t xml:space="preserve">A negative number for the </w:t>
      </w:r>
      <w:r>
        <w:t>underlying cash</w:t>
      </w:r>
      <w:r w:rsidRPr="00DB3B7E">
        <w:t xml:space="preserve"> balance indicates a decrease in receipts or an increase in outlays or net capital investment in cash terms.</w:t>
      </w:r>
    </w:p>
    <w:p w:rsidR="006535A5" w:rsidRPr="00EC7179" w:rsidRDefault="006535A5" w:rsidP="006535A5">
      <w:pPr>
        <w:numPr>
          <w:ilvl w:val="0"/>
          <w:numId w:val="7"/>
        </w:numPr>
        <w:spacing w:before="113" w:after="0" w:line="260" w:lineRule="atLeast"/>
        <w:ind w:left="284" w:hanging="284"/>
        <w:rPr>
          <w:sz w:val="20"/>
          <w:szCs w:val="20"/>
        </w:rPr>
      </w:pPr>
      <w:r w:rsidRPr="00EC7179">
        <w:rPr>
          <w:sz w:val="20"/>
          <w:szCs w:val="20"/>
        </w:rPr>
        <w:t>Figures may not sum to total due to rounding.</w:t>
      </w:r>
    </w:p>
    <w:p w:rsidR="006535A5" w:rsidRDefault="006535A5" w:rsidP="006535A5">
      <w:pPr>
        <w:numPr>
          <w:ilvl w:val="0"/>
          <w:numId w:val="18"/>
        </w:numPr>
        <w:spacing w:before="113" w:after="0" w:line="260" w:lineRule="atLeast"/>
        <w:ind w:left="284" w:hanging="284"/>
        <w:rPr>
          <w:sz w:val="20"/>
          <w:szCs w:val="20"/>
        </w:rPr>
      </w:pPr>
      <w:r w:rsidRPr="00EC7179">
        <w:rPr>
          <w:sz w:val="20"/>
          <w:szCs w:val="20"/>
        </w:rPr>
        <w:t>Indicates nil.</w:t>
      </w:r>
    </w:p>
    <w:p w:rsidR="00500B74" w:rsidRDefault="00E81071" w:rsidP="008558D3">
      <w:pPr>
        <w:pStyle w:val="Captionheading"/>
        <w:keepLines/>
      </w:pPr>
      <w:r>
        <w:lastRenderedPageBreak/>
        <w:t>Table A3</w:t>
      </w:r>
      <w:r w:rsidR="00500B74">
        <w:t xml:space="preserve">: Component 1: Refundable tax credits </w:t>
      </w:r>
      <w:r w:rsidR="00500B74" w:rsidRPr="007B251E">
        <w:t>—</w:t>
      </w:r>
      <w:r>
        <w:t xml:space="preserve"> </w:t>
      </w:r>
      <w:r w:rsidR="00500B74" w:rsidRPr="007B251E">
        <w:t>Financial implications</w:t>
      </w:r>
      <w:r>
        <w:t xml:space="preserve"> </w:t>
      </w:r>
      <w:r w:rsidRPr="007B251E">
        <w:t>—</w:t>
      </w:r>
      <w:r>
        <w:t xml:space="preserve"> Fiscal balance</w:t>
      </w:r>
      <w:r w:rsidRPr="007B251E">
        <w:rPr>
          <w:vertAlign w:val="superscript"/>
        </w:rPr>
        <w:t xml:space="preserve"> </w:t>
      </w:r>
      <w:r w:rsidR="00500B74" w:rsidRPr="007B251E">
        <w:rPr>
          <w:vertAlign w:val="superscript"/>
        </w:rPr>
        <w:t>(a</w:t>
      </w:r>
      <w:proofErr w:type="gramStart"/>
      <w:r w:rsidR="00500B74" w:rsidRPr="007B251E">
        <w:rPr>
          <w:vertAlign w:val="superscript"/>
        </w:rPr>
        <w:t>)(</w:t>
      </w:r>
      <w:proofErr w:type="gramEnd"/>
      <w:r w:rsidR="00500B74" w:rsidRPr="007B251E">
        <w:rPr>
          <w:vertAlign w:val="superscript"/>
        </w:rPr>
        <w:t>b)</w:t>
      </w:r>
    </w:p>
    <w:tbl>
      <w:tblPr>
        <w:tblStyle w:val="TableGrid"/>
        <w:tblW w:w="3662" w:type="pct"/>
        <w:tblLook w:val="0680" w:firstRow="0" w:lastRow="0" w:firstColumn="1" w:lastColumn="0" w:noHBand="1" w:noVBand="1"/>
      </w:tblPr>
      <w:tblGrid>
        <w:gridCol w:w="2148"/>
        <w:gridCol w:w="905"/>
        <w:gridCol w:w="901"/>
        <w:gridCol w:w="901"/>
        <w:gridCol w:w="901"/>
        <w:gridCol w:w="907"/>
        <w:gridCol w:w="901"/>
        <w:gridCol w:w="901"/>
        <w:gridCol w:w="901"/>
        <w:gridCol w:w="897"/>
      </w:tblGrid>
      <w:tr w:rsidR="00500B74" w:rsidRPr="00B31810" w:rsidTr="00500B74">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D7DDE9"/>
          </w:tcPr>
          <w:p w:rsidR="00500B74" w:rsidRPr="0064766E" w:rsidRDefault="00500B74" w:rsidP="008558D3">
            <w:pPr>
              <w:keepNext/>
              <w:keepLines/>
              <w:spacing w:before="70" w:after="70" w:line="240" w:lineRule="auto"/>
              <w:ind w:left="57" w:right="57"/>
              <w:rPr>
                <w:szCs w:val="20"/>
              </w:rPr>
            </w:pPr>
            <w:r w:rsidRPr="0064766E">
              <w:rPr>
                <w:szCs w:val="20"/>
              </w:rPr>
              <w:t>($m)</w:t>
            </w:r>
          </w:p>
        </w:tc>
        <w:tc>
          <w:tcPr>
            <w:tcW w:w="441" w:type="pct"/>
            <w:shd w:val="clear" w:color="auto" w:fill="D7DDE9"/>
          </w:tcPr>
          <w:p w:rsidR="00500B74" w:rsidRPr="0064766E" w:rsidRDefault="00500B74" w:rsidP="008558D3">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2016–17</w:t>
            </w:r>
          </w:p>
        </w:tc>
        <w:tc>
          <w:tcPr>
            <w:tcW w:w="439" w:type="pct"/>
            <w:shd w:val="clear" w:color="auto" w:fill="D7DDE9"/>
          </w:tcPr>
          <w:p w:rsidR="00500B74" w:rsidRPr="0064766E" w:rsidRDefault="00500B74" w:rsidP="008558D3">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2017–18</w:t>
            </w:r>
          </w:p>
        </w:tc>
        <w:tc>
          <w:tcPr>
            <w:tcW w:w="439" w:type="pct"/>
            <w:shd w:val="clear" w:color="auto" w:fill="D7DDE9"/>
          </w:tcPr>
          <w:p w:rsidR="00500B74" w:rsidRPr="0064766E" w:rsidRDefault="00500B74" w:rsidP="008558D3">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2018–19</w:t>
            </w:r>
          </w:p>
        </w:tc>
        <w:tc>
          <w:tcPr>
            <w:tcW w:w="439" w:type="pct"/>
            <w:shd w:val="clear" w:color="auto" w:fill="D7DDE9"/>
          </w:tcPr>
          <w:p w:rsidR="00500B74" w:rsidRPr="0064766E" w:rsidRDefault="00500B74" w:rsidP="008558D3">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2019–20</w:t>
            </w:r>
          </w:p>
        </w:tc>
        <w:tc>
          <w:tcPr>
            <w:tcW w:w="442" w:type="pct"/>
            <w:shd w:val="clear" w:color="auto" w:fill="D7DDE9"/>
          </w:tcPr>
          <w:p w:rsidR="00500B74" w:rsidRPr="0064766E" w:rsidRDefault="00500B74" w:rsidP="008558D3">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Total to 2019–20</w:t>
            </w:r>
          </w:p>
        </w:tc>
        <w:tc>
          <w:tcPr>
            <w:tcW w:w="439" w:type="pct"/>
            <w:shd w:val="clear" w:color="auto" w:fill="D7DDE9"/>
          </w:tcPr>
          <w:p w:rsidR="00500B74" w:rsidRPr="0064766E" w:rsidRDefault="00500B74" w:rsidP="008558D3">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2020–21</w:t>
            </w:r>
          </w:p>
        </w:tc>
        <w:tc>
          <w:tcPr>
            <w:tcW w:w="439" w:type="pct"/>
            <w:shd w:val="clear" w:color="auto" w:fill="D7DDE9"/>
          </w:tcPr>
          <w:p w:rsidR="00500B74" w:rsidRPr="0064766E" w:rsidRDefault="00500B74" w:rsidP="008558D3">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2021–22</w:t>
            </w:r>
          </w:p>
        </w:tc>
        <w:tc>
          <w:tcPr>
            <w:tcW w:w="439" w:type="pct"/>
            <w:shd w:val="clear" w:color="auto" w:fill="D7DDE9"/>
          </w:tcPr>
          <w:p w:rsidR="00500B74" w:rsidRPr="0064766E" w:rsidRDefault="00500B74" w:rsidP="008558D3">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2022–23</w:t>
            </w:r>
          </w:p>
        </w:tc>
        <w:tc>
          <w:tcPr>
            <w:tcW w:w="437" w:type="pct"/>
            <w:shd w:val="clear" w:color="auto" w:fill="D7DDE9"/>
          </w:tcPr>
          <w:p w:rsidR="00500B74" w:rsidRPr="0064766E" w:rsidRDefault="00500B74" w:rsidP="008558D3">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 xml:space="preserve">Total to </w:t>
            </w:r>
            <w:r>
              <w:rPr>
                <w:b/>
                <w:szCs w:val="20"/>
              </w:rPr>
              <w:t>2022-23</w:t>
            </w:r>
          </w:p>
        </w:tc>
      </w:tr>
      <w:tr w:rsidR="00500B74" w:rsidRPr="00EF1D6A" w:rsidTr="00A94762">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4" w:space="0" w:color="788184"/>
              <w:left w:val="single" w:sz="4" w:space="0" w:color="788184"/>
              <w:bottom w:val="single" w:sz="4" w:space="0" w:color="788184"/>
              <w:right w:val="single" w:sz="4" w:space="0" w:color="788184"/>
            </w:tcBorders>
            <w:shd w:val="clear" w:color="auto" w:fill="E9ECF3"/>
          </w:tcPr>
          <w:p w:rsidR="00500B74" w:rsidRPr="0064766E" w:rsidRDefault="00500B74" w:rsidP="008558D3">
            <w:pPr>
              <w:pStyle w:val="TableHeadingCentred"/>
              <w:jc w:val="left"/>
              <w:rPr>
                <w:b/>
                <w:szCs w:val="20"/>
              </w:rPr>
            </w:pPr>
            <w:r w:rsidRPr="0064766E">
              <w:rPr>
                <w:b/>
                <w:szCs w:val="20"/>
              </w:rPr>
              <w:t xml:space="preserve">Impact on fiscal </w:t>
            </w:r>
            <w:r>
              <w:rPr>
                <w:b/>
                <w:szCs w:val="20"/>
              </w:rPr>
              <w:t>balance</w:t>
            </w:r>
          </w:p>
        </w:tc>
      </w:tr>
      <w:tr w:rsidR="00500B74" w:rsidTr="00500B74">
        <w:trPr>
          <w:cantSplit/>
        </w:trPr>
        <w:tc>
          <w:tcPr>
            <w:cnfStyle w:val="001000000000" w:firstRow="0" w:lastRow="0" w:firstColumn="1" w:lastColumn="0" w:oddVBand="0" w:evenVBand="0" w:oddHBand="0" w:evenHBand="0" w:firstRowFirstColumn="0" w:firstRowLastColumn="0" w:lastRowFirstColumn="0" w:lastRowLastColumn="0"/>
            <w:tcW w:w="1046" w:type="pct"/>
          </w:tcPr>
          <w:p w:rsidR="00500B74" w:rsidRPr="00E161EB" w:rsidRDefault="00500B74" w:rsidP="008558D3">
            <w:pPr>
              <w:keepNext/>
              <w:keepLines/>
              <w:spacing w:before="70" w:after="70" w:line="240" w:lineRule="auto"/>
              <w:ind w:left="57" w:right="57"/>
              <w:rPr>
                <w:i/>
                <w:color w:val="000000"/>
                <w:szCs w:val="20"/>
              </w:rPr>
            </w:pPr>
            <w:r w:rsidRPr="00E161EB">
              <w:rPr>
                <w:i/>
                <w:color w:val="000000"/>
                <w:szCs w:val="20"/>
              </w:rPr>
              <w:t>Administered expenses</w:t>
            </w:r>
          </w:p>
        </w:tc>
        <w:tc>
          <w:tcPr>
            <w:tcW w:w="441"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-430.0</w:t>
            </w:r>
          </w:p>
        </w:tc>
        <w:tc>
          <w:tcPr>
            <w:tcW w:w="439"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-990.0</w:t>
            </w:r>
          </w:p>
        </w:tc>
        <w:tc>
          <w:tcPr>
            <w:tcW w:w="439"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-1,100.0</w:t>
            </w:r>
          </w:p>
        </w:tc>
        <w:tc>
          <w:tcPr>
            <w:tcW w:w="439"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-720.0</w:t>
            </w:r>
          </w:p>
        </w:tc>
        <w:tc>
          <w:tcPr>
            <w:tcW w:w="442"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-3,240.0</w:t>
            </w:r>
          </w:p>
        </w:tc>
        <w:tc>
          <w:tcPr>
            <w:tcW w:w="439"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-160.0</w:t>
            </w:r>
          </w:p>
        </w:tc>
        <w:tc>
          <w:tcPr>
            <w:tcW w:w="439"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9"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7"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-3,400.0</w:t>
            </w:r>
          </w:p>
        </w:tc>
      </w:tr>
      <w:tr w:rsidR="00500B74" w:rsidTr="00500B74">
        <w:trPr>
          <w:cantSplit/>
        </w:trPr>
        <w:tc>
          <w:tcPr>
            <w:cnfStyle w:val="001000000000" w:firstRow="0" w:lastRow="0" w:firstColumn="1" w:lastColumn="0" w:oddVBand="0" w:evenVBand="0" w:oddHBand="0" w:evenHBand="0" w:firstRowFirstColumn="0" w:firstRowLastColumn="0" w:lastRowFirstColumn="0" w:lastRowLastColumn="0"/>
            <w:tcW w:w="1046" w:type="pct"/>
          </w:tcPr>
          <w:p w:rsidR="00500B74" w:rsidRPr="00E161EB" w:rsidRDefault="00500B74" w:rsidP="008558D3">
            <w:pPr>
              <w:keepNext/>
              <w:keepLines/>
              <w:spacing w:before="70" w:after="70" w:line="240" w:lineRule="auto"/>
              <w:ind w:left="57" w:right="57"/>
              <w:rPr>
                <w:i/>
                <w:color w:val="000000"/>
                <w:szCs w:val="20"/>
              </w:rPr>
            </w:pPr>
            <w:r w:rsidRPr="00E161EB">
              <w:rPr>
                <w:i/>
                <w:color w:val="000000"/>
                <w:szCs w:val="20"/>
              </w:rPr>
              <w:t>Departmental expenses</w:t>
            </w:r>
          </w:p>
        </w:tc>
        <w:tc>
          <w:tcPr>
            <w:tcW w:w="441"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42"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-4.0</w:t>
            </w:r>
          </w:p>
        </w:tc>
        <w:tc>
          <w:tcPr>
            <w:tcW w:w="439"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7" w:type="pct"/>
          </w:tcPr>
          <w:p w:rsid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-6.0</w:t>
            </w:r>
          </w:p>
        </w:tc>
      </w:tr>
      <w:tr w:rsidR="00500B74" w:rsidRPr="008D6ECA" w:rsidTr="00500B74">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E9ECF3"/>
          </w:tcPr>
          <w:p w:rsidR="00500B74" w:rsidRPr="0064766E" w:rsidRDefault="00500B74" w:rsidP="008558D3">
            <w:pPr>
              <w:keepNext/>
              <w:keepLines/>
              <w:spacing w:before="70" w:after="70" w:line="240" w:lineRule="auto"/>
              <w:ind w:left="57" w:right="57"/>
              <w:rPr>
                <w:b/>
                <w:bCs/>
                <w:color w:val="000000"/>
                <w:szCs w:val="20"/>
              </w:rPr>
            </w:pPr>
            <w:r w:rsidRPr="0064766E">
              <w:rPr>
                <w:b/>
                <w:bCs/>
                <w:color w:val="000000"/>
                <w:szCs w:val="20"/>
              </w:rPr>
              <w:t>Total</w:t>
            </w:r>
          </w:p>
        </w:tc>
        <w:tc>
          <w:tcPr>
            <w:tcW w:w="441" w:type="pct"/>
            <w:shd w:val="clear" w:color="auto" w:fill="E9ECF3"/>
          </w:tcPr>
          <w:p w:rsidR="00500B74" w:rsidRP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500B74">
              <w:rPr>
                <w:b/>
                <w:color w:val="000000"/>
              </w:rPr>
              <w:t>-431.0</w:t>
            </w:r>
          </w:p>
        </w:tc>
        <w:tc>
          <w:tcPr>
            <w:tcW w:w="439" w:type="pct"/>
            <w:shd w:val="clear" w:color="auto" w:fill="E9ECF3"/>
          </w:tcPr>
          <w:p w:rsidR="00500B74" w:rsidRP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500B74">
              <w:rPr>
                <w:b/>
                <w:color w:val="000000"/>
              </w:rPr>
              <w:t>-991.0</w:t>
            </w:r>
          </w:p>
        </w:tc>
        <w:tc>
          <w:tcPr>
            <w:tcW w:w="439" w:type="pct"/>
            <w:shd w:val="clear" w:color="auto" w:fill="E9ECF3"/>
          </w:tcPr>
          <w:p w:rsidR="00500B74" w:rsidRP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500B74">
              <w:rPr>
                <w:b/>
                <w:color w:val="000000"/>
              </w:rPr>
              <w:t>-1,101.0</w:t>
            </w:r>
          </w:p>
        </w:tc>
        <w:tc>
          <w:tcPr>
            <w:tcW w:w="439" w:type="pct"/>
            <w:shd w:val="clear" w:color="auto" w:fill="E9ECF3"/>
          </w:tcPr>
          <w:p w:rsidR="00500B74" w:rsidRP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500B74">
              <w:rPr>
                <w:b/>
                <w:color w:val="000000"/>
              </w:rPr>
              <w:t>-721.0</w:t>
            </w:r>
          </w:p>
        </w:tc>
        <w:tc>
          <w:tcPr>
            <w:tcW w:w="442" w:type="pct"/>
            <w:shd w:val="clear" w:color="auto" w:fill="E9ECF3"/>
          </w:tcPr>
          <w:p w:rsidR="00500B74" w:rsidRP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500B74">
              <w:rPr>
                <w:b/>
                <w:bCs/>
                <w:color w:val="000000"/>
              </w:rPr>
              <w:t>-3,244.0</w:t>
            </w:r>
          </w:p>
        </w:tc>
        <w:tc>
          <w:tcPr>
            <w:tcW w:w="439" w:type="pct"/>
            <w:shd w:val="clear" w:color="auto" w:fill="E9ECF3"/>
          </w:tcPr>
          <w:p w:rsidR="00500B74" w:rsidRP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500B74">
              <w:rPr>
                <w:b/>
                <w:color w:val="000000"/>
              </w:rPr>
              <w:t>-161.0</w:t>
            </w:r>
          </w:p>
        </w:tc>
        <w:tc>
          <w:tcPr>
            <w:tcW w:w="439" w:type="pct"/>
            <w:shd w:val="clear" w:color="auto" w:fill="E9ECF3"/>
          </w:tcPr>
          <w:p w:rsidR="00500B74" w:rsidRP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500B74">
              <w:rPr>
                <w:b/>
                <w:color w:val="000000"/>
              </w:rPr>
              <w:t>-1.0</w:t>
            </w:r>
          </w:p>
        </w:tc>
        <w:tc>
          <w:tcPr>
            <w:tcW w:w="439" w:type="pct"/>
            <w:shd w:val="clear" w:color="auto" w:fill="E9ECF3"/>
          </w:tcPr>
          <w:p w:rsidR="00500B74" w:rsidRP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rPr>
              <w:t>-</w:t>
            </w:r>
          </w:p>
        </w:tc>
        <w:tc>
          <w:tcPr>
            <w:tcW w:w="437" w:type="pct"/>
            <w:shd w:val="clear" w:color="auto" w:fill="E9ECF3"/>
          </w:tcPr>
          <w:p w:rsidR="00500B74" w:rsidRPr="00500B74" w:rsidRDefault="00500B74" w:rsidP="008558D3">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500B74">
              <w:rPr>
                <w:b/>
                <w:bCs/>
                <w:color w:val="000000"/>
              </w:rPr>
              <w:t>-3,406.0</w:t>
            </w:r>
          </w:p>
        </w:tc>
      </w:tr>
    </w:tbl>
    <w:p w:rsidR="00737C19" w:rsidRPr="00DB3B7E" w:rsidRDefault="00737C19" w:rsidP="00737C19">
      <w:pPr>
        <w:pStyle w:val="Footnotes"/>
        <w:keepNext/>
        <w:keepLines/>
        <w:numPr>
          <w:ilvl w:val="0"/>
          <w:numId w:val="31"/>
        </w:numPr>
        <w:ind w:left="284" w:right="3655" w:hanging="284"/>
      </w:pPr>
      <w:r w:rsidRPr="00DB3B7E">
        <w:t>A positive number for the fiscal balance indicates an increase in revenue or a decrease in expenses or net capita</w:t>
      </w:r>
      <w:r>
        <w:t xml:space="preserve">l investment in accrual terms.  </w:t>
      </w:r>
      <w:r w:rsidRPr="00DB3B7E">
        <w:t xml:space="preserve">A negative number for the fiscal balance indicates a decrease in revenue or an increase in expenses or net capital investment in accrual terms.   </w:t>
      </w:r>
    </w:p>
    <w:p w:rsidR="00E81071" w:rsidRPr="00EC7179" w:rsidRDefault="00E81071" w:rsidP="00E81071">
      <w:pPr>
        <w:numPr>
          <w:ilvl w:val="0"/>
          <w:numId w:val="7"/>
        </w:numPr>
        <w:spacing w:before="113" w:after="0" w:line="260" w:lineRule="atLeast"/>
        <w:ind w:left="284" w:hanging="284"/>
        <w:rPr>
          <w:sz w:val="20"/>
          <w:szCs w:val="20"/>
        </w:rPr>
      </w:pPr>
      <w:r w:rsidRPr="00EC7179">
        <w:rPr>
          <w:sz w:val="20"/>
          <w:szCs w:val="20"/>
        </w:rPr>
        <w:t>Figures may not sum to total due to rounding.</w:t>
      </w:r>
    </w:p>
    <w:p w:rsidR="00E81071" w:rsidRPr="00E81071" w:rsidRDefault="00E81071" w:rsidP="00E81071">
      <w:pPr>
        <w:numPr>
          <w:ilvl w:val="0"/>
          <w:numId w:val="18"/>
        </w:numPr>
        <w:spacing w:before="113" w:after="0" w:line="260" w:lineRule="atLeast"/>
        <w:ind w:left="284" w:hanging="284"/>
        <w:rPr>
          <w:sz w:val="20"/>
          <w:szCs w:val="20"/>
        </w:rPr>
      </w:pPr>
      <w:r>
        <w:rPr>
          <w:sz w:val="20"/>
          <w:szCs w:val="20"/>
        </w:rPr>
        <w:t>Indicates nil</w:t>
      </w:r>
    </w:p>
    <w:p w:rsidR="00E81071" w:rsidRDefault="00E81071" w:rsidP="00E81071">
      <w:pPr>
        <w:pStyle w:val="Captionheading"/>
      </w:pPr>
      <w:r>
        <w:t xml:space="preserve">Table A4: Component 1: Refundable tax credits </w:t>
      </w:r>
      <w:r w:rsidRPr="007B251E">
        <w:t>—</w:t>
      </w:r>
      <w:r>
        <w:t xml:space="preserve"> </w:t>
      </w:r>
      <w:r w:rsidRPr="007B251E">
        <w:t>Financial implications</w:t>
      </w:r>
      <w:r>
        <w:t xml:space="preserve"> </w:t>
      </w:r>
      <w:r w:rsidRPr="007B251E">
        <w:t>—</w:t>
      </w:r>
      <w:r>
        <w:t xml:space="preserve"> Underlying cash balance</w:t>
      </w:r>
      <w:r w:rsidRPr="007B251E">
        <w:rPr>
          <w:vertAlign w:val="superscript"/>
        </w:rPr>
        <w:t xml:space="preserve"> (a</w:t>
      </w:r>
      <w:proofErr w:type="gramStart"/>
      <w:r w:rsidRPr="007B251E">
        <w:rPr>
          <w:vertAlign w:val="superscript"/>
        </w:rPr>
        <w:t>)(</w:t>
      </w:r>
      <w:proofErr w:type="gramEnd"/>
      <w:r w:rsidRPr="007B251E">
        <w:rPr>
          <w:vertAlign w:val="superscript"/>
        </w:rPr>
        <w:t>b)</w:t>
      </w:r>
    </w:p>
    <w:tbl>
      <w:tblPr>
        <w:tblStyle w:val="TableGrid"/>
        <w:tblW w:w="3662" w:type="pct"/>
        <w:tblLook w:val="0680" w:firstRow="0" w:lastRow="0" w:firstColumn="1" w:lastColumn="0" w:noHBand="1" w:noVBand="1"/>
      </w:tblPr>
      <w:tblGrid>
        <w:gridCol w:w="2148"/>
        <w:gridCol w:w="905"/>
        <w:gridCol w:w="901"/>
        <w:gridCol w:w="901"/>
        <w:gridCol w:w="901"/>
        <w:gridCol w:w="907"/>
        <w:gridCol w:w="901"/>
        <w:gridCol w:w="901"/>
        <w:gridCol w:w="901"/>
        <w:gridCol w:w="897"/>
      </w:tblGrid>
      <w:tr w:rsidR="00500B74" w:rsidRPr="00B31810" w:rsidTr="00500B74">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D7DDE9"/>
          </w:tcPr>
          <w:p w:rsidR="00500B74" w:rsidRPr="0064766E" w:rsidRDefault="00500B74" w:rsidP="00754137">
            <w:pPr>
              <w:keepNext/>
              <w:keepLines/>
              <w:spacing w:before="70" w:after="70" w:line="240" w:lineRule="auto"/>
              <w:ind w:left="57" w:right="57"/>
              <w:rPr>
                <w:szCs w:val="20"/>
              </w:rPr>
            </w:pPr>
            <w:r w:rsidRPr="0064766E">
              <w:rPr>
                <w:szCs w:val="20"/>
              </w:rPr>
              <w:t>($m)</w:t>
            </w:r>
          </w:p>
        </w:tc>
        <w:tc>
          <w:tcPr>
            <w:tcW w:w="441" w:type="pct"/>
            <w:shd w:val="clear" w:color="auto" w:fill="D7DDE9"/>
          </w:tcPr>
          <w:p w:rsidR="00500B74" w:rsidRPr="0064766E" w:rsidRDefault="00500B74"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2016–17</w:t>
            </w:r>
          </w:p>
        </w:tc>
        <w:tc>
          <w:tcPr>
            <w:tcW w:w="439" w:type="pct"/>
            <w:shd w:val="clear" w:color="auto" w:fill="D7DDE9"/>
          </w:tcPr>
          <w:p w:rsidR="00500B74" w:rsidRPr="0064766E" w:rsidRDefault="00500B74"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2017–18</w:t>
            </w:r>
          </w:p>
        </w:tc>
        <w:tc>
          <w:tcPr>
            <w:tcW w:w="439" w:type="pct"/>
            <w:shd w:val="clear" w:color="auto" w:fill="D7DDE9"/>
          </w:tcPr>
          <w:p w:rsidR="00500B74" w:rsidRPr="0064766E" w:rsidRDefault="00500B74"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2018–19</w:t>
            </w:r>
          </w:p>
        </w:tc>
        <w:tc>
          <w:tcPr>
            <w:tcW w:w="439" w:type="pct"/>
            <w:shd w:val="clear" w:color="auto" w:fill="D7DDE9"/>
          </w:tcPr>
          <w:p w:rsidR="00500B74" w:rsidRPr="0064766E" w:rsidRDefault="00500B74"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2019–20</w:t>
            </w:r>
          </w:p>
        </w:tc>
        <w:tc>
          <w:tcPr>
            <w:tcW w:w="442" w:type="pct"/>
            <w:shd w:val="clear" w:color="auto" w:fill="D7DDE9"/>
          </w:tcPr>
          <w:p w:rsidR="00500B74" w:rsidRPr="0064766E" w:rsidRDefault="00500B74"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Total to 2019–20</w:t>
            </w:r>
          </w:p>
        </w:tc>
        <w:tc>
          <w:tcPr>
            <w:tcW w:w="439" w:type="pct"/>
            <w:shd w:val="clear" w:color="auto" w:fill="D7DDE9"/>
          </w:tcPr>
          <w:p w:rsidR="00500B74" w:rsidRPr="0064766E" w:rsidRDefault="00500B74"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2020–21</w:t>
            </w:r>
          </w:p>
        </w:tc>
        <w:tc>
          <w:tcPr>
            <w:tcW w:w="439" w:type="pct"/>
            <w:shd w:val="clear" w:color="auto" w:fill="D7DDE9"/>
          </w:tcPr>
          <w:p w:rsidR="00500B74" w:rsidRPr="0064766E" w:rsidRDefault="00500B74"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2021–22</w:t>
            </w:r>
          </w:p>
        </w:tc>
        <w:tc>
          <w:tcPr>
            <w:tcW w:w="439" w:type="pct"/>
            <w:shd w:val="clear" w:color="auto" w:fill="D7DDE9"/>
          </w:tcPr>
          <w:p w:rsidR="00500B74" w:rsidRPr="0064766E" w:rsidRDefault="00500B74"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2022–23</w:t>
            </w:r>
          </w:p>
        </w:tc>
        <w:tc>
          <w:tcPr>
            <w:tcW w:w="437" w:type="pct"/>
            <w:shd w:val="clear" w:color="auto" w:fill="D7DDE9"/>
          </w:tcPr>
          <w:p w:rsidR="00500B74" w:rsidRPr="0064766E" w:rsidRDefault="00500B74"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 xml:space="preserve">Total to </w:t>
            </w:r>
            <w:r>
              <w:rPr>
                <w:b/>
                <w:szCs w:val="20"/>
              </w:rPr>
              <w:t>2022-23</w:t>
            </w:r>
          </w:p>
        </w:tc>
      </w:tr>
      <w:tr w:rsidR="00500B74" w:rsidRPr="00EF1D6A" w:rsidTr="00A94762">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4" w:space="0" w:color="788184"/>
              <w:left w:val="single" w:sz="4" w:space="0" w:color="788184"/>
              <w:bottom w:val="single" w:sz="4" w:space="0" w:color="788184"/>
              <w:right w:val="single" w:sz="4" w:space="0" w:color="788184"/>
            </w:tcBorders>
            <w:shd w:val="clear" w:color="auto" w:fill="E9ECF3"/>
          </w:tcPr>
          <w:p w:rsidR="00500B74" w:rsidRPr="0064766E" w:rsidRDefault="00500B74" w:rsidP="00754137">
            <w:pPr>
              <w:pStyle w:val="TableHeadingCentred"/>
              <w:jc w:val="left"/>
              <w:rPr>
                <w:b/>
                <w:szCs w:val="20"/>
              </w:rPr>
            </w:pPr>
            <w:r w:rsidRPr="0064766E">
              <w:rPr>
                <w:b/>
                <w:szCs w:val="20"/>
              </w:rPr>
              <w:t xml:space="preserve">Impact on </w:t>
            </w:r>
            <w:r>
              <w:rPr>
                <w:b/>
                <w:szCs w:val="20"/>
              </w:rPr>
              <w:t>underlying cash balance</w:t>
            </w:r>
          </w:p>
        </w:tc>
      </w:tr>
      <w:tr w:rsidR="00500B74" w:rsidTr="00500B74">
        <w:trPr>
          <w:cantSplit/>
        </w:trPr>
        <w:tc>
          <w:tcPr>
            <w:cnfStyle w:val="001000000000" w:firstRow="0" w:lastRow="0" w:firstColumn="1" w:lastColumn="0" w:oddVBand="0" w:evenVBand="0" w:oddHBand="0" w:evenHBand="0" w:firstRowFirstColumn="0" w:firstRowLastColumn="0" w:lastRowFirstColumn="0" w:lastRowLastColumn="0"/>
            <w:tcW w:w="1046" w:type="pct"/>
          </w:tcPr>
          <w:p w:rsidR="00500B74" w:rsidRPr="00E161EB" w:rsidRDefault="00500B74" w:rsidP="00754137">
            <w:pPr>
              <w:spacing w:before="70" w:after="70" w:line="240" w:lineRule="auto"/>
              <w:ind w:left="57" w:right="57"/>
              <w:rPr>
                <w:i/>
                <w:color w:val="000000"/>
                <w:szCs w:val="20"/>
              </w:rPr>
            </w:pPr>
            <w:r w:rsidRPr="00E161EB">
              <w:rPr>
                <w:i/>
                <w:color w:val="000000"/>
                <w:szCs w:val="20"/>
              </w:rPr>
              <w:t>Administered expenses</w:t>
            </w:r>
          </w:p>
        </w:tc>
        <w:tc>
          <w:tcPr>
            <w:tcW w:w="441"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9"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-430.0</w:t>
            </w:r>
          </w:p>
        </w:tc>
        <w:tc>
          <w:tcPr>
            <w:tcW w:w="439"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-990.0</w:t>
            </w:r>
          </w:p>
        </w:tc>
        <w:tc>
          <w:tcPr>
            <w:tcW w:w="439"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-1,100.0</w:t>
            </w:r>
          </w:p>
        </w:tc>
        <w:tc>
          <w:tcPr>
            <w:tcW w:w="442"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-2,520.0</w:t>
            </w:r>
          </w:p>
        </w:tc>
        <w:tc>
          <w:tcPr>
            <w:tcW w:w="439"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-720.0</w:t>
            </w:r>
          </w:p>
        </w:tc>
        <w:tc>
          <w:tcPr>
            <w:tcW w:w="439"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-160.0</w:t>
            </w:r>
          </w:p>
        </w:tc>
        <w:tc>
          <w:tcPr>
            <w:tcW w:w="439"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7"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-3,400.0</w:t>
            </w:r>
          </w:p>
        </w:tc>
      </w:tr>
      <w:tr w:rsidR="00500B74" w:rsidTr="00500B74">
        <w:trPr>
          <w:cantSplit/>
        </w:trPr>
        <w:tc>
          <w:tcPr>
            <w:cnfStyle w:val="001000000000" w:firstRow="0" w:lastRow="0" w:firstColumn="1" w:lastColumn="0" w:oddVBand="0" w:evenVBand="0" w:oddHBand="0" w:evenHBand="0" w:firstRowFirstColumn="0" w:firstRowLastColumn="0" w:lastRowFirstColumn="0" w:lastRowLastColumn="0"/>
            <w:tcW w:w="1046" w:type="pct"/>
          </w:tcPr>
          <w:p w:rsidR="00500B74" w:rsidRPr="00E161EB" w:rsidRDefault="00500B74" w:rsidP="00754137">
            <w:pPr>
              <w:spacing w:before="70" w:after="70" w:line="240" w:lineRule="auto"/>
              <w:ind w:left="57" w:right="57"/>
              <w:rPr>
                <w:i/>
                <w:color w:val="000000"/>
                <w:szCs w:val="20"/>
              </w:rPr>
            </w:pPr>
            <w:r w:rsidRPr="00E161EB">
              <w:rPr>
                <w:i/>
                <w:color w:val="000000"/>
                <w:szCs w:val="20"/>
              </w:rPr>
              <w:t>Departmental expenses</w:t>
            </w:r>
          </w:p>
        </w:tc>
        <w:tc>
          <w:tcPr>
            <w:tcW w:w="441"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42"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-4.0</w:t>
            </w:r>
          </w:p>
        </w:tc>
        <w:tc>
          <w:tcPr>
            <w:tcW w:w="439"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7" w:type="pct"/>
          </w:tcPr>
          <w:p w:rsid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-6.0</w:t>
            </w:r>
          </w:p>
        </w:tc>
      </w:tr>
      <w:tr w:rsidR="00500B74" w:rsidRPr="008D6ECA" w:rsidTr="00500B74">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E9ECF3"/>
          </w:tcPr>
          <w:p w:rsidR="00500B74" w:rsidRPr="0064766E" w:rsidRDefault="00500B74" w:rsidP="00754137">
            <w:pPr>
              <w:spacing w:before="70" w:after="70" w:line="240" w:lineRule="auto"/>
              <w:ind w:left="57" w:right="57"/>
              <w:rPr>
                <w:b/>
                <w:bCs/>
                <w:color w:val="000000"/>
                <w:szCs w:val="20"/>
              </w:rPr>
            </w:pPr>
            <w:r w:rsidRPr="0064766E">
              <w:rPr>
                <w:b/>
                <w:bCs/>
                <w:color w:val="000000"/>
                <w:szCs w:val="20"/>
              </w:rPr>
              <w:t>Total</w:t>
            </w:r>
          </w:p>
        </w:tc>
        <w:tc>
          <w:tcPr>
            <w:tcW w:w="441" w:type="pct"/>
            <w:shd w:val="clear" w:color="auto" w:fill="E9ECF3"/>
          </w:tcPr>
          <w:p w:rsidR="00500B74" w:rsidRP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500B74">
              <w:rPr>
                <w:b/>
                <w:color w:val="000000"/>
              </w:rPr>
              <w:t>-1.0</w:t>
            </w:r>
          </w:p>
        </w:tc>
        <w:tc>
          <w:tcPr>
            <w:tcW w:w="439" w:type="pct"/>
            <w:shd w:val="clear" w:color="auto" w:fill="E9ECF3"/>
          </w:tcPr>
          <w:p w:rsidR="00500B74" w:rsidRP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500B74">
              <w:rPr>
                <w:b/>
                <w:color w:val="000000"/>
              </w:rPr>
              <w:t>-431.0</w:t>
            </w:r>
          </w:p>
        </w:tc>
        <w:tc>
          <w:tcPr>
            <w:tcW w:w="439" w:type="pct"/>
            <w:shd w:val="clear" w:color="auto" w:fill="E9ECF3"/>
          </w:tcPr>
          <w:p w:rsidR="00500B74" w:rsidRP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500B74">
              <w:rPr>
                <w:b/>
                <w:color w:val="000000"/>
              </w:rPr>
              <w:t>-991.0</w:t>
            </w:r>
          </w:p>
        </w:tc>
        <w:tc>
          <w:tcPr>
            <w:tcW w:w="439" w:type="pct"/>
            <w:shd w:val="clear" w:color="auto" w:fill="E9ECF3"/>
          </w:tcPr>
          <w:p w:rsidR="00500B74" w:rsidRP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500B74">
              <w:rPr>
                <w:b/>
                <w:color w:val="000000"/>
              </w:rPr>
              <w:t>-1,101.0</w:t>
            </w:r>
          </w:p>
        </w:tc>
        <w:tc>
          <w:tcPr>
            <w:tcW w:w="442" w:type="pct"/>
            <w:shd w:val="clear" w:color="auto" w:fill="E9ECF3"/>
          </w:tcPr>
          <w:p w:rsidR="00500B74" w:rsidRP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500B74">
              <w:rPr>
                <w:b/>
                <w:bCs/>
                <w:color w:val="000000"/>
              </w:rPr>
              <w:t>-2,524.0</w:t>
            </w:r>
          </w:p>
        </w:tc>
        <w:tc>
          <w:tcPr>
            <w:tcW w:w="439" w:type="pct"/>
            <w:shd w:val="clear" w:color="auto" w:fill="E9ECF3"/>
          </w:tcPr>
          <w:p w:rsidR="00500B74" w:rsidRP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500B74">
              <w:rPr>
                <w:b/>
                <w:color w:val="000000"/>
              </w:rPr>
              <w:t>-721.0</w:t>
            </w:r>
          </w:p>
        </w:tc>
        <w:tc>
          <w:tcPr>
            <w:tcW w:w="439" w:type="pct"/>
            <w:shd w:val="clear" w:color="auto" w:fill="E9ECF3"/>
          </w:tcPr>
          <w:p w:rsidR="00500B74" w:rsidRP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500B74">
              <w:rPr>
                <w:b/>
                <w:color w:val="000000"/>
              </w:rPr>
              <w:t>-161.0</w:t>
            </w:r>
          </w:p>
        </w:tc>
        <w:tc>
          <w:tcPr>
            <w:tcW w:w="439" w:type="pct"/>
            <w:shd w:val="clear" w:color="auto" w:fill="E9ECF3"/>
          </w:tcPr>
          <w:p w:rsidR="00500B74" w:rsidRP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rPr>
              <w:t>-</w:t>
            </w:r>
          </w:p>
        </w:tc>
        <w:tc>
          <w:tcPr>
            <w:tcW w:w="437" w:type="pct"/>
            <w:shd w:val="clear" w:color="auto" w:fill="E9ECF3"/>
          </w:tcPr>
          <w:p w:rsidR="00500B74" w:rsidRPr="00500B74" w:rsidRDefault="00500B74"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500B74">
              <w:rPr>
                <w:b/>
                <w:bCs/>
                <w:color w:val="000000"/>
              </w:rPr>
              <w:t>-3,406.0</w:t>
            </w:r>
          </w:p>
        </w:tc>
      </w:tr>
    </w:tbl>
    <w:p w:rsidR="00737C19" w:rsidRPr="00DB3B7E" w:rsidRDefault="00737C19" w:rsidP="00737C19">
      <w:pPr>
        <w:pStyle w:val="Footnotes"/>
        <w:numPr>
          <w:ilvl w:val="0"/>
          <w:numId w:val="37"/>
        </w:numPr>
        <w:ind w:left="284" w:right="3655" w:hanging="284"/>
      </w:pPr>
      <w:r w:rsidRPr="00DB3B7E">
        <w:t xml:space="preserve">A positive number for the underlying cash balance indicates an increase in receipts or a decrease in outlays or net capital investment in cash terms. </w:t>
      </w:r>
      <w:r>
        <w:t xml:space="preserve"> </w:t>
      </w:r>
      <w:r w:rsidRPr="00DB3B7E">
        <w:t xml:space="preserve">A negative number for the </w:t>
      </w:r>
      <w:r>
        <w:t>underlying cash</w:t>
      </w:r>
      <w:r w:rsidRPr="00DB3B7E">
        <w:t xml:space="preserve"> balance indicates a decrease in receipts or an increase in outlays or net capital investment in cash terms.</w:t>
      </w:r>
    </w:p>
    <w:p w:rsidR="00500B74" w:rsidRPr="00EC7179" w:rsidRDefault="00500B74" w:rsidP="00500B74">
      <w:pPr>
        <w:numPr>
          <w:ilvl w:val="0"/>
          <w:numId w:val="7"/>
        </w:numPr>
        <w:spacing w:before="113" w:after="0" w:line="260" w:lineRule="atLeast"/>
        <w:ind w:left="284" w:hanging="284"/>
        <w:rPr>
          <w:sz w:val="20"/>
          <w:szCs w:val="20"/>
        </w:rPr>
      </w:pPr>
      <w:r w:rsidRPr="00EC7179">
        <w:rPr>
          <w:sz w:val="20"/>
          <w:szCs w:val="20"/>
        </w:rPr>
        <w:t>Figures may not sum to total due to rounding.</w:t>
      </w:r>
    </w:p>
    <w:p w:rsidR="00010A28" w:rsidRDefault="00500B74" w:rsidP="00500B74">
      <w:pPr>
        <w:numPr>
          <w:ilvl w:val="0"/>
          <w:numId w:val="18"/>
        </w:numPr>
        <w:spacing w:before="113" w:after="0" w:line="260" w:lineRule="atLeast"/>
        <w:ind w:left="284" w:hanging="284"/>
        <w:rPr>
          <w:sz w:val="20"/>
          <w:szCs w:val="20"/>
        </w:rPr>
      </w:pPr>
      <w:r>
        <w:rPr>
          <w:sz w:val="20"/>
          <w:szCs w:val="20"/>
        </w:rPr>
        <w:t>Indicates nil</w:t>
      </w:r>
    </w:p>
    <w:p w:rsidR="00010A28" w:rsidRDefault="00010A28" w:rsidP="00010A28">
      <w:pPr>
        <w:pStyle w:val="Captionheading"/>
      </w:pPr>
      <w:r>
        <w:lastRenderedPageBreak/>
        <w:t>Table A</w:t>
      </w:r>
      <w:r w:rsidR="00E81071">
        <w:t>5</w:t>
      </w:r>
      <w:r>
        <w:t xml:space="preserve">: Component 2: Low Income Solar Storage grants </w:t>
      </w:r>
      <w:r w:rsidRPr="007B251E">
        <w:t>—</w:t>
      </w:r>
      <w:r w:rsidR="00E161EB">
        <w:t xml:space="preserve"> </w:t>
      </w:r>
      <w:r w:rsidRPr="007B251E">
        <w:t>Financial implications</w:t>
      </w:r>
      <w:r w:rsidR="00E81071">
        <w:t xml:space="preserve"> </w:t>
      </w:r>
      <w:r w:rsidR="00E81071" w:rsidRPr="007B251E">
        <w:t>—</w:t>
      </w:r>
      <w:r w:rsidR="00E81071">
        <w:t xml:space="preserve"> Fiscal balance</w:t>
      </w:r>
      <w:r w:rsidR="00E81071" w:rsidRPr="007B251E">
        <w:rPr>
          <w:vertAlign w:val="superscript"/>
        </w:rPr>
        <w:t xml:space="preserve"> </w:t>
      </w:r>
      <w:r w:rsidRPr="007B251E">
        <w:rPr>
          <w:vertAlign w:val="superscript"/>
        </w:rPr>
        <w:t>(a</w:t>
      </w:r>
      <w:proofErr w:type="gramStart"/>
      <w:r w:rsidRPr="007B251E">
        <w:rPr>
          <w:vertAlign w:val="superscript"/>
        </w:rPr>
        <w:t>)(</w:t>
      </w:r>
      <w:proofErr w:type="gramEnd"/>
      <w:r w:rsidRPr="007B251E">
        <w:rPr>
          <w:vertAlign w:val="superscript"/>
        </w:rPr>
        <w:t>b)</w:t>
      </w:r>
    </w:p>
    <w:tbl>
      <w:tblPr>
        <w:tblStyle w:val="TableGrid"/>
        <w:tblW w:w="3662" w:type="pct"/>
        <w:tblLook w:val="0680" w:firstRow="0" w:lastRow="0" w:firstColumn="1" w:lastColumn="0" w:noHBand="1" w:noVBand="1"/>
      </w:tblPr>
      <w:tblGrid>
        <w:gridCol w:w="2148"/>
        <w:gridCol w:w="905"/>
        <w:gridCol w:w="901"/>
        <w:gridCol w:w="901"/>
        <w:gridCol w:w="901"/>
        <w:gridCol w:w="907"/>
        <w:gridCol w:w="901"/>
        <w:gridCol w:w="901"/>
        <w:gridCol w:w="901"/>
        <w:gridCol w:w="897"/>
      </w:tblGrid>
      <w:tr w:rsidR="00010A28" w:rsidRPr="00B31810" w:rsidTr="00A94762">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D7DDE9"/>
          </w:tcPr>
          <w:p w:rsidR="00010A28" w:rsidRPr="0064766E" w:rsidRDefault="00010A28" w:rsidP="00754137">
            <w:pPr>
              <w:keepNext/>
              <w:keepLines/>
              <w:spacing w:before="70" w:after="70" w:line="240" w:lineRule="auto"/>
              <w:ind w:left="57" w:right="57"/>
              <w:rPr>
                <w:szCs w:val="20"/>
              </w:rPr>
            </w:pPr>
            <w:r w:rsidRPr="0064766E">
              <w:rPr>
                <w:szCs w:val="20"/>
              </w:rPr>
              <w:t>($m)</w:t>
            </w:r>
          </w:p>
        </w:tc>
        <w:tc>
          <w:tcPr>
            <w:tcW w:w="441"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2016–17</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2017–18</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2018–19</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2019–20</w:t>
            </w:r>
          </w:p>
        </w:tc>
        <w:tc>
          <w:tcPr>
            <w:tcW w:w="442"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Total to 2019–20</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2020–21</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2021–22</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2022–23</w:t>
            </w:r>
          </w:p>
        </w:tc>
        <w:tc>
          <w:tcPr>
            <w:tcW w:w="437"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 xml:space="preserve">Total to </w:t>
            </w:r>
            <w:r>
              <w:rPr>
                <w:b/>
                <w:szCs w:val="20"/>
              </w:rPr>
              <w:t>2022-23</w:t>
            </w:r>
          </w:p>
        </w:tc>
      </w:tr>
      <w:tr w:rsidR="00010A28" w:rsidRPr="00EF1D6A" w:rsidTr="00A94762">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4" w:space="0" w:color="788184"/>
              <w:left w:val="single" w:sz="4" w:space="0" w:color="788184"/>
              <w:bottom w:val="single" w:sz="4" w:space="0" w:color="788184"/>
              <w:right w:val="single" w:sz="4" w:space="0" w:color="788184"/>
            </w:tcBorders>
            <w:shd w:val="clear" w:color="auto" w:fill="E9ECF3"/>
          </w:tcPr>
          <w:p w:rsidR="00010A28" w:rsidRPr="0064766E" w:rsidRDefault="00010A28" w:rsidP="00754137">
            <w:pPr>
              <w:pStyle w:val="TableHeadingCentred"/>
              <w:jc w:val="left"/>
              <w:rPr>
                <w:b/>
                <w:szCs w:val="20"/>
              </w:rPr>
            </w:pPr>
            <w:r w:rsidRPr="0064766E">
              <w:rPr>
                <w:b/>
                <w:szCs w:val="20"/>
              </w:rPr>
              <w:t xml:space="preserve">Impact on fiscal </w:t>
            </w:r>
            <w:r>
              <w:rPr>
                <w:b/>
                <w:szCs w:val="20"/>
              </w:rPr>
              <w:t>balance</w:t>
            </w:r>
          </w:p>
        </w:tc>
      </w:tr>
      <w:tr w:rsidR="00010A28" w:rsidTr="00A94762">
        <w:trPr>
          <w:cantSplit/>
        </w:trPr>
        <w:tc>
          <w:tcPr>
            <w:cnfStyle w:val="001000000000" w:firstRow="0" w:lastRow="0" w:firstColumn="1" w:lastColumn="0" w:oddVBand="0" w:evenVBand="0" w:oddHBand="0" w:evenHBand="0" w:firstRowFirstColumn="0" w:firstRowLastColumn="0" w:lastRowFirstColumn="0" w:lastRowLastColumn="0"/>
            <w:tcW w:w="1046" w:type="pct"/>
          </w:tcPr>
          <w:p w:rsidR="00010A28" w:rsidRPr="00E161EB" w:rsidRDefault="00010A28" w:rsidP="00754137">
            <w:pPr>
              <w:spacing w:before="70" w:after="70" w:line="240" w:lineRule="auto"/>
              <w:ind w:left="57" w:right="57"/>
              <w:rPr>
                <w:i/>
                <w:color w:val="000000"/>
                <w:szCs w:val="20"/>
              </w:rPr>
            </w:pPr>
            <w:r w:rsidRPr="00E161EB">
              <w:rPr>
                <w:i/>
                <w:color w:val="000000"/>
                <w:szCs w:val="20"/>
              </w:rPr>
              <w:t>Administered expenses</w:t>
            </w:r>
          </w:p>
        </w:tc>
        <w:tc>
          <w:tcPr>
            <w:tcW w:w="441"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-100.0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-80.0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-60.0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-40.0</w:t>
            </w:r>
          </w:p>
        </w:tc>
        <w:tc>
          <w:tcPr>
            <w:tcW w:w="442"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-280.0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-20.0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7"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-300.0</w:t>
            </w:r>
          </w:p>
        </w:tc>
      </w:tr>
      <w:tr w:rsidR="00010A28" w:rsidTr="00A94762">
        <w:trPr>
          <w:cantSplit/>
        </w:trPr>
        <w:tc>
          <w:tcPr>
            <w:cnfStyle w:val="001000000000" w:firstRow="0" w:lastRow="0" w:firstColumn="1" w:lastColumn="0" w:oddVBand="0" w:evenVBand="0" w:oddHBand="0" w:evenHBand="0" w:firstRowFirstColumn="0" w:firstRowLastColumn="0" w:lastRowFirstColumn="0" w:lastRowLastColumn="0"/>
            <w:tcW w:w="1046" w:type="pct"/>
          </w:tcPr>
          <w:p w:rsidR="00010A28" w:rsidRPr="00E161EB" w:rsidRDefault="00010A28" w:rsidP="00754137">
            <w:pPr>
              <w:spacing w:before="70" w:after="70" w:line="240" w:lineRule="auto"/>
              <w:ind w:left="57" w:right="57"/>
              <w:rPr>
                <w:i/>
                <w:color w:val="000000"/>
                <w:szCs w:val="20"/>
              </w:rPr>
            </w:pPr>
            <w:r w:rsidRPr="00E161EB">
              <w:rPr>
                <w:i/>
                <w:color w:val="000000"/>
                <w:szCs w:val="20"/>
              </w:rPr>
              <w:t>Departmental expenses</w:t>
            </w:r>
          </w:p>
        </w:tc>
        <w:tc>
          <w:tcPr>
            <w:tcW w:w="441"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42"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-4.0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7"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-5.0</w:t>
            </w:r>
          </w:p>
        </w:tc>
      </w:tr>
      <w:tr w:rsidR="00010A28" w:rsidRPr="008D6ECA" w:rsidTr="00A94762">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E9ECF3"/>
          </w:tcPr>
          <w:p w:rsidR="00010A28" w:rsidRPr="0064766E" w:rsidRDefault="00010A28" w:rsidP="00754137">
            <w:pPr>
              <w:spacing w:before="70" w:after="70" w:line="240" w:lineRule="auto"/>
              <w:ind w:left="57" w:right="57"/>
              <w:rPr>
                <w:b/>
                <w:bCs/>
                <w:color w:val="000000"/>
                <w:szCs w:val="20"/>
              </w:rPr>
            </w:pPr>
            <w:r w:rsidRPr="0064766E">
              <w:rPr>
                <w:b/>
                <w:bCs/>
                <w:color w:val="000000"/>
                <w:szCs w:val="20"/>
              </w:rPr>
              <w:t>Total</w:t>
            </w:r>
          </w:p>
        </w:tc>
        <w:tc>
          <w:tcPr>
            <w:tcW w:w="441"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010A28">
              <w:rPr>
                <w:b/>
                <w:color w:val="000000"/>
              </w:rPr>
              <w:t>-101.0</w:t>
            </w:r>
          </w:p>
        </w:tc>
        <w:tc>
          <w:tcPr>
            <w:tcW w:w="439"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010A28">
              <w:rPr>
                <w:b/>
                <w:color w:val="000000"/>
              </w:rPr>
              <w:t>-81.0</w:t>
            </w:r>
          </w:p>
        </w:tc>
        <w:tc>
          <w:tcPr>
            <w:tcW w:w="439"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010A28">
              <w:rPr>
                <w:b/>
                <w:color w:val="000000"/>
              </w:rPr>
              <w:t>-61.0</w:t>
            </w:r>
          </w:p>
        </w:tc>
        <w:tc>
          <w:tcPr>
            <w:tcW w:w="439"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010A28">
              <w:rPr>
                <w:b/>
                <w:color w:val="000000"/>
              </w:rPr>
              <w:t>-41.0</w:t>
            </w:r>
          </w:p>
        </w:tc>
        <w:tc>
          <w:tcPr>
            <w:tcW w:w="442"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010A28">
              <w:rPr>
                <w:b/>
                <w:bCs/>
                <w:color w:val="000000"/>
              </w:rPr>
              <w:t>-284.0</w:t>
            </w:r>
          </w:p>
        </w:tc>
        <w:tc>
          <w:tcPr>
            <w:tcW w:w="439"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010A28">
              <w:rPr>
                <w:b/>
                <w:color w:val="000000"/>
              </w:rPr>
              <w:t>-21.0</w:t>
            </w:r>
          </w:p>
        </w:tc>
        <w:tc>
          <w:tcPr>
            <w:tcW w:w="439"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rPr>
              <w:t>-</w:t>
            </w:r>
          </w:p>
        </w:tc>
        <w:tc>
          <w:tcPr>
            <w:tcW w:w="439"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rPr>
              <w:t>-</w:t>
            </w:r>
          </w:p>
        </w:tc>
        <w:tc>
          <w:tcPr>
            <w:tcW w:w="437"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010A28">
              <w:rPr>
                <w:b/>
                <w:bCs/>
                <w:color w:val="000000"/>
              </w:rPr>
              <w:t>-305.0</w:t>
            </w:r>
          </w:p>
        </w:tc>
      </w:tr>
    </w:tbl>
    <w:p w:rsidR="00737C19" w:rsidRPr="00DB3B7E" w:rsidRDefault="00737C19" w:rsidP="00737C19">
      <w:pPr>
        <w:pStyle w:val="Footnotes"/>
        <w:keepNext/>
        <w:keepLines/>
        <w:numPr>
          <w:ilvl w:val="0"/>
          <w:numId w:val="32"/>
        </w:numPr>
        <w:ind w:left="284" w:right="3655" w:hanging="284"/>
      </w:pPr>
      <w:r w:rsidRPr="00DB3B7E">
        <w:t>A positive number for the fiscal balance indicates an increase in revenue or a decrease in expenses or net capita</w:t>
      </w:r>
      <w:r>
        <w:t xml:space="preserve">l investment in accrual terms.  </w:t>
      </w:r>
      <w:r w:rsidRPr="00DB3B7E">
        <w:t xml:space="preserve">A negative number for the fiscal balance indicates a decrease in revenue or an increase in expenses or net capital investment in accrual terms.   </w:t>
      </w:r>
    </w:p>
    <w:p w:rsidR="00E81071" w:rsidRPr="00EC7179" w:rsidRDefault="00E81071" w:rsidP="00E81071">
      <w:pPr>
        <w:numPr>
          <w:ilvl w:val="0"/>
          <w:numId w:val="7"/>
        </w:numPr>
        <w:spacing w:before="113" w:after="0" w:line="260" w:lineRule="atLeast"/>
        <w:ind w:left="284" w:hanging="284"/>
        <w:rPr>
          <w:sz w:val="20"/>
          <w:szCs w:val="20"/>
        </w:rPr>
      </w:pPr>
      <w:r w:rsidRPr="00EC7179">
        <w:rPr>
          <w:sz w:val="20"/>
          <w:szCs w:val="20"/>
        </w:rPr>
        <w:t>Figures may not sum to total due to rounding.</w:t>
      </w:r>
    </w:p>
    <w:p w:rsidR="00010A28" w:rsidRPr="00E81071" w:rsidRDefault="00E81071" w:rsidP="00E81071">
      <w:pPr>
        <w:numPr>
          <w:ilvl w:val="0"/>
          <w:numId w:val="18"/>
        </w:numPr>
        <w:spacing w:before="113" w:after="0" w:line="260" w:lineRule="atLeast"/>
        <w:ind w:left="284" w:hanging="284"/>
        <w:rPr>
          <w:sz w:val="20"/>
          <w:szCs w:val="20"/>
        </w:rPr>
      </w:pPr>
      <w:r>
        <w:rPr>
          <w:sz w:val="20"/>
          <w:szCs w:val="20"/>
        </w:rPr>
        <w:t>Indicates nil</w:t>
      </w:r>
    </w:p>
    <w:p w:rsidR="00E81071" w:rsidRDefault="00E81071" w:rsidP="00E81071">
      <w:pPr>
        <w:pStyle w:val="Captionheading"/>
      </w:pPr>
      <w:r>
        <w:t xml:space="preserve">Table A6: Component 2: Low Income Solar Storage grants </w:t>
      </w:r>
      <w:r w:rsidRPr="007B251E">
        <w:t>—</w:t>
      </w:r>
      <w:r w:rsidR="00E161EB">
        <w:t xml:space="preserve"> </w:t>
      </w:r>
      <w:r w:rsidRPr="007B251E">
        <w:t>Financial implications</w:t>
      </w:r>
      <w:r>
        <w:t xml:space="preserve"> </w:t>
      </w:r>
      <w:r w:rsidRPr="007B251E">
        <w:t>—</w:t>
      </w:r>
      <w:r>
        <w:t xml:space="preserve"> U</w:t>
      </w:r>
      <w:r w:rsidR="005A6604">
        <w:t>nderlying cash</w:t>
      </w:r>
      <w:r>
        <w:t xml:space="preserve"> balance</w:t>
      </w:r>
      <w:r w:rsidRPr="007B251E">
        <w:rPr>
          <w:vertAlign w:val="superscript"/>
        </w:rPr>
        <w:t xml:space="preserve"> (a</w:t>
      </w:r>
      <w:proofErr w:type="gramStart"/>
      <w:r w:rsidRPr="007B251E">
        <w:rPr>
          <w:vertAlign w:val="superscript"/>
        </w:rPr>
        <w:t>)(</w:t>
      </w:r>
      <w:proofErr w:type="gramEnd"/>
      <w:r w:rsidRPr="007B251E">
        <w:rPr>
          <w:vertAlign w:val="superscript"/>
        </w:rPr>
        <w:t>b)</w:t>
      </w:r>
    </w:p>
    <w:tbl>
      <w:tblPr>
        <w:tblStyle w:val="TableGrid"/>
        <w:tblW w:w="3662" w:type="pct"/>
        <w:tblLook w:val="0680" w:firstRow="0" w:lastRow="0" w:firstColumn="1" w:lastColumn="0" w:noHBand="1" w:noVBand="1"/>
      </w:tblPr>
      <w:tblGrid>
        <w:gridCol w:w="2148"/>
        <w:gridCol w:w="905"/>
        <w:gridCol w:w="901"/>
        <w:gridCol w:w="901"/>
        <w:gridCol w:w="901"/>
        <w:gridCol w:w="907"/>
        <w:gridCol w:w="901"/>
        <w:gridCol w:w="901"/>
        <w:gridCol w:w="901"/>
        <w:gridCol w:w="897"/>
      </w:tblGrid>
      <w:tr w:rsidR="00010A28" w:rsidRPr="00B31810" w:rsidTr="00A94762">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D7DDE9"/>
          </w:tcPr>
          <w:p w:rsidR="00010A28" w:rsidRPr="0064766E" w:rsidRDefault="00010A28" w:rsidP="00754137">
            <w:pPr>
              <w:keepNext/>
              <w:keepLines/>
              <w:spacing w:before="70" w:after="70" w:line="240" w:lineRule="auto"/>
              <w:ind w:left="57" w:right="57"/>
              <w:rPr>
                <w:szCs w:val="20"/>
              </w:rPr>
            </w:pPr>
            <w:r w:rsidRPr="0064766E">
              <w:rPr>
                <w:szCs w:val="20"/>
              </w:rPr>
              <w:t>($m)</w:t>
            </w:r>
          </w:p>
        </w:tc>
        <w:tc>
          <w:tcPr>
            <w:tcW w:w="441"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2016–17</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2017–18</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2018–19</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2019–20</w:t>
            </w:r>
          </w:p>
        </w:tc>
        <w:tc>
          <w:tcPr>
            <w:tcW w:w="442"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Total to 2019–20</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2020–21</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2021–22</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2022–23</w:t>
            </w:r>
          </w:p>
        </w:tc>
        <w:tc>
          <w:tcPr>
            <w:tcW w:w="437"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 xml:space="preserve">Total to </w:t>
            </w:r>
            <w:r>
              <w:rPr>
                <w:b/>
                <w:szCs w:val="20"/>
              </w:rPr>
              <w:t>2022-23</w:t>
            </w:r>
          </w:p>
        </w:tc>
      </w:tr>
      <w:tr w:rsidR="00010A28" w:rsidRPr="00EF1D6A" w:rsidTr="00A94762">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4" w:space="0" w:color="788184"/>
              <w:left w:val="single" w:sz="4" w:space="0" w:color="788184"/>
              <w:bottom w:val="single" w:sz="4" w:space="0" w:color="788184"/>
              <w:right w:val="single" w:sz="4" w:space="0" w:color="788184"/>
            </w:tcBorders>
            <w:shd w:val="clear" w:color="auto" w:fill="E9ECF3"/>
          </w:tcPr>
          <w:p w:rsidR="00010A28" w:rsidRPr="0064766E" w:rsidRDefault="00010A28" w:rsidP="00754137">
            <w:pPr>
              <w:pStyle w:val="TableHeadingCentred"/>
              <w:jc w:val="left"/>
              <w:rPr>
                <w:b/>
                <w:szCs w:val="20"/>
              </w:rPr>
            </w:pPr>
            <w:r w:rsidRPr="0064766E">
              <w:rPr>
                <w:b/>
                <w:szCs w:val="20"/>
              </w:rPr>
              <w:t xml:space="preserve">Impact on </w:t>
            </w:r>
            <w:r>
              <w:rPr>
                <w:b/>
                <w:szCs w:val="20"/>
              </w:rPr>
              <w:t>underlying cash balance</w:t>
            </w:r>
          </w:p>
        </w:tc>
      </w:tr>
      <w:tr w:rsidR="00010A28" w:rsidTr="00A94762">
        <w:trPr>
          <w:cantSplit/>
        </w:trPr>
        <w:tc>
          <w:tcPr>
            <w:cnfStyle w:val="001000000000" w:firstRow="0" w:lastRow="0" w:firstColumn="1" w:lastColumn="0" w:oddVBand="0" w:evenVBand="0" w:oddHBand="0" w:evenHBand="0" w:firstRowFirstColumn="0" w:firstRowLastColumn="0" w:lastRowFirstColumn="0" w:lastRowLastColumn="0"/>
            <w:tcW w:w="1046" w:type="pct"/>
          </w:tcPr>
          <w:p w:rsidR="00010A28" w:rsidRPr="00E161EB" w:rsidRDefault="00010A28" w:rsidP="00754137">
            <w:pPr>
              <w:spacing w:before="70" w:after="70" w:line="240" w:lineRule="auto"/>
              <w:ind w:left="57" w:right="57"/>
              <w:rPr>
                <w:i/>
                <w:color w:val="000000"/>
                <w:szCs w:val="20"/>
              </w:rPr>
            </w:pPr>
            <w:r w:rsidRPr="00E161EB">
              <w:rPr>
                <w:i/>
                <w:color w:val="000000"/>
                <w:szCs w:val="20"/>
              </w:rPr>
              <w:t>Administered expenses</w:t>
            </w:r>
          </w:p>
        </w:tc>
        <w:tc>
          <w:tcPr>
            <w:tcW w:w="441"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-100.0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-80.0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-60.0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-40.0</w:t>
            </w:r>
          </w:p>
        </w:tc>
        <w:tc>
          <w:tcPr>
            <w:tcW w:w="442"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-280.0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-20.0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7"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-300.0</w:t>
            </w:r>
          </w:p>
        </w:tc>
      </w:tr>
      <w:tr w:rsidR="00010A28" w:rsidTr="00A94762">
        <w:trPr>
          <w:cantSplit/>
        </w:trPr>
        <w:tc>
          <w:tcPr>
            <w:cnfStyle w:val="001000000000" w:firstRow="0" w:lastRow="0" w:firstColumn="1" w:lastColumn="0" w:oddVBand="0" w:evenVBand="0" w:oddHBand="0" w:evenHBand="0" w:firstRowFirstColumn="0" w:firstRowLastColumn="0" w:lastRowFirstColumn="0" w:lastRowLastColumn="0"/>
            <w:tcW w:w="1046" w:type="pct"/>
          </w:tcPr>
          <w:p w:rsidR="00010A28" w:rsidRPr="00E161EB" w:rsidRDefault="00010A28" w:rsidP="00754137">
            <w:pPr>
              <w:spacing w:before="70" w:after="70" w:line="240" w:lineRule="auto"/>
              <w:ind w:left="57" w:right="57"/>
              <w:rPr>
                <w:i/>
                <w:color w:val="000000"/>
                <w:szCs w:val="20"/>
              </w:rPr>
            </w:pPr>
            <w:r w:rsidRPr="00E161EB">
              <w:rPr>
                <w:i/>
                <w:color w:val="000000"/>
                <w:szCs w:val="20"/>
              </w:rPr>
              <w:t>Departmental expenses</w:t>
            </w:r>
          </w:p>
        </w:tc>
        <w:tc>
          <w:tcPr>
            <w:tcW w:w="441"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42"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-4.0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9"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7" w:type="pct"/>
          </w:tcPr>
          <w:p w:rsid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-5.0</w:t>
            </w:r>
          </w:p>
        </w:tc>
      </w:tr>
      <w:tr w:rsidR="00010A28" w:rsidRPr="008D6ECA" w:rsidTr="00A94762">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E9ECF3"/>
          </w:tcPr>
          <w:p w:rsidR="00010A28" w:rsidRPr="0064766E" w:rsidRDefault="00010A28" w:rsidP="00754137">
            <w:pPr>
              <w:spacing w:before="70" w:after="70" w:line="240" w:lineRule="auto"/>
              <w:ind w:left="57" w:right="57"/>
              <w:rPr>
                <w:b/>
                <w:bCs/>
                <w:color w:val="000000"/>
                <w:szCs w:val="20"/>
              </w:rPr>
            </w:pPr>
            <w:r w:rsidRPr="0064766E">
              <w:rPr>
                <w:b/>
                <w:bCs/>
                <w:color w:val="000000"/>
                <w:szCs w:val="20"/>
              </w:rPr>
              <w:t>Total</w:t>
            </w:r>
          </w:p>
        </w:tc>
        <w:tc>
          <w:tcPr>
            <w:tcW w:w="441"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010A28">
              <w:rPr>
                <w:b/>
                <w:color w:val="000000"/>
              </w:rPr>
              <w:t>-101.0</w:t>
            </w:r>
          </w:p>
        </w:tc>
        <w:tc>
          <w:tcPr>
            <w:tcW w:w="439"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010A28">
              <w:rPr>
                <w:b/>
                <w:color w:val="000000"/>
              </w:rPr>
              <w:t>-81.0</w:t>
            </w:r>
          </w:p>
        </w:tc>
        <w:tc>
          <w:tcPr>
            <w:tcW w:w="439"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010A28">
              <w:rPr>
                <w:b/>
                <w:color w:val="000000"/>
              </w:rPr>
              <w:t>-61.0</w:t>
            </w:r>
          </w:p>
        </w:tc>
        <w:tc>
          <w:tcPr>
            <w:tcW w:w="439"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010A28">
              <w:rPr>
                <w:b/>
                <w:color w:val="000000"/>
              </w:rPr>
              <w:t>-41.0</w:t>
            </w:r>
          </w:p>
        </w:tc>
        <w:tc>
          <w:tcPr>
            <w:tcW w:w="442"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010A28">
              <w:rPr>
                <w:b/>
                <w:bCs/>
                <w:color w:val="000000"/>
              </w:rPr>
              <w:t>-284.0</w:t>
            </w:r>
          </w:p>
        </w:tc>
        <w:tc>
          <w:tcPr>
            <w:tcW w:w="439"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010A28">
              <w:rPr>
                <w:b/>
                <w:color w:val="000000"/>
              </w:rPr>
              <w:t>-21.0</w:t>
            </w:r>
          </w:p>
        </w:tc>
        <w:tc>
          <w:tcPr>
            <w:tcW w:w="439"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rPr>
              <w:t>-</w:t>
            </w:r>
          </w:p>
        </w:tc>
        <w:tc>
          <w:tcPr>
            <w:tcW w:w="439"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rPr>
              <w:t>-</w:t>
            </w:r>
          </w:p>
        </w:tc>
        <w:tc>
          <w:tcPr>
            <w:tcW w:w="437" w:type="pct"/>
            <w:shd w:val="clear" w:color="auto" w:fill="E9ECF3"/>
          </w:tcPr>
          <w:p w:rsidR="00010A28" w:rsidRPr="00010A28" w:rsidRDefault="00010A28"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010A28">
              <w:rPr>
                <w:b/>
                <w:bCs/>
                <w:color w:val="000000"/>
              </w:rPr>
              <w:t>-305.0</w:t>
            </w:r>
          </w:p>
        </w:tc>
      </w:tr>
    </w:tbl>
    <w:p w:rsidR="00737C19" w:rsidRPr="00DB3B7E" w:rsidRDefault="00737C19" w:rsidP="00737C19">
      <w:pPr>
        <w:pStyle w:val="Footnotes"/>
        <w:numPr>
          <w:ilvl w:val="0"/>
          <w:numId w:val="38"/>
        </w:numPr>
        <w:ind w:left="284" w:right="3655" w:hanging="284"/>
      </w:pPr>
      <w:r w:rsidRPr="00DB3B7E">
        <w:t xml:space="preserve">A positive number for the underlying cash balance indicates an increase in receipts or a decrease in outlays or net capital investment in cash terms. </w:t>
      </w:r>
      <w:r>
        <w:t xml:space="preserve"> </w:t>
      </w:r>
      <w:r w:rsidRPr="00DB3B7E">
        <w:t xml:space="preserve">A negative number for the </w:t>
      </w:r>
      <w:r>
        <w:t>underlying cash</w:t>
      </w:r>
      <w:r w:rsidRPr="00DB3B7E">
        <w:t xml:space="preserve"> balance indicates a decrease in receipts or an increase in outlays or net capital investment in cash terms.</w:t>
      </w:r>
    </w:p>
    <w:p w:rsidR="00010A28" w:rsidRPr="00EC7179" w:rsidRDefault="00010A28" w:rsidP="00010A28">
      <w:pPr>
        <w:numPr>
          <w:ilvl w:val="0"/>
          <w:numId w:val="7"/>
        </w:numPr>
        <w:spacing w:before="113" w:after="0" w:line="260" w:lineRule="atLeast"/>
        <w:ind w:left="284" w:hanging="284"/>
        <w:rPr>
          <w:sz w:val="20"/>
          <w:szCs w:val="20"/>
        </w:rPr>
      </w:pPr>
      <w:r w:rsidRPr="00EC7179">
        <w:rPr>
          <w:sz w:val="20"/>
          <w:szCs w:val="20"/>
        </w:rPr>
        <w:t>Figures may not sum to total due to rounding.</w:t>
      </w:r>
    </w:p>
    <w:p w:rsidR="00010A28" w:rsidRDefault="00010A28" w:rsidP="00010A28">
      <w:pPr>
        <w:numPr>
          <w:ilvl w:val="0"/>
          <w:numId w:val="18"/>
        </w:numPr>
        <w:spacing w:before="113" w:after="0" w:line="260" w:lineRule="atLeast"/>
        <w:ind w:left="284" w:hanging="284"/>
        <w:rPr>
          <w:sz w:val="20"/>
          <w:szCs w:val="20"/>
        </w:rPr>
      </w:pPr>
      <w:r>
        <w:rPr>
          <w:sz w:val="20"/>
          <w:szCs w:val="20"/>
        </w:rPr>
        <w:t>Indicates nil</w:t>
      </w:r>
      <w:r w:rsidR="00754137">
        <w:rPr>
          <w:sz w:val="20"/>
          <w:szCs w:val="20"/>
        </w:rPr>
        <w:t>.</w:t>
      </w:r>
    </w:p>
    <w:p w:rsidR="00010A28" w:rsidRDefault="005A6604" w:rsidP="00010A28">
      <w:pPr>
        <w:pStyle w:val="Captionheading"/>
      </w:pPr>
      <w:r>
        <w:lastRenderedPageBreak/>
        <w:t>Table A7</w:t>
      </w:r>
      <w:r w:rsidR="00010A28">
        <w:t xml:space="preserve">: Component 3: Review by </w:t>
      </w:r>
      <w:r w:rsidR="00A93979">
        <w:t>the Clean Energy Regulator</w:t>
      </w:r>
      <w:r w:rsidR="009460FB" w:rsidRPr="009460FB">
        <w:t xml:space="preserve"> </w:t>
      </w:r>
      <w:r w:rsidR="00010A28" w:rsidRPr="007B251E">
        <w:t>—</w:t>
      </w:r>
      <w:r>
        <w:t xml:space="preserve"> </w:t>
      </w:r>
      <w:r w:rsidR="00010A28" w:rsidRPr="007B251E">
        <w:t>Financial implications</w:t>
      </w:r>
      <w:r>
        <w:t xml:space="preserve"> </w:t>
      </w:r>
      <w:r w:rsidRPr="007B251E">
        <w:t>—</w:t>
      </w:r>
      <w:r>
        <w:t xml:space="preserve"> Fiscal </w:t>
      </w:r>
      <w:proofErr w:type="gramStart"/>
      <w:r>
        <w:t>balance</w:t>
      </w:r>
      <w:r w:rsidR="00010A28" w:rsidRPr="007B251E">
        <w:rPr>
          <w:vertAlign w:val="superscript"/>
        </w:rPr>
        <w:t>(</w:t>
      </w:r>
      <w:proofErr w:type="gramEnd"/>
      <w:r w:rsidR="00010A28" w:rsidRPr="007B251E">
        <w:rPr>
          <w:vertAlign w:val="superscript"/>
        </w:rPr>
        <w:t>a)(b)</w:t>
      </w:r>
    </w:p>
    <w:tbl>
      <w:tblPr>
        <w:tblStyle w:val="TableGrid"/>
        <w:tblW w:w="3662" w:type="pct"/>
        <w:tblLook w:val="0680" w:firstRow="0" w:lastRow="0" w:firstColumn="1" w:lastColumn="0" w:noHBand="1" w:noVBand="1"/>
      </w:tblPr>
      <w:tblGrid>
        <w:gridCol w:w="2148"/>
        <w:gridCol w:w="905"/>
        <w:gridCol w:w="901"/>
        <w:gridCol w:w="901"/>
        <w:gridCol w:w="901"/>
        <w:gridCol w:w="907"/>
        <w:gridCol w:w="901"/>
        <w:gridCol w:w="901"/>
        <w:gridCol w:w="901"/>
        <w:gridCol w:w="897"/>
      </w:tblGrid>
      <w:tr w:rsidR="00010A28" w:rsidRPr="00B31810" w:rsidTr="00A94762">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D7DDE9"/>
          </w:tcPr>
          <w:p w:rsidR="00010A28" w:rsidRPr="0064766E" w:rsidRDefault="00010A28" w:rsidP="00754137">
            <w:pPr>
              <w:keepNext/>
              <w:keepLines/>
              <w:spacing w:before="70" w:after="70" w:line="240" w:lineRule="auto"/>
              <w:ind w:left="57" w:right="57"/>
              <w:rPr>
                <w:szCs w:val="20"/>
              </w:rPr>
            </w:pPr>
            <w:r w:rsidRPr="0064766E">
              <w:rPr>
                <w:szCs w:val="20"/>
              </w:rPr>
              <w:t>($m)</w:t>
            </w:r>
          </w:p>
        </w:tc>
        <w:tc>
          <w:tcPr>
            <w:tcW w:w="441"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2016–17</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2017–18</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2018–19</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2019–20</w:t>
            </w:r>
          </w:p>
        </w:tc>
        <w:tc>
          <w:tcPr>
            <w:tcW w:w="442"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Total to 2019–20</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2020–21</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2021–22</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2022–23</w:t>
            </w:r>
          </w:p>
        </w:tc>
        <w:tc>
          <w:tcPr>
            <w:tcW w:w="437"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 xml:space="preserve">Total to </w:t>
            </w:r>
            <w:r>
              <w:rPr>
                <w:b/>
                <w:szCs w:val="20"/>
              </w:rPr>
              <w:t>2022-23</w:t>
            </w:r>
          </w:p>
        </w:tc>
      </w:tr>
      <w:tr w:rsidR="00010A28" w:rsidRPr="00EF1D6A" w:rsidTr="00A94762">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4" w:space="0" w:color="788184"/>
              <w:left w:val="single" w:sz="4" w:space="0" w:color="788184"/>
              <w:bottom w:val="single" w:sz="4" w:space="0" w:color="788184"/>
              <w:right w:val="single" w:sz="4" w:space="0" w:color="788184"/>
            </w:tcBorders>
            <w:shd w:val="clear" w:color="auto" w:fill="E9ECF3"/>
          </w:tcPr>
          <w:p w:rsidR="00010A28" w:rsidRPr="0064766E" w:rsidRDefault="00010A28" w:rsidP="00754137">
            <w:pPr>
              <w:pStyle w:val="TableHeadingCentred"/>
              <w:jc w:val="left"/>
              <w:rPr>
                <w:b/>
                <w:szCs w:val="20"/>
              </w:rPr>
            </w:pPr>
            <w:r w:rsidRPr="0064766E">
              <w:rPr>
                <w:b/>
                <w:szCs w:val="20"/>
              </w:rPr>
              <w:t xml:space="preserve">Impact on fiscal </w:t>
            </w:r>
            <w:r>
              <w:rPr>
                <w:b/>
                <w:szCs w:val="20"/>
              </w:rPr>
              <w:t>balance</w:t>
            </w:r>
          </w:p>
        </w:tc>
      </w:tr>
      <w:tr w:rsidR="007D68B6" w:rsidTr="00A94762">
        <w:trPr>
          <w:cantSplit/>
        </w:trPr>
        <w:tc>
          <w:tcPr>
            <w:cnfStyle w:val="001000000000" w:firstRow="0" w:lastRow="0" w:firstColumn="1" w:lastColumn="0" w:oddVBand="0" w:evenVBand="0" w:oddHBand="0" w:evenHBand="0" w:firstRowFirstColumn="0" w:firstRowLastColumn="0" w:lastRowFirstColumn="0" w:lastRowLastColumn="0"/>
            <w:tcW w:w="1046" w:type="pct"/>
          </w:tcPr>
          <w:p w:rsidR="007D68B6" w:rsidRPr="00E161EB" w:rsidRDefault="007D68B6" w:rsidP="00754137">
            <w:pPr>
              <w:spacing w:before="70" w:after="70" w:line="240" w:lineRule="auto"/>
              <w:ind w:left="57" w:right="57"/>
              <w:rPr>
                <w:i/>
                <w:color w:val="000000"/>
                <w:szCs w:val="20"/>
              </w:rPr>
            </w:pPr>
            <w:r w:rsidRPr="00E161EB">
              <w:rPr>
                <w:i/>
                <w:color w:val="000000"/>
                <w:szCs w:val="20"/>
              </w:rPr>
              <w:t>Departmental expenses</w:t>
            </w:r>
          </w:p>
        </w:tc>
        <w:tc>
          <w:tcPr>
            <w:tcW w:w="441"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-3.0</w:t>
            </w:r>
          </w:p>
        </w:tc>
        <w:tc>
          <w:tcPr>
            <w:tcW w:w="442"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-6.0</w:t>
            </w:r>
          </w:p>
        </w:tc>
        <w:tc>
          <w:tcPr>
            <w:tcW w:w="439"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-3.0</w:t>
            </w:r>
          </w:p>
        </w:tc>
        <w:tc>
          <w:tcPr>
            <w:tcW w:w="439"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9"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7"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-9.0</w:t>
            </w:r>
          </w:p>
        </w:tc>
      </w:tr>
      <w:tr w:rsidR="007D68B6" w:rsidRPr="008D6ECA" w:rsidTr="00A94762">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E9ECF3"/>
          </w:tcPr>
          <w:p w:rsidR="007D68B6" w:rsidRPr="0064766E" w:rsidRDefault="007D68B6" w:rsidP="00754137">
            <w:pPr>
              <w:spacing w:before="70" w:after="70" w:line="240" w:lineRule="auto"/>
              <w:ind w:left="57" w:right="57"/>
              <w:rPr>
                <w:b/>
                <w:bCs/>
                <w:color w:val="000000"/>
                <w:szCs w:val="20"/>
              </w:rPr>
            </w:pPr>
            <w:r w:rsidRPr="0064766E">
              <w:rPr>
                <w:b/>
                <w:bCs/>
                <w:color w:val="000000"/>
                <w:szCs w:val="20"/>
              </w:rPr>
              <w:t>Total</w:t>
            </w:r>
          </w:p>
        </w:tc>
        <w:tc>
          <w:tcPr>
            <w:tcW w:w="441"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7D68B6">
              <w:rPr>
                <w:b/>
                <w:color w:val="000000"/>
              </w:rPr>
              <w:t>-1.0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7D68B6">
              <w:rPr>
                <w:b/>
                <w:color w:val="000000"/>
              </w:rPr>
              <w:t>-1.0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7D68B6">
              <w:rPr>
                <w:b/>
                <w:color w:val="000000"/>
              </w:rPr>
              <w:t>-1.0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7D68B6">
              <w:rPr>
                <w:b/>
                <w:color w:val="000000"/>
              </w:rPr>
              <w:t>-3.0</w:t>
            </w:r>
          </w:p>
        </w:tc>
        <w:tc>
          <w:tcPr>
            <w:tcW w:w="442"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7D68B6">
              <w:rPr>
                <w:b/>
                <w:bCs/>
                <w:color w:val="000000"/>
              </w:rPr>
              <w:t>-6.0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7D68B6">
              <w:rPr>
                <w:b/>
                <w:color w:val="000000"/>
              </w:rPr>
              <w:t>-3.0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7D68B6">
              <w:rPr>
                <w:b/>
                <w:color w:val="000000"/>
              </w:rPr>
              <w:t>-</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7D68B6">
              <w:rPr>
                <w:b/>
                <w:color w:val="000000"/>
              </w:rPr>
              <w:t>-</w:t>
            </w:r>
          </w:p>
        </w:tc>
        <w:tc>
          <w:tcPr>
            <w:tcW w:w="437"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7D68B6">
              <w:rPr>
                <w:b/>
                <w:bCs/>
                <w:color w:val="000000"/>
              </w:rPr>
              <w:t>-9.0</w:t>
            </w:r>
          </w:p>
        </w:tc>
      </w:tr>
    </w:tbl>
    <w:p w:rsidR="00737C19" w:rsidRPr="00DB3B7E" w:rsidRDefault="00737C19" w:rsidP="00737C19">
      <w:pPr>
        <w:pStyle w:val="Footnotes"/>
        <w:keepNext/>
        <w:keepLines/>
        <w:numPr>
          <w:ilvl w:val="0"/>
          <w:numId w:val="33"/>
        </w:numPr>
        <w:ind w:left="284" w:right="3655" w:hanging="284"/>
      </w:pPr>
      <w:r w:rsidRPr="00DB3B7E">
        <w:t>A positive number for the fiscal balance indicates an increase in revenue or a decrease in expenses or net capita</w:t>
      </w:r>
      <w:r>
        <w:t xml:space="preserve">l investment in accrual terms.  </w:t>
      </w:r>
      <w:r w:rsidRPr="00DB3B7E">
        <w:t xml:space="preserve">A negative number for the fiscal balance indicates a decrease in revenue or an increase in expenses or net capital investment in accrual terms.   </w:t>
      </w:r>
    </w:p>
    <w:p w:rsidR="005A6604" w:rsidRPr="00EC7179" w:rsidRDefault="005A6604" w:rsidP="005A6604">
      <w:pPr>
        <w:numPr>
          <w:ilvl w:val="0"/>
          <w:numId w:val="7"/>
        </w:numPr>
        <w:spacing w:before="113" w:after="0" w:line="260" w:lineRule="atLeast"/>
        <w:ind w:left="284" w:hanging="284"/>
        <w:rPr>
          <w:sz w:val="20"/>
          <w:szCs w:val="20"/>
        </w:rPr>
      </w:pPr>
      <w:r w:rsidRPr="00EC7179">
        <w:rPr>
          <w:sz w:val="20"/>
          <w:szCs w:val="20"/>
        </w:rPr>
        <w:t>Figures may not sum to total due to rounding.</w:t>
      </w:r>
    </w:p>
    <w:p w:rsidR="00737C19" w:rsidRDefault="005A6604" w:rsidP="005A6604">
      <w:pPr>
        <w:numPr>
          <w:ilvl w:val="0"/>
          <w:numId w:val="18"/>
        </w:numPr>
        <w:spacing w:before="113" w:after="0" w:line="260" w:lineRule="atLeast"/>
        <w:ind w:left="284" w:hanging="284"/>
        <w:rPr>
          <w:sz w:val="20"/>
          <w:szCs w:val="20"/>
        </w:rPr>
      </w:pPr>
      <w:r w:rsidRPr="005A6604">
        <w:rPr>
          <w:sz w:val="20"/>
          <w:szCs w:val="20"/>
        </w:rPr>
        <w:t>Indicates nil</w:t>
      </w:r>
    </w:p>
    <w:p w:rsidR="005A6604" w:rsidRDefault="005A6604" w:rsidP="005A6604">
      <w:pPr>
        <w:pStyle w:val="Captionheading"/>
      </w:pPr>
      <w:r>
        <w:t xml:space="preserve">Table A8: Component 3: Review by </w:t>
      </w:r>
      <w:r w:rsidR="00A93979">
        <w:t>the Clean Energy Regulator</w:t>
      </w:r>
      <w:r w:rsidR="009460FB" w:rsidRPr="009460FB">
        <w:t xml:space="preserve"> </w:t>
      </w:r>
      <w:r w:rsidRPr="007B251E">
        <w:t>—</w:t>
      </w:r>
      <w:r>
        <w:t xml:space="preserve"> </w:t>
      </w:r>
      <w:r w:rsidRPr="007B251E">
        <w:t>Financial implications</w:t>
      </w:r>
      <w:r>
        <w:t xml:space="preserve"> </w:t>
      </w:r>
      <w:r w:rsidRPr="007B251E">
        <w:t>—</w:t>
      </w:r>
      <w:r>
        <w:t xml:space="preserve"> Underlying cash balance</w:t>
      </w:r>
      <w:r w:rsidRPr="007B251E">
        <w:rPr>
          <w:vertAlign w:val="superscript"/>
        </w:rPr>
        <w:t xml:space="preserve"> (a</w:t>
      </w:r>
      <w:proofErr w:type="gramStart"/>
      <w:r w:rsidRPr="007B251E">
        <w:rPr>
          <w:vertAlign w:val="superscript"/>
        </w:rPr>
        <w:t>)(</w:t>
      </w:r>
      <w:proofErr w:type="gramEnd"/>
      <w:r w:rsidRPr="007B251E">
        <w:rPr>
          <w:vertAlign w:val="superscript"/>
        </w:rPr>
        <w:t>b)</w:t>
      </w:r>
    </w:p>
    <w:tbl>
      <w:tblPr>
        <w:tblStyle w:val="TableGrid"/>
        <w:tblW w:w="3662" w:type="pct"/>
        <w:tblLook w:val="0680" w:firstRow="0" w:lastRow="0" w:firstColumn="1" w:lastColumn="0" w:noHBand="1" w:noVBand="1"/>
      </w:tblPr>
      <w:tblGrid>
        <w:gridCol w:w="2148"/>
        <w:gridCol w:w="905"/>
        <w:gridCol w:w="901"/>
        <w:gridCol w:w="901"/>
        <w:gridCol w:w="901"/>
        <w:gridCol w:w="907"/>
        <w:gridCol w:w="901"/>
        <w:gridCol w:w="901"/>
        <w:gridCol w:w="901"/>
        <w:gridCol w:w="897"/>
      </w:tblGrid>
      <w:tr w:rsidR="00010A28" w:rsidRPr="00B31810" w:rsidTr="00A94762">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D7DDE9"/>
          </w:tcPr>
          <w:p w:rsidR="00010A28" w:rsidRPr="0064766E" w:rsidRDefault="00010A28" w:rsidP="00754137">
            <w:pPr>
              <w:keepNext/>
              <w:keepLines/>
              <w:spacing w:before="70" w:after="70" w:line="240" w:lineRule="auto"/>
              <w:ind w:left="57" w:right="57"/>
              <w:rPr>
                <w:szCs w:val="20"/>
              </w:rPr>
            </w:pPr>
            <w:r w:rsidRPr="0064766E">
              <w:rPr>
                <w:szCs w:val="20"/>
              </w:rPr>
              <w:t>($m)</w:t>
            </w:r>
          </w:p>
        </w:tc>
        <w:tc>
          <w:tcPr>
            <w:tcW w:w="441"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2016–17</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2017–18</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2018–19</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2019–20</w:t>
            </w:r>
          </w:p>
        </w:tc>
        <w:tc>
          <w:tcPr>
            <w:tcW w:w="442"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Total to 2019–20</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2020–21</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2021–22</w:t>
            </w:r>
          </w:p>
        </w:tc>
        <w:tc>
          <w:tcPr>
            <w:tcW w:w="439"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2022–23</w:t>
            </w:r>
          </w:p>
        </w:tc>
        <w:tc>
          <w:tcPr>
            <w:tcW w:w="437" w:type="pct"/>
            <w:shd w:val="clear" w:color="auto" w:fill="D7DDE9"/>
          </w:tcPr>
          <w:p w:rsidR="00010A28" w:rsidRPr="0064766E" w:rsidRDefault="00010A28"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 xml:space="preserve">Total to </w:t>
            </w:r>
            <w:r>
              <w:rPr>
                <w:b/>
                <w:szCs w:val="20"/>
              </w:rPr>
              <w:t>2022-23</w:t>
            </w:r>
          </w:p>
        </w:tc>
      </w:tr>
      <w:tr w:rsidR="00010A28" w:rsidRPr="00EF1D6A" w:rsidTr="00A94762">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4" w:space="0" w:color="788184"/>
              <w:left w:val="single" w:sz="4" w:space="0" w:color="788184"/>
              <w:bottom w:val="single" w:sz="4" w:space="0" w:color="788184"/>
              <w:right w:val="single" w:sz="4" w:space="0" w:color="788184"/>
            </w:tcBorders>
            <w:shd w:val="clear" w:color="auto" w:fill="E9ECF3"/>
          </w:tcPr>
          <w:p w:rsidR="00010A28" w:rsidRPr="0064766E" w:rsidRDefault="00010A28" w:rsidP="00754137">
            <w:pPr>
              <w:pStyle w:val="TableHeadingCentred"/>
              <w:jc w:val="left"/>
              <w:rPr>
                <w:b/>
                <w:szCs w:val="20"/>
              </w:rPr>
            </w:pPr>
            <w:r w:rsidRPr="0064766E">
              <w:rPr>
                <w:b/>
                <w:szCs w:val="20"/>
              </w:rPr>
              <w:t xml:space="preserve">Impact on </w:t>
            </w:r>
            <w:r>
              <w:rPr>
                <w:b/>
                <w:szCs w:val="20"/>
              </w:rPr>
              <w:t>underlying cash balance</w:t>
            </w:r>
          </w:p>
        </w:tc>
      </w:tr>
      <w:tr w:rsidR="007D68B6" w:rsidTr="00A94762">
        <w:trPr>
          <w:cantSplit/>
        </w:trPr>
        <w:tc>
          <w:tcPr>
            <w:cnfStyle w:val="001000000000" w:firstRow="0" w:lastRow="0" w:firstColumn="1" w:lastColumn="0" w:oddVBand="0" w:evenVBand="0" w:oddHBand="0" w:evenHBand="0" w:firstRowFirstColumn="0" w:firstRowLastColumn="0" w:lastRowFirstColumn="0" w:lastRowLastColumn="0"/>
            <w:tcW w:w="1046" w:type="pct"/>
          </w:tcPr>
          <w:p w:rsidR="007D68B6" w:rsidRPr="00E161EB" w:rsidRDefault="007D68B6" w:rsidP="00754137">
            <w:pPr>
              <w:spacing w:before="70" w:after="70" w:line="240" w:lineRule="auto"/>
              <w:ind w:left="57" w:right="57"/>
              <w:rPr>
                <w:i/>
                <w:color w:val="000000"/>
                <w:szCs w:val="20"/>
              </w:rPr>
            </w:pPr>
            <w:r w:rsidRPr="00E161EB">
              <w:rPr>
                <w:i/>
                <w:color w:val="000000"/>
                <w:szCs w:val="20"/>
              </w:rPr>
              <w:t>Departmental expenses</w:t>
            </w:r>
          </w:p>
        </w:tc>
        <w:tc>
          <w:tcPr>
            <w:tcW w:w="441"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-1.0</w:t>
            </w:r>
          </w:p>
        </w:tc>
        <w:tc>
          <w:tcPr>
            <w:tcW w:w="439"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-3.0</w:t>
            </w:r>
          </w:p>
        </w:tc>
        <w:tc>
          <w:tcPr>
            <w:tcW w:w="442"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-6.0</w:t>
            </w:r>
          </w:p>
        </w:tc>
        <w:tc>
          <w:tcPr>
            <w:tcW w:w="439"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-3.0</w:t>
            </w:r>
          </w:p>
        </w:tc>
        <w:tc>
          <w:tcPr>
            <w:tcW w:w="439"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9"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
                <w:iCs/>
                <w:color w:val="000000"/>
                <w:sz w:val="24"/>
                <w:szCs w:val="24"/>
              </w:rPr>
            </w:pPr>
            <w:r>
              <w:rPr>
                <w:i/>
                <w:iCs/>
                <w:color w:val="000000"/>
              </w:rPr>
              <w:t>-</w:t>
            </w:r>
          </w:p>
        </w:tc>
        <w:tc>
          <w:tcPr>
            <w:tcW w:w="437" w:type="pct"/>
          </w:tcPr>
          <w:p w:rsid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
                <w:iCs/>
                <w:color w:val="000000"/>
                <w:sz w:val="24"/>
                <w:szCs w:val="24"/>
              </w:rPr>
            </w:pPr>
            <w:r>
              <w:rPr>
                <w:b/>
                <w:bCs/>
                <w:i/>
                <w:iCs/>
                <w:color w:val="000000"/>
              </w:rPr>
              <w:t>-9.0</w:t>
            </w:r>
          </w:p>
        </w:tc>
      </w:tr>
      <w:tr w:rsidR="007D68B6" w:rsidRPr="008D6ECA" w:rsidTr="00A94762">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E9ECF3"/>
          </w:tcPr>
          <w:p w:rsidR="007D68B6" w:rsidRPr="0064766E" w:rsidRDefault="007D68B6" w:rsidP="00754137">
            <w:pPr>
              <w:spacing w:before="70" w:after="70" w:line="240" w:lineRule="auto"/>
              <w:ind w:left="57" w:right="57"/>
              <w:rPr>
                <w:b/>
                <w:bCs/>
                <w:color w:val="000000"/>
                <w:szCs w:val="20"/>
              </w:rPr>
            </w:pPr>
            <w:r w:rsidRPr="0064766E">
              <w:rPr>
                <w:b/>
                <w:bCs/>
                <w:color w:val="000000"/>
                <w:szCs w:val="20"/>
              </w:rPr>
              <w:t>Total</w:t>
            </w:r>
          </w:p>
        </w:tc>
        <w:tc>
          <w:tcPr>
            <w:tcW w:w="441"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7D68B6">
              <w:rPr>
                <w:b/>
                <w:color w:val="000000"/>
              </w:rPr>
              <w:t>-1.0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7D68B6">
              <w:rPr>
                <w:b/>
                <w:color w:val="000000"/>
              </w:rPr>
              <w:t>-1.0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7D68B6">
              <w:rPr>
                <w:b/>
                <w:color w:val="000000"/>
              </w:rPr>
              <w:t>-1.0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7D68B6">
              <w:rPr>
                <w:b/>
                <w:color w:val="000000"/>
              </w:rPr>
              <w:t>-3.0</w:t>
            </w:r>
          </w:p>
        </w:tc>
        <w:tc>
          <w:tcPr>
            <w:tcW w:w="442"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7D68B6">
              <w:rPr>
                <w:b/>
                <w:bCs/>
                <w:color w:val="000000"/>
              </w:rPr>
              <w:t>-6.0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7D68B6">
              <w:rPr>
                <w:b/>
                <w:color w:val="000000"/>
              </w:rPr>
              <w:t>-3.0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7D68B6">
              <w:rPr>
                <w:b/>
                <w:color w:val="000000"/>
              </w:rPr>
              <w:t>-</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7D68B6">
              <w:rPr>
                <w:b/>
                <w:color w:val="000000"/>
              </w:rPr>
              <w:t>-</w:t>
            </w:r>
          </w:p>
        </w:tc>
        <w:tc>
          <w:tcPr>
            <w:tcW w:w="437"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7D68B6">
              <w:rPr>
                <w:b/>
                <w:bCs/>
                <w:color w:val="000000"/>
              </w:rPr>
              <w:t>-9.0</w:t>
            </w:r>
          </w:p>
        </w:tc>
      </w:tr>
    </w:tbl>
    <w:p w:rsidR="00737C19" w:rsidRPr="00DB3B7E" w:rsidRDefault="00737C19" w:rsidP="00737C19">
      <w:pPr>
        <w:pStyle w:val="Footnotes"/>
        <w:numPr>
          <w:ilvl w:val="0"/>
          <w:numId w:val="39"/>
        </w:numPr>
        <w:ind w:left="284" w:right="3797" w:hanging="284"/>
      </w:pPr>
      <w:r w:rsidRPr="00DB3B7E">
        <w:t xml:space="preserve">A positive number for the underlying cash balance indicates an increase in receipts or a decrease in outlays or net capital investment in cash terms. </w:t>
      </w:r>
      <w:r>
        <w:t xml:space="preserve"> </w:t>
      </w:r>
      <w:r w:rsidRPr="00DB3B7E">
        <w:t xml:space="preserve">A negative number for the </w:t>
      </w:r>
      <w:r>
        <w:t>underlying cash</w:t>
      </w:r>
      <w:r w:rsidRPr="00DB3B7E">
        <w:t xml:space="preserve"> balance indicates a decrease in receipts or an increase in outlays or net capital investment in cash terms.</w:t>
      </w:r>
    </w:p>
    <w:p w:rsidR="00010A28" w:rsidRPr="00EC7179" w:rsidRDefault="00010A28" w:rsidP="00010A28">
      <w:pPr>
        <w:numPr>
          <w:ilvl w:val="0"/>
          <w:numId w:val="7"/>
        </w:numPr>
        <w:spacing w:before="113" w:after="0" w:line="260" w:lineRule="atLeast"/>
        <w:ind w:left="284" w:hanging="284"/>
        <w:rPr>
          <w:sz w:val="20"/>
          <w:szCs w:val="20"/>
        </w:rPr>
      </w:pPr>
      <w:r w:rsidRPr="00EC7179">
        <w:rPr>
          <w:sz w:val="20"/>
          <w:szCs w:val="20"/>
        </w:rPr>
        <w:t>Figures may not sum to total due to rounding.</w:t>
      </w:r>
    </w:p>
    <w:p w:rsidR="00010A28" w:rsidRDefault="00010A28" w:rsidP="00010A28">
      <w:pPr>
        <w:numPr>
          <w:ilvl w:val="0"/>
          <w:numId w:val="18"/>
        </w:numPr>
        <w:spacing w:before="113" w:after="0" w:line="260" w:lineRule="atLeast"/>
        <w:ind w:left="284" w:hanging="284"/>
        <w:rPr>
          <w:sz w:val="20"/>
          <w:szCs w:val="20"/>
        </w:rPr>
      </w:pPr>
      <w:r>
        <w:rPr>
          <w:sz w:val="20"/>
          <w:szCs w:val="20"/>
        </w:rPr>
        <w:t>Indicates nil</w:t>
      </w:r>
      <w:r w:rsidR="00754137">
        <w:rPr>
          <w:sz w:val="20"/>
          <w:szCs w:val="20"/>
        </w:rPr>
        <w:t>.</w:t>
      </w:r>
    </w:p>
    <w:p w:rsidR="007D68B6" w:rsidRDefault="007D68B6" w:rsidP="007D68B6">
      <w:pPr>
        <w:pStyle w:val="Captionheading"/>
      </w:pPr>
      <w:r>
        <w:lastRenderedPageBreak/>
        <w:t>Table A</w:t>
      </w:r>
      <w:r w:rsidR="005A6604">
        <w:t>9</w:t>
      </w:r>
      <w:r>
        <w:t xml:space="preserve">: Component 4: </w:t>
      </w:r>
      <w:r w:rsidR="006557A4" w:rsidRPr="00E161EB">
        <w:t>Business battery storage depreciation</w:t>
      </w:r>
      <w:r w:rsidR="005A6604" w:rsidRPr="00E161EB">
        <w:t xml:space="preserve"> </w:t>
      </w:r>
      <w:r w:rsidRPr="00E161EB">
        <w:t>—</w:t>
      </w:r>
      <w:r w:rsidR="005A6604">
        <w:t xml:space="preserve"> </w:t>
      </w:r>
      <w:r w:rsidRPr="007B251E">
        <w:t>Financial implications</w:t>
      </w:r>
      <w:r w:rsidR="005A6604">
        <w:t xml:space="preserve"> </w:t>
      </w:r>
      <w:r w:rsidR="005A6604" w:rsidRPr="007B251E">
        <w:t>—</w:t>
      </w:r>
      <w:r w:rsidR="005A6604">
        <w:t xml:space="preserve"> Fiscal balance</w:t>
      </w:r>
      <w:r w:rsidR="005A6604" w:rsidRPr="007B251E">
        <w:rPr>
          <w:vertAlign w:val="superscript"/>
        </w:rPr>
        <w:t xml:space="preserve"> </w:t>
      </w:r>
      <w:r w:rsidRPr="007B251E">
        <w:rPr>
          <w:vertAlign w:val="superscript"/>
        </w:rPr>
        <w:t>(a</w:t>
      </w:r>
      <w:proofErr w:type="gramStart"/>
      <w:r w:rsidRPr="007B251E">
        <w:rPr>
          <w:vertAlign w:val="superscript"/>
        </w:rPr>
        <w:t>)(</w:t>
      </w:r>
      <w:proofErr w:type="gramEnd"/>
      <w:r w:rsidRPr="007B251E">
        <w:rPr>
          <w:vertAlign w:val="superscript"/>
        </w:rPr>
        <w:t>b)</w:t>
      </w:r>
    </w:p>
    <w:tbl>
      <w:tblPr>
        <w:tblStyle w:val="TableGrid"/>
        <w:tblW w:w="3662" w:type="pct"/>
        <w:tblLook w:val="0680" w:firstRow="0" w:lastRow="0" w:firstColumn="1" w:lastColumn="0" w:noHBand="1" w:noVBand="1"/>
      </w:tblPr>
      <w:tblGrid>
        <w:gridCol w:w="2148"/>
        <w:gridCol w:w="905"/>
        <w:gridCol w:w="901"/>
        <w:gridCol w:w="901"/>
        <w:gridCol w:w="901"/>
        <w:gridCol w:w="907"/>
        <w:gridCol w:w="901"/>
        <w:gridCol w:w="901"/>
        <w:gridCol w:w="901"/>
        <w:gridCol w:w="897"/>
      </w:tblGrid>
      <w:tr w:rsidR="007D68B6" w:rsidRPr="00B31810" w:rsidTr="00A94762">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D7DDE9"/>
          </w:tcPr>
          <w:p w:rsidR="007D68B6" w:rsidRPr="0064766E" w:rsidRDefault="007D68B6" w:rsidP="00754137">
            <w:pPr>
              <w:keepNext/>
              <w:keepLines/>
              <w:spacing w:before="70" w:after="70" w:line="240" w:lineRule="auto"/>
              <w:ind w:left="57" w:right="57"/>
              <w:rPr>
                <w:szCs w:val="20"/>
              </w:rPr>
            </w:pPr>
            <w:r w:rsidRPr="0064766E">
              <w:rPr>
                <w:szCs w:val="20"/>
              </w:rPr>
              <w:t>($m)</w:t>
            </w:r>
          </w:p>
        </w:tc>
        <w:tc>
          <w:tcPr>
            <w:tcW w:w="441"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2016–17</w:t>
            </w:r>
          </w:p>
        </w:tc>
        <w:tc>
          <w:tcPr>
            <w:tcW w:w="439"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2017–18</w:t>
            </w:r>
          </w:p>
        </w:tc>
        <w:tc>
          <w:tcPr>
            <w:tcW w:w="439"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2018–19</w:t>
            </w:r>
          </w:p>
        </w:tc>
        <w:tc>
          <w:tcPr>
            <w:tcW w:w="439"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2019–20</w:t>
            </w:r>
          </w:p>
        </w:tc>
        <w:tc>
          <w:tcPr>
            <w:tcW w:w="442"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Total to 2019–20</w:t>
            </w:r>
          </w:p>
        </w:tc>
        <w:tc>
          <w:tcPr>
            <w:tcW w:w="439"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2020–21</w:t>
            </w:r>
          </w:p>
        </w:tc>
        <w:tc>
          <w:tcPr>
            <w:tcW w:w="439"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2021–22</w:t>
            </w:r>
          </w:p>
        </w:tc>
        <w:tc>
          <w:tcPr>
            <w:tcW w:w="439"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2022–23</w:t>
            </w:r>
          </w:p>
        </w:tc>
        <w:tc>
          <w:tcPr>
            <w:tcW w:w="437"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 xml:space="preserve">Total to </w:t>
            </w:r>
            <w:r>
              <w:rPr>
                <w:b/>
                <w:szCs w:val="20"/>
              </w:rPr>
              <w:t>2022-23</w:t>
            </w:r>
          </w:p>
        </w:tc>
      </w:tr>
      <w:tr w:rsidR="007D68B6" w:rsidRPr="00EF1D6A" w:rsidTr="00A94762">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4" w:space="0" w:color="788184"/>
              <w:left w:val="single" w:sz="4" w:space="0" w:color="788184"/>
              <w:bottom w:val="single" w:sz="4" w:space="0" w:color="788184"/>
              <w:right w:val="single" w:sz="4" w:space="0" w:color="788184"/>
            </w:tcBorders>
            <w:shd w:val="clear" w:color="auto" w:fill="E9ECF3"/>
          </w:tcPr>
          <w:p w:rsidR="007D68B6" w:rsidRPr="0064766E" w:rsidRDefault="007D68B6" w:rsidP="00754137">
            <w:pPr>
              <w:pStyle w:val="TableHeadingCentred"/>
              <w:jc w:val="left"/>
              <w:rPr>
                <w:b/>
                <w:szCs w:val="20"/>
              </w:rPr>
            </w:pPr>
            <w:r w:rsidRPr="0064766E">
              <w:rPr>
                <w:b/>
                <w:szCs w:val="20"/>
              </w:rPr>
              <w:t xml:space="preserve">Impact on fiscal </w:t>
            </w:r>
            <w:r>
              <w:rPr>
                <w:b/>
                <w:szCs w:val="20"/>
              </w:rPr>
              <w:t>balance</w:t>
            </w:r>
          </w:p>
        </w:tc>
      </w:tr>
      <w:tr w:rsidR="007D68B6" w:rsidRPr="006557A4" w:rsidTr="00A94762">
        <w:trPr>
          <w:cantSplit/>
        </w:trPr>
        <w:tc>
          <w:tcPr>
            <w:cnfStyle w:val="001000000000" w:firstRow="0" w:lastRow="0" w:firstColumn="1" w:lastColumn="0" w:oddVBand="0" w:evenVBand="0" w:oddHBand="0" w:evenHBand="0" w:firstRowFirstColumn="0" w:firstRowLastColumn="0" w:lastRowFirstColumn="0" w:lastRowLastColumn="0"/>
            <w:tcW w:w="1046" w:type="pct"/>
          </w:tcPr>
          <w:p w:rsidR="007D68B6" w:rsidRPr="006557A4" w:rsidRDefault="007D68B6" w:rsidP="00754137">
            <w:pPr>
              <w:spacing w:before="70" w:after="70" w:line="240" w:lineRule="auto"/>
              <w:ind w:left="57" w:right="57"/>
              <w:rPr>
                <w:color w:val="000000"/>
                <w:szCs w:val="20"/>
              </w:rPr>
            </w:pPr>
            <w:r w:rsidRPr="006557A4">
              <w:rPr>
                <w:color w:val="000000"/>
                <w:szCs w:val="20"/>
              </w:rPr>
              <w:t>Revenue</w:t>
            </w:r>
          </w:p>
        </w:tc>
        <w:tc>
          <w:tcPr>
            <w:tcW w:w="441"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Cs/>
                <w:color w:val="000000"/>
                <w:sz w:val="24"/>
                <w:szCs w:val="24"/>
              </w:rPr>
            </w:pPr>
            <w:r w:rsidRPr="00E161EB">
              <w:rPr>
                <w:iCs/>
                <w:color w:val="000000"/>
              </w:rPr>
              <w:t>-5.0</w:t>
            </w:r>
          </w:p>
        </w:tc>
        <w:tc>
          <w:tcPr>
            <w:tcW w:w="439"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Cs/>
                <w:color w:val="000000"/>
                <w:sz w:val="24"/>
                <w:szCs w:val="24"/>
              </w:rPr>
            </w:pPr>
            <w:r w:rsidRPr="00E161EB">
              <w:rPr>
                <w:iCs/>
                <w:color w:val="000000"/>
              </w:rPr>
              <w:t>-14.0</w:t>
            </w:r>
          </w:p>
        </w:tc>
        <w:tc>
          <w:tcPr>
            <w:tcW w:w="439"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Cs/>
                <w:color w:val="000000"/>
                <w:sz w:val="24"/>
                <w:szCs w:val="24"/>
              </w:rPr>
            </w:pPr>
            <w:r w:rsidRPr="00E161EB">
              <w:rPr>
                <w:iCs/>
                <w:color w:val="000000"/>
              </w:rPr>
              <w:t>-17.0</w:t>
            </w:r>
          </w:p>
        </w:tc>
        <w:tc>
          <w:tcPr>
            <w:tcW w:w="439"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Cs/>
                <w:color w:val="000000"/>
                <w:sz w:val="24"/>
                <w:szCs w:val="24"/>
              </w:rPr>
            </w:pPr>
            <w:r w:rsidRPr="00E161EB">
              <w:rPr>
                <w:iCs/>
                <w:color w:val="000000"/>
              </w:rPr>
              <w:t>-18.0</w:t>
            </w:r>
          </w:p>
        </w:tc>
        <w:tc>
          <w:tcPr>
            <w:tcW w:w="442"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Cs/>
                <w:color w:val="000000"/>
                <w:sz w:val="24"/>
                <w:szCs w:val="24"/>
              </w:rPr>
            </w:pPr>
            <w:r w:rsidRPr="00E161EB">
              <w:rPr>
                <w:b/>
                <w:bCs/>
                <w:iCs/>
                <w:color w:val="000000"/>
              </w:rPr>
              <w:t>-54.0</w:t>
            </w:r>
          </w:p>
        </w:tc>
        <w:tc>
          <w:tcPr>
            <w:tcW w:w="439"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Cs/>
                <w:color w:val="000000"/>
                <w:sz w:val="24"/>
                <w:szCs w:val="24"/>
              </w:rPr>
            </w:pPr>
            <w:r w:rsidRPr="00E161EB">
              <w:rPr>
                <w:iCs/>
                <w:color w:val="000000"/>
              </w:rPr>
              <w:t>-15.0</w:t>
            </w:r>
          </w:p>
        </w:tc>
        <w:tc>
          <w:tcPr>
            <w:tcW w:w="439"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Cs/>
                <w:color w:val="000000"/>
                <w:sz w:val="24"/>
                <w:szCs w:val="24"/>
              </w:rPr>
            </w:pPr>
            <w:r w:rsidRPr="00E161EB">
              <w:rPr>
                <w:iCs/>
                <w:color w:val="000000"/>
              </w:rPr>
              <w:t>-5.0</w:t>
            </w:r>
          </w:p>
        </w:tc>
        <w:tc>
          <w:tcPr>
            <w:tcW w:w="439"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Cs/>
                <w:color w:val="000000"/>
                <w:sz w:val="24"/>
                <w:szCs w:val="24"/>
              </w:rPr>
            </w:pPr>
            <w:r w:rsidRPr="00E161EB">
              <w:rPr>
                <w:iCs/>
                <w:color w:val="000000"/>
              </w:rPr>
              <w:t>3.0</w:t>
            </w:r>
          </w:p>
        </w:tc>
        <w:tc>
          <w:tcPr>
            <w:tcW w:w="437"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Cs/>
                <w:color w:val="000000"/>
                <w:sz w:val="24"/>
                <w:szCs w:val="24"/>
              </w:rPr>
            </w:pPr>
            <w:r w:rsidRPr="00E161EB">
              <w:rPr>
                <w:b/>
                <w:bCs/>
                <w:iCs/>
                <w:color w:val="000000"/>
              </w:rPr>
              <w:t>-71.0</w:t>
            </w:r>
          </w:p>
        </w:tc>
      </w:tr>
      <w:tr w:rsidR="007D68B6" w:rsidRPr="008D6ECA" w:rsidTr="00A94762">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E9ECF3"/>
          </w:tcPr>
          <w:p w:rsidR="007D68B6" w:rsidRPr="0064766E" w:rsidRDefault="007D68B6" w:rsidP="00754137">
            <w:pPr>
              <w:spacing w:before="70" w:after="70" w:line="240" w:lineRule="auto"/>
              <w:ind w:left="57" w:right="57"/>
              <w:rPr>
                <w:b/>
                <w:bCs/>
                <w:color w:val="000000"/>
                <w:szCs w:val="20"/>
              </w:rPr>
            </w:pPr>
            <w:r w:rsidRPr="0064766E">
              <w:rPr>
                <w:b/>
                <w:bCs/>
                <w:color w:val="000000"/>
                <w:szCs w:val="20"/>
              </w:rPr>
              <w:t>Total</w:t>
            </w:r>
          </w:p>
        </w:tc>
        <w:tc>
          <w:tcPr>
            <w:tcW w:w="441"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Cs/>
                <w:color w:val="000000"/>
                <w:sz w:val="24"/>
                <w:szCs w:val="24"/>
              </w:rPr>
            </w:pPr>
            <w:r w:rsidRPr="007D68B6">
              <w:rPr>
                <w:b/>
                <w:iCs/>
                <w:color w:val="000000"/>
              </w:rPr>
              <w:t>-5.0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Cs/>
                <w:color w:val="000000"/>
                <w:sz w:val="24"/>
                <w:szCs w:val="24"/>
              </w:rPr>
            </w:pPr>
            <w:r w:rsidRPr="007D68B6">
              <w:rPr>
                <w:b/>
                <w:iCs/>
                <w:color w:val="000000"/>
              </w:rPr>
              <w:t>-14.0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Cs/>
                <w:color w:val="000000"/>
                <w:sz w:val="24"/>
                <w:szCs w:val="24"/>
              </w:rPr>
            </w:pPr>
            <w:r w:rsidRPr="007D68B6">
              <w:rPr>
                <w:b/>
                <w:iCs/>
                <w:color w:val="000000"/>
              </w:rPr>
              <w:t>-17.0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Cs/>
                <w:color w:val="000000"/>
                <w:sz w:val="24"/>
                <w:szCs w:val="24"/>
              </w:rPr>
            </w:pPr>
            <w:r w:rsidRPr="007D68B6">
              <w:rPr>
                <w:b/>
                <w:iCs/>
                <w:color w:val="000000"/>
              </w:rPr>
              <w:t>-18.0</w:t>
            </w:r>
          </w:p>
        </w:tc>
        <w:tc>
          <w:tcPr>
            <w:tcW w:w="442"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Cs/>
                <w:color w:val="000000"/>
                <w:sz w:val="24"/>
                <w:szCs w:val="24"/>
              </w:rPr>
            </w:pPr>
            <w:r w:rsidRPr="007D68B6">
              <w:rPr>
                <w:b/>
                <w:bCs/>
                <w:iCs/>
                <w:color w:val="000000"/>
              </w:rPr>
              <w:t>-54.0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Cs/>
                <w:color w:val="000000"/>
                <w:sz w:val="24"/>
                <w:szCs w:val="24"/>
              </w:rPr>
            </w:pPr>
            <w:r w:rsidRPr="007D68B6">
              <w:rPr>
                <w:b/>
                <w:iCs/>
                <w:color w:val="000000"/>
              </w:rPr>
              <w:t>-15.0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Cs/>
                <w:color w:val="000000"/>
                <w:sz w:val="24"/>
                <w:szCs w:val="24"/>
              </w:rPr>
            </w:pPr>
            <w:r w:rsidRPr="007D68B6">
              <w:rPr>
                <w:b/>
                <w:iCs/>
                <w:color w:val="000000"/>
              </w:rPr>
              <w:t>-5.0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Cs/>
                <w:color w:val="000000"/>
                <w:sz w:val="24"/>
                <w:szCs w:val="24"/>
              </w:rPr>
            </w:pPr>
            <w:r w:rsidRPr="007D68B6">
              <w:rPr>
                <w:b/>
                <w:iCs/>
                <w:color w:val="000000"/>
              </w:rPr>
              <w:t>3.0</w:t>
            </w:r>
          </w:p>
        </w:tc>
        <w:tc>
          <w:tcPr>
            <w:tcW w:w="437"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Cs/>
                <w:color w:val="000000"/>
                <w:sz w:val="24"/>
                <w:szCs w:val="24"/>
              </w:rPr>
            </w:pPr>
            <w:r w:rsidRPr="007D68B6">
              <w:rPr>
                <w:b/>
                <w:bCs/>
                <w:iCs/>
                <w:color w:val="000000"/>
              </w:rPr>
              <w:t>-71.0</w:t>
            </w:r>
          </w:p>
        </w:tc>
      </w:tr>
    </w:tbl>
    <w:p w:rsidR="00737C19" w:rsidRPr="00DB3B7E" w:rsidRDefault="00737C19" w:rsidP="00754137">
      <w:pPr>
        <w:pStyle w:val="Footnotes"/>
        <w:keepNext/>
        <w:keepLines/>
        <w:numPr>
          <w:ilvl w:val="0"/>
          <w:numId w:val="34"/>
        </w:numPr>
        <w:ind w:left="284" w:right="3655" w:hanging="284"/>
      </w:pPr>
      <w:r w:rsidRPr="00DB3B7E">
        <w:t>A positive number for the fiscal balance indicates an increase in revenue or a decrease in expenses or net capita</w:t>
      </w:r>
      <w:r>
        <w:t xml:space="preserve">l investment in accrual terms.  </w:t>
      </w:r>
      <w:r w:rsidRPr="00DB3B7E">
        <w:t xml:space="preserve">A negative number for the fiscal balance indicates a decrease in revenue or an increase in expenses or net capital investment in accrual terms.   </w:t>
      </w:r>
    </w:p>
    <w:p w:rsidR="005A6604" w:rsidRPr="00EC7179" w:rsidRDefault="005A6604" w:rsidP="00754137">
      <w:pPr>
        <w:numPr>
          <w:ilvl w:val="0"/>
          <w:numId w:val="7"/>
        </w:numPr>
        <w:spacing w:before="113" w:after="0" w:line="260" w:lineRule="atLeast"/>
        <w:ind w:left="284" w:hanging="284"/>
        <w:rPr>
          <w:sz w:val="20"/>
          <w:szCs w:val="20"/>
        </w:rPr>
      </w:pPr>
      <w:r w:rsidRPr="00EC7179">
        <w:rPr>
          <w:sz w:val="20"/>
          <w:szCs w:val="20"/>
        </w:rPr>
        <w:t>Figures may not sum to total due to rounding.</w:t>
      </w:r>
    </w:p>
    <w:p w:rsidR="006B08AE" w:rsidRPr="00754137" w:rsidRDefault="005A6604" w:rsidP="00754137">
      <w:pPr>
        <w:pStyle w:val="ListParagraph"/>
        <w:numPr>
          <w:ilvl w:val="0"/>
          <w:numId w:val="18"/>
        </w:numPr>
        <w:spacing w:before="113" w:after="0" w:line="260" w:lineRule="atLeast"/>
        <w:ind w:left="284" w:hanging="284"/>
        <w:rPr>
          <w:sz w:val="20"/>
          <w:szCs w:val="20"/>
        </w:rPr>
      </w:pPr>
      <w:r w:rsidRPr="00754137">
        <w:rPr>
          <w:sz w:val="20"/>
          <w:szCs w:val="20"/>
        </w:rPr>
        <w:t>Indicates nil</w:t>
      </w:r>
    </w:p>
    <w:p w:rsidR="007D68B6" w:rsidRDefault="005A6604" w:rsidP="005A6604">
      <w:pPr>
        <w:pStyle w:val="Captionheading"/>
      </w:pPr>
      <w:r>
        <w:t>Table A</w:t>
      </w:r>
      <w:r w:rsidR="00737C19">
        <w:t>10</w:t>
      </w:r>
      <w:r>
        <w:t xml:space="preserve">: Component 4: </w:t>
      </w:r>
      <w:r w:rsidRPr="00E161EB">
        <w:t xml:space="preserve">Business battery storage depreciation </w:t>
      </w:r>
      <w:r w:rsidRPr="007B251E">
        <w:t>—</w:t>
      </w:r>
      <w:r>
        <w:t xml:space="preserve"> </w:t>
      </w:r>
      <w:r w:rsidRPr="007B251E">
        <w:t>Financial implications</w:t>
      </w:r>
      <w:r>
        <w:t xml:space="preserve"> </w:t>
      </w:r>
      <w:r w:rsidRPr="007B251E">
        <w:t>—</w:t>
      </w:r>
      <w:r>
        <w:t xml:space="preserve"> Underlying cash balance</w:t>
      </w:r>
      <w:r w:rsidRPr="007B251E">
        <w:rPr>
          <w:vertAlign w:val="superscript"/>
        </w:rPr>
        <w:t xml:space="preserve"> (a</w:t>
      </w:r>
      <w:proofErr w:type="gramStart"/>
      <w:r w:rsidRPr="007B251E">
        <w:rPr>
          <w:vertAlign w:val="superscript"/>
        </w:rPr>
        <w:t>)(</w:t>
      </w:r>
      <w:proofErr w:type="gramEnd"/>
      <w:r w:rsidRPr="007B251E">
        <w:rPr>
          <w:vertAlign w:val="superscript"/>
        </w:rPr>
        <w:t>b)</w:t>
      </w:r>
    </w:p>
    <w:tbl>
      <w:tblPr>
        <w:tblStyle w:val="TableGrid"/>
        <w:tblW w:w="3662" w:type="pct"/>
        <w:tblLook w:val="0680" w:firstRow="0" w:lastRow="0" w:firstColumn="1" w:lastColumn="0" w:noHBand="1" w:noVBand="1"/>
      </w:tblPr>
      <w:tblGrid>
        <w:gridCol w:w="2148"/>
        <w:gridCol w:w="905"/>
        <w:gridCol w:w="901"/>
        <w:gridCol w:w="901"/>
        <w:gridCol w:w="901"/>
        <w:gridCol w:w="907"/>
        <w:gridCol w:w="901"/>
        <w:gridCol w:w="901"/>
        <w:gridCol w:w="901"/>
        <w:gridCol w:w="897"/>
      </w:tblGrid>
      <w:tr w:rsidR="007D68B6" w:rsidRPr="00B31810" w:rsidTr="00A94762">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D7DDE9"/>
          </w:tcPr>
          <w:p w:rsidR="007D68B6" w:rsidRPr="0064766E" w:rsidRDefault="007D68B6" w:rsidP="00754137">
            <w:pPr>
              <w:keepNext/>
              <w:keepLines/>
              <w:spacing w:before="70" w:after="70" w:line="240" w:lineRule="auto"/>
              <w:ind w:left="57" w:right="57"/>
              <w:rPr>
                <w:szCs w:val="20"/>
              </w:rPr>
            </w:pPr>
            <w:r w:rsidRPr="0064766E">
              <w:rPr>
                <w:szCs w:val="20"/>
              </w:rPr>
              <w:t>($m)</w:t>
            </w:r>
          </w:p>
        </w:tc>
        <w:tc>
          <w:tcPr>
            <w:tcW w:w="441"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2016–17</w:t>
            </w:r>
          </w:p>
        </w:tc>
        <w:tc>
          <w:tcPr>
            <w:tcW w:w="439"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2017–18</w:t>
            </w:r>
          </w:p>
        </w:tc>
        <w:tc>
          <w:tcPr>
            <w:tcW w:w="439"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2018–19</w:t>
            </w:r>
          </w:p>
        </w:tc>
        <w:tc>
          <w:tcPr>
            <w:tcW w:w="439"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2019–20</w:t>
            </w:r>
          </w:p>
        </w:tc>
        <w:tc>
          <w:tcPr>
            <w:tcW w:w="442"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Total to 2019–20</w:t>
            </w:r>
          </w:p>
        </w:tc>
        <w:tc>
          <w:tcPr>
            <w:tcW w:w="439"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2020–21</w:t>
            </w:r>
          </w:p>
        </w:tc>
        <w:tc>
          <w:tcPr>
            <w:tcW w:w="439"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2021–22</w:t>
            </w:r>
          </w:p>
        </w:tc>
        <w:tc>
          <w:tcPr>
            <w:tcW w:w="439"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64766E">
              <w:rPr>
                <w:szCs w:val="20"/>
              </w:rPr>
              <w:t>2022–23</w:t>
            </w:r>
          </w:p>
        </w:tc>
        <w:tc>
          <w:tcPr>
            <w:tcW w:w="437" w:type="pct"/>
            <w:shd w:val="clear" w:color="auto" w:fill="D7DDE9"/>
          </w:tcPr>
          <w:p w:rsidR="007D68B6" w:rsidRPr="0064766E" w:rsidRDefault="007D68B6" w:rsidP="00754137">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64766E">
              <w:rPr>
                <w:b/>
                <w:szCs w:val="20"/>
              </w:rPr>
              <w:t xml:space="preserve">Total to </w:t>
            </w:r>
            <w:r>
              <w:rPr>
                <w:b/>
                <w:szCs w:val="20"/>
              </w:rPr>
              <w:t>2022-23</w:t>
            </w:r>
          </w:p>
        </w:tc>
      </w:tr>
      <w:tr w:rsidR="007D68B6" w:rsidRPr="00EF1D6A" w:rsidTr="00A94762">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4" w:space="0" w:color="788184"/>
              <w:left w:val="single" w:sz="4" w:space="0" w:color="788184"/>
              <w:bottom w:val="single" w:sz="4" w:space="0" w:color="788184"/>
              <w:right w:val="single" w:sz="4" w:space="0" w:color="788184"/>
            </w:tcBorders>
            <w:shd w:val="clear" w:color="auto" w:fill="E9ECF3"/>
          </w:tcPr>
          <w:p w:rsidR="007D68B6" w:rsidRPr="0064766E" w:rsidRDefault="007D68B6" w:rsidP="00754137">
            <w:pPr>
              <w:pStyle w:val="TableHeadingCentred"/>
              <w:jc w:val="left"/>
              <w:rPr>
                <w:b/>
                <w:szCs w:val="20"/>
              </w:rPr>
            </w:pPr>
            <w:r w:rsidRPr="0064766E">
              <w:rPr>
                <w:b/>
                <w:szCs w:val="20"/>
              </w:rPr>
              <w:t xml:space="preserve">Impact on </w:t>
            </w:r>
            <w:r>
              <w:rPr>
                <w:b/>
                <w:szCs w:val="20"/>
              </w:rPr>
              <w:t>underlying cash balance</w:t>
            </w:r>
          </w:p>
        </w:tc>
      </w:tr>
      <w:tr w:rsidR="007D68B6" w:rsidRPr="006557A4" w:rsidTr="00A94762">
        <w:trPr>
          <w:cantSplit/>
        </w:trPr>
        <w:tc>
          <w:tcPr>
            <w:cnfStyle w:val="001000000000" w:firstRow="0" w:lastRow="0" w:firstColumn="1" w:lastColumn="0" w:oddVBand="0" w:evenVBand="0" w:oddHBand="0" w:evenHBand="0" w:firstRowFirstColumn="0" w:firstRowLastColumn="0" w:lastRowFirstColumn="0" w:lastRowLastColumn="0"/>
            <w:tcW w:w="1046" w:type="pct"/>
          </w:tcPr>
          <w:p w:rsidR="007D68B6" w:rsidRPr="006557A4" w:rsidRDefault="007D68B6" w:rsidP="00754137">
            <w:pPr>
              <w:spacing w:before="70" w:after="70" w:line="240" w:lineRule="auto"/>
              <w:ind w:left="57" w:right="57"/>
              <w:rPr>
                <w:color w:val="000000"/>
                <w:szCs w:val="20"/>
              </w:rPr>
            </w:pPr>
            <w:r w:rsidRPr="006557A4">
              <w:rPr>
                <w:color w:val="000000"/>
                <w:szCs w:val="20"/>
              </w:rPr>
              <w:t>Revenue</w:t>
            </w:r>
          </w:p>
        </w:tc>
        <w:tc>
          <w:tcPr>
            <w:tcW w:w="441"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Cs/>
                <w:color w:val="000000"/>
                <w:sz w:val="24"/>
                <w:szCs w:val="24"/>
              </w:rPr>
            </w:pPr>
            <w:r w:rsidRPr="00E161EB">
              <w:rPr>
                <w:iCs/>
                <w:color w:val="000000"/>
              </w:rPr>
              <w:t>-5.0</w:t>
            </w:r>
          </w:p>
        </w:tc>
        <w:tc>
          <w:tcPr>
            <w:tcW w:w="439"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Cs/>
                <w:color w:val="000000"/>
                <w:sz w:val="24"/>
                <w:szCs w:val="24"/>
              </w:rPr>
            </w:pPr>
            <w:r w:rsidRPr="00E161EB">
              <w:rPr>
                <w:iCs/>
                <w:color w:val="000000"/>
              </w:rPr>
              <w:t>-14.0</w:t>
            </w:r>
          </w:p>
        </w:tc>
        <w:tc>
          <w:tcPr>
            <w:tcW w:w="439"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Cs/>
                <w:color w:val="000000"/>
                <w:sz w:val="24"/>
                <w:szCs w:val="24"/>
              </w:rPr>
            </w:pPr>
            <w:r w:rsidRPr="00E161EB">
              <w:rPr>
                <w:iCs/>
                <w:color w:val="000000"/>
              </w:rPr>
              <w:t>-17.0</w:t>
            </w:r>
          </w:p>
        </w:tc>
        <w:tc>
          <w:tcPr>
            <w:tcW w:w="439"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Cs/>
                <w:color w:val="000000"/>
                <w:sz w:val="24"/>
                <w:szCs w:val="24"/>
              </w:rPr>
            </w:pPr>
            <w:r w:rsidRPr="00E161EB">
              <w:rPr>
                <w:iCs/>
                <w:color w:val="000000"/>
              </w:rPr>
              <w:t>-18.0</w:t>
            </w:r>
          </w:p>
        </w:tc>
        <w:tc>
          <w:tcPr>
            <w:tcW w:w="442"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Cs/>
                <w:color w:val="000000"/>
                <w:sz w:val="24"/>
                <w:szCs w:val="24"/>
              </w:rPr>
            </w:pPr>
            <w:r w:rsidRPr="00E161EB">
              <w:rPr>
                <w:b/>
                <w:bCs/>
                <w:iCs/>
                <w:color w:val="000000"/>
              </w:rPr>
              <w:t>-54.0</w:t>
            </w:r>
          </w:p>
        </w:tc>
        <w:tc>
          <w:tcPr>
            <w:tcW w:w="439"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Cs/>
                <w:color w:val="000000"/>
                <w:sz w:val="24"/>
                <w:szCs w:val="24"/>
              </w:rPr>
            </w:pPr>
            <w:r w:rsidRPr="00E161EB">
              <w:rPr>
                <w:iCs/>
                <w:color w:val="000000"/>
              </w:rPr>
              <w:t>-15.0</w:t>
            </w:r>
          </w:p>
        </w:tc>
        <w:tc>
          <w:tcPr>
            <w:tcW w:w="439"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Cs/>
                <w:color w:val="000000"/>
                <w:sz w:val="24"/>
                <w:szCs w:val="24"/>
              </w:rPr>
            </w:pPr>
            <w:r w:rsidRPr="00E161EB">
              <w:rPr>
                <w:iCs/>
                <w:color w:val="000000"/>
              </w:rPr>
              <w:t>-5.0</w:t>
            </w:r>
          </w:p>
        </w:tc>
        <w:tc>
          <w:tcPr>
            <w:tcW w:w="439"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iCs/>
                <w:color w:val="000000"/>
                <w:sz w:val="24"/>
                <w:szCs w:val="24"/>
              </w:rPr>
            </w:pPr>
            <w:r w:rsidRPr="00E161EB">
              <w:rPr>
                <w:iCs/>
                <w:color w:val="000000"/>
              </w:rPr>
              <w:t>3.0</w:t>
            </w:r>
          </w:p>
        </w:tc>
        <w:tc>
          <w:tcPr>
            <w:tcW w:w="437" w:type="pct"/>
          </w:tcPr>
          <w:p w:rsidR="007D68B6" w:rsidRPr="00E161EB"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Cs/>
                <w:color w:val="000000"/>
                <w:sz w:val="24"/>
                <w:szCs w:val="24"/>
              </w:rPr>
            </w:pPr>
            <w:r w:rsidRPr="00E161EB">
              <w:rPr>
                <w:b/>
                <w:bCs/>
                <w:iCs/>
                <w:color w:val="000000"/>
              </w:rPr>
              <w:t>-71.0</w:t>
            </w:r>
          </w:p>
        </w:tc>
      </w:tr>
      <w:tr w:rsidR="007D68B6" w:rsidRPr="008D6ECA" w:rsidTr="00A94762">
        <w:trPr>
          <w:cantSplit/>
        </w:trPr>
        <w:tc>
          <w:tcPr>
            <w:cnfStyle w:val="001000000000" w:firstRow="0" w:lastRow="0" w:firstColumn="1" w:lastColumn="0" w:oddVBand="0" w:evenVBand="0" w:oddHBand="0" w:evenHBand="0" w:firstRowFirstColumn="0" w:firstRowLastColumn="0" w:lastRowFirstColumn="0" w:lastRowLastColumn="0"/>
            <w:tcW w:w="1046" w:type="pct"/>
            <w:shd w:val="clear" w:color="auto" w:fill="E9ECF3"/>
          </w:tcPr>
          <w:p w:rsidR="007D68B6" w:rsidRPr="0064766E" w:rsidRDefault="007D68B6" w:rsidP="00754137">
            <w:pPr>
              <w:spacing w:before="70" w:after="70" w:line="240" w:lineRule="auto"/>
              <w:ind w:left="57" w:right="57"/>
              <w:rPr>
                <w:b/>
                <w:bCs/>
                <w:color w:val="000000"/>
                <w:szCs w:val="20"/>
              </w:rPr>
            </w:pPr>
            <w:r w:rsidRPr="0064766E">
              <w:rPr>
                <w:b/>
                <w:bCs/>
                <w:color w:val="000000"/>
                <w:szCs w:val="20"/>
              </w:rPr>
              <w:t>Total</w:t>
            </w:r>
          </w:p>
        </w:tc>
        <w:tc>
          <w:tcPr>
            <w:tcW w:w="441"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Cs/>
                <w:color w:val="000000"/>
                <w:sz w:val="24"/>
                <w:szCs w:val="24"/>
              </w:rPr>
            </w:pPr>
            <w:r w:rsidRPr="007D68B6">
              <w:rPr>
                <w:b/>
                <w:iCs/>
                <w:color w:val="000000"/>
              </w:rPr>
              <w:t>-5.0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Cs/>
                <w:color w:val="000000"/>
                <w:sz w:val="24"/>
                <w:szCs w:val="24"/>
              </w:rPr>
            </w:pPr>
            <w:r w:rsidRPr="007D68B6">
              <w:rPr>
                <w:b/>
                <w:iCs/>
                <w:color w:val="000000"/>
              </w:rPr>
              <w:t>-14.0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Cs/>
                <w:color w:val="000000"/>
                <w:sz w:val="24"/>
                <w:szCs w:val="24"/>
              </w:rPr>
            </w:pPr>
            <w:r w:rsidRPr="007D68B6">
              <w:rPr>
                <w:b/>
                <w:iCs/>
                <w:color w:val="000000"/>
              </w:rPr>
              <w:t>-17.0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Cs/>
                <w:color w:val="000000"/>
                <w:sz w:val="24"/>
                <w:szCs w:val="24"/>
              </w:rPr>
            </w:pPr>
            <w:r w:rsidRPr="007D68B6">
              <w:rPr>
                <w:b/>
                <w:iCs/>
                <w:color w:val="000000"/>
              </w:rPr>
              <w:t>-18.0</w:t>
            </w:r>
          </w:p>
        </w:tc>
        <w:tc>
          <w:tcPr>
            <w:tcW w:w="442"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Cs/>
                <w:color w:val="000000"/>
                <w:sz w:val="24"/>
                <w:szCs w:val="24"/>
              </w:rPr>
            </w:pPr>
            <w:r w:rsidRPr="007D68B6">
              <w:rPr>
                <w:b/>
                <w:bCs/>
                <w:iCs/>
                <w:color w:val="000000"/>
              </w:rPr>
              <w:t>-54.0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Cs/>
                <w:color w:val="000000"/>
                <w:sz w:val="24"/>
                <w:szCs w:val="24"/>
              </w:rPr>
            </w:pPr>
            <w:r w:rsidRPr="007D68B6">
              <w:rPr>
                <w:b/>
                <w:iCs/>
                <w:color w:val="000000"/>
              </w:rPr>
              <w:t>-15.0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Cs/>
                <w:color w:val="000000"/>
                <w:sz w:val="24"/>
                <w:szCs w:val="24"/>
              </w:rPr>
            </w:pPr>
            <w:r w:rsidRPr="007D68B6">
              <w:rPr>
                <w:b/>
                <w:iCs/>
                <w:color w:val="000000"/>
              </w:rPr>
              <w:t>-5.0</w:t>
            </w:r>
          </w:p>
        </w:tc>
        <w:tc>
          <w:tcPr>
            <w:tcW w:w="439"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iCs/>
                <w:color w:val="000000"/>
                <w:sz w:val="24"/>
                <w:szCs w:val="24"/>
              </w:rPr>
            </w:pPr>
            <w:r w:rsidRPr="007D68B6">
              <w:rPr>
                <w:b/>
                <w:iCs/>
                <w:color w:val="000000"/>
              </w:rPr>
              <w:t>3.0</w:t>
            </w:r>
          </w:p>
        </w:tc>
        <w:tc>
          <w:tcPr>
            <w:tcW w:w="437" w:type="pct"/>
            <w:shd w:val="clear" w:color="auto" w:fill="E9ECF3"/>
          </w:tcPr>
          <w:p w:rsidR="007D68B6" w:rsidRPr="007D68B6" w:rsidRDefault="007D68B6" w:rsidP="00754137">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bCs/>
                <w:iCs/>
                <w:color w:val="000000"/>
                <w:sz w:val="24"/>
                <w:szCs w:val="24"/>
              </w:rPr>
            </w:pPr>
            <w:r w:rsidRPr="007D68B6">
              <w:rPr>
                <w:b/>
                <w:bCs/>
                <w:iCs/>
                <w:color w:val="000000"/>
              </w:rPr>
              <w:t>-71.0</w:t>
            </w:r>
          </w:p>
        </w:tc>
      </w:tr>
    </w:tbl>
    <w:p w:rsidR="00737C19" w:rsidRPr="00DB3B7E" w:rsidRDefault="00737C19" w:rsidP="00754137">
      <w:pPr>
        <w:pStyle w:val="Footnotes"/>
        <w:numPr>
          <w:ilvl w:val="0"/>
          <w:numId w:val="40"/>
        </w:numPr>
        <w:ind w:left="284" w:right="3655" w:hanging="284"/>
      </w:pPr>
      <w:r w:rsidRPr="00DB3B7E">
        <w:t xml:space="preserve">A positive number for the underlying cash balance indicates an increase in receipts or a decrease in outlays or net capital investment in cash terms. </w:t>
      </w:r>
      <w:r>
        <w:t xml:space="preserve"> </w:t>
      </w:r>
      <w:r w:rsidRPr="00DB3B7E">
        <w:t xml:space="preserve">A negative number for the </w:t>
      </w:r>
      <w:r>
        <w:t>underlying cash</w:t>
      </w:r>
      <w:r w:rsidRPr="00DB3B7E">
        <w:t xml:space="preserve"> balance indicates a decrease in receipts or an increase in outlays or net capital investment in cash terms.</w:t>
      </w:r>
    </w:p>
    <w:p w:rsidR="007D68B6" w:rsidRPr="00EC7179" w:rsidRDefault="007D68B6" w:rsidP="00754137">
      <w:pPr>
        <w:numPr>
          <w:ilvl w:val="0"/>
          <w:numId w:val="7"/>
        </w:numPr>
        <w:spacing w:before="113" w:after="0" w:line="260" w:lineRule="atLeast"/>
        <w:ind w:left="284" w:hanging="284"/>
        <w:rPr>
          <w:sz w:val="20"/>
          <w:szCs w:val="20"/>
        </w:rPr>
      </w:pPr>
      <w:r w:rsidRPr="00EC7179">
        <w:rPr>
          <w:sz w:val="20"/>
          <w:szCs w:val="20"/>
        </w:rPr>
        <w:t>Figures may not sum to total due to rounding.</w:t>
      </w:r>
    </w:p>
    <w:p w:rsidR="001F7D6A" w:rsidRPr="00FC6579" w:rsidRDefault="007D68B6" w:rsidP="00754137">
      <w:pPr>
        <w:pStyle w:val="ListParagraph"/>
        <w:numPr>
          <w:ilvl w:val="0"/>
          <w:numId w:val="18"/>
        </w:numPr>
        <w:spacing w:before="113" w:after="0" w:line="260" w:lineRule="atLeast"/>
        <w:ind w:left="284" w:hanging="284"/>
      </w:pPr>
      <w:r w:rsidRPr="00754137">
        <w:rPr>
          <w:sz w:val="20"/>
          <w:szCs w:val="20"/>
        </w:rPr>
        <w:t>Indicates nil</w:t>
      </w:r>
    </w:p>
    <w:sectPr w:rsidR="001F7D6A" w:rsidRPr="00FC6579" w:rsidSect="00063970">
      <w:headerReference w:type="first" r:id="rId16"/>
      <w:footerReference w:type="first" r:id="rId17"/>
      <w:pgSz w:w="16838" w:h="11906" w:orient="landscape"/>
      <w:pgMar w:top="1797" w:right="1361" w:bottom="1134"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8D3" w:rsidRDefault="008558D3" w:rsidP="008F588A">
      <w:pPr>
        <w:spacing w:line="240" w:lineRule="auto"/>
      </w:pPr>
      <w:r>
        <w:separator/>
      </w:r>
    </w:p>
    <w:p w:rsidR="008558D3" w:rsidRDefault="008558D3"/>
  </w:endnote>
  <w:endnote w:type="continuationSeparator" w:id="0">
    <w:p w:rsidR="008558D3" w:rsidRDefault="008558D3" w:rsidP="008F588A">
      <w:pPr>
        <w:spacing w:line="240" w:lineRule="auto"/>
      </w:pPr>
      <w:r>
        <w:continuationSeparator/>
      </w:r>
    </w:p>
    <w:p w:rsidR="008558D3" w:rsidRDefault="00855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D3" w:rsidRPr="00C24267" w:rsidRDefault="008558D3"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707B97">
      <w:rPr>
        <w:noProof/>
      </w:rPr>
      <w:t>12</w:t>
    </w:r>
    <w:r w:rsidRPr="00C24267">
      <w:fldChar w:fldCharType="end"/>
    </w:r>
    <w:r w:rsidRPr="00C24267">
      <w:t xml:space="preserve"> of </w:t>
    </w:r>
    <w:r w:rsidR="00707B97">
      <w:fldChar w:fldCharType="begin"/>
    </w:r>
    <w:r w:rsidR="00707B97">
      <w:instrText xml:space="preserve"> NUMPAGES  \* Arabic  \* MERGEFORMAT </w:instrText>
    </w:r>
    <w:r w:rsidR="00707B97">
      <w:fldChar w:fldCharType="separate"/>
    </w:r>
    <w:r w:rsidR="00707B97">
      <w:rPr>
        <w:noProof/>
      </w:rPr>
      <w:t>12</w:t>
    </w:r>
    <w:r w:rsidR="00707B9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D3" w:rsidRPr="00C24267" w:rsidRDefault="008558D3" w:rsidP="00C24267">
    <w:pPr>
      <w:pStyle w:val="Letterfooter"/>
    </w:pPr>
    <w:r w:rsidRPr="00C24267">
      <w:t>Parliamentary Budget Office   PO Box 6010   Parliament House   Canberra ACT 2600</w:t>
    </w:r>
  </w:p>
  <w:p w:rsidR="008558D3" w:rsidRPr="00C24267" w:rsidRDefault="008558D3"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D3" w:rsidRPr="00C24267" w:rsidRDefault="008558D3"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707B97">
      <w:rPr>
        <w:noProof/>
      </w:rPr>
      <w:t>2</w:t>
    </w:r>
    <w:r w:rsidRPr="00C24267">
      <w:fldChar w:fldCharType="end"/>
    </w:r>
    <w:r w:rsidRPr="00C24267">
      <w:t xml:space="preserve"> of </w:t>
    </w:r>
    <w:r w:rsidR="00707B97">
      <w:fldChar w:fldCharType="begin"/>
    </w:r>
    <w:r w:rsidR="00707B97">
      <w:instrText xml:space="preserve"> NUMPAGES  \* Arabic  \* MERGEFORMAT </w:instrText>
    </w:r>
    <w:r w:rsidR="00707B97">
      <w:fldChar w:fldCharType="separate"/>
    </w:r>
    <w:r w:rsidR="00707B97">
      <w:rPr>
        <w:noProof/>
      </w:rPr>
      <w:t>12</w:t>
    </w:r>
    <w:r w:rsidR="00707B97">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D3" w:rsidRPr="00C24267" w:rsidRDefault="008558D3"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707B97">
      <w:rPr>
        <w:noProof/>
      </w:rPr>
      <w:t>7</w:t>
    </w:r>
    <w:r w:rsidRPr="00C24267">
      <w:fldChar w:fldCharType="end"/>
    </w:r>
    <w:r w:rsidRPr="00C24267">
      <w:t xml:space="preserve"> of </w:t>
    </w:r>
    <w:r w:rsidR="00707B97">
      <w:fldChar w:fldCharType="begin"/>
    </w:r>
    <w:r w:rsidR="00707B97">
      <w:instrText xml:space="preserve"> NUMPAGES  \* Arabic  \* MERGEFORMAT </w:instrText>
    </w:r>
    <w:r w:rsidR="00707B97">
      <w:fldChar w:fldCharType="separate"/>
    </w:r>
    <w:r w:rsidR="00707B97">
      <w:rPr>
        <w:noProof/>
      </w:rPr>
      <w:t>12</w:t>
    </w:r>
    <w:r w:rsidR="00707B9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8D3" w:rsidRDefault="008558D3" w:rsidP="008F588A">
      <w:pPr>
        <w:spacing w:line="240" w:lineRule="auto"/>
      </w:pPr>
      <w:r>
        <w:separator/>
      </w:r>
    </w:p>
    <w:p w:rsidR="008558D3" w:rsidRDefault="008558D3"/>
  </w:footnote>
  <w:footnote w:type="continuationSeparator" w:id="0">
    <w:p w:rsidR="008558D3" w:rsidRDefault="008558D3" w:rsidP="008F588A">
      <w:pPr>
        <w:spacing w:line="240" w:lineRule="auto"/>
      </w:pPr>
      <w:r>
        <w:continuationSeparator/>
      </w:r>
    </w:p>
    <w:p w:rsidR="008558D3" w:rsidRDefault="008558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D3" w:rsidRDefault="008558D3" w:rsidP="00CB40E1">
    <w:pPr>
      <w:pStyle w:val="Header"/>
    </w:pPr>
    <w:r>
      <w:rPr>
        <w:noProof/>
        <w:lang w:eastAsia="en-AU"/>
      </w:rPr>
      <w:drawing>
        <wp:inline distT="0" distB="0" distL="0" distR="0" wp14:anchorId="166CC723" wp14:editId="662056F7">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8558D3" w:rsidRPr="00DA1C8A" w:rsidRDefault="008558D3"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D3" w:rsidRPr="00C17112" w:rsidRDefault="008558D3" w:rsidP="00C17112">
    <w:pPr>
      <w:pStyle w:val="Header"/>
    </w:pPr>
    <w:r>
      <w:rPr>
        <w:noProof/>
        <w:lang w:eastAsia="en-AU"/>
      </w:rPr>
      <w:drawing>
        <wp:inline distT="0" distB="0" distL="0" distR="0" wp14:anchorId="7C0E75B5" wp14:editId="51C69711">
          <wp:extent cx="2696845" cy="572135"/>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D3" w:rsidRPr="00C17112" w:rsidRDefault="008558D3" w:rsidP="00C17112">
    <w:pPr>
      <w:pStyle w:val="Header"/>
      <w:spacing w:before="0" w:after="0"/>
      <w:jc w:val="right"/>
      <w:rPr>
        <w:b/>
        <w:color w:val="FF0000"/>
        <w:sz w:val="28"/>
        <w:szCs w:val="28"/>
      </w:rPr>
    </w:pPr>
    <w:r w:rsidRPr="0092572B">
      <w:rPr>
        <w:b/>
        <w:color w:val="FF0000"/>
        <w:sz w:val="28"/>
        <w:szCs w:val="28"/>
      </w:rPr>
      <w:t>Sensitive—until publicly releas</w:t>
    </w:r>
    <w:r>
      <w:rPr>
        <w:b/>
        <w:color w:val="FF0000"/>
        <w:sz w:val="28"/>
        <w:szCs w:val="28"/>
      </w:rPr>
      <w: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3">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5">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6">
    <w:nsid w:val="30E45E35"/>
    <w:multiLevelType w:val="hybridMultilevel"/>
    <w:tmpl w:val="60A06D20"/>
    <w:lvl w:ilvl="0" w:tplc="EE46B378">
      <w:start w:val="1"/>
      <w:numFmt w:val="lowerLetter"/>
      <w:pStyle w:val="Footnotes"/>
      <w:lvlText w:val="(%1)"/>
      <w:lvlJc w:val="left"/>
      <w:pPr>
        <w:ind w:left="83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87B7ABA"/>
    <w:multiLevelType w:val="hybridMultilevel"/>
    <w:tmpl w:val="0004F682"/>
    <w:lvl w:ilvl="0" w:tplc="F54E42C8">
      <w:start w:val="1"/>
      <w:numFmt w:val="lowerLetter"/>
      <w:lvlText w:val="(%1)"/>
      <w:lvlJc w:val="left"/>
      <w:pPr>
        <w:ind w:left="360" w:hanging="360"/>
      </w:p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abstractNum w:abstractNumId="8">
    <w:nsid w:val="3B377388"/>
    <w:multiLevelType w:val="hybridMultilevel"/>
    <w:tmpl w:val="C3DAFE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9070E29"/>
    <w:multiLevelType w:val="hybridMultilevel"/>
    <w:tmpl w:val="65EA4040"/>
    <w:lvl w:ilvl="0" w:tplc="CA7A5E2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nsid w:val="79EA63D9"/>
    <w:multiLevelType w:val="hybridMultilevel"/>
    <w:tmpl w:val="92E4AE7E"/>
    <w:lvl w:ilvl="0" w:tplc="CC7AE5C8">
      <w:start w:val="1"/>
      <w:numFmt w:val="lowerLetter"/>
      <w:lvlText w:val="(%1)"/>
      <w:lvlJc w:val="left"/>
      <w:pPr>
        <w:ind w:left="360" w:hanging="360"/>
      </w:pPr>
      <w:rPr>
        <w:rFonts w:asciiTheme="minorHAnsi" w:hAnsiTheme="minorHAnsi" w:hint="default"/>
      </w:r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num w:numId="1">
    <w:abstractNumId w:val="2"/>
  </w:num>
  <w:num w:numId="2">
    <w:abstractNumId w:val="5"/>
  </w:num>
  <w:num w:numId="3">
    <w:abstractNumId w:val="3"/>
  </w:num>
  <w:num w:numId="4">
    <w:abstractNumId w:val="4"/>
  </w:num>
  <w:num w:numId="5">
    <w:abstractNumId w:val="10"/>
  </w:num>
  <w:num w:numId="6">
    <w:abstractNumId w:val="6"/>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1"/>
  </w:num>
  <w:num w:numId="12">
    <w:abstractNumId w:val="0"/>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8"/>
  </w:num>
  <w:num w:numId="18">
    <w:abstractNumId w:val="9"/>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 w:numId="27">
    <w:abstractNumId w:val="6"/>
    <w:lvlOverride w:ilvl="0">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6"/>
    <w:lvlOverride w:ilvl="0">
      <w:startOverride w:val="1"/>
    </w:lvlOverride>
  </w:num>
  <w:num w:numId="31">
    <w:abstractNumId w:val="6"/>
    <w:lvlOverride w:ilvl="0">
      <w:startOverride w:val="1"/>
    </w:lvlOverride>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num>
  <w:num w:numId="37">
    <w:abstractNumId w:val="6"/>
    <w:lvlOverride w:ilvl="0">
      <w:startOverride w:val="1"/>
    </w:lvlOverride>
  </w:num>
  <w:num w:numId="38">
    <w:abstractNumId w:val="6"/>
    <w:lvlOverride w:ilvl="0">
      <w:startOverride w:val="1"/>
    </w:lvlOverride>
  </w:num>
  <w:num w:numId="39">
    <w:abstractNumId w:val="6"/>
    <w:lvlOverride w:ilvl="0">
      <w:startOverride w:val="1"/>
    </w:lvlOverride>
  </w:num>
  <w:num w:numId="4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625"/>
    <w:rsid w:val="00002D5D"/>
    <w:rsid w:val="00004FB7"/>
    <w:rsid w:val="00010A28"/>
    <w:rsid w:val="00015FB2"/>
    <w:rsid w:val="00024933"/>
    <w:rsid w:val="00040DCE"/>
    <w:rsid w:val="00042691"/>
    <w:rsid w:val="00060F22"/>
    <w:rsid w:val="00063970"/>
    <w:rsid w:val="0006751E"/>
    <w:rsid w:val="00072837"/>
    <w:rsid w:val="00096F3A"/>
    <w:rsid w:val="000A353B"/>
    <w:rsid w:val="000B4427"/>
    <w:rsid w:val="000C1A75"/>
    <w:rsid w:val="000C4E8B"/>
    <w:rsid w:val="000E6521"/>
    <w:rsid w:val="00107E89"/>
    <w:rsid w:val="001278D0"/>
    <w:rsid w:val="0014239B"/>
    <w:rsid w:val="001729CD"/>
    <w:rsid w:val="001966B1"/>
    <w:rsid w:val="001A02D1"/>
    <w:rsid w:val="001B5806"/>
    <w:rsid w:val="001B6745"/>
    <w:rsid w:val="001E563B"/>
    <w:rsid w:val="001F7D6A"/>
    <w:rsid w:val="00220BE5"/>
    <w:rsid w:val="002309F4"/>
    <w:rsid w:val="002422A3"/>
    <w:rsid w:val="00277775"/>
    <w:rsid w:val="00315E34"/>
    <w:rsid w:val="00326DE2"/>
    <w:rsid w:val="0039223F"/>
    <w:rsid w:val="0039311C"/>
    <w:rsid w:val="003B474B"/>
    <w:rsid w:val="003C0253"/>
    <w:rsid w:val="003C46EE"/>
    <w:rsid w:val="003D4ED4"/>
    <w:rsid w:val="003D7744"/>
    <w:rsid w:val="003E4F5F"/>
    <w:rsid w:val="003F73CA"/>
    <w:rsid w:val="004032FC"/>
    <w:rsid w:val="00410A2C"/>
    <w:rsid w:val="00440E32"/>
    <w:rsid w:val="00451222"/>
    <w:rsid w:val="00461597"/>
    <w:rsid w:val="00485374"/>
    <w:rsid w:val="004C283B"/>
    <w:rsid w:val="004D13ED"/>
    <w:rsid w:val="004D5525"/>
    <w:rsid w:val="004F75FE"/>
    <w:rsid w:val="00500B74"/>
    <w:rsid w:val="005035DA"/>
    <w:rsid w:val="00507897"/>
    <w:rsid w:val="00510DCE"/>
    <w:rsid w:val="00515A85"/>
    <w:rsid w:val="0052601B"/>
    <w:rsid w:val="0054245D"/>
    <w:rsid w:val="00545F24"/>
    <w:rsid w:val="00554320"/>
    <w:rsid w:val="00554625"/>
    <w:rsid w:val="0055581F"/>
    <w:rsid w:val="0056229A"/>
    <w:rsid w:val="005628B8"/>
    <w:rsid w:val="00570154"/>
    <w:rsid w:val="00570B5A"/>
    <w:rsid w:val="00575518"/>
    <w:rsid w:val="00581498"/>
    <w:rsid w:val="00585B47"/>
    <w:rsid w:val="00587422"/>
    <w:rsid w:val="005A6604"/>
    <w:rsid w:val="005B1A4A"/>
    <w:rsid w:val="005B7B75"/>
    <w:rsid w:val="005C6967"/>
    <w:rsid w:val="005E3562"/>
    <w:rsid w:val="005F7DE0"/>
    <w:rsid w:val="006210FF"/>
    <w:rsid w:val="00631EE1"/>
    <w:rsid w:val="00640346"/>
    <w:rsid w:val="006535A5"/>
    <w:rsid w:val="006557A4"/>
    <w:rsid w:val="00660385"/>
    <w:rsid w:val="00662E65"/>
    <w:rsid w:val="0066665A"/>
    <w:rsid w:val="00692DD8"/>
    <w:rsid w:val="00693703"/>
    <w:rsid w:val="006943D4"/>
    <w:rsid w:val="006B08AE"/>
    <w:rsid w:val="006F0CE9"/>
    <w:rsid w:val="00707B97"/>
    <w:rsid w:val="007202A8"/>
    <w:rsid w:val="00720909"/>
    <w:rsid w:val="007229A9"/>
    <w:rsid w:val="00737C19"/>
    <w:rsid w:val="00754137"/>
    <w:rsid w:val="0079121C"/>
    <w:rsid w:val="0079565E"/>
    <w:rsid w:val="007B029A"/>
    <w:rsid w:val="007B2424"/>
    <w:rsid w:val="007D33AA"/>
    <w:rsid w:val="007D3577"/>
    <w:rsid w:val="007D64CD"/>
    <w:rsid w:val="007D68B6"/>
    <w:rsid w:val="007F5371"/>
    <w:rsid w:val="007F7BCF"/>
    <w:rsid w:val="008030EC"/>
    <w:rsid w:val="00811D6D"/>
    <w:rsid w:val="00817E8E"/>
    <w:rsid w:val="00841C3A"/>
    <w:rsid w:val="00844776"/>
    <w:rsid w:val="008558D3"/>
    <w:rsid w:val="008850D9"/>
    <w:rsid w:val="008908AF"/>
    <w:rsid w:val="008A4578"/>
    <w:rsid w:val="008C03C3"/>
    <w:rsid w:val="008D3909"/>
    <w:rsid w:val="008D6ECA"/>
    <w:rsid w:val="008F588A"/>
    <w:rsid w:val="00902D2D"/>
    <w:rsid w:val="009074EA"/>
    <w:rsid w:val="00915804"/>
    <w:rsid w:val="00920E7F"/>
    <w:rsid w:val="009460FB"/>
    <w:rsid w:val="009555BC"/>
    <w:rsid w:val="00957285"/>
    <w:rsid w:val="009573AF"/>
    <w:rsid w:val="00977D7B"/>
    <w:rsid w:val="009963ED"/>
    <w:rsid w:val="009B0A69"/>
    <w:rsid w:val="009D4063"/>
    <w:rsid w:val="00A41BD3"/>
    <w:rsid w:val="00A449C2"/>
    <w:rsid w:val="00A60ECC"/>
    <w:rsid w:val="00A65EA3"/>
    <w:rsid w:val="00A7322F"/>
    <w:rsid w:val="00A93979"/>
    <w:rsid w:val="00A94762"/>
    <w:rsid w:val="00AA3D6F"/>
    <w:rsid w:val="00AB55AE"/>
    <w:rsid w:val="00AB62EF"/>
    <w:rsid w:val="00AB6F7D"/>
    <w:rsid w:val="00AC7878"/>
    <w:rsid w:val="00AD493E"/>
    <w:rsid w:val="00AD5692"/>
    <w:rsid w:val="00AE30B5"/>
    <w:rsid w:val="00AE5755"/>
    <w:rsid w:val="00B06055"/>
    <w:rsid w:val="00B32F27"/>
    <w:rsid w:val="00B44D8A"/>
    <w:rsid w:val="00B64C2D"/>
    <w:rsid w:val="00B73AC8"/>
    <w:rsid w:val="00B747A7"/>
    <w:rsid w:val="00BA2BBF"/>
    <w:rsid w:val="00BB7976"/>
    <w:rsid w:val="00BC559C"/>
    <w:rsid w:val="00BD2231"/>
    <w:rsid w:val="00BE511D"/>
    <w:rsid w:val="00C0082F"/>
    <w:rsid w:val="00C17112"/>
    <w:rsid w:val="00C24267"/>
    <w:rsid w:val="00C8169A"/>
    <w:rsid w:val="00CA12A0"/>
    <w:rsid w:val="00CA5D42"/>
    <w:rsid w:val="00CB40E1"/>
    <w:rsid w:val="00CE2883"/>
    <w:rsid w:val="00CF10A3"/>
    <w:rsid w:val="00CF6DB6"/>
    <w:rsid w:val="00CF7D9A"/>
    <w:rsid w:val="00D01946"/>
    <w:rsid w:val="00D134CA"/>
    <w:rsid w:val="00D52D5F"/>
    <w:rsid w:val="00D747D2"/>
    <w:rsid w:val="00D805AE"/>
    <w:rsid w:val="00D949A3"/>
    <w:rsid w:val="00D952EE"/>
    <w:rsid w:val="00DA1506"/>
    <w:rsid w:val="00DA1C8A"/>
    <w:rsid w:val="00DA3B55"/>
    <w:rsid w:val="00DB44F0"/>
    <w:rsid w:val="00DB46A9"/>
    <w:rsid w:val="00DD109E"/>
    <w:rsid w:val="00DD3E18"/>
    <w:rsid w:val="00E12103"/>
    <w:rsid w:val="00E15AAE"/>
    <w:rsid w:val="00E161EB"/>
    <w:rsid w:val="00E21184"/>
    <w:rsid w:val="00E21995"/>
    <w:rsid w:val="00E40B8B"/>
    <w:rsid w:val="00E44236"/>
    <w:rsid w:val="00E5742E"/>
    <w:rsid w:val="00E6303A"/>
    <w:rsid w:val="00E81071"/>
    <w:rsid w:val="00E822DF"/>
    <w:rsid w:val="00EA265F"/>
    <w:rsid w:val="00EA5685"/>
    <w:rsid w:val="00EB00CC"/>
    <w:rsid w:val="00EB128E"/>
    <w:rsid w:val="00EC17A8"/>
    <w:rsid w:val="00ED43FF"/>
    <w:rsid w:val="00EE6600"/>
    <w:rsid w:val="00EF1D6A"/>
    <w:rsid w:val="00EF2E51"/>
    <w:rsid w:val="00F21865"/>
    <w:rsid w:val="00F31E24"/>
    <w:rsid w:val="00F4535C"/>
    <w:rsid w:val="00F52474"/>
    <w:rsid w:val="00F5529D"/>
    <w:rsid w:val="00F5669E"/>
    <w:rsid w:val="00F75D33"/>
    <w:rsid w:val="00F954CF"/>
    <w:rsid w:val="00F976B5"/>
    <w:rsid w:val="00F97DFF"/>
    <w:rsid w:val="00FC6579"/>
    <w:rsid w:val="00FD3FB3"/>
    <w:rsid w:val="00FE1053"/>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3B474B"/>
    <w:pPr>
      <w:keepNext/>
      <w:keepLines/>
      <w:spacing w:before="70" w:after="70" w:line="240" w:lineRule="auto"/>
      <w:ind w:left="57" w:right="57"/>
    </w:pPr>
    <w:rPr>
      <w:rFonts w:cs="Times New Roman"/>
      <w:b/>
      <w:sz w:val="20"/>
    </w:rPr>
  </w:style>
  <w:style w:type="paragraph" w:customStyle="1" w:styleId="TableHeadingCentred">
    <w:name w:val="Table Heading Centred"/>
    <w:basedOn w:val="TableTextRight"/>
    <w:qFormat/>
    <w:rsid w:val="003B474B"/>
    <w:pPr>
      <w:keepNext/>
      <w:keepLines/>
    </w:pPr>
    <w:rPr>
      <w:rFonts w:eastAsia="Times New Roman"/>
      <w:i w:val="0"/>
      <w:lang w:eastAsia="en-AU"/>
    </w:rPr>
  </w:style>
  <w:style w:type="paragraph" w:customStyle="1" w:styleId="TableText">
    <w:name w:val="Table Text"/>
    <w:basedOn w:val="Normal"/>
    <w:link w:val="TableTextChar"/>
    <w:qFormat/>
    <w:rsid w:val="003B474B"/>
    <w:pPr>
      <w:spacing w:before="70" w:after="70" w:line="240" w:lineRule="auto"/>
      <w:ind w:left="57" w:right="57"/>
    </w:pPr>
    <w:rPr>
      <w:rFonts w:cs="Times New Roman"/>
      <w:sz w:val="20"/>
    </w:rPr>
  </w:style>
  <w:style w:type="paragraph" w:customStyle="1" w:styleId="TableTextCentred">
    <w:name w:val="Table Text Centred"/>
    <w:basedOn w:val="TableText"/>
    <w:qFormat/>
    <w:rsid w:val="003B474B"/>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575518"/>
    <w:rPr>
      <w:rFonts w:eastAsia="Times New Roman" w:cs="Times New Roman"/>
      <w:spacing w:val="0"/>
      <w:lang w:eastAsia="en-AU"/>
    </w:rPr>
  </w:style>
  <w:style w:type="paragraph" w:customStyle="1" w:styleId="Bullet2">
    <w:name w:val="Bullet 2"/>
    <w:basedOn w:val="ListBullet2"/>
    <w:link w:val="Bullet2Char"/>
    <w:qFormat/>
    <w:rsid w:val="00575518"/>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575518"/>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3B474B"/>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575518"/>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3B474B"/>
    <w:pPr>
      <w:jc w:val="right"/>
    </w:pPr>
    <w:rPr>
      <w:i/>
    </w:rPr>
  </w:style>
  <w:style w:type="character" w:styleId="FollowedHyperlink">
    <w:name w:val="FollowedHyperlink"/>
    <w:basedOn w:val="DefaultParagraphFont"/>
    <w:uiPriority w:val="99"/>
    <w:semiHidden/>
    <w:unhideWhenUsed/>
    <w:rsid w:val="00E822DF"/>
    <w:rPr>
      <w:color w:val="800080" w:themeColor="followedHyperlink"/>
      <w:u w:val="single"/>
    </w:rPr>
  </w:style>
  <w:style w:type="character" w:styleId="CommentReference">
    <w:name w:val="annotation reference"/>
    <w:basedOn w:val="DefaultParagraphFont"/>
    <w:uiPriority w:val="99"/>
    <w:semiHidden/>
    <w:unhideWhenUsed/>
    <w:rsid w:val="000A353B"/>
    <w:rPr>
      <w:sz w:val="16"/>
      <w:szCs w:val="16"/>
    </w:rPr>
  </w:style>
  <w:style w:type="paragraph" w:styleId="CommentText">
    <w:name w:val="annotation text"/>
    <w:basedOn w:val="Normal"/>
    <w:link w:val="CommentTextChar"/>
    <w:uiPriority w:val="99"/>
    <w:semiHidden/>
    <w:unhideWhenUsed/>
    <w:rsid w:val="000A353B"/>
    <w:pPr>
      <w:spacing w:line="240" w:lineRule="auto"/>
    </w:pPr>
    <w:rPr>
      <w:sz w:val="20"/>
      <w:szCs w:val="20"/>
    </w:rPr>
  </w:style>
  <w:style w:type="character" w:customStyle="1" w:styleId="CommentTextChar">
    <w:name w:val="Comment Text Char"/>
    <w:basedOn w:val="DefaultParagraphFont"/>
    <w:link w:val="CommentText"/>
    <w:uiPriority w:val="99"/>
    <w:semiHidden/>
    <w:rsid w:val="000A353B"/>
    <w:rPr>
      <w:sz w:val="20"/>
      <w:szCs w:val="20"/>
    </w:rPr>
  </w:style>
  <w:style w:type="paragraph" w:styleId="CommentSubject">
    <w:name w:val="annotation subject"/>
    <w:basedOn w:val="CommentText"/>
    <w:next w:val="CommentText"/>
    <w:link w:val="CommentSubjectChar"/>
    <w:uiPriority w:val="99"/>
    <w:semiHidden/>
    <w:unhideWhenUsed/>
    <w:rsid w:val="000A353B"/>
    <w:rPr>
      <w:b/>
      <w:bCs/>
    </w:rPr>
  </w:style>
  <w:style w:type="character" w:customStyle="1" w:styleId="CommentSubjectChar">
    <w:name w:val="Comment Subject Char"/>
    <w:basedOn w:val="CommentTextChar"/>
    <w:link w:val="CommentSubject"/>
    <w:uiPriority w:val="99"/>
    <w:semiHidden/>
    <w:rsid w:val="000A35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3B474B"/>
    <w:pPr>
      <w:keepNext/>
      <w:keepLines/>
      <w:spacing w:before="70" w:after="70" w:line="240" w:lineRule="auto"/>
      <w:ind w:left="57" w:right="57"/>
    </w:pPr>
    <w:rPr>
      <w:rFonts w:cs="Times New Roman"/>
      <w:b/>
      <w:sz w:val="20"/>
    </w:rPr>
  </w:style>
  <w:style w:type="paragraph" w:customStyle="1" w:styleId="TableHeadingCentred">
    <w:name w:val="Table Heading Centred"/>
    <w:basedOn w:val="TableTextRight"/>
    <w:qFormat/>
    <w:rsid w:val="003B474B"/>
    <w:pPr>
      <w:keepNext/>
      <w:keepLines/>
    </w:pPr>
    <w:rPr>
      <w:rFonts w:eastAsia="Times New Roman"/>
      <w:i w:val="0"/>
      <w:lang w:eastAsia="en-AU"/>
    </w:rPr>
  </w:style>
  <w:style w:type="paragraph" w:customStyle="1" w:styleId="TableText">
    <w:name w:val="Table Text"/>
    <w:basedOn w:val="Normal"/>
    <w:link w:val="TableTextChar"/>
    <w:qFormat/>
    <w:rsid w:val="003B474B"/>
    <w:pPr>
      <w:spacing w:before="70" w:after="70" w:line="240" w:lineRule="auto"/>
      <w:ind w:left="57" w:right="57"/>
    </w:pPr>
    <w:rPr>
      <w:rFonts w:cs="Times New Roman"/>
      <w:sz w:val="20"/>
    </w:rPr>
  </w:style>
  <w:style w:type="paragraph" w:customStyle="1" w:styleId="TableTextCentred">
    <w:name w:val="Table Text Centred"/>
    <w:basedOn w:val="TableText"/>
    <w:qFormat/>
    <w:rsid w:val="003B474B"/>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575518"/>
    <w:rPr>
      <w:rFonts w:eastAsia="Times New Roman" w:cs="Times New Roman"/>
      <w:spacing w:val="0"/>
      <w:lang w:eastAsia="en-AU"/>
    </w:rPr>
  </w:style>
  <w:style w:type="paragraph" w:customStyle="1" w:styleId="Bullet2">
    <w:name w:val="Bullet 2"/>
    <w:basedOn w:val="ListBullet2"/>
    <w:link w:val="Bullet2Char"/>
    <w:qFormat/>
    <w:rsid w:val="00575518"/>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575518"/>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3B474B"/>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575518"/>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3B474B"/>
    <w:pPr>
      <w:jc w:val="right"/>
    </w:pPr>
    <w:rPr>
      <w:i/>
    </w:rPr>
  </w:style>
  <w:style w:type="character" w:styleId="FollowedHyperlink">
    <w:name w:val="FollowedHyperlink"/>
    <w:basedOn w:val="DefaultParagraphFont"/>
    <w:uiPriority w:val="99"/>
    <w:semiHidden/>
    <w:unhideWhenUsed/>
    <w:rsid w:val="00E822DF"/>
    <w:rPr>
      <w:color w:val="800080" w:themeColor="followedHyperlink"/>
      <w:u w:val="single"/>
    </w:rPr>
  </w:style>
  <w:style w:type="character" w:styleId="CommentReference">
    <w:name w:val="annotation reference"/>
    <w:basedOn w:val="DefaultParagraphFont"/>
    <w:uiPriority w:val="99"/>
    <w:semiHidden/>
    <w:unhideWhenUsed/>
    <w:rsid w:val="000A353B"/>
    <w:rPr>
      <w:sz w:val="16"/>
      <w:szCs w:val="16"/>
    </w:rPr>
  </w:style>
  <w:style w:type="paragraph" w:styleId="CommentText">
    <w:name w:val="annotation text"/>
    <w:basedOn w:val="Normal"/>
    <w:link w:val="CommentTextChar"/>
    <w:uiPriority w:val="99"/>
    <w:semiHidden/>
    <w:unhideWhenUsed/>
    <w:rsid w:val="000A353B"/>
    <w:pPr>
      <w:spacing w:line="240" w:lineRule="auto"/>
    </w:pPr>
    <w:rPr>
      <w:sz w:val="20"/>
      <w:szCs w:val="20"/>
    </w:rPr>
  </w:style>
  <w:style w:type="character" w:customStyle="1" w:styleId="CommentTextChar">
    <w:name w:val="Comment Text Char"/>
    <w:basedOn w:val="DefaultParagraphFont"/>
    <w:link w:val="CommentText"/>
    <w:uiPriority w:val="99"/>
    <w:semiHidden/>
    <w:rsid w:val="000A353B"/>
    <w:rPr>
      <w:sz w:val="20"/>
      <w:szCs w:val="20"/>
    </w:rPr>
  </w:style>
  <w:style w:type="paragraph" w:styleId="CommentSubject">
    <w:name w:val="annotation subject"/>
    <w:basedOn w:val="CommentText"/>
    <w:next w:val="CommentText"/>
    <w:link w:val="CommentSubjectChar"/>
    <w:uiPriority w:val="99"/>
    <w:semiHidden/>
    <w:unhideWhenUsed/>
    <w:rsid w:val="000A353B"/>
    <w:rPr>
      <w:b/>
      <w:bCs/>
    </w:rPr>
  </w:style>
  <w:style w:type="character" w:customStyle="1" w:styleId="CommentSubjectChar">
    <w:name w:val="Comment Subject Char"/>
    <w:basedOn w:val="CommentTextChar"/>
    <w:link w:val="CommentSubject"/>
    <w:uiPriority w:val="99"/>
    <w:semiHidden/>
    <w:rsid w:val="000A35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eens.org.au/batter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6EAA596-525C-45A0-AD4A-46C4F80A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97</TotalTime>
  <Pages>12</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PBO - GRN062 - Energy Storage Revolution - 30 June 2016</vt:lpstr>
    </vt:vector>
  </TitlesOfParts>
  <Company>Parliament of Australia</Company>
  <LinksUpToDate>false</LinksUpToDate>
  <CharactersWithSpaces>17906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GRN062 - Energy Storage Revolution - 30 June 2016</dc:title>
  <dc:creator>Parliamentary Budget Office</dc:creator>
  <cp:lastModifiedBy>Milligan, Louise (PBO)</cp:lastModifiedBy>
  <cp:revision>26</cp:revision>
  <cp:lastPrinted>2016-06-30T09:29:00Z</cp:lastPrinted>
  <dcterms:created xsi:type="dcterms:W3CDTF">2016-06-30T07:54:00Z</dcterms:created>
  <dcterms:modified xsi:type="dcterms:W3CDTF">2016-06-30T23:15:00Z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