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DC" w:rsidRDefault="00C708DC" w:rsidP="00C708DC">
      <w:pPr>
        <w:spacing w:before="1560"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Senator</w:t>
      </w:r>
      <w:r w:rsidRPr="00002D5D">
        <w:rPr>
          <w:rFonts w:ascii="Times New Roman" w:hAnsi="Times New Roman" w:cs="Times New Roman"/>
          <w:sz w:val="24"/>
          <w:szCs w:val="24"/>
        </w:rPr>
        <w:t xml:space="preserve"> </w:t>
      </w:r>
      <w:r>
        <w:rPr>
          <w:rFonts w:ascii="Times New Roman" w:hAnsi="Times New Roman" w:cs="Times New Roman"/>
          <w:sz w:val="24"/>
          <w:szCs w:val="24"/>
        </w:rPr>
        <w:t>Richard</w:t>
      </w:r>
      <w:r w:rsidRPr="00002D5D">
        <w:rPr>
          <w:rFonts w:ascii="Times New Roman" w:hAnsi="Times New Roman" w:cs="Times New Roman"/>
          <w:sz w:val="24"/>
          <w:szCs w:val="24"/>
        </w:rPr>
        <w:t xml:space="preserve"> </w:t>
      </w:r>
      <w:r>
        <w:rPr>
          <w:rFonts w:ascii="Times New Roman" w:hAnsi="Times New Roman" w:cs="Times New Roman"/>
          <w:sz w:val="24"/>
          <w:szCs w:val="24"/>
        </w:rPr>
        <w:t>Di Natale</w:t>
      </w:r>
    </w:p>
    <w:p w:rsidR="00C708DC" w:rsidRPr="00002D5D" w:rsidRDefault="00C708DC" w:rsidP="00C708DC">
      <w:pPr>
        <w:spacing w:before="0" w:after="0" w:line="240" w:lineRule="auto"/>
        <w:rPr>
          <w:rFonts w:ascii="Times New Roman" w:hAnsi="Times New Roman" w:cs="Times New Roman"/>
          <w:sz w:val="24"/>
          <w:szCs w:val="24"/>
        </w:rPr>
      </w:pPr>
      <w:r>
        <w:rPr>
          <w:rFonts w:ascii="Times New Roman" w:hAnsi="Times New Roman" w:cs="Times New Roman"/>
          <w:sz w:val="24"/>
          <w:szCs w:val="24"/>
        </w:rPr>
        <w:t>Leader of the Australian Greens</w:t>
      </w:r>
    </w:p>
    <w:p w:rsidR="00C708DC" w:rsidRPr="00002D5D" w:rsidRDefault="00C708DC" w:rsidP="00C708DC">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C708DC" w:rsidRPr="00002D5D" w:rsidRDefault="00C708DC" w:rsidP="00C708DC">
      <w:pPr>
        <w:spacing w:before="0" w:after="0" w:line="240" w:lineRule="auto"/>
        <w:rPr>
          <w:rFonts w:ascii="Times New Roman" w:hAnsi="Times New Roman" w:cs="Times New Roman"/>
          <w:sz w:val="24"/>
          <w:szCs w:val="24"/>
        </w:rPr>
      </w:pPr>
      <w:r>
        <w:rPr>
          <w:rFonts w:ascii="Times New Roman" w:hAnsi="Times New Roman" w:cs="Times New Roman"/>
          <w:sz w:val="24"/>
          <w:szCs w:val="24"/>
        </w:rPr>
        <w:t>CANBERRA  ACT  2600</w:t>
      </w:r>
    </w:p>
    <w:p w:rsidR="00C708DC" w:rsidRPr="00002D5D" w:rsidRDefault="00C708DC" w:rsidP="00C708DC">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Pr>
          <w:rFonts w:ascii="Times New Roman" w:hAnsi="Times New Roman" w:cs="Times New Roman"/>
          <w:sz w:val="24"/>
          <w:szCs w:val="24"/>
        </w:rPr>
        <w:t>Senator</w:t>
      </w:r>
      <w:r w:rsidRPr="00002D5D">
        <w:rPr>
          <w:rFonts w:ascii="Times New Roman" w:hAnsi="Times New Roman" w:cs="Times New Roman"/>
          <w:sz w:val="24"/>
          <w:szCs w:val="24"/>
        </w:rPr>
        <w:t xml:space="preserve"> </w:t>
      </w:r>
      <w:r>
        <w:rPr>
          <w:rFonts w:ascii="Times New Roman" w:hAnsi="Times New Roman" w:cs="Times New Roman"/>
          <w:sz w:val="24"/>
          <w:szCs w:val="24"/>
        </w:rPr>
        <w:t>Di Natale</w:t>
      </w:r>
    </w:p>
    <w:p w:rsidR="00040DCE" w:rsidRPr="00002D5D" w:rsidRDefault="00040DCE" w:rsidP="00C17112">
      <w:pPr>
        <w:pStyle w:val="Lettertext"/>
      </w:pPr>
      <w:r w:rsidRPr="00002D5D">
        <w:t xml:space="preserve">Please find attached a response to your costing request, </w:t>
      </w:r>
      <w:r w:rsidR="003F5532">
        <w:rPr>
          <w:i/>
        </w:rPr>
        <w:t xml:space="preserve">Supporting our </w:t>
      </w:r>
      <w:r w:rsidR="001C1962">
        <w:rPr>
          <w:i/>
        </w:rPr>
        <w:t>Australian V</w:t>
      </w:r>
      <w:r w:rsidR="003F5532">
        <w:rPr>
          <w:i/>
        </w:rPr>
        <w:t>ideogame</w:t>
      </w:r>
      <w:r w:rsidR="001C1962">
        <w:rPr>
          <w:i/>
        </w:rPr>
        <w:t>s</w:t>
      </w:r>
      <w:r w:rsidR="003F5532">
        <w:rPr>
          <w:i/>
        </w:rPr>
        <w:t xml:space="preserve"> </w:t>
      </w:r>
      <w:r w:rsidR="001C1962">
        <w:rPr>
          <w:i/>
        </w:rPr>
        <w:t>Industry</w:t>
      </w:r>
      <w:r w:rsidRPr="00002D5D">
        <w:t xml:space="preserve"> (letter of </w:t>
      </w:r>
      <w:r w:rsidR="008473E3">
        <w:t>29 June</w:t>
      </w:r>
      <w:r w:rsidRPr="00002D5D">
        <w:t xml:space="preserve"> 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406794" w:rsidP="00406794">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30 </w:t>
      </w:r>
      <w:r w:rsidR="00C708DC">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406794"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406794" w:rsidRDefault="004D5525" w:rsidP="00406794">
            <w:pPr>
              <w:pStyle w:val="BodyText"/>
              <w:ind w:left="113"/>
              <w:rPr>
                <w:sz w:val="22"/>
              </w:rPr>
            </w:pPr>
            <w:r w:rsidRPr="00406794">
              <w:rPr>
                <w:sz w:val="22"/>
              </w:rPr>
              <w:t>Name of proposal:</w:t>
            </w:r>
          </w:p>
        </w:tc>
        <w:tc>
          <w:tcPr>
            <w:tcW w:w="5335" w:type="dxa"/>
          </w:tcPr>
          <w:p w:rsidR="004D5525" w:rsidRPr="00406794" w:rsidRDefault="003F5532" w:rsidP="00406794">
            <w:pPr>
              <w:pStyle w:val="BodyText"/>
              <w:ind w:left="113"/>
              <w:rPr>
                <w:sz w:val="22"/>
              </w:rPr>
            </w:pPr>
            <w:r w:rsidRPr="00406794">
              <w:rPr>
                <w:sz w:val="22"/>
              </w:rPr>
              <w:t xml:space="preserve">Supporting our </w:t>
            </w:r>
            <w:r w:rsidR="001C1962" w:rsidRPr="00406794">
              <w:rPr>
                <w:sz w:val="22"/>
              </w:rPr>
              <w:t>Australian V</w:t>
            </w:r>
            <w:r w:rsidRPr="00406794">
              <w:rPr>
                <w:sz w:val="22"/>
              </w:rPr>
              <w:t>ideogame</w:t>
            </w:r>
            <w:r w:rsidR="001C1962" w:rsidRPr="00406794">
              <w:rPr>
                <w:sz w:val="22"/>
              </w:rPr>
              <w:t>s</w:t>
            </w:r>
            <w:r w:rsidRPr="00406794">
              <w:rPr>
                <w:sz w:val="22"/>
              </w:rPr>
              <w:t xml:space="preserve"> </w:t>
            </w:r>
            <w:r w:rsidR="001C1962" w:rsidRPr="00406794">
              <w:rPr>
                <w:sz w:val="22"/>
              </w:rPr>
              <w:t>Industry</w:t>
            </w:r>
          </w:p>
        </w:tc>
      </w:tr>
      <w:tr w:rsidR="004D5525" w:rsidTr="00D52D5F">
        <w:tc>
          <w:tcPr>
            <w:tcW w:w="3005" w:type="dxa"/>
          </w:tcPr>
          <w:p w:rsidR="004D5525" w:rsidRDefault="004D5525" w:rsidP="00406794">
            <w:pPr>
              <w:pStyle w:val="BodyText"/>
              <w:ind w:left="113"/>
            </w:pPr>
            <w:r>
              <w:t>Summary of proposal:</w:t>
            </w:r>
          </w:p>
        </w:tc>
        <w:tc>
          <w:tcPr>
            <w:tcW w:w="5335" w:type="dxa"/>
          </w:tcPr>
          <w:p w:rsidR="008A4215" w:rsidRPr="00D86FF5" w:rsidRDefault="008A4215" w:rsidP="00406794">
            <w:pPr>
              <w:ind w:left="113"/>
            </w:pPr>
            <w:r w:rsidRPr="00D86FF5">
              <w:t xml:space="preserve">The proposal </w:t>
            </w:r>
            <w:r w:rsidR="00812C92">
              <w:t>has three components</w:t>
            </w:r>
            <w:r w:rsidR="00812C92" w:rsidRPr="00D86FF5">
              <w:t xml:space="preserve"> </w:t>
            </w:r>
            <w:r w:rsidR="00812C92">
              <w:t xml:space="preserve">that </w:t>
            </w:r>
            <w:r w:rsidRPr="00D86FF5">
              <w:t>would provide support for Australia’</w:t>
            </w:r>
            <w:r w:rsidR="00457671">
              <w:t>s video</w:t>
            </w:r>
            <w:r>
              <w:t xml:space="preserve">games industry </w:t>
            </w:r>
            <w:r w:rsidR="00812C92">
              <w:t>by</w:t>
            </w:r>
            <w:r w:rsidRPr="00D86FF5">
              <w:t>:</w:t>
            </w:r>
          </w:p>
          <w:p w:rsidR="009240B6" w:rsidRPr="00A23CAB" w:rsidRDefault="009240B6" w:rsidP="00406794">
            <w:pPr>
              <w:ind w:left="113"/>
              <w:rPr>
                <w:u w:val="single"/>
              </w:rPr>
            </w:pPr>
            <w:r w:rsidRPr="00A23CAB">
              <w:rPr>
                <w:u w:val="single"/>
              </w:rPr>
              <w:t>Component 1</w:t>
            </w:r>
            <w:r>
              <w:rPr>
                <w:u w:val="single"/>
              </w:rPr>
              <w:t>: Reinstating the Australian Interactive Games Fund (AIGF)</w:t>
            </w:r>
          </w:p>
          <w:p w:rsidR="00A23CAB" w:rsidRPr="00406794" w:rsidRDefault="008A4215" w:rsidP="00406794">
            <w:pPr>
              <w:pStyle w:val="Bullet1"/>
              <w:ind w:left="397" w:hanging="284"/>
            </w:pPr>
            <w:r w:rsidRPr="00406794">
              <w:t xml:space="preserve">reinstating the </w:t>
            </w:r>
            <w:r w:rsidR="009240B6" w:rsidRPr="00406794">
              <w:t xml:space="preserve">AIGF </w:t>
            </w:r>
            <w:r w:rsidRPr="00406794">
              <w:t>with $20</w:t>
            </w:r>
            <w:r w:rsidR="009240B6" w:rsidRPr="00406794">
              <w:t xml:space="preserve"> </w:t>
            </w:r>
            <w:r w:rsidRPr="00406794">
              <w:t xml:space="preserve">million of funding, and include within this a special stream to foster female </w:t>
            </w:r>
            <w:r w:rsidR="00A23CAB" w:rsidRPr="00406794">
              <w:t xml:space="preserve">involvement in the industry </w:t>
            </w:r>
          </w:p>
          <w:p w:rsidR="009240B6" w:rsidRPr="00A23CAB" w:rsidRDefault="009240B6" w:rsidP="00406794">
            <w:pPr>
              <w:pStyle w:val="Bullet2"/>
              <w:numPr>
                <w:ilvl w:val="0"/>
                <w:numId w:val="0"/>
              </w:numPr>
              <w:ind w:left="113"/>
              <w:rPr>
                <w:u w:val="single"/>
              </w:rPr>
            </w:pPr>
            <w:r w:rsidRPr="00A23CAB">
              <w:rPr>
                <w:u w:val="single"/>
              </w:rPr>
              <w:t>Component 2</w:t>
            </w:r>
            <w:r>
              <w:rPr>
                <w:u w:val="single"/>
              </w:rPr>
              <w:t xml:space="preserve">: Extending access to the Producer </w:t>
            </w:r>
            <w:r w:rsidR="00812C92">
              <w:rPr>
                <w:u w:val="single"/>
              </w:rPr>
              <w:t>T</w:t>
            </w:r>
            <w:r>
              <w:rPr>
                <w:u w:val="single"/>
              </w:rPr>
              <w:t xml:space="preserve">ax </w:t>
            </w:r>
            <w:r w:rsidR="00812C92">
              <w:rPr>
                <w:u w:val="single"/>
              </w:rPr>
              <w:t>O</w:t>
            </w:r>
            <w:r>
              <w:rPr>
                <w:u w:val="single"/>
              </w:rPr>
              <w:t>ffset</w:t>
            </w:r>
          </w:p>
          <w:p w:rsidR="009240B6" w:rsidRPr="00406794" w:rsidRDefault="008A4215" w:rsidP="00406794">
            <w:pPr>
              <w:pStyle w:val="Bullet1"/>
              <w:ind w:left="397" w:hanging="284"/>
            </w:pPr>
            <w:r>
              <w:t>e</w:t>
            </w:r>
            <w:r w:rsidRPr="00D86FF5">
              <w:t>x</w:t>
            </w:r>
            <w:r w:rsidRPr="00406794">
              <w:t>tending access to the Producer Tax Offset to game producers at 40</w:t>
            </w:r>
            <w:r w:rsidR="00E219BC" w:rsidRPr="00406794">
              <w:t> </w:t>
            </w:r>
            <w:r w:rsidRPr="00406794">
              <w:t>per</w:t>
            </w:r>
            <w:r w:rsidR="00E219BC" w:rsidRPr="00406794">
              <w:t> </w:t>
            </w:r>
            <w:r w:rsidRPr="00406794">
              <w:t>cent of eligible expenditure</w:t>
            </w:r>
          </w:p>
          <w:p w:rsidR="009240B6" w:rsidRPr="00A23CAB" w:rsidRDefault="009240B6" w:rsidP="00406794">
            <w:pPr>
              <w:pStyle w:val="ListBullet"/>
              <w:numPr>
                <w:ilvl w:val="0"/>
                <w:numId w:val="0"/>
              </w:numPr>
              <w:ind w:left="567" w:hanging="454"/>
              <w:rPr>
                <w:u w:val="single"/>
              </w:rPr>
            </w:pPr>
            <w:r w:rsidRPr="00A23CAB">
              <w:rPr>
                <w:u w:val="single"/>
              </w:rPr>
              <w:t>Component 3</w:t>
            </w:r>
            <w:r>
              <w:rPr>
                <w:u w:val="single"/>
              </w:rPr>
              <w:t>: Establishing shared working spaces</w:t>
            </w:r>
          </w:p>
          <w:p w:rsidR="009240B6" w:rsidRDefault="008A4215" w:rsidP="00406794">
            <w:pPr>
              <w:pStyle w:val="Bullet1"/>
              <w:ind w:left="397" w:hanging="284"/>
            </w:pPr>
            <w:r>
              <w:t>pr</w:t>
            </w:r>
            <w:r w:rsidRPr="00406794">
              <w:t>oviding $5 million to establish shared working spaces for developers and publishers</w:t>
            </w:r>
            <w:r w:rsidR="00812C92" w:rsidRPr="00406794">
              <w:t>.</w:t>
            </w:r>
          </w:p>
          <w:p w:rsidR="004D5525" w:rsidRDefault="00812C92" w:rsidP="00DC4CE2">
            <w:pPr>
              <w:pStyle w:val="Bullet1"/>
              <w:numPr>
                <w:ilvl w:val="0"/>
                <w:numId w:val="0"/>
              </w:numPr>
              <w:ind w:left="113"/>
            </w:pPr>
            <w:r>
              <w:t xml:space="preserve">Components 1 and 3 </w:t>
            </w:r>
            <w:r w:rsidR="00DD041C">
              <w:t>would have effect from 1 July 2017</w:t>
            </w:r>
            <w:r>
              <w:t>, compo</w:t>
            </w:r>
            <w:r w:rsidR="00DC4CE2">
              <w:t>nent 2 would have effect from 1 </w:t>
            </w:r>
            <w:r>
              <w:t>September</w:t>
            </w:r>
            <w:r w:rsidR="00DC4CE2">
              <w:t> </w:t>
            </w:r>
            <w:r>
              <w:t>2016.</w:t>
            </w:r>
          </w:p>
        </w:tc>
      </w:tr>
      <w:tr w:rsidR="004D5525" w:rsidTr="00D52D5F">
        <w:tc>
          <w:tcPr>
            <w:tcW w:w="3005" w:type="dxa"/>
          </w:tcPr>
          <w:p w:rsidR="004D5525" w:rsidRDefault="004D5525" w:rsidP="00406794">
            <w:pPr>
              <w:pStyle w:val="BodyText"/>
              <w:ind w:left="113"/>
            </w:pPr>
            <w:r>
              <w:t>Person/party requesting costing:</w:t>
            </w:r>
          </w:p>
        </w:tc>
        <w:tc>
          <w:tcPr>
            <w:tcW w:w="5335" w:type="dxa"/>
          </w:tcPr>
          <w:p w:rsidR="004D5525" w:rsidRDefault="00C708DC" w:rsidP="00406794">
            <w:pPr>
              <w:pStyle w:val="BodyText"/>
              <w:ind w:left="113"/>
            </w:pPr>
            <w:r>
              <w:t>Senator Di Natale, Australian Greens</w:t>
            </w:r>
          </w:p>
        </w:tc>
      </w:tr>
      <w:tr w:rsidR="007D3577" w:rsidTr="00060F22">
        <w:tc>
          <w:tcPr>
            <w:tcW w:w="3005" w:type="dxa"/>
          </w:tcPr>
          <w:p w:rsidR="007D3577" w:rsidRDefault="007D3577" w:rsidP="00406794">
            <w:pPr>
              <w:pStyle w:val="BodyText"/>
              <w:ind w:left="113"/>
            </w:pPr>
            <w:r>
              <w:t>Date of public release of policy:</w:t>
            </w:r>
          </w:p>
        </w:tc>
        <w:tc>
          <w:tcPr>
            <w:tcW w:w="5335" w:type="dxa"/>
          </w:tcPr>
          <w:p w:rsidR="001C1962" w:rsidRDefault="002611A1" w:rsidP="00406794">
            <w:pPr>
              <w:pStyle w:val="BodyText"/>
              <w:ind w:left="113"/>
            </w:pPr>
            <w:r>
              <w:t>28 June 2016</w:t>
            </w:r>
          </w:p>
          <w:p w:rsidR="001C1962" w:rsidRPr="00C17112" w:rsidRDefault="004D6B3B" w:rsidP="00406794">
            <w:pPr>
              <w:pStyle w:val="BodyText"/>
              <w:ind w:left="113"/>
            </w:pPr>
            <w:hyperlink r:id="rId13" w:history="1">
              <w:r w:rsidR="001C1962" w:rsidRPr="00811CFA">
                <w:rPr>
                  <w:rStyle w:val="Hyperlink"/>
                </w:rPr>
                <w:t>http://greensmps.org.au/content/media-releases/1up-greens-announce-initiative-invest-videogames-industry</w:t>
              </w:r>
            </w:hyperlink>
          </w:p>
        </w:tc>
      </w:tr>
      <w:tr w:rsidR="004D5525" w:rsidTr="00D52D5F">
        <w:tc>
          <w:tcPr>
            <w:tcW w:w="3005" w:type="dxa"/>
          </w:tcPr>
          <w:p w:rsidR="004D5525" w:rsidRDefault="004D5525" w:rsidP="00406794">
            <w:pPr>
              <w:pStyle w:val="BodyText"/>
              <w:ind w:left="113"/>
            </w:pPr>
            <w:r>
              <w:t>Date costing request received:</w:t>
            </w:r>
          </w:p>
        </w:tc>
        <w:tc>
          <w:tcPr>
            <w:tcW w:w="5335" w:type="dxa"/>
          </w:tcPr>
          <w:p w:rsidR="004D5525" w:rsidRDefault="008473E3" w:rsidP="00406794">
            <w:pPr>
              <w:pStyle w:val="BodyText"/>
              <w:ind w:left="113"/>
            </w:pPr>
            <w:r>
              <w:t>30 June 2016</w:t>
            </w:r>
          </w:p>
        </w:tc>
      </w:tr>
      <w:tr w:rsidR="004D5525" w:rsidTr="00D52D5F">
        <w:tc>
          <w:tcPr>
            <w:tcW w:w="3005" w:type="dxa"/>
          </w:tcPr>
          <w:p w:rsidR="004D5525" w:rsidRDefault="004D5525" w:rsidP="00406794">
            <w:pPr>
              <w:pStyle w:val="BodyText"/>
              <w:ind w:left="113"/>
            </w:pPr>
            <w:r>
              <w:t>Date costing completed</w:t>
            </w:r>
            <w:r w:rsidR="00DC4CE2">
              <w:t>:</w:t>
            </w:r>
          </w:p>
        </w:tc>
        <w:tc>
          <w:tcPr>
            <w:tcW w:w="5335" w:type="dxa"/>
          </w:tcPr>
          <w:p w:rsidR="004D5525" w:rsidRPr="00C17112" w:rsidRDefault="008473E3" w:rsidP="00406794">
            <w:pPr>
              <w:pStyle w:val="BodyText"/>
              <w:ind w:left="113"/>
            </w:pPr>
            <w:r>
              <w:t>30 June 2016</w:t>
            </w:r>
          </w:p>
        </w:tc>
      </w:tr>
      <w:tr w:rsidR="004D5525" w:rsidTr="00D52D5F">
        <w:tc>
          <w:tcPr>
            <w:tcW w:w="3005" w:type="dxa"/>
          </w:tcPr>
          <w:p w:rsidR="004D5525" w:rsidRPr="00220BE5" w:rsidRDefault="004D5525" w:rsidP="00406794">
            <w:pPr>
              <w:pStyle w:val="BodyText"/>
              <w:ind w:left="113"/>
            </w:pPr>
            <w:r w:rsidRPr="00220BE5">
              <w:t>Expiry date for the costing:</w:t>
            </w:r>
          </w:p>
        </w:tc>
        <w:tc>
          <w:tcPr>
            <w:tcW w:w="5335" w:type="dxa"/>
          </w:tcPr>
          <w:p w:rsidR="004D5525" w:rsidRPr="00220BE5" w:rsidRDefault="00F4535C" w:rsidP="00406794">
            <w:pPr>
              <w:pStyle w:val="BodyText"/>
              <w:ind w:left="113"/>
            </w:pPr>
            <w:r>
              <w:t>Release of the next economic and fiscal outlook report</w:t>
            </w:r>
          </w:p>
        </w:tc>
      </w:tr>
    </w:tbl>
    <w:p w:rsidR="0055581F" w:rsidRPr="00002D5D" w:rsidRDefault="008030EC" w:rsidP="00FC6579">
      <w:pPr>
        <w:pStyle w:val="Heading2"/>
      </w:pPr>
      <w:r w:rsidRPr="00002D5D">
        <w:lastRenderedPageBreak/>
        <w:t>Costing overview</w:t>
      </w:r>
    </w:p>
    <w:p w:rsidR="008A4215" w:rsidRDefault="008A4215" w:rsidP="008A4215">
      <w:r w:rsidRPr="00BC3E88">
        <w:t xml:space="preserve">This proposal </w:t>
      </w:r>
      <w:r w:rsidR="002F2EA8">
        <w:t>would be</w:t>
      </w:r>
      <w:r w:rsidRPr="00BC3E88">
        <w:t xml:space="preserve"> expected to decrease the </w:t>
      </w:r>
      <w:r w:rsidR="009E1EA2" w:rsidRPr="00BC3E88">
        <w:t>fiscal balance by $</w:t>
      </w:r>
      <w:r w:rsidR="008E68C6">
        <w:t>19</w:t>
      </w:r>
      <w:r w:rsidR="008F1CC4">
        <w:t>4</w:t>
      </w:r>
      <w:r w:rsidR="005400C0">
        <w:t> </w:t>
      </w:r>
      <w:r w:rsidR="009E1EA2" w:rsidRPr="00BC3E88">
        <w:t xml:space="preserve">million </w:t>
      </w:r>
      <w:r w:rsidRPr="00BC3E88">
        <w:t xml:space="preserve">and decrease the </w:t>
      </w:r>
      <w:r w:rsidR="009E1EA2" w:rsidRPr="00BC3E88">
        <w:t>underlying cash balance by $</w:t>
      </w:r>
      <w:r w:rsidR="008E68C6">
        <w:t>14</w:t>
      </w:r>
      <w:r w:rsidR="008F1CC4">
        <w:t>9</w:t>
      </w:r>
      <w:r w:rsidR="005400C0">
        <w:t> </w:t>
      </w:r>
      <w:r w:rsidR="009E1EA2" w:rsidRPr="00BC3E88">
        <w:t xml:space="preserve">million </w:t>
      </w:r>
      <w:r w:rsidRPr="00BC3E88">
        <w:t>over the 201</w:t>
      </w:r>
      <w:r>
        <w:t>6</w:t>
      </w:r>
      <w:r w:rsidR="005400C0">
        <w:noBreakHyphen/>
      </w:r>
      <w:r w:rsidRPr="00BC3E88">
        <w:t>1</w:t>
      </w:r>
      <w:r>
        <w:t>7</w:t>
      </w:r>
      <w:r w:rsidRPr="00BC3E88">
        <w:t xml:space="preserve"> Budget forward estimates period.  This impact wholly reflects an increase in expenses.</w:t>
      </w:r>
      <w:r>
        <w:t xml:space="preserve">  </w:t>
      </w:r>
      <w:r w:rsidRPr="002A0400">
        <w:t xml:space="preserve">A detailed breakdown of the impact of this proposal is presented at </w:t>
      </w:r>
      <w:r w:rsidRPr="002A0400">
        <w:rPr>
          <w:u w:val="single"/>
        </w:rPr>
        <w:t>Attachment</w:t>
      </w:r>
      <w:r w:rsidR="005400C0">
        <w:rPr>
          <w:u w:val="single"/>
        </w:rPr>
        <w:t> </w:t>
      </w:r>
      <w:r w:rsidRPr="002A0400">
        <w:rPr>
          <w:u w:val="single"/>
        </w:rPr>
        <w:t>A</w:t>
      </w:r>
      <w:r w:rsidRPr="002A0400">
        <w:t>.</w:t>
      </w:r>
    </w:p>
    <w:p w:rsidR="005C552A" w:rsidRDefault="005C552A" w:rsidP="008A4215">
      <w:r w:rsidRPr="00007EDC">
        <w:t>The underlying cash balance impact of th</w:t>
      </w:r>
      <w:r>
        <w:t>ese</w:t>
      </w:r>
      <w:r w:rsidRPr="00007EDC">
        <w:t xml:space="preserve"> proposal</w:t>
      </w:r>
      <w:r>
        <w:t>s</w:t>
      </w:r>
      <w:r w:rsidRPr="00007EDC">
        <w:t xml:space="preserve"> differ</w:t>
      </w:r>
      <w:r>
        <w:t>s</w:t>
      </w:r>
      <w:r w:rsidRPr="00007EDC">
        <w:t xml:space="preserve"> from the fiscal balance impact because of a timing difference between when </w:t>
      </w:r>
      <w:r>
        <w:t>videogame productions</w:t>
      </w:r>
      <w:r w:rsidRPr="00007EDC">
        <w:t xml:space="preserve"> become eligible to receive the </w:t>
      </w:r>
      <w:r>
        <w:t>O</w:t>
      </w:r>
      <w:r w:rsidRPr="00007EDC">
        <w:t>ffset and when the</w:t>
      </w:r>
      <w:r>
        <w:t xml:space="preserve"> Offset</w:t>
      </w:r>
      <w:r w:rsidRPr="00007EDC">
        <w:t xml:space="preserve"> </w:t>
      </w:r>
      <w:r>
        <w:t>is paid through lodgement of an income tax return to the Australian Taxation Office.</w:t>
      </w:r>
    </w:p>
    <w:p w:rsidR="008A4215" w:rsidRPr="00BD3161" w:rsidRDefault="008A4215" w:rsidP="008A4215">
      <w:r w:rsidRPr="00BD3161">
        <w:t xml:space="preserve">This proposal </w:t>
      </w:r>
      <w:r w:rsidR="002F2EA8">
        <w:t xml:space="preserve">would </w:t>
      </w:r>
      <w:r w:rsidRPr="00BD3161">
        <w:t xml:space="preserve">have an ongoing impact that extends beyond the </w:t>
      </w:r>
      <w:r w:rsidR="00BF4E00">
        <w:t xml:space="preserve">2016-17 Budget </w:t>
      </w:r>
      <w:r w:rsidRPr="00BD3161">
        <w:t>forward estimates period</w:t>
      </w:r>
      <w:r>
        <w:t xml:space="preserve"> for impacts on the Producer Tax Offset only</w:t>
      </w:r>
      <w:r w:rsidRPr="00BD3161">
        <w:t>.</w:t>
      </w:r>
    </w:p>
    <w:p w:rsidR="008A4215" w:rsidRDefault="008A4215" w:rsidP="008A4215">
      <w:r>
        <w:t>Departmental</w:t>
      </w:r>
      <w:r w:rsidRPr="00BF042F">
        <w:t xml:space="preserve"> expenses </w:t>
      </w:r>
      <w:r>
        <w:t xml:space="preserve">arising from reinstating the AIGF and establishing shared work spaces are not expected to be significant and </w:t>
      </w:r>
      <w:r w:rsidRPr="00BF042F">
        <w:t xml:space="preserve">have not been included in this costing. </w:t>
      </w:r>
      <w:r>
        <w:t xml:space="preserve"> Departmental expenses arising from extending t</w:t>
      </w:r>
      <w:r w:rsidR="00457671">
        <w:t>he Producer Tax Offset to video</w:t>
      </w:r>
      <w:r>
        <w:t>game producers have been estimated at $1 million per</w:t>
      </w:r>
      <w:r w:rsidR="00E756AA">
        <w:t> </w:t>
      </w:r>
      <w:r>
        <w:t>annum.</w:t>
      </w:r>
    </w:p>
    <w:p w:rsidR="00812C92" w:rsidRDefault="00812C92" w:rsidP="008A4215">
      <w:pPr>
        <w:rPr>
          <w:lang w:eastAsia="en-AU"/>
        </w:rPr>
      </w:pPr>
      <w:r w:rsidRPr="001812A0">
        <w:rPr>
          <w:lang w:eastAsia="en-AU"/>
        </w:rPr>
        <w:t xml:space="preserve">The Producer Tax Offset component of this costing is considered to be of low reliability due to </w:t>
      </w:r>
      <w:r>
        <w:rPr>
          <w:lang w:eastAsia="en-AU"/>
        </w:rPr>
        <w:t xml:space="preserve">a </w:t>
      </w:r>
      <w:r w:rsidRPr="001812A0">
        <w:rPr>
          <w:lang w:eastAsia="en-AU"/>
        </w:rPr>
        <w:t>lack of historical data and uncertain</w:t>
      </w:r>
      <w:r>
        <w:rPr>
          <w:lang w:eastAsia="en-AU"/>
        </w:rPr>
        <w:t>ty surrounding behavioural assumptions</w:t>
      </w:r>
      <w:r w:rsidRPr="001812A0">
        <w:rPr>
          <w:lang w:eastAsia="en-AU"/>
        </w:rPr>
        <w:t>.</w:t>
      </w:r>
    </w:p>
    <w:p w:rsidR="008A4215" w:rsidRDefault="008A4215" w:rsidP="008A4215">
      <w:r w:rsidRPr="001812A0">
        <w:rPr>
          <w:lang w:eastAsia="en-AU"/>
        </w:rPr>
        <w:t xml:space="preserve">The </w:t>
      </w:r>
      <w:r>
        <w:rPr>
          <w:lang w:eastAsia="en-AU"/>
        </w:rPr>
        <w:t xml:space="preserve">AIGF and support for shared workspaces </w:t>
      </w:r>
      <w:r w:rsidRPr="001812A0">
        <w:rPr>
          <w:lang w:eastAsia="en-AU"/>
        </w:rPr>
        <w:t>components of this costing are consi</w:t>
      </w:r>
      <w:r>
        <w:rPr>
          <w:lang w:eastAsia="en-AU"/>
        </w:rPr>
        <w:t xml:space="preserve">dered to be of high reliability as the amounts of funding are fixed.  </w:t>
      </w:r>
      <w:r w:rsidR="00812C92">
        <w:rPr>
          <w:lang w:eastAsia="en-AU"/>
        </w:rPr>
        <w:t>However, no analysis has been undertaken to determine the adequacy of the prescribed funding amounts to achieve the objective of the proposal.</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r w:rsidRPr="00844776">
        <w:rPr>
          <w:vertAlign w:val="superscript"/>
        </w:rPr>
        <w:t>(a)</w:t>
      </w:r>
      <w:r w:rsidR="00457671">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CF7D9A">
            <w:pPr>
              <w:pStyle w:val="TableText"/>
              <w:keepNext/>
              <w:keepLines/>
              <w:spacing w:line="240" w:lineRule="auto"/>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CF7D9A">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9E1EA2" w:rsidRPr="00B73AC8" w:rsidTr="00EA2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9E1EA2" w:rsidRPr="00B73AC8" w:rsidRDefault="009E1EA2" w:rsidP="00CF7D9A">
            <w:pPr>
              <w:pStyle w:val="TableTextCentred"/>
              <w:keepNext/>
              <w:keepLines/>
              <w:spacing w:line="240" w:lineRule="auto"/>
              <w:ind w:left="57" w:right="57"/>
              <w:jc w:val="left"/>
              <w:rPr>
                <w:szCs w:val="20"/>
              </w:rPr>
            </w:pPr>
            <w:r w:rsidRPr="00B73AC8">
              <w:rPr>
                <w:szCs w:val="20"/>
              </w:rPr>
              <w:t>Fiscal balance</w:t>
            </w:r>
          </w:p>
        </w:tc>
        <w:tc>
          <w:tcPr>
            <w:tcW w:w="682" w:type="pct"/>
          </w:tcPr>
          <w:p w:rsidR="009E1EA2" w:rsidRPr="00B73AC8" w:rsidRDefault="008E68C6" w:rsidP="00A224E3">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-3</w:t>
            </w:r>
            <w:r w:rsidR="008F172C">
              <w:rPr>
                <w:rFonts w:ascii="Calibri" w:hAnsi="Calibri"/>
                <w:szCs w:val="20"/>
              </w:rPr>
              <w:t>6</w:t>
            </w:r>
            <w:r>
              <w:rPr>
                <w:rFonts w:ascii="Calibri" w:hAnsi="Calibri"/>
                <w:szCs w:val="20"/>
              </w:rPr>
              <w:t>.0</w:t>
            </w:r>
          </w:p>
        </w:tc>
        <w:tc>
          <w:tcPr>
            <w:tcW w:w="682" w:type="pct"/>
          </w:tcPr>
          <w:p w:rsidR="009E1EA2" w:rsidRPr="00B73AC8" w:rsidRDefault="009E1EA2" w:rsidP="00A224E3">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-53.0</w:t>
            </w:r>
          </w:p>
        </w:tc>
        <w:tc>
          <w:tcPr>
            <w:tcW w:w="682" w:type="pct"/>
          </w:tcPr>
          <w:p w:rsidR="009E1EA2" w:rsidRPr="00B73AC8" w:rsidRDefault="009E1EA2" w:rsidP="00A224E3">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-53.0</w:t>
            </w:r>
          </w:p>
        </w:tc>
        <w:tc>
          <w:tcPr>
            <w:tcW w:w="682" w:type="pct"/>
          </w:tcPr>
          <w:p w:rsidR="009E1EA2" w:rsidRPr="00B73AC8" w:rsidRDefault="009E1EA2" w:rsidP="00A224E3">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szCs w:val="20"/>
              </w:rPr>
            </w:pPr>
            <w:r>
              <w:rPr>
                <w:rFonts w:ascii="Calibri" w:hAnsi="Calibri"/>
                <w:szCs w:val="20"/>
              </w:rPr>
              <w:t>-52.0</w:t>
            </w:r>
          </w:p>
        </w:tc>
        <w:tc>
          <w:tcPr>
            <w:tcW w:w="681" w:type="pct"/>
          </w:tcPr>
          <w:p w:rsidR="009E1EA2" w:rsidRPr="00F97DFF" w:rsidRDefault="009E1EA2">
            <w:pPr>
              <w:pStyle w:val="TableTextCentred"/>
              <w:keepNext/>
              <w:keepLines/>
              <w:spacing w:line="240" w:lineRule="auto"/>
              <w:ind w:left="57" w:right="57"/>
              <w:jc w:val="right"/>
              <w:cnfStyle w:val="000000100000" w:firstRow="0" w:lastRow="0" w:firstColumn="0" w:lastColumn="0" w:oddVBand="0" w:evenVBand="0" w:oddHBand="1" w:evenHBand="0" w:firstRowFirstColumn="0" w:firstRowLastColumn="0" w:lastRowFirstColumn="0" w:lastRowLastColumn="0"/>
              <w:rPr>
                <w:rFonts w:ascii="Calibri" w:hAnsi="Calibri"/>
                <w:b/>
                <w:szCs w:val="20"/>
              </w:rPr>
            </w:pPr>
            <w:r>
              <w:rPr>
                <w:rFonts w:ascii="Calibri" w:hAnsi="Calibri"/>
                <w:b/>
                <w:szCs w:val="20"/>
              </w:rPr>
              <w:t>-</w:t>
            </w:r>
            <w:r w:rsidR="008E68C6">
              <w:rPr>
                <w:rFonts w:ascii="Calibri" w:hAnsi="Calibri"/>
                <w:b/>
                <w:szCs w:val="20"/>
              </w:rPr>
              <w:t>19</w:t>
            </w:r>
            <w:r w:rsidR="008F172C">
              <w:rPr>
                <w:rFonts w:ascii="Calibri" w:hAnsi="Calibri"/>
                <w:b/>
                <w:szCs w:val="20"/>
              </w:rPr>
              <w:t>4</w:t>
            </w:r>
            <w:r>
              <w:rPr>
                <w:rFonts w:ascii="Calibri" w:hAnsi="Calibri"/>
                <w:b/>
                <w:szCs w:val="20"/>
              </w:rPr>
              <w:t>.0</w:t>
            </w:r>
          </w:p>
        </w:tc>
      </w:tr>
      <w:tr w:rsidR="009E1EA2" w:rsidRPr="00B73AC8" w:rsidTr="00EA265F">
        <w:tc>
          <w:tcPr>
            <w:cnfStyle w:val="001000000000" w:firstRow="0" w:lastRow="0" w:firstColumn="1" w:lastColumn="0" w:oddVBand="0" w:evenVBand="0" w:oddHBand="0" w:evenHBand="0" w:firstRowFirstColumn="0" w:firstRowLastColumn="0" w:lastRowFirstColumn="0" w:lastRowLastColumn="0"/>
            <w:tcW w:w="1591" w:type="pct"/>
          </w:tcPr>
          <w:p w:rsidR="009E1EA2" w:rsidRPr="00B73AC8" w:rsidRDefault="009E1EA2" w:rsidP="00CF7D9A">
            <w:pPr>
              <w:pStyle w:val="TableTextCentred"/>
              <w:keepNext/>
              <w:keepLines/>
              <w:spacing w:line="240" w:lineRule="auto"/>
              <w:ind w:left="57" w:right="57"/>
              <w:jc w:val="left"/>
              <w:rPr>
                <w:szCs w:val="20"/>
              </w:rPr>
            </w:pPr>
            <w:r w:rsidRPr="00B73AC8">
              <w:rPr>
                <w:szCs w:val="20"/>
              </w:rPr>
              <w:t>Underlying cash balance</w:t>
            </w:r>
          </w:p>
        </w:tc>
        <w:tc>
          <w:tcPr>
            <w:tcW w:w="682" w:type="pct"/>
          </w:tcPr>
          <w:p w:rsidR="009E1EA2" w:rsidRPr="00B73AC8" w:rsidRDefault="009E1EA2" w:rsidP="00A224E3">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w:t>
            </w:r>
            <w:r w:rsidR="008F172C">
              <w:rPr>
                <w:rFonts w:ascii="Calibri" w:hAnsi="Calibri"/>
                <w:szCs w:val="20"/>
              </w:rPr>
              <w:t>1.0</w:t>
            </w:r>
          </w:p>
        </w:tc>
        <w:tc>
          <w:tcPr>
            <w:tcW w:w="682" w:type="pct"/>
          </w:tcPr>
          <w:p w:rsidR="009E1EA2" w:rsidRPr="00B73AC8" w:rsidRDefault="009E1EA2">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w:t>
            </w:r>
            <w:r w:rsidR="008E68C6">
              <w:rPr>
                <w:rFonts w:ascii="Calibri" w:hAnsi="Calibri"/>
                <w:szCs w:val="20"/>
              </w:rPr>
              <w:t>48</w:t>
            </w:r>
            <w:r>
              <w:rPr>
                <w:rFonts w:ascii="Calibri" w:hAnsi="Calibri"/>
                <w:szCs w:val="20"/>
              </w:rPr>
              <w:t>.0</w:t>
            </w:r>
          </w:p>
        </w:tc>
        <w:tc>
          <w:tcPr>
            <w:tcW w:w="682" w:type="pct"/>
          </w:tcPr>
          <w:p w:rsidR="009E1EA2" w:rsidRPr="00B73AC8" w:rsidRDefault="009E1EA2" w:rsidP="00A224E3">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-48.0</w:t>
            </w:r>
          </w:p>
        </w:tc>
        <w:tc>
          <w:tcPr>
            <w:tcW w:w="682" w:type="pct"/>
          </w:tcPr>
          <w:p w:rsidR="009E1EA2" w:rsidRPr="00B73AC8" w:rsidRDefault="009E1EA2" w:rsidP="00A224E3">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szCs w:val="20"/>
              </w:rPr>
            </w:pPr>
            <w:r>
              <w:rPr>
                <w:rFonts w:ascii="Calibri" w:hAnsi="Calibri"/>
                <w:szCs w:val="20"/>
              </w:rPr>
              <w:t>-52.0</w:t>
            </w:r>
          </w:p>
        </w:tc>
        <w:tc>
          <w:tcPr>
            <w:tcW w:w="681" w:type="pct"/>
          </w:tcPr>
          <w:p w:rsidR="009E1EA2" w:rsidRPr="00F97DFF" w:rsidRDefault="009E1EA2">
            <w:pPr>
              <w:pStyle w:val="TableTextCentred"/>
              <w:keepNext/>
              <w:keepLines/>
              <w:spacing w:line="240" w:lineRule="auto"/>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szCs w:val="20"/>
              </w:rPr>
            </w:pPr>
            <w:r>
              <w:rPr>
                <w:rFonts w:ascii="Calibri" w:hAnsi="Calibri"/>
                <w:b/>
                <w:szCs w:val="20"/>
              </w:rPr>
              <w:t>-</w:t>
            </w:r>
            <w:r w:rsidR="008E68C6">
              <w:rPr>
                <w:rFonts w:ascii="Calibri" w:hAnsi="Calibri"/>
                <w:b/>
                <w:szCs w:val="20"/>
              </w:rPr>
              <w:t>14</w:t>
            </w:r>
            <w:r w:rsidR="008F172C">
              <w:rPr>
                <w:rFonts w:ascii="Calibri" w:hAnsi="Calibri"/>
                <w:b/>
                <w:szCs w:val="20"/>
              </w:rPr>
              <w:t>9</w:t>
            </w:r>
            <w:r>
              <w:rPr>
                <w:rFonts w:ascii="Calibri" w:hAnsi="Calibri"/>
                <w:b/>
                <w:szCs w:val="20"/>
              </w:rPr>
              <w:t>.0</w:t>
            </w:r>
          </w:p>
        </w:tc>
      </w:tr>
    </w:tbl>
    <w:p w:rsidR="00C708DC" w:rsidRPr="0069722C" w:rsidRDefault="00C708DC" w:rsidP="0002631A">
      <w:pPr>
        <w:pStyle w:val="Footnotes"/>
        <w:numPr>
          <w:ilvl w:val="0"/>
          <w:numId w:val="17"/>
        </w:numPr>
        <w:ind w:left="284" w:hanging="284"/>
      </w:pPr>
      <w:r w:rsidRPr="0069722C">
        <w:t>A positive number indicates an increase in the relevant budget balance, a negative number a decrease.</w:t>
      </w:r>
    </w:p>
    <w:p w:rsidR="00C708DC" w:rsidRPr="0069722C" w:rsidRDefault="00C708DC" w:rsidP="0002631A">
      <w:pPr>
        <w:pStyle w:val="Footnotes"/>
      </w:pPr>
      <w:r w:rsidRPr="0069722C">
        <w:t>Figures may not sum to totals due to rounding.</w:t>
      </w:r>
    </w:p>
    <w:p w:rsidR="008D3909" w:rsidRPr="00FC6579" w:rsidRDefault="005E3562" w:rsidP="00E055FC">
      <w:pPr>
        <w:pStyle w:val="Heading2"/>
      </w:pPr>
      <w:r w:rsidRPr="00FC6579">
        <w:lastRenderedPageBreak/>
        <w:t>Key assumptions</w:t>
      </w:r>
    </w:p>
    <w:p w:rsidR="008A4215" w:rsidRDefault="008A4215" w:rsidP="00E055FC">
      <w:pPr>
        <w:keepNext/>
        <w:keepLines/>
      </w:pPr>
      <w:r>
        <w:t>The Parliamentary Budget Office has made the following assumptions regarding this proposal:</w:t>
      </w:r>
    </w:p>
    <w:p w:rsidR="008A4215" w:rsidRPr="00E30477" w:rsidRDefault="008A4215" w:rsidP="00E055FC">
      <w:pPr>
        <w:pStyle w:val="Heading3"/>
      </w:pPr>
      <w:r w:rsidRPr="00E30477">
        <w:t>Extend the Producer Tax Offset to videogames</w:t>
      </w:r>
    </w:p>
    <w:p w:rsidR="008A4215" w:rsidRPr="00E055FC" w:rsidRDefault="008A4215" w:rsidP="00E055FC">
      <w:pPr>
        <w:pStyle w:val="Bullet1"/>
        <w:keepNext/>
      </w:pPr>
      <w:r w:rsidRPr="00E055FC">
        <w:t>All expenditure made in Australia by videogame producers will be eligible for the Offset.</w:t>
      </w:r>
    </w:p>
    <w:p w:rsidR="008A4215" w:rsidRPr="00E055FC" w:rsidRDefault="008A4215" w:rsidP="00E055FC">
      <w:pPr>
        <w:pStyle w:val="Bullet1"/>
      </w:pPr>
      <w:r w:rsidRPr="00E055FC">
        <w:t>The value of qualifying expenditure on videogame production is assumed to grow at the same rate as the consumer price index.</w:t>
      </w:r>
    </w:p>
    <w:p w:rsidR="008A4215" w:rsidRPr="00E055FC" w:rsidRDefault="008A4215" w:rsidP="00E055FC">
      <w:pPr>
        <w:pStyle w:val="Bullet1"/>
      </w:pPr>
      <w:r w:rsidRPr="00E055FC">
        <w:t>Offset amounts are assumed to be claimed by companies in the year following the completion of production.</w:t>
      </w:r>
    </w:p>
    <w:p w:rsidR="008A4215" w:rsidRPr="00E055FC" w:rsidRDefault="008A4215" w:rsidP="00E055FC">
      <w:pPr>
        <w:pStyle w:val="Bullet1"/>
      </w:pPr>
      <w:r w:rsidRPr="00E055FC">
        <w:t xml:space="preserve">A behavioural response to the proposal is assumed to increase the amount of </w:t>
      </w:r>
      <w:r w:rsidR="00457671" w:rsidRPr="00E055FC">
        <w:t>qualifying expenditure on video</w:t>
      </w:r>
      <w:r w:rsidRPr="00E055FC">
        <w:t>game production.  This response is based on the effective fall in production costs as a result of this proposal</w:t>
      </w:r>
      <w:r w:rsidR="00D85018" w:rsidRPr="00E055FC">
        <w:t>.</w:t>
      </w:r>
      <w:r w:rsidRPr="00E055FC">
        <w:t xml:space="preserve">  </w:t>
      </w:r>
    </w:p>
    <w:p w:rsidR="008A4215" w:rsidRPr="00E055FC" w:rsidRDefault="008A4215" w:rsidP="00E055FC">
      <w:pPr>
        <w:pStyle w:val="Bullet1"/>
      </w:pPr>
      <w:r w:rsidRPr="00E055FC">
        <w:t>It has been assumed that the Producer Tax Offset</w:t>
      </w:r>
      <w:r w:rsidR="00457671" w:rsidRPr="00E055FC">
        <w:t xml:space="preserve"> for videogames </w:t>
      </w:r>
      <w:r w:rsidRPr="00E055FC">
        <w:t xml:space="preserve">will be administered in a similar way to the current Producer Tax Offset for feature films.  </w:t>
      </w:r>
    </w:p>
    <w:p w:rsidR="005E3562" w:rsidRPr="00FC6579" w:rsidRDefault="005E3562" w:rsidP="00E40B8B">
      <w:pPr>
        <w:pStyle w:val="Heading2"/>
      </w:pPr>
      <w:r w:rsidRPr="00FC6579">
        <w:t>Methodology</w:t>
      </w:r>
    </w:p>
    <w:p w:rsidR="009E1EA2" w:rsidRPr="009E1EA2" w:rsidRDefault="009E1EA2" w:rsidP="00E055FC">
      <w:r w:rsidRPr="009E1EA2">
        <w:t>Increased expenditure on the Producer Tax Offset was calculated by applying the proposed rate to</w:t>
      </w:r>
      <w:r w:rsidR="00457671">
        <w:t xml:space="preserve"> estimated expenditure on video</w:t>
      </w:r>
      <w:r w:rsidRPr="009E1EA2">
        <w:t>game production in Australia, adjusted to take into account the behavioural response.</w:t>
      </w:r>
    </w:p>
    <w:p w:rsidR="009E1EA2" w:rsidRPr="009E1EA2" w:rsidRDefault="009E1EA2" w:rsidP="00E055FC">
      <w:r w:rsidRPr="009E1EA2">
        <w:t>AIGF funding is equal to the amount specified in the request, divided equally from the start date of the policy to the end of the forward estimates period.  The funding for shared workspaces is a one</w:t>
      </w:r>
      <w:r w:rsidR="005C552A">
        <w:noBreakHyphen/>
      </w:r>
      <w:r w:rsidRPr="009E1EA2">
        <w:t>off impact in the first year of the proposal.</w:t>
      </w:r>
    </w:p>
    <w:p w:rsidR="009E1EA2" w:rsidRPr="00E055FC" w:rsidRDefault="009E1EA2" w:rsidP="00E055FC">
      <w:r w:rsidRPr="009E1EA2">
        <w:t>Producer Tax Offset estimates are rounded to the nearest $5</w:t>
      </w:r>
      <w:r w:rsidR="0003227C">
        <w:t> </w:t>
      </w:r>
      <w:r w:rsidRPr="009E1EA2">
        <w:t>million</w:t>
      </w:r>
      <w:r w:rsidR="00E931D5">
        <w:t>;</w:t>
      </w:r>
      <w:r w:rsidRPr="009E1EA2">
        <w:t xml:space="preserve"> AIGF funding and funding for shared work spaces are rounded to the nearest $1</w:t>
      </w:r>
      <w:r w:rsidR="0003227C">
        <w:t> </w:t>
      </w:r>
      <w:r w:rsidRPr="009E1EA2">
        <w:t>million.</w:t>
      </w:r>
    </w:p>
    <w:p w:rsidR="005E3562" w:rsidRPr="00FC6579" w:rsidRDefault="005E3562" w:rsidP="009E1EA2">
      <w:pPr>
        <w:pStyle w:val="Heading2"/>
      </w:pPr>
      <w:r w:rsidRPr="00FC6579">
        <w:t xml:space="preserve">Data </w:t>
      </w:r>
      <w:r w:rsidRPr="009E1EA2">
        <w:t>sources</w:t>
      </w:r>
    </w:p>
    <w:p w:rsidR="009E1EA2" w:rsidRPr="00871011" w:rsidRDefault="009E1EA2" w:rsidP="009E1EA2">
      <w:r w:rsidRPr="00C07FB9">
        <w:t>Australian Bureau of Statistics</w:t>
      </w:r>
      <w:r w:rsidRPr="0028126B">
        <w:t>, 8679 –</w:t>
      </w:r>
      <w:r w:rsidRPr="00C07FB9">
        <w:t xml:space="preserve"> </w:t>
      </w:r>
      <w:r w:rsidRPr="00D13FC2">
        <w:t>Film, Television and Digital Games 2011-12</w:t>
      </w:r>
      <w:r>
        <w:t>.</w:t>
      </w:r>
    </w:p>
    <w:p w:rsidR="00CA5D42" w:rsidRDefault="00CA5D42" w:rsidP="00E055FC"/>
    <w:p w:rsidR="009E1EA2" w:rsidRPr="009E1EA2" w:rsidRDefault="009E1EA2" w:rsidP="00E055FC">
      <w:pPr>
        <w:sectPr w:rsidR="009E1EA2" w:rsidRPr="009E1EA2" w:rsidSect="00002D5D">
          <w:headerReference w:type="first" r:id="rId14"/>
          <w:footerReference w:type="first" r:id="rId15"/>
          <w:pgSz w:w="11906" w:h="16838"/>
          <w:pgMar w:top="1361" w:right="1797" w:bottom="1474" w:left="1797" w:header="709" w:footer="709" w:gutter="0"/>
          <w:cols w:space="708"/>
          <w:titlePg/>
          <w:docGrid w:linePitch="360"/>
        </w:sectPr>
      </w:pPr>
    </w:p>
    <w:p w:rsidR="001A02D1" w:rsidRPr="00FC6579" w:rsidRDefault="001A02D1" w:rsidP="001C1962">
      <w:pPr>
        <w:pStyle w:val="Heading1"/>
      </w:pPr>
      <w:r w:rsidRPr="00FC6579">
        <w:lastRenderedPageBreak/>
        <w:t>Attachment A:</w:t>
      </w:r>
      <w:r w:rsidR="00841C3A">
        <w:t xml:space="preserve"> </w:t>
      </w:r>
      <w:r w:rsidR="001C1962" w:rsidRPr="001C1962">
        <w:t>Supporting our Australian Videogames Industry</w:t>
      </w:r>
      <w:r w:rsidR="00440E32">
        <w:t>—financial</w:t>
      </w:r>
      <w:r w:rsidR="00841C3A">
        <w:t> </w:t>
      </w:r>
      <w:r w:rsidR="00440E32">
        <w:t>implications</w:t>
      </w:r>
    </w:p>
    <w:p w:rsidR="009E1EA2" w:rsidRDefault="009E1EA2" w:rsidP="009E1EA2">
      <w:r>
        <w:t>The following tables provide a breakdown of the estimated financial impacts of the proposal over the forward estimates period on an underlying cash and fiscal balance basis.</w:t>
      </w:r>
    </w:p>
    <w:p w:rsidR="00EA265F" w:rsidRPr="00E30FB5" w:rsidRDefault="00EA265F" w:rsidP="00EA265F">
      <w:pPr>
        <w:pStyle w:val="Captionheading"/>
        <w:rPr>
          <w:vertAlign w:val="superscript"/>
        </w:rPr>
      </w:pPr>
      <w:r w:rsidRPr="00FC5643">
        <w:t xml:space="preserve">Table </w:t>
      </w:r>
      <w:r>
        <w:t>A1</w:t>
      </w:r>
      <w:r w:rsidRPr="00FC5643">
        <w:t xml:space="preserve">: </w:t>
      </w:r>
      <w:r w:rsidR="001C1962" w:rsidRPr="001C1962">
        <w:t>Supporting our Australian Videogames Industry</w:t>
      </w:r>
      <w:r w:rsidR="00EA5685">
        <w:t>—</w:t>
      </w:r>
      <w:r>
        <w:t>Fiscal balance</w:t>
      </w:r>
      <w:r>
        <w:rPr>
          <w:vertAlign w:val="superscript"/>
        </w:rPr>
        <w:t>(a)</w:t>
      </w:r>
      <w:r w:rsidR="00F4535C">
        <w:rPr>
          <w:vertAlign w:val="superscript"/>
        </w:rPr>
        <w:t>(b)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8F1CC4" w:rsidRPr="00EF1D6A" w:rsidTr="00EE2ED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8F1CC4" w:rsidRPr="00EF1D6A" w:rsidRDefault="008F1CC4" w:rsidP="00E055FC">
            <w:pPr>
              <w:pStyle w:val="TableText"/>
              <w:keepNext/>
              <w:keepLines/>
              <w:spacing w:line="240" w:lineRule="auto"/>
              <w:ind w:left="57" w:right="57"/>
              <w:rPr>
                <w:rFonts w:ascii="Calibri" w:hAnsi="Calibri"/>
                <w:b/>
                <w:szCs w:val="20"/>
              </w:rPr>
            </w:pPr>
            <w:r>
              <w:rPr>
                <w:rFonts w:ascii="Calibri" w:hAnsi="Calibri"/>
                <w:szCs w:val="20"/>
              </w:rPr>
              <w:t xml:space="preserve">Impact arising from </w:t>
            </w:r>
            <w:r w:rsidRPr="00EF1D6A">
              <w:rPr>
                <w:rFonts w:ascii="Calibri" w:hAnsi="Calibri"/>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8F1CC4" w:rsidRPr="00C24267" w:rsidRDefault="008F1CC4"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8F1CC4" w:rsidRPr="00C24267" w:rsidRDefault="008F1CC4"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8F1CC4" w:rsidRPr="00C24267" w:rsidRDefault="008F1CC4"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8F1CC4" w:rsidRPr="00C24267" w:rsidRDefault="008F1CC4"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8F1CC4" w:rsidRPr="00AE30B5" w:rsidRDefault="008F1CC4"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w:t>
            </w:r>
            <w:r w:rsidRPr="00AE30B5">
              <w:rPr>
                <w:b/>
                <w:szCs w:val="20"/>
              </w:rPr>
              <w:t xml:space="preserve"> to 2019–20</w:t>
            </w:r>
          </w:p>
        </w:tc>
      </w:tr>
      <w:tr w:rsidR="00155152" w:rsidRPr="0066665A" w:rsidTr="0014144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vAlign w:val="top"/>
          </w:tcPr>
          <w:p w:rsidR="00155152" w:rsidRDefault="00155152" w:rsidP="00E055FC">
            <w:pPr>
              <w:pStyle w:val="TableTextRight"/>
              <w:spacing w:line="240" w:lineRule="auto"/>
              <w:ind w:left="57" w:right="57"/>
              <w:jc w:val="left"/>
              <w:rPr>
                <w:b/>
              </w:rPr>
            </w:pPr>
            <w:r>
              <w:t>Expenses</w:t>
            </w:r>
          </w:p>
        </w:tc>
      </w:tr>
      <w:tr w:rsidR="008F1CC4" w:rsidRPr="0066665A" w:rsidTr="00EE2ED7">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Centred"/>
              <w:keepNext/>
              <w:keepLines/>
              <w:spacing w:line="240" w:lineRule="auto"/>
              <w:ind w:left="57" w:right="57"/>
              <w:jc w:val="left"/>
              <w:rPr>
                <w:b/>
              </w:rPr>
            </w:pPr>
            <w:r w:rsidRPr="00141445">
              <w:rPr>
                <w:b/>
              </w:rPr>
              <w:t>Administered</w:t>
            </w:r>
          </w:p>
        </w:tc>
        <w:tc>
          <w:tcPr>
            <w:tcW w:w="682"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-35.0</w:t>
            </w:r>
          </w:p>
        </w:tc>
        <w:tc>
          <w:tcPr>
            <w:tcW w:w="682"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-52.0</w:t>
            </w:r>
          </w:p>
        </w:tc>
        <w:tc>
          <w:tcPr>
            <w:tcW w:w="682"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-52.0</w:t>
            </w:r>
          </w:p>
        </w:tc>
        <w:tc>
          <w:tcPr>
            <w:tcW w:w="682"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-51.0</w:t>
            </w:r>
          </w:p>
        </w:tc>
        <w:tc>
          <w:tcPr>
            <w:tcW w:w="682" w:type="pct"/>
            <w:tcBorders>
              <w:top w:val="single" w:sz="4" w:space="0" w:color="788184"/>
              <w:left w:val="single" w:sz="4" w:space="0" w:color="788184"/>
              <w:bottom w:val="single" w:sz="4" w:space="0" w:color="788184"/>
              <w:right w:val="single" w:sz="4" w:space="0" w:color="788184"/>
            </w:tcBorders>
          </w:tcPr>
          <w:p w:rsidR="008F1CC4" w:rsidRPr="00502FB8"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502FB8">
              <w:rPr>
                <w:b/>
                <w:i w:val="0"/>
              </w:rPr>
              <w:t>-190.0</w:t>
            </w:r>
          </w:p>
        </w:tc>
      </w:tr>
      <w:tr w:rsidR="008F1CC4" w:rsidRPr="0066665A" w:rsidTr="00EE2E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8F1CC4" w:rsidRPr="00630293" w:rsidRDefault="008F1CC4" w:rsidP="00E055FC">
            <w:pPr>
              <w:pStyle w:val="TableTextCentred"/>
              <w:keepNext/>
              <w:keepLines/>
              <w:spacing w:line="240" w:lineRule="auto"/>
              <w:ind w:left="57" w:right="57"/>
              <w:jc w:val="left"/>
              <w:rPr>
                <w:i/>
              </w:rPr>
            </w:pPr>
            <w:r w:rsidRPr="00EE2ED7">
              <w:rPr>
                <w:i/>
              </w:rPr>
              <w:t>Reinstating the AIGF</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-7.0</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-7.0</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-6.0</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Pr>
                <w:b/>
              </w:rPr>
              <w:t>-20.0</w:t>
            </w:r>
          </w:p>
        </w:tc>
      </w:tr>
      <w:tr w:rsidR="008F1CC4" w:rsidRPr="0066665A" w:rsidTr="00EE2ED7">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8F1CC4" w:rsidRPr="00EE2ED7" w:rsidRDefault="008F1CC4" w:rsidP="00E055FC">
            <w:pPr>
              <w:pStyle w:val="TableTextCentred"/>
              <w:keepNext/>
              <w:keepLines/>
              <w:spacing w:line="240" w:lineRule="auto"/>
              <w:ind w:left="57" w:right="57"/>
              <w:jc w:val="left"/>
              <w:rPr>
                <w:i/>
                <w:szCs w:val="20"/>
              </w:rPr>
            </w:pPr>
            <w:r w:rsidRPr="00EE2ED7">
              <w:rPr>
                <w:i/>
              </w:rPr>
              <w:t>Extending the Producer Tax Offset</w:t>
            </w:r>
          </w:p>
        </w:tc>
        <w:tc>
          <w:tcPr>
            <w:tcW w:w="682" w:type="pct"/>
            <w:tcBorders>
              <w:top w:val="single" w:sz="4" w:space="0" w:color="788184"/>
              <w:left w:val="single" w:sz="4" w:space="0" w:color="788184"/>
              <w:bottom w:val="single" w:sz="4" w:space="0" w:color="788184"/>
              <w:right w:val="single" w:sz="4" w:space="0" w:color="788184"/>
            </w:tcBorders>
          </w:tcPr>
          <w:p w:rsidR="008F1CC4" w:rsidRPr="00AA3D6F"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-35.0</w:t>
            </w:r>
          </w:p>
        </w:tc>
        <w:tc>
          <w:tcPr>
            <w:tcW w:w="682" w:type="pct"/>
            <w:tcBorders>
              <w:top w:val="single" w:sz="4" w:space="0" w:color="788184"/>
              <w:left w:val="single" w:sz="4" w:space="0" w:color="788184"/>
              <w:bottom w:val="single" w:sz="4" w:space="0" w:color="788184"/>
              <w:right w:val="single" w:sz="4" w:space="0" w:color="788184"/>
            </w:tcBorders>
          </w:tcPr>
          <w:p w:rsidR="008F1CC4" w:rsidRPr="00AA3D6F"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-40.0</w:t>
            </w:r>
          </w:p>
        </w:tc>
        <w:tc>
          <w:tcPr>
            <w:tcW w:w="682" w:type="pct"/>
            <w:tcBorders>
              <w:top w:val="single" w:sz="4" w:space="0" w:color="788184"/>
              <w:left w:val="single" w:sz="4" w:space="0" w:color="788184"/>
              <w:bottom w:val="single" w:sz="4" w:space="0" w:color="788184"/>
              <w:right w:val="single" w:sz="4" w:space="0" w:color="788184"/>
            </w:tcBorders>
          </w:tcPr>
          <w:p w:rsidR="008F1CC4" w:rsidRPr="00AA3D6F"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-45.0</w:t>
            </w:r>
          </w:p>
        </w:tc>
        <w:tc>
          <w:tcPr>
            <w:tcW w:w="682" w:type="pct"/>
            <w:tcBorders>
              <w:top w:val="single" w:sz="4" w:space="0" w:color="788184"/>
              <w:left w:val="single" w:sz="4" w:space="0" w:color="788184"/>
              <w:bottom w:val="single" w:sz="4" w:space="0" w:color="788184"/>
              <w:right w:val="single" w:sz="4" w:space="0" w:color="788184"/>
            </w:tcBorders>
          </w:tcPr>
          <w:p w:rsidR="008F1CC4" w:rsidRPr="00AA3D6F"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pPr>
            <w:r>
              <w:t>-45.0</w:t>
            </w:r>
          </w:p>
        </w:tc>
        <w:tc>
          <w:tcPr>
            <w:tcW w:w="682" w:type="pct"/>
            <w:tcBorders>
              <w:top w:val="single" w:sz="4" w:space="0" w:color="788184"/>
              <w:left w:val="single" w:sz="4" w:space="0" w:color="788184"/>
              <w:bottom w:val="single" w:sz="4" w:space="0" w:color="788184"/>
              <w:right w:val="single" w:sz="4" w:space="0" w:color="788184"/>
            </w:tcBorders>
          </w:tcPr>
          <w:p w:rsidR="008F1CC4" w:rsidRPr="00AE30B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-165.0</w:t>
            </w:r>
          </w:p>
        </w:tc>
      </w:tr>
      <w:tr w:rsidR="008F1CC4" w:rsidRPr="0066665A" w:rsidTr="00EE2E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Centred"/>
              <w:keepNext/>
              <w:keepLines/>
              <w:spacing w:line="240" w:lineRule="auto"/>
              <w:ind w:left="57" w:right="57"/>
              <w:jc w:val="left"/>
              <w:rPr>
                <w:i/>
              </w:rPr>
            </w:pPr>
            <w:r w:rsidRPr="00141445">
              <w:rPr>
                <w:i/>
              </w:rPr>
              <w:t>Establishing shared working spaces</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-5.0</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8F1CC4"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Pr>
                <w:b/>
              </w:rPr>
              <w:t>-5.0</w:t>
            </w:r>
          </w:p>
        </w:tc>
      </w:tr>
      <w:tr w:rsidR="008F1CC4" w:rsidRPr="0066665A" w:rsidTr="00EE2ED7">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Centred"/>
              <w:keepNext/>
              <w:keepLines/>
              <w:spacing w:line="240" w:lineRule="auto"/>
              <w:ind w:left="57" w:right="57"/>
              <w:jc w:val="left"/>
              <w:rPr>
                <w:b/>
              </w:rPr>
            </w:pPr>
            <w:r w:rsidRPr="00141445">
              <w:rPr>
                <w:b/>
              </w:rPr>
              <w:t>Departmental</w:t>
            </w:r>
          </w:p>
        </w:tc>
        <w:tc>
          <w:tcPr>
            <w:tcW w:w="682"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-1.0</w:t>
            </w:r>
          </w:p>
        </w:tc>
        <w:tc>
          <w:tcPr>
            <w:tcW w:w="682"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-1.0</w:t>
            </w:r>
          </w:p>
        </w:tc>
        <w:tc>
          <w:tcPr>
            <w:tcW w:w="682"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-1.0</w:t>
            </w:r>
          </w:p>
        </w:tc>
        <w:tc>
          <w:tcPr>
            <w:tcW w:w="682" w:type="pct"/>
            <w:tcBorders>
              <w:top w:val="single" w:sz="4" w:space="0" w:color="788184"/>
              <w:left w:val="single" w:sz="4" w:space="0" w:color="788184"/>
              <w:bottom w:val="single" w:sz="4" w:space="0" w:color="788184"/>
              <w:right w:val="single" w:sz="4" w:space="0" w:color="788184"/>
            </w:tcBorders>
          </w:tcPr>
          <w:p w:rsidR="008F1CC4" w:rsidRPr="0014144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-1.0</w:t>
            </w:r>
          </w:p>
        </w:tc>
        <w:tc>
          <w:tcPr>
            <w:tcW w:w="682" w:type="pct"/>
            <w:tcBorders>
              <w:top w:val="single" w:sz="4" w:space="0" w:color="788184"/>
              <w:left w:val="single" w:sz="4" w:space="0" w:color="788184"/>
              <w:bottom w:val="single" w:sz="4" w:space="0" w:color="788184"/>
              <w:right w:val="single" w:sz="4" w:space="0" w:color="788184"/>
            </w:tcBorders>
          </w:tcPr>
          <w:p w:rsidR="008F1CC4" w:rsidRPr="00502FB8"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502FB8">
              <w:rPr>
                <w:b/>
                <w:i w:val="0"/>
              </w:rPr>
              <w:t>-4.0</w:t>
            </w:r>
          </w:p>
        </w:tc>
      </w:tr>
      <w:tr w:rsidR="008F1CC4" w:rsidRPr="0066665A" w:rsidTr="00EE2E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8F1CC4" w:rsidRPr="00C17112" w:rsidRDefault="008F1CC4" w:rsidP="00E055FC">
            <w:pPr>
              <w:pStyle w:val="TableTextCentred"/>
              <w:keepNext/>
              <w:keepLines/>
              <w:spacing w:line="240" w:lineRule="auto"/>
              <w:ind w:left="57" w:right="57"/>
              <w:jc w:val="left"/>
              <w:rPr>
                <w:szCs w:val="20"/>
              </w:rPr>
            </w:pPr>
            <w:r w:rsidRPr="002C6177">
              <w:rPr>
                <w:i/>
              </w:rPr>
              <w:t>Extending the Producer Tax Offset</w:t>
            </w:r>
            <w:r w:rsidDel="004061AE">
              <w:t xml:space="preserve"> </w:t>
            </w:r>
          </w:p>
        </w:tc>
        <w:tc>
          <w:tcPr>
            <w:tcW w:w="682" w:type="pct"/>
            <w:tcBorders>
              <w:top w:val="single" w:sz="4" w:space="0" w:color="788184"/>
              <w:left w:val="single" w:sz="4" w:space="0" w:color="788184"/>
              <w:bottom w:val="single" w:sz="4" w:space="0" w:color="788184"/>
              <w:right w:val="single" w:sz="4" w:space="0" w:color="788184"/>
            </w:tcBorders>
          </w:tcPr>
          <w:p w:rsidR="008F1CC4" w:rsidRPr="00C24267"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-1.0</w:t>
            </w:r>
          </w:p>
        </w:tc>
        <w:tc>
          <w:tcPr>
            <w:tcW w:w="682" w:type="pct"/>
            <w:tcBorders>
              <w:top w:val="single" w:sz="4" w:space="0" w:color="788184"/>
              <w:left w:val="single" w:sz="4" w:space="0" w:color="788184"/>
              <w:bottom w:val="single" w:sz="4" w:space="0" w:color="788184"/>
              <w:right w:val="single" w:sz="4" w:space="0" w:color="788184"/>
            </w:tcBorders>
          </w:tcPr>
          <w:p w:rsidR="008F1CC4" w:rsidRPr="00C24267"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-1.0</w:t>
            </w:r>
          </w:p>
        </w:tc>
        <w:tc>
          <w:tcPr>
            <w:tcW w:w="682" w:type="pct"/>
            <w:tcBorders>
              <w:top w:val="single" w:sz="4" w:space="0" w:color="788184"/>
              <w:left w:val="single" w:sz="4" w:space="0" w:color="788184"/>
              <w:bottom w:val="single" w:sz="4" w:space="0" w:color="788184"/>
              <w:right w:val="single" w:sz="4" w:space="0" w:color="788184"/>
            </w:tcBorders>
          </w:tcPr>
          <w:p w:rsidR="008F1CC4" w:rsidRPr="00C24267"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-1.0</w:t>
            </w:r>
          </w:p>
        </w:tc>
        <w:tc>
          <w:tcPr>
            <w:tcW w:w="682" w:type="pct"/>
            <w:tcBorders>
              <w:top w:val="single" w:sz="4" w:space="0" w:color="788184"/>
              <w:left w:val="single" w:sz="4" w:space="0" w:color="788184"/>
              <w:bottom w:val="single" w:sz="4" w:space="0" w:color="788184"/>
              <w:right w:val="single" w:sz="4" w:space="0" w:color="788184"/>
            </w:tcBorders>
          </w:tcPr>
          <w:p w:rsidR="008F1CC4" w:rsidRPr="00C24267"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pPr>
            <w:r>
              <w:t>-1.0</w:t>
            </w:r>
          </w:p>
        </w:tc>
        <w:tc>
          <w:tcPr>
            <w:tcW w:w="682" w:type="pct"/>
            <w:tcBorders>
              <w:top w:val="single" w:sz="4" w:space="0" w:color="788184"/>
              <w:left w:val="single" w:sz="4" w:space="0" w:color="788184"/>
              <w:bottom w:val="single" w:sz="4" w:space="0" w:color="788184"/>
              <w:right w:val="single" w:sz="4" w:space="0" w:color="788184"/>
            </w:tcBorders>
          </w:tcPr>
          <w:p w:rsidR="008F1CC4" w:rsidRPr="00AE30B5" w:rsidRDefault="008F1CC4" w:rsidP="00E055FC">
            <w:pPr>
              <w:pStyle w:val="TableTextRight"/>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Pr>
                <w:b/>
              </w:rPr>
              <w:t>-4.0</w:t>
            </w:r>
          </w:p>
        </w:tc>
      </w:tr>
      <w:tr w:rsidR="008F1CC4" w:rsidRPr="0055406D" w:rsidTr="00EE2ED7">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8F1CC4" w:rsidRPr="0055406D" w:rsidRDefault="008F1CC4" w:rsidP="00E055FC">
            <w:pPr>
              <w:pStyle w:val="TableTextCentred"/>
              <w:keepNext/>
              <w:keepLines/>
              <w:spacing w:line="240" w:lineRule="auto"/>
              <w:ind w:left="57" w:right="57"/>
              <w:jc w:val="left"/>
              <w:rPr>
                <w:b/>
                <w:szCs w:val="20"/>
              </w:rPr>
            </w:pPr>
            <w:r w:rsidRPr="0055406D">
              <w:rPr>
                <w:b/>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8F1CC4" w:rsidRPr="0055406D"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-36.0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8F1CC4" w:rsidRPr="0055406D"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-53.0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8F1CC4" w:rsidRPr="0055406D"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-53.0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8F1CC4" w:rsidRPr="0055406D"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-52.0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8F1CC4" w:rsidRPr="00AE30B5" w:rsidRDefault="008F1CC4"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-194.0</w:t>
            </w:r>
          </w:p>
        </w:tc>
      </w:tr>
    </w:tbl>
    <w:p w:rsidR="00EA265F" w:rsidRDefault="00EA265F" w:rsidP="00760C71">
      <w:pPr>
        <w:pStyle w:val="Footnotes"/>
        <w:numPr>
          <w:ilvl w:val="0"/>
          <w:numId w:val="9"/>
        </w:numPr>
        <w:ind w:left="284" w:hanging="284"/>
      </w:pPr>
      <w:r>
        <w:t xml:space="preserve">A </w:t>
      </w:r>
      <w:r w:rsidR="007C40F6" w:rsidRPr="007C40F6">
        <w:t>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r>
        <w:t>.</w:t>
      </w:r>
    </w:p>
    <w:p w:rsidR="00EA265F" w:rsidRDefault="00F4535C" w:rsidP="00EA265F">
      <w:pPr>
        <w:pStyle w:val="Footnotes"/>
      </w:pPr>
      <w:r>
        <w:t>Figures may not sum to totals due to rounding.</w:t>
      </w:r>
    </w:p>
    <w:p w:rsidR="00507897" w:rsidRPr="00E40B8B" w:rsidRDefault="00507897" w:rsidP="00406794">
      <w:pPr>
        <w:pStyle w:val="Captionheading"/>
        <w:keepLines/>
        <w:rPr>
          <w:vertAlign w:val="superscript"/>
        </w:rPr>
      </w:pPr>
      <w:r w:rsidRPr="00FC6579">
        <w:lastRenderedPageBreak/>
        <w:t xml:space="preserve">Table </w:t>
      </w:r>
      <w:r w:rsidR="00E40B8B">
        <w:t>A</w:t>
      </w:r>
      <w:r w:rsidR="00EA265F">
        <w:t>2</w:t>
      </w:r>
      <w:r w:rsidRPr="00FC6579">
        <w:t xml:space="preserve">: </w:t>
      </w:r>
      <w:r w:rsidR="001C1962" w:rsidRPr="001C1962">
        <w:t>Supporting our Australian Videogames Industry</w:t>
      </w:r>
      <w:r w:rsidR="00EA5685">
        <w:t>—</w:t>
      </w:r>
      <w:r w:rsidR="00E40B8B">
        <w:t>Underlying cash balance</w:t>
      </w:r>
      <w:r w:rsidR="00E40B8B">
        <w:rPr>
          <w:vertAlign w:val="superscript"/>
        </w:rPr>
        <w:t>(a)</w:t>
      </w:r>
      <w:r w:rsidR="00F4535C">
        <w:rPr>
          <w:vertAlign w:val="superscript"/>
        </w:rPr>
        <w:t>(b)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4"/>
        <w:gridCol w:w="1134"/>
        <w:gridCol w:w="1134"/>
        <w:gridCol w:w="1134"/>
        <w:gridCol w:w="1134"/>
        <w:gridCol w:w="1134"/>
      </w:tblGrid>
      <w:tr w:rsidR="00C17112" w:rsidRPr="00EF1D6A" w:rsidTr="008F1CC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507897" w:rsidRPr="00EF1D6A" w:rsidRDefault="009E1EA2" w:rsidP="00E055FC">
            <w:pPr>
              <w:pStyle w:val="TableText"/>
              <w:keepNext/>
              <w:keepLines/>
              <w:spacing w:line="240" w:lineRule="auto"/>
              <w:ind w:left="57" w:right="57"/>
              <w:rPr>
                <w:rFonts w:ascii="Calibri" w:hAnsi="Calibri"/>
                <w:b/>
                <w:szCs w:val="20"/>
              </w:rPr>
            </w:pPr>
            <w:r>
              <w:rPr>
                <w:rFonts w:ascii="Calibri" w:hAnsi="Calibri"/>
                <w:szCs w:val="20"/>
              </w:rPr>
              <w:t xml:space="preserve">Impact arising from </w:t>
            </w:r>
            <w:r w:rsidR="00507897" w:rsidRPr="00EF1D6A">
              <w:rPr>
                <w:rFonts w:ascii="Calibri" w:hAnsi="Calibri"/>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C24267" w:rsidRDefault="00507897"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C24267" w:rsidRDefault="00507897"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C24267" w:rsidRDefault="00507897"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C24267" w:rsidRDefault="00507897"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507897" w:rsidRPr="00AE30B5" w:rsidRDefault="00507897" w:rsidP="00E055FC">
            <w:pPr>
              <w:pStyle w:val="TableHeadingCentred"/>
              <w:spacing w:line="240" w:lineRule="auto"/>
              <w:ind w:left="57" w:right="57"/>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w:t>
            </w:r>
            <w:r w:rsidR="00DD3E18" w:rsidRPr="00AE30B5">
              <w:rPr>
                <w:b/>
                <w:szCs w:val="20"/>
              </w:rPr>
              <w:t xml:space="preserve"> to 2019–20</w:t>
            </w:r>
          </w:p>
        </w:tc>
      </w:tr>
      <w:tr w:rsidR="00155152" w:rsidRPr="0066665A" w:rsidTr="0014144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vAlign w:val="top"/>
          </w:tcPr>
          <w:p w:rsidR="00155152" w:rsidRDefault="00155152" w:rsidP="00E055FC">
            <w:pPr>
              <w:pStyle w:val="TableTextRight"/>
              <w:keepNext/>
              <w:keepLines/>
              <w:spacing w:line="240" w:lineRule="auto"/>
              <w:ind w:left="57" w:right="57"/>
              <w:jc w:val="left"/>
              <w:rPr>
                <w:b/>
              </w:rPr>
            </w:pPr>
            <w:r>
              <w:t>Outlays</w:t>
            </w:r>
          </w:p>
        </w:tc>
      </w:tr>
      <w:tr w:rsidR="004061AE" w:rsidRPr="0066665A" w:rsidTr="00CF7D9A">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061AE" w:rsidRPr="00141445" w:rsidRDefault="004061AE" w:rsidP="00E055FC">
            <w:pPr>
              <w:pStyle w:val="TableTextCentred"/>
              <w:keepNext/>
              <w:keepLines/>
              <w:spacing w:line="240" w:lineRule="auto"/>
              <w:ind w:left="57" w:right="57"/>
              <w:jc w:val="left"/>
              <w:rPr>
                <w:b/>
              </w:rPr>
            </w:pPr>
            <w:r w:rsidRPr="00141445">
              <w:rPr>
                <w:b/>
              </w:rPr>
              <w:t>Administered</w:t>
            </w:r>
          </w:p>
        </w:tc>
        <w:tc>
          <w:tcPr>
            <w:tcW w:w="682" w:type="pct"/>
            <w:tcBorders>
              <w:top w:val="single" w:sz="4" w:space="0" w:color="788184"/>
              <w:left w:val="single" w:sz="4" w:space="0" w:color="788184"/>
              <w:bottom w:val="single" w:sz="4" w:space="0" w:color="788184"/>
              <w:right w:val="single" w:sz="4" w:space="0" w:color="788184"/>
            </w:tcBorders>
          </w:tcPr>
          <w:p w:rsidR="004061AE" w:rsidRPr="00141445"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w:t>
            </w:r>
          </w:p>
        </w:tc>
        <w:tc>
          <w:tcPr>
            <w:tcW w:w="682" w:type="pct"/>
            <w:tcBorders>
              <w:top w:val="single" w:sz="4" w:space="0" w:color="788184"/>
              <w:left w:val="single" w:sz="4" w:space="0" w:color="788184"/>
              <w:bottom w:val="single" w:sz="4" w:space="0" w:color="788184"/>
              <w:right w:val="single" w:sz="4" w:space="0" w:color="788184"/>
            </w:tcBorders>
          </w:tcPr>
          <w:p w:rsidR="004061AE" w:rsidRPr="00141445"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-47.0</w:t>
            </w:r>
          </w:p>
        </w:tc>
        <w:tc>
          <w:tcPr>
            <w:tcW w:w="682" w:type="pct"/>
            <w:tcBorders>
              <w:top w:val="single" w:sz="4" w:space="0" w:color="788184"/>
              <w:left w:val="single" w:sz="4" w:space="0" w:color="788184"/>
              <w:bottom w:val="single" w:sz="4" w:space="0" w:color="788184"/>
              <w:right w:val="single" w:sz="4" w:space="0" w:color="788184"/>
            </w:tcBorders>
          </w:tcPr>
          <w:p w:rsidR="004061AE" w:rsidRPr="00141445"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-47.0</w:t>
            </w:r>
          </w:p>
        </w:tc>
        <w:tc>
          <w:tcPr>
            <w:tcW w:w="682" w:type="pct"/>
            <w:tcBorders>
              <w:top w:val="single" w:sz="4" w:space="0" w:color="788184"/>
              <w:left w:val="single" w:sz="4" w:space="0" w:color="788184"/>
              <w:bottom w:val="single" w:sz="4" w:space="0" w:color="788184"/>
              <w:right w:val="single" w:sz="4" w:space="0" w:color="788184"/>
            </w:tcBorders>
          </w:tcPr>
          <w:p w:rsidR="004061AE" w:rsidRPr="00141445"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-51.0</w:t>
            </w:r>
          </w:p>
        </w:tc>
        <w:tc>
          <w:tcPr>
            <w:tcW w:w="682" w:type="pct"/>
            <w:tcBorders>
              <w:top w:val="single" w:sz="4" w:space="0" w:color="788184"/>
              <w:left w:val="single" w:sz="4" w:space="0" w:color="788184"/>
              <w:bottom w:val="single" w:sz="4" w:space="0" w:color="788184"/>
              <w:right w:val="single" w:sz="4" w:space="0" w:color="788184"/>
            </w:tcBorders>
          </w:tcPr>
          <w:p w:rsidR="004061AE" w:rsidRPr="008F1CC4"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-145.0</w:t>
            </w:r>
          </w:p>
        </w:tc>
      </w:tr>
      <w:tr w:rsidR="004061AE" w:rsidRPr="0066665A" w:rsidTr="00CF7D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061AE" w:rsidRPr="00630293" w:rsidRDefault="004061AE" w:rsidP="00E055FC">
            <w:pPr>
              <w:pStyle w:val="TableTextCentred"/>
              <w:keepNext/>
              <w:keepLines/>
              <w:spacing w:line="240" w:lineRule="auto"/>
              <w:ind w:left="57" w:right="57"/>
              <w:jc w:val="left"/>
              <w:rPr>
                <w:i/>
              </w:rPr>
            </w:pPr>
            <w:r w:rsidRPr="008F1CC4">
              <w:rPr>
                <w:i/>
              </w:rPr>
              <w:t>Reinstating the AIGF</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-7.0</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-7.0</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-6.0</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Pr>
                <w:b/>
              </w:rPr>
              <w:t>-20.0</w:t>
            </w:r>
          </w:p>
        </w:tc>
      </w:tr>
      <w:tr w:rsidR="004061AE" w:rsidRPr="0066665A" w:rsidTr="00CF7D9A">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061AE" w:rsidRPr="008F1CC4" w:rsidRDefault="004061AE" w:rsidP="00E055FC">
            <w:pPr>
              <w:pStyle w:val="TableTextCentred"/>
              <w:keepNext/>
              <w:keepLines/>
              <w:spacing w:line="240" w:lineRule="auto"/>
              <w:ind w:left="57" w:right="57"/>
              <w:jc w:val="left"/>
              <w:rPr>
                <w:i/>
                <w:szCs w:val="20"/>
              </w:rPr>
            </w:pPr>
            <w:r w:rsidRPr="008F1CC4">
              <w:rPr>
                <w:i/>
              </w:rPr>
              <w:t>Extending the Producer Tax Offset</w:t>
            </w:r>
          </w:p>
        </w:tc>
        <w:tc>
          <w:tcPr>
            <w:tcW w:w="682" w:type="pct"/>
            <w:tcBorders>
              <w:top w:val="single" w:sz="4" w:space="0" w:color="788184"/>
              <w:left w:val="single" w:sz="4" w:space="0" w:color="788184"/>
              <w:bottom w:val="single" w:sz="4" w:space="0" w:color="788184"/>
              <w:right w:val="single" w:sz="4" w:space="0" w:color="788184"/>
            </w:tcBorders>
          </w:tcPr>
          <w:p w:rsidR="004061AE" w:rsidRPr="00AA3D6F" w:rsidRDefault="004061AE"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4061AE" w:rsidRPr="00AA3D6F" w:rsidRDefault="004061AE"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t>-35.0</w:t>
            </w:r>
          </w:p>
        </w:tc>
        <w:tc>
          <w:tcPr>
            <w:tcW w:w="682" w:type="pct"/>
            <w:tcBorders>
              <w:top w:val="single" w:sz="4" w:space="0" w:color="788184"/>
              <w:left w:val="single" w:sz="4" w:space="0" w:color="788184"/>
              <w:bottom w:val="single" w:sz="4" w:space="0" w:color="788184"/>
              <w:right w:val="single" w:sz="4" w:space="0" w:color="788184"/>
            </w:tcBorders>
          </w:tcPr>
          <w:p w:rsidR="004061AE" w:rsidRPr="00AA3D6F" w:rsidRDefault="004061AE"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t>-40.0</w:t>
            </w:r>
          </w:p>
        </w:tc>
        <w:tc>
          <w:tcPr>
            <w:tcW w:w="682" w:type="pct"/>
            <w:tcBorders>
              <w:top w:val="single" w:sz="4" w:space="0" w:color="788184"/>
              <w:left w:val="single" w:sz="4" w:space="0" w:color="788184"/>
              <w:bottom w:val="single" w:sz="4" w:space="0" w:color="788184"/>
              <w:right w:val="single" w:sz="4" w:space="0" w:color="788184"/>
            </w:tcBorders>
          </w:tcPr>
          <w:p w:rsidR="004061AE" w:rsidRPr="00AA3D6F" w:rsidRDefault="004061AE"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pPr>
            <w:r>
              <w:t>-45.0</w:t>
            </w:r>
          </w:p>
        </w:tc>
        <w:tc>
          <w:tcPr>
            <w:tcW w:w="682" w:type="pct"/>
            <w:tcBorders>
              <w:top w:val="single" w:sz="4" w:space="0" w:color="788184"/>
              <w:left w:val="single" w:sz="4" w:space="0" w:color="788184"/>
              <w:bottom w:val="single" w:sz="4" w:space="0" w:color="788184"/>
              <w:right w:val="single" w:sz="4" w:space="0" w:color="788184"/>
            </w:tcBorders>
          </w:tcPr>
          <w:p w:rsidR="004061AE" w:rsidRPr="00AE30B5" w:rsidRDefault="004061AE"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Pr>
                <w:b/>
              </w:rPr>
              <w:t>-120.0</w:t>
            </w:r>
          </w:p>
        </w:tc>
      </w:tr>
      <w:tr w:rsidR="004061AE" w:rsidRPr="0066665A" w:rsidTr="00CF7D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061AE" w:rsidRPr="00141445" w:rsidRDefault="004061AE" w:rsidP="00E055FC">
            <w:pPr>
              <w:pStyle w:val="TableTextCentred"/>
              <w:keepNext/>
              <w:keepLines/>
              <w:spacing w:line="240" w:lineRule="auto"/>
              <w:ind w:left="57" w:right="57"/>
              <w:jc w:val="left"/>
              <w:rPr>
                <w:i/>
              </w:rPr>
            </w:pPr>
            <w:r w:rsidRPr="00141445">
              <w:rPr>
                <w:i/>
              </w:rPr>
              <w:t>Establishing shared working spaces</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-5.0</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w:t>
            </w:r>
          </w:p>
        </w:tc>
        <w:tc>
          <w:tcPr>
            <w:tcW w:w="682" w:type="pct"/>
            <w:tcBorders>
              <w:top w:val="single" w:sz="4" w:space="0" w:color="788184"/>
              <w:left w:val="single" w:sz="4" w:space="0" w:color="788184"/>
              <w:bottom w:val="single" w:sz="4" w:space="0" w:color="788184"/>
              <w:right w:val="single" w:sz="4" w:space="0" w:color="788184"/>
            </w:tcBorders>
          </w:tcPr>
          <w:p w:rsidR="004061AE"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Pr>
                <w:b/>
              </w:rPr>
              <w:t>-5.0</w:t>
            </w:r>
          </w:p>
        </w:tc>
      </w:tr>
      <w:tr w:rsidR="004061AE" w:rsidRPr="0066665A" w:rsidTr="00CF7D9A">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061AE" w:rsidRPr="00141445" w:rsidRDefault="004061AE" w:rsidP="00E055FC">
            <w:pPr>
              <w:pStyle w:val="TableTextCentred"/>
              <w:keepNext/>
              <w:keepLines/>
              <w:spacing w:line="240" w:lineRule="auto"/>
              <w:ind w:left="57" w:right="57"/>
              <w:jc w:val="left"/>
              <w:rPr>
                <w:b/>
              </w:rPr>
            </w:pPr>
            <w:r w:rsidRPr="00141445">
              <w:rPr>
                <w:b/>
              </w:rPr>
              <w:t>Departmental</w:t>
            </w:r>
          </w:p>
        </w:tc>
        <w:tc>
          <w:tcPr>
            <w:tcW w:w="682" w:type="pct"/>
            <w:tcBorders>
              <w:top w:val="single" w:sz="4" w:space="0" w:color="788184"/>
              <w:left w:val="single" w:sz="4" w:space="0" w:color="788184"/>
              <w:bottom w:val="single" w:sz="4" w:space="0" w:color="788184"/>
              <w:right w:val="single" w:sz="4" w:space="0" w:color="788184"/>
            </w:tcBorders>
          </w:tcPr>
          <w:p w:rsidR="004061AE" w:rsidRPr="00141445"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-1.0</w:t>
            </w:r>
          </w:p>
        </w:tc>
        <w:tc>
          <w:tcPr>
            <w:tcW w:w="682" w:type="pct"/>
            <w:tcBorders>
              <w:top w:val="single" w:sz="4" w:space="0" w:color="788184"/>
              <w:left w:val="single" w:sz="4" w:space="0" w:color="788184"/>
              <w:bottom w:val="single" w:sz="4" w:space="0" w:color="788184"/>
              <w:right w:val="single" w:sz="4" w:space="0" w:color="788184"/>
            </w:tcBorders>
          </w:tcPr>
          <w:p w:rsidR="004061AE" w:rsidRPr="00141445"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-1.0</w:t>
            </w:r>
          </w:p>
        </w:tc>
        <w:tc>
          <w:tcPr>
            <w:tcW w:w="682" w:type="pct"/>
            <w:tcBorders>
              <w:top w:val="single" w:sz="4" w:space="0" w:color="788184"/>
              <w:left w:val="single" w:sz="4" w:space="0" w:color="788184"/>
              <w:bottom w:val="single" w:sz="4" w:space="0" w:color="788184"/>
              <w:right w:val="single" w:sz="4" w:space="0" w:color="788184"/>
            </w:tcBorders>
          </w:tcPr>
          <w:p w:rsidR="004061AE" w:rsidRPr="00141445"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-1.0</w:t>
            </w:r>
          </w:p>
        </w:tc>
        <w:tc>
          <w:tcPr>
            <w:tcW w:w="682" w:type="pct"/>
            <w:tcBorders>
              <w:top w:val="single" w:sz="4" w:space="0" w:color="788184"/>
              <w:left w:val="single" w:sz="4" w:space="0" w:color="788184"/>
              <w:bottom w:val="single" w:sz="4" w:space="0" w:color="788184"/>
              <w:right w:val="single" w:sz="4" w:space="0" w:color="788184"/>
            </w:tcBorders>
          </w:tcPr>
          <w:p w:rsidR="004061AE" w:rsidRPr="00141445"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141445">
              <w:rPr>
                <w:b/>
                <w:i w:val="0"/>
              </w:rPr>
              <w:t>-1.0</w:t>
            </w:r>
          </w:p>
        </w:tc>
        <w:tc>
          <w:tcPr>
            <w:tcW w:w="682" w:type="pct"/>
            <w:tcBorders>
              <w:top w:val="single" w:sz="4" w:space="0" w:color="788184"/>
              <w:left w:val="single" w:sz="4" w:space="0" w:color="788184"/>
              <w:bottom w:val="single" w:sz="4" w:space="0" w:color="788184"/>
              <w:right w:val="single" w:sz="4" w:space="0" w:color="788184"/>
            </w:tcBorders>
          </w:tcPr>
          <w:p w:rsidR="004061AE" w:rsidRPr="008F1CC4" w:rsidRDefault="00187198" w:rsidP="00E055FC">
            <w:pPr>
              <w:pStyle w:val="TableTextRight"/>
              <w:keepNext/>
              <w:keepLines/>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sidRPr="008F1CC4">
              <w:rPr>
                <w:b/>
                <w:i w:val="0"/>
              </w:rPr>
              <w:t>-4.0</w:t>
            </w:r>
          </w:p>
        </w:tc>
      </w:tr>
      <w:tr w:rsidR="004061AE" w:rsidRPr="0066665A" w:rsidTr="00CF7D9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061AE" w:rsidRPr="00C17112" w:rsidRDefault="004061AE" w:rsidP="00E055FC">
            <w:pPr>
              <w:pStyle w:val="TableTextCentred"/>
              <w:keepNext/>
              <w:keepLines/>
              <w:spacing w:line="240" w:lineRule="auto"/>
              <w:ind w:left="57" w:right="57"/>
              <w:jc w:val="left"/>
              <w:rPr>
                <w:szCs w:val="20"/>
              </w:rPr>
            </w:pPr>
            <w:r w:rsidRPr="002C6177">
              <w:rPr>
                <w:i/>
              </w:rPr>
              <w:t>Extending the Producer Tax Offset</w:t>
            </w:r>
            <w:r w:rsidDel="004061AE">
              <w:t xml:space="preserve"> </w:t>
            </w:r>
          </w:p>
        </w:tc>
        <w:tc>
          <w:tcPr>
            <w:tcW w:w="682" w:type="pct"/>
            <w:tcBorders>
              <w:top w:val="single" w:sz="4" w:space="0" w:color="788184"/>
              <w:left w:val="single" w:sz="4" w:space="0" w:color="788184"/>
              <w:bottom w:val="single" w:sz="4" w:space="0" w:color="788184"/>
              <w:right w:val="single" w:sz="4" w:space="0" w:color="788184"/>
            </w:tcBorders>
          </w:tcPr>
          <w:p w:rsidR="004061AE" w:rsidRPr="00C24267" w:rsidRDefault="00187198"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-1.0</w:t>
            </w:r>
          </w:p>
        </w:tc>
        <w:tc>
          <w:tcPr>
            <w:tcW w:w="682" w:type="pct"/>
            <w:tcBorders>
              <w:top w:val="single" w:sz="4" w:space="0" w:color="788184"/>
              <w:left w:val="single" w:sz="4" w:space="0" w:color="788184"/>
              <w:bottom w:val="single" w:sz="4" w:space="0" w:color="788184"/>
              <w:right w:val="single" w:sz="4" w:space="0" w:color="788184"/>
            </w:tcBorders>
          </w:tcPr>
          <w:p w:rsidR="004061AE" w:rsidRPr="00C24267"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-1.0</w:t>
            </w:r>
          </w:p>
        </w:tc>
        <w:tc>
          <w:tcPr>
            <w:tcW w:w="682" w:type="pct"/>
            <w:tcBorders>
              <w:top w:val="single" w:sz="4" w:space="0" w:color="788184"/>
              <w:left w:val="single" w:sz="4" w:space="0" w:color="788184"/>
              <w:bottom w:val="single" w:sz="4" w:space="0" w:color="788184"/>
              <w:right w:val="single" w:sz="4" w:space="0" w:color="788184"/>
            </w:tcBorders>
          </w:tcPr>
          <w:p w:rsidR="004061AE" w:rsidRPr="00C24267"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-1.0</w:t>
            </w:r>
          </w:p>
        </w:tc>
        <w:tc>
          <w:tcPr>
            <w:tcW w:w="682" w:type="pct"/>
            <w:tcBorders>
              <w:top w:val="single" w:sz="4" w:space="0" w:color="788184"/>
              <w:left w:val="single" w:sz="4" w:space="0" w:color="788184"/>
              <w:bottom w:val="single" w:sz="4" w:space="0" w:color="788184"/>
              <w:right w:val="single" w:sz="4" w:space="0" w:color="788184"/>
            </w:tcBorders>
          </w:tcPr>
          <w:p w:rsidR="004061AE" w:rsidRPr="00C24267"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pPr>
            <w:r>
              <w:t>-1.0</w:t>
            </w:r>
          </w:p>
        </w:tc>
        <w:tc>
          <w:tcPr>
            <w:tcW w:w="682" w:type="pct"/>
            <w:tcBorders>
              <w:top w:val="single" w:sz="4" w:space="0" w:color="788184"/>
              <w:left w:val="single" w:sz="4" w:space="0" w:color="788184"/>
              <w:bottom w:val="single" w:sz="4" w:space="0" w:color="788184"/>
              <w:right w:val="single" w:sz="4" w:space="0" w:color="788184"/>
            </w:tcBorders>
          </w:tcPr>
          <w:p w:rsidR="004061AE" w:rsidRPr="00AE30B5" w:rsidRDefault="004061AE" w:rsidP="00E055FC">
            <w:pPr>
              <w:pStyle w:val="TableTextRight"/>
              <w:keepNext/>
              <w:keepLines/>
              <w:spacing w:line="240" w:lineRule="auto"/>
              <w:ind w:left="57" w:right="57"/>
              <w:cnfStyle w:val="000000100000" w:firstRow="0" w:lastRow="0" w:firstColumn="0" w:lastColumn="0" w:oddVBand="0" w:evenVBand="0" w:oddHBand="1" w:evenHBand="0" w:firstRowFirstColumn="0" w:firstRowLastColumn="0" w:lastRowFirstColumn="0" w:lastRowLastColumn="0"/>
              <w:rPr>
                <w:b/>
              </w:rPr>
            </w:pPr>
            <w:r>
              <w:rPr>
                <w:b/>
              </w:rPr>
              <w:t>-</w:t>
            </w:r>
            <w:r w:rsidR="00187198">
              <w:rPr>
                <w:b/>
              </w:rPr>
              <w:t>4</w:t>
            </w:r>
            <w:r>
              <w:rPr>
                <w:b/>
              </w:rPr>
              <w:t>.0</w:t>
            </w:r>
          </w:p>
        </w:tc>
      </w:tr>
      <w:tr w:rsidR="004061AE" w:rsidRPr="0055406D" w:rsidTr="00CF7D9A">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4061AE" w:rsidRPr="0055406D" w:rsidRDefault="004061AE" w:rsidP="00E055FC">
            <w:pPr>
              <w:pStyle w:val="TableTextCentred"/>
              <w:keepNext/>
              <w:keepLines/>
              <w:spacing w:line="240" w:lineRule="auto"/>
              <w:ind w:left="57" w:right="57"/>
              <w:jc w:val="left"/>
              <w:rPr>
                <w:b/>
                <w:szCs w:val="20"/>
              </w:rPr>
            </w:pPr>
            <w:r w:rsidRPr="0055406D">
              <w:rPr>
                <w:b/>
                <w:szCs w:val="20"/>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061AE" w:rsidRPr="0055406D" w:rsidRDefault="00187198"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-1.0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061AE" w:rsidRPr="0055406D" w:rsidRDefault="004061AE"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-48.0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061AE" w:rsidRPr="0055406D" w:rsidRDefault="004061AE"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-48.0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061AE" w:rsidRPr="0055406D" w:rsidRDefault="004061AE"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-52.0</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061AE" w:rsidRPr="00AE30B5" w:rsidRDefault="004061AE" w:rsidP="00E055FC">
            <w:pPr>
              <w:pStyle w:val="TableTextRight"/>
              <w:spacing w:line="240" w:lineRule="auto"/>
              <w:ind w:left="57" w:right="57"/>
              <w:cnfStyle w:val="000000000000" w:firstRow="0" w:lastRow="0" w:firstColumn="0" w:lastColumn="0" w:oddVBand="0" w:evenVBand="0" w:oddHBand="0" w:evenHBand="0" w:firstRowFirstColumn="0" w:firstRowLastColumn="0" w:lastRowFirstColumn="0" w:lastRowLastColumn="0"/>
              <w:rPr>
                <w:b/>
                <w:i w:val="0"/>
              </w:rPr>
            </w:pPr>
            <w:r>
              <w:rPr>
                <w:b/>
                <w:i w:val="0"/>
              </w:rPr>
              <w:t>-</w:t>
            </w:r>
            <w:r w:rsidR="00187198">
              <w:rPr>
                <w:b/>
                <w:i w:val="0"/>
              </w:rPr>
              <w:t>149</w:t>
            </w:r>
            <w:r>
              <w:rPr>
                <w:b/>
                <w:i w:val="0"/>
              </w:rPr>
              <w:t>.0</w:t>
            </w:r>
          </w:p>
        </w:tc>
      </w:tr>
    </w:tbl>
    <w:p w:rsidR="00E40B8B" w:rsidRDefault="00E40B8B" w:rsidP="00760C71">
      <w:pPr>
        <w:pStyle w:val="Footnotes"/>
        <w:numPr>
          <w:ilvl w:val="0"/>
          <w:numId w:val="8"/>
        </w:numPr>
        <w:ind w:left="284" w:hanging="284"/>
      </w:pPr>
      <w:r>
        <w:t xml:space="preserve">A </w:t>
      </w:r>
      <w:r w:rsidR="007C40F6" w:rsidRPr="007C40F6">
        <w:t>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r>
        <w:t>.</w:t>
      </w:r>
    </w:p>
    <w:p w:rsidR="00485374" w:rsidRPr="000C3E64" w:rsidRDefault="00F4535C" w:rsidP="008F1CC4">
      <w:pPr>
        <w:pStyle w:val="Footnotes"/>
      </w:pPr>
      <w:r>
        <w:t>Figures may not sum to totals due to rounding.</w:t>
      </w:r>
    </w:p>
    <w:sectPr w:rsidR="00485374" w:rsidRPr="000C3E64" w:rsidSect="009E1EA2">
      <w:headerReference w:type="first" r:id="rId16"/>
      <w:footerReference w:type="first" r:id="rId17"/>
      <w:pgSz w:w="11906" w:h="16838"/>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32" w:rsidRDefault="003F5532" w:rsidP="008F588A">
      <w:pPr>
        <w:spacing w:line="240" w:lineRule="auto"/>
      </w:pPr>
      <w:r>
        <w:separator/>
      </w:r>
    </w:p>
    <w:p w:rsidR="003F5532" w:rsidRDefault="003F5532"/>
  </w:endnote>
  <w:endnote w:type="continuationSeparator" w:id="0">
    <w:p w:rsidR="003F5532" w:rsidRDefault="003F5532" w:rsidP="008F588A">
      <w:pPr>
        <w:spacing w:line="240" w:lineRule="auto"/>
      </w:pPr>
      <w:r>
        <w:continuationSeparator/>
      </w:r>
    </w:p>
    <w:p w:rsidR="003F5532" w:rsidRDefault="003F5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32" w:rsidRPr="00C24267" w:rsidRDefault="003F553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4D6B3B">
      <w:rPr>
        <w:noProof/>
      </w:rPr>
      <w:t>4</w:t>
    </w:r>
    <w:r w:rsidRPr="00C24267">
      <w:fldChar w:fldCharType="end"/>
    </w:r>
    <w:r w:rsidRPr="00C24267">
      <w:t xml:space="preserve"> of </w:t>
    </w:r>
    <w:r w:rsidR="004D6B3B">
      <w:fldChar w:fldCharType="begin"/>
    </w:r>
    <w:r w:rsidR="004D6B3B">
      <w:instrText xml:space="preserve"> NUMPAGES  \* Arabic  \* MERGEFORMAT </w:instrText>
    </w:r>
    <w:r w:rsidR="004D6B3B">
      <w:fldChar w:fldCharType="separate"/>
    </w:r>
    <w:r w:rsidR="004D6B3B">
      <w:rPr>
        <w:noProof/>
      </w:rPr>
      <w:t>6</w:t>
    </w:r>
    <w:r w:rsidR="004D6B3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32" w:rsidRPr="00C24267" w:rsidRDefault="003F5532" w:rsidP="00C24267">
    <w:pPr>
      <w:pStyle w:val="Letterfooter"/>
    </w:pPr>
    <w:r w:rsidRPr="00C24267">
      <w:t>Parliamentary Budget Office   PO Box 6010   Parliament House   Canberra ACT 2600</w:t>
    </w:r>
  </w:p>
  <w:p w:rsidR="003F5532" w:rsidRPr="00C24267" w:rsidRDefault="003F5532"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32" w:rsidRPr="00C24267" w:rsidRDefault="003F553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4D6B3B">
      <w:rPr>
        <w:noProof/>
      </w:rPr>
      <w:t>2</w:t>
    </w:r>
    <w:r w:rsidRPr="00C24267">
      <w:fldChar w:fldCharType="end"/>
    </w:r>
    <w:r w:rsidRPr="00C24267">
      <w:t xml:space="preserve"> of </w:t>
    </w:r>
    <w:r w:rsidR="004D6B3B">
      <w:fldChar w:fldCharType="begin"/>
    </w:r>
    <w:r w:rsidR="004D6B3B">
      <w:instrText xml:space="preserve"> NUMPAGES  \* Arabic  \* MERGEFORMAT </w:instrText>
    </w:r>
    <w:r w:rsidR="004D6B3B">
      <w:fldChar w:fldCharType="separate"/>
    </w:r>
    <w:r w:rsidR="004D6B3B">
      <w:rPr>
        <w:noProof/>
      </w:rPr>
      <w:t>6</w:t>
    </w:r>
    <w:r w:rsidR="004D6B3B">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32" w:rsidRPr="00C24267" w:rsidRDefault="003F5532"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4D6B3B">
      <w:rPr>
        <w:noProof/>
      </w:rPr>
      <w:t>5</w:t>
    </w:r>
    <w:r w:rsidRPr="00C24267">
      <w:fldChar w:fldCharType="end"/>
    </w:r>
    <w:r w:rsidRPr="00C24267">
      <w:t xml:space="preserve"> of </w:t>
    </w:r>
    <w:r w:rsidR="004D6B3B">
      <w:fldChar w:fldCharType="begin"/>
    </w:r>
    <w:r w:rsidR="004D6B3B">
      <w:instrText xml:space="preserve"> NUMPAGES  \* Arabic  \* MERGEFORMAT </w:instrText>
    </w:r>
    <w:r w:rsidR="004D6B3B">
      <w:fldChar w:fldCharType="separate"/>
    </w:r>
    <w:r w:rsidR="004D6B3B">
      <w:rPr>
        <w:noProof/>
      </w:rPr>
      <w:t>5</w:t>
    </w:r>
    <w:r w:rsidR="004D6B3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32" w:rsidRDefault="003F5532" w:rsidP="008F588A">
      <w:pPr>
        <w:spacing w:line="240" w:lineRule="auto"/>
      </w:pPr>
      <w:r>
        <w:separator/>
      </w:r>
    </w:p>
    <w:p w:rsidR="003F5532" w:rsidRDefault="003F5532"/>
  </w:footnote>
  <w:footnote w:type="continuationSeparator" w:id="0">
    <w:p w:rsidR="003F5532" w:rsidRDefault="003F5532" w:rsidP="008F588A">
      <w:pPr>
        <w:spacing w:line="240" w:lineRule="auto"/>
      </w:pPr>
      <w:r>
        <w:continuationSeparator/>
      </w:r>
    </w:p>
    <w:p w:rsidR="003F5532" w:rsidRDefault="003F55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32" w:rsidRDefault="003F5532" w:rsidP="00CB40E1">
    <w:pPr>
      <w:pStyle w:val="Header"/>
    </w:pPr>
    <w:r>
      <w:rPr>
        <w:noProof/>
        <w:lang w:eastAsia="en-AU"/>
      </w:rPr>
      <w:drawing>
        <wp:inline distT="0" distB="0" distL="0" distR="0" wp14:anchorId="48779546" wp14:editId="2EA667A3">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3F5532" w:rsidRPr="00DA1C8A" w:rsidRDefault="003F5532"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32" w:rsidRPr="00C17112" w:rsidRDefault="003F5532" w:rsidP="00C17112">
    <w:pPr>
      <w:pStyle w:val="Header"/>
    </w:pPr>
    <w:r>
      <w:rPr>
        <w:noProof/>
        <w:lang w:eastAsia="en-AU"/>
      </w:rPr>
      <w:drawing>
        <wp:inline distT="0" distB="0" distL="0" distR="0" wp14:anchorId="628A7508" wp14:editId="74B8AFAF">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532" w:rsidRPr="00406794" w:rsidRDefault="003F5532" w:rsidP="004067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3">
    <w:nsid w:val="12CE2D6F"/>
    <w:multiLevelType w:val="hybridMultilevel"/>
    <w:tmpl w:val="85847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26A824D5"/>
    <w:multiLevelType w:val="hybridMultilevel"/>
    <w:tmpl w:val="BB3696DC"/>
    <w:lvl w:ilvl="0" w:tplc="D436B4CC">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9">
    <w:nsid w:val="4B4C67A5"/>
    <w:multiLevelType w:val="hybridMultilevel"/>
    <w:tmpl w:val="C2783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5A4344A"/>
    <w:multiLevelType w:val="hybridMultilevel"/>
    <w:tmpl w:val="5EAA36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5FF32665"/>
    <w:multiLevelType w:val="hybridMultilevel"/>
    <w:tmpl w:val="6C962EA6"/>
    <w:lvl w:ilvl="0" w:tplc="D436B4CC">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66063145"/>
    <w:multiLevelType w:val="hybridMultilevel"/>
    <w:tmpl w:val="C67AB292"/>
    <w:lvl w:ilvl="0" w:tplc="51ACADD2">
      <w:start w:val="1"/>
      <w:numFmt w:val="bullet"/>
      <w:lvlText w:val="•"/>
      <w:lvlJc w:val="left"/>
      <w:pPr>
        <w:ind w:left="360" w:hanging="360"/>
      </w:pPr>
      <w:rPr>
        <w:rFonts w:ascii="Times New Roman" w:eastAsia="Times New Roman" w:hAnsi="Times New Roman"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65E7B5A"/>
    <w:multiLevelType w:val="hybridMultilevel"/>
    <w:tmpl w:val="F2C28104"/>
    <w:lvl w:ilvl="0" w:tplc="926CBE88">
      <w:start w:val="1"/>
      <w:numFmt w:val="bullet"/>
      <w:lvlText w:val=""/>
      <w:lvlJc w:val="left"/>
      <w:pPr>
        <w:ind w:left="360" w:hanging="360"/>
      </w:pPr>
      <w:rPr>
        <w:rFonts w:ascii="Symbol" w:hAnsi="Symbol" w:hint="default"/>
      </w:rPr>
    </w:lvl>
    <w:lvl w:ilvl="1" w:tplc="9CA266AC">
      <w:start w:val="1"/>
      <w:numFmt w:val="bullet"/>
      <w:lvlText w:val="-"/>
      <w:lvlJc w:val="left"/>
      <w:pPr>
        <w:ind w:left="1080" w:hanging="360"/>
      </w:pPr>
      <w:rPr>
        <w:rFonts w:ascii="Times New Roman" w:hAnsi="Times New Roman" w:cs="Times New Roman" w:hint="default"/>
      </w:rPr>
    </w:lvl>
    <w:lvl w:ilvl="2" w:tplc="91389894">
      <w:start w:val="1"/>
      <w:numFmt w:val="bullet"/>
      <w:lvlText w:val="+"/>
      <w:lvlJc w:val="left"/>
      <w:pPr>
        <w:ind w:left="1800" w:hanging="360"/>
      </w:pPr>
      <w:rPr>
        <w:rFonts w:ascii="Times New Roman"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5">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74652372"/>
    <w:multiLevelType w:val="hybridMultilevel"/>
    <w:tmpl w:val="F69EB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4"/>
  </w:num>
  <w:num w:numId="6">
    <w:abstractNumId w:val="8"/>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1"/>
  </w:num>
  <w:num w:numId="12">
    <w:abstractNumId w:val="0"/>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15"/>
  </w:num>
  <w:num w:numId="21">
    <w:abstractNumId w:val="3"/>
  </w:num>
  <w:num w:numId="22">
    <w:abstractNumId w:val="11"/>
  </w:num>
  <w:num w:numId="23">
    <w:abstractNumId w:val="1"/>
  </w:num>
  <w:num w:numId="24">
    <w:abstractNumId w:val="1"/>
  </w:num>
  <w:num w:numId="25">
    <w:abstractNumId w:val="9"/>
  </w:num>
  <w:num w:numId="26">
    <w:abstractNumId w:val="10"/>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52"/>
    <w:rsid w:val="00002D5D"/>
    <w:rsid w:val="00015FB2"/>
    <w:rsid w:val="0002631A"/>
    <w:rsid w:val="0003227C"/>
    <w:rsid w:val="00040DCE"/>
    <w:rsid w:val="000449C5"/>
    <w:rsid w:val="00060F22"/>
    <w:rsid w:val="00096F3A"/>
    <w:rsid w:val="000B284E"/>
    <w:rsid w:val="000C1A75"/>
    <w:rsid w:val="000C3E64"/>
    <w:rsid w:val="000C5FD6"/>
    <w:rsid w:val="000F0423"/>
    <w:rsid w:val="0012564E"/>
    <w:rsid w:val="001278D0"/>
    <w:rsid w:val="00141445"/>
    <w:rsid w:val="0014239B"/>
    <w:rsid w:val="00155152"/>
    <w:rsid w:val="00187198"/>
    <w:rsid w:val="001A02D1"/>
    <w:rsid w:val="001C1962"/>
    <w:rsid w:val="00220BE5"/>
    <w:rsid w:val="002422A3"/>
    <w:rsid w:val="002611A1"/>
    <w:rsid w:val="002F2EA8"/>
    <w:rsid w:val="00315E34"/>
    <w:rsid w:val="00326DE2"/>
    <w:rsid w:val="003C64B8"/>
    <w:rsid w:val="003D7613"/>
    <w:rsid w:val="003D7744"/>
    <w:rsid w:val="003E4F5F"/>
    <w:rsid w:val="003E61BF"/>
    <w:rsid w:val="003F5532"/>
    <w:rsid w:val="003F73CA"/>
    <w:rsid w:val="004061AE"/>
    <w:rsid w:val="00406794"/>
    <w:rsid w:val="00410A2C"/>
    <w:rsid w:val="00440E32"/>
    <w:rsid w:val="00457671"/>
    <w:rsid w:val="00461597"/>
    <w:rsid w:val="00485374"/>
    <w:rsid w:val="004C180D"/>
    <w:rsid w:val="004C283B"/>
    <w:rsid w:val="004D13ED"/>
    <w:rsid w:val="004D5525"/>
    <w:rsid w:val="004D6B3B"/>
    <w:rsid w:val="00502FB8"/>
    <w:rsid w:val="005035DA"/>
    <w:rsid w:val="00507897"/>
    <w:rsid w:val="00515A85"/>
    <w:rsid w:val="005232BF"/>
    <w:rsid w:val="005400C0"/>
    <w:rsid w:val="00545F24"/>
    <w:rsid w:val="0055581F"/>
    <w:rsid w:val="00556AE2"/>
    <w:rsid w:val="0056229A"/>
    <w:rsid w:val="005661D7"/>
    <w:rsid w:val="00570154"/>
    <w:rsid w:val="00570B5A"/>
    <w:rsid w:val="00587422"/>
    <w:rsid w:val="005B1A4A"/>
    <w:rsid w:val="005B7B75"/>
    <w:rsid w:val="005C552A"/>
    <w:rsid w:val="005C6967"/>
    <w:rsid w:val="005E3562"/>
    <w:rsid w:val="005F7DE0"/>
    <w:rsid w:val="00630293"/>
    <w:rsid w:val="00640346"/>
    <w:rsid w:val="00660385"/>
    <w:rsid w:val="00662E65"/>
    <w:rsid w:val="0066665A"/>
    <w:rsid w:val="00692DD8"/>
    <w:rsid w:val="006E53E3"/>
    <w:rsid w:val="006F0CE9"/>
    <w:rsid w:val="007202A8"/>
    <w:rsid w:val="007229A9"/>
    <w:rsid w:val="00744B68"/>
    <w:rsid w:val="00760C71"/>
    <w:rsid w:val="00765FC7"/>
    <w:rsid w:val="007B029A"/>
    <w:rsid w:val="007C40F6"/>
    <w:rsid w:val="007D33AA"/>
    <w:rsid w:val="007D3577"/>
    <w:rsid w:val="007F7BCF"/>
    <w:rsid w:val="008030EC"/>
    <w:rsid w:val="00805C5B"/>
    <w:rsid w:val="00811D6D"/>
    <w:rsid w:val="00812C92"/>
    <w:rsid w:val="00817752"/>
    <w:rsid w:val="00817E8E"/>
    <w:rsid w:val="00841C3A"/>
    <w:rsid w:val="00844776"/>
    <w:rsid w:val="008473E3"/>
    <w:rsid w:val="008850D9"/>
    <w:rsid w:val="008912C6"/>
    <w:rsid w:val="0089200D"/>
    <w:rsid w:val="008A4215"/>
    <w:rsid w:val="008A4578"/>
    <w:rsid w:val="008A53B9"/>
    <w:rsid w:val="008C03C3"/>
    <w:rsid w:val="008D3909"/>
    <w:rsid w:val="008D6ECA"/>
    <w:rsid w:val="008E4D28"/>
    <w:rsid w:val="008E68C6"/>
    <w:rsid w:val="008F172C"/>
    <w:rsid w:val="008F1CC4"/>
    <w:rsid w:val="008F588A"/>
    <w:rsid w:val="00902D2D"/>
    <w:rsid w:val="00915804"/>
    <w:rsid w:val="00923660"/>
    <w:rsid w:val="009240B6"/>
    <w:rsid w:val="00957285"/>
    <w:rsid w:val="009573AF"/>
    <w:rsid w:val="009603F2"/>
    <w:rsid w:val="00977D7B"/>
    <w:rsid w:val="009963ED"/>
    <w:rsid w:val="009D4063"/>
    <w:rsid w:val="009E1EA2"/>
    <w:rsid w:val="00A152D7"/>
    <w:rsid w:val="00A23CAB"/>
    <w:rsid w:val="00A41BD3"/>
    <w:rsid w:val="00A449C2"/>
    <w:rsid w:val="00A65EA3"/>
    <w:rsid w:val="00A7322F"/>
    <w:rsid w:val="00AA3D6F"/>
    <w:rsid w:val="00AA4C40"/>
    <w:rsid w:val="00AB55AE"/>
    <w:rsid w:val="00AB6F7D"/>
    <w:rsid w:val="00AC7878"/>
    <w:rsid w:val="00AD493E"/>
    <w:rsid w:val="00AE30B5"/>
    <w:rsid w:val="00AE5755"/>
    <w:rsid w:val="00B06055"/>
    <w:rsid w:val="00B44D8A"/>
    <w:rsid w:val="00B73AC8"/>
    <w:rsid w:val="00B747A7"/>
    <w:rsid w:val="00BA2BBF"/>
    <w:rsid w:val="00BC559C"/>
    <w:rsid w:val="00BF4E00"/>
    <w:rsid w:val="00C05F4F"/>
    <w:rsid w:val="00C14D14"/>
    <w:rsid w:val="00C17112"/>
    <w:rsid w:val="00C24267"/>
    <w:rsid w:val="00C2708B"/>
    <w:rsid w:val="00C555BC"/>
    <w:rsid w:val="00C708DC"/>
    <w:rsid w:val="00CA12A0"/>
    <w:rsid w:val="00CA5D42"/>
    <w:rsid w:val="00CB40E1"/>
    <w:rsid w:val="00CD1E28"/>
    <w:rsid w:val="00CF6DB6"/>
    <w:rsid w:val="00CF7D9A"/>
    <w:rsid w:val="00D054C1"/>
    <w:rsid w:val="00D134CA"/>
    <w:rsid w:val="00D52D5F"/>
    <w:rsid w:val="00D85018"/>
    <w:rsid w:val="00D949A3"/>
    <w:rsid w:val="00DA1C8A"/>
    <w:rsid w:val="00DA3B55"/>
    <w:rsid w:val="00DB44F0"/>
    <w:rsid w:val="00DC4CE2"/>
    <w:rsid w:val="00DD041C"/>
    <w:rsid w:val="00DD109E"/>
    <w:rsid w:val="00DD3E18"/>
    <w:rsid w:val="00DD55A0"/>
    <w:rsid w:val="00E055FC"/>
    <w:rsid w:val="00E12103"/>
    <w:rsid w:val="00E15AAE"/>
    <w:rsid w:val="00E21184"/>
    <w:rsid w:val="00E219BC"/>
    <w:rsid w:val="00E40B8B"/>
    <w:rsid w:val="00E5742E"/>
    <w:rsid w:val="00E756AA"/>
    <w:rsid w:val="00E931D5"/>
    <w:rsid w:val="00EA265F"/>
    <w:rsid w:val="00EA5685"/>
    <w:rsid w:val="00EC5F2B"/>
    <w:rsid w:val="00ED43FF"/>
    <w:rsid w:val="00EE59E5"/>
    <w:rsid w:val="00EE6600"/>
    <w:rsid w:val="00EF1D6A"/>
    <w:rsid w:val="00EF2E51"/>
    <w:rsid w:val="00F11739"/>
    <w:rsid w:val="00F21865"/>
    <w:rsid w:val="00F31E24"/>
    <w:rsid w:val="00F4535C"/>
    <w:rsid w:val="00F52474"/>
    <w:rsid w:val="00F5529D"/>
    <w:rsid w:val="00F55E22"/>
    <w:rsid w:val="00F5669E"/>
    <w:rsid w:val="00F75D33"/>
    <w:rsid w:val="00F954CF"/>
    <w:rsid w:val="00F97DFF"/>
    <w:rsid w:val="00FC6579"/>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8F1CC4"/>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06794"/>
    <w:rPr>
      <w:rFonts w:eastAsia="Times New Roman" w:cs="Times New Roman"/>
      <w:spacing w:val="0"/>
      <w:lang w:eastAsia="en-AU"/>
    </w:rPr>
  </w:style>
  <w:style w:type="paragraph" w:customStyle="1" w:styleId="Bullet2">
    <w:name w:val="Bullet 2"/>
    <w:basedOn w:val="ListBullet2"/>
    <w:link w:val="Bullet2Char"/>
    <w:qFormat/>
    <w:rsid w:val="00406794"/>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06794"/>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06794"/>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8A4215"/>
    <w:pPr>
      <w:spacing w:before="80" w:after="80" w:line="260" w:lineRule="exact"/>
    </w:pPr>
    <w:rPr>
      <w:rFonts w:ascii="Book Antiqua" w:eastAsia="Times New Roman" w:hAnsi="Book Antiqua" w:cs="Times New Roman"/>
      <w:sz w:val="20"/>
      <w:szCs w:val="20"/>
      <w:lang w:eastAsia="en-AU"/>
    </w:rPr>
  </w:style>
  <w:style w:type="paragraph" w:customStyle="1" w:styleId="Bullet4">
    <w:name w:val="Bullet 4"/>
    <w:basedOn w:val="Normal"/>
    <w:qFormat/>
    <w:rsid w:val="008A4215"/>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765FC7"/>
    <w:rPr>
      <w:sz w:val="16"/>
      <w:szCs w:val="16"/>
    </w:rPr>
  </w:style>
  <w:style w:type="paragraph" w:styleId="CommentText">
    <w:name w:val="annotation text"/>
    <w:basedOn w:val="Normal"/>
    <w:link w:val="CommentTextChar"/>
    <w:uiPriority w:val="99"/>
    <w:semiHidden/>
    <w:unhideWhenUsed/>
    <w:rsid w:val="00765FC7"/>
    <w:pPr>
      <w:spacing w:line="240" w:lineRule="auto"/>
    </w:pPr>
    <w:rPr>
      <w:sz w:val="20"/>
      <w:szCs w:val="20"/>
    </w:rPr>
  </w:style>
  <w:style w:type="character" w:customStyle="1" w:styleId="CommentTextChar">
    <w:name w:val="Comment Text Char"/>
    <w:basedOn w:val="DefaultParagraphFont"/>
    <w:link w:val="CommentText"/>
    <w:uiPriority w:val="99"/>
    <w:semiHidden/>
    <w:rsid w:val="00765FC7"/>
    <w:rPr>
      <w:sz w:val="20"/>
      <w:szCs w:val="20"/>
    </w:rPr>
  </w:style>
  <w:style w:type="paragraph" w:styleId="CommentSubject">
    <w:name w:val="annotation subject"/>
    <w:basedOn w:val="CommentText"/>
    <w:next w:val="CommentText"/>
    <w:link w:val="CommentSubjectChar"/>
    <w:uiPriority w:val="99"/>
    <w:semiHidden/>
    <w:unhideWhenUsed/>
    <w:rsid w:val="00765FC7"/>
    <w:rPr>
      <w:b/>
      <w:bCs/>
    </w:rPr>
  </w:style>
  <w:style w:type="character" w:customStyle="1" w:styleId="CommentSubjectChar">
    <w:name w:val="Comment Subject Char"/>
    <w:basedOn w:val="CommentTextChar"/>
    <w:link w:val="CommentSubject"/>
    <w:uiPriority w:val="99"/>
    <w:semiHidden/>
    <w:rsid w:val="00765FC7"/>
    <w:rPr>
      <w:b/>
      <w:bCs/>
      <w:sz w:val="20"/>
      <w:szCs w:val="20"/>
    </w:rPr>
  </w:style>
  <w:style w:type="paragraph" w:styleId="Revision">
    <w:name w:val="Revision"/>
    <w:hidden/>
    <w:uiPriority w:val="99"/>
    <w:semiHidden/>
    <w:rsid w:val="003D76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8F1CC4"/>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06794"/>
    <w:rPr>
      <w:rFonts w:eastAsia="Times New Roman" w:cs="Times New Roman"/>
      <w:spacing w:val="0"/>
      <w:lang w:eastAsia="en-AU"/>
    </w:rPr>
  </w:style>
  <w:style w:type="paragraph" w:customStyle="1" w:styleId="Bullet2">
    <w:name w:val="Bullet 2"/>
    <w:basedOn w:val="ListBullet2"/>
    <w:link w:val="Bullet2Char"/>
    <w:qFormat/>
    <w:rsid w:val="00406794"/>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06794"/>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06794"/>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8A4215"/>
    <w:pPr>
      <w:spacing w:before="80" w:after="80" w:line="260" w:lineRule="exact"/>
    </w:pPr>
    <w:rPr>
      <w:rFonts w:ascii="Book Antiqua" w:eastAsia="Times New Roman" w:hAnsi="Book Antiqua" w:cs="Times New Roman"/>
      <w:sz w:val="20"/>
      <w:szCs w:val="20"/>
      <w:lang w:eastAsia="en-AU"/>
    </w:rPr>
  </w:style>
  <w:style w:type="paragraph" w:customStyle="1" w:styleId="Bullet4">
    <w:name w:val="Bullet 4"/>
    <w:basedOn w:val="Normal"/>
    <w:qFormat/>
    <w:rsid w:val="008A4215"/>
    <w:pPr>
      <w:spacing w:before="120" w:after="0" w:line="240" w:lineRule="auto"/>
      <w:ind w:left="1135" w:hanging="284"/>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765FC7"/>
    <w:rPr>
      <w:sz w:val="16"/>
      <w:szCs w:val="16"/>
    </w:rPr>
  </w:style>
  <w:style w:type="paragraph" w:styleId="CommentText">
    <w:name w:val="annotation text"/>
    <w:basedOn w:val="Normal"/>
    <w:link w:val="CommentTextChar"/>
    <w:uiPriority w:val="99"/>
    <w:semiHidden/>
    <w:unhideWhenUsed/>
    <w:rsid w:val="00765FC7"/>
    <w:pPr>
      <w:spacing w:line="240" w:lineRule="auto"/>
    </w:pPr>
    <w:rPr>
      <w:sz w:val="20"/>
      <w:szCs w:val="20"/>
    </w:rPr>
  </w:style>
  <w:style w:type="character" w:customStyle="1" w:styleId="CommentTextChar">
    <w:name w:val="Comment Text Char"/>
    <w:basedOn w:val="DefaultParagraphFont"/>
    <w:link w:val="CommentText"/>
    <w:uiPriority w:val="99"/>
    <w:semiHidden/>
    <w:rsid w:val="00765FC7"/>
    <w:rPr>
      <w:sz w:val="20"/>
      <w:szCs w:val="20"/>
    </w:rPr>
  </w:style>
  <w:style w:type="paragraph" w:styleId="CommentSubject">
    <w:name w:val="annotation subject"/>
    <w:basedOn w:val="CommentText"/>
    <w:next w:val="CommentText"/>
    <w:link w:val="CommentSubjectChar"/>
    <w:uiPriority w:val="99"/>
    <w:semiHidden/>
    <w:unhideWhenUsed/>
    <w:rsid w:val="00765FC7"/>
    <w:rPr>
      <w:b/>
      <w:bCs/>
    </w:rPr>
  </w:style>
  <w:style w:type="character" w:customStyle="1" w:styleId="CommentSubjectChar">
    <w:name w:val="Comment Subject Char"/>
    <w:basedOn w:val="CommentTextChar"/>
    <w:link w:val="CommentSubject"/>
    <w:uiPriority w:val="99"/>
    <w:semiHidden/>
    <w:rsid w:val="00765FC7"/>
    <w:rPr>
      <w:b/>
      <w:bCs/>
      <w:sz w:val="20"/>
      <w:szCs w:val="20"/>
    </w:rPr>
  </w:style>
  <w:style w:type="paragraph" w:styleId="Revision">
    <w:name w:val="Revision"/>
    <w:hidden/>
    <w:uiPriority w:val="99"/>
    <w:semiHidden/>
    <w:rsid w:val="003D76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mps.org.au/content/media-releases/1up-greens-announce-initiative-invest-videogames-indust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B904C63-F65C-4445-93AB-0CFDCCB5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343</TotalTime>
  <Pages>6</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PBO - GRN056 - Supporting our Australian Videogames Industry - 30 June 2016</vt:lpstr>
    </vt:vector>
  </TitlesOfParts>
  <Company>Parliament of Australia</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GRN056 - Supporting our Australian Videogames Industry - 30 June 2016</dc:title>
  <dc:creator>Parliamentary Budget Office</dc:creator>
  <cp:lastModifiedBy>Milligan, Louise (PBO)</cp:lastModifiedBy>
  <cp:revision>48</cp:revision>
  <cp:lastPrinted>2016-06-30T01:36:00Z</cp:lastPrinted>
  <dcterms:created xsi:type="dcterms:W3CDTF">2016-06-24T05:12:00Z</dcterms:created>
  <dcterms:modified xsi:type="dcterms:W3CDTF">2016-06-30T02:41:00Z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