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9" w:rsidRPr="00225B7B" w:rsidRDefault="00675729" w:rsidP="00B84813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B7B"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675729" w:rsidP="0067572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B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675729" w:rsidRPr="00225B7B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>Please find attached a re</w:t>
      </w:r>
      <w:r w:rsidR="001233B0">
        <w:t>sponse to your costing request</w:t>
      </w:r>
      <w:r w:rsidRPr="00DC673D">
        <w:rPr>
          <w:i/>
        </w:rPr>
        <w:t xml:space="preserve">, </w:t>
      </w:r>
      <w:r w:rsidR="00DC673D" w:rsidRPr="00DC673D">
        <w:rPr>
          <w:i/>
        </w:rPr>
        <w:t>Sustainable Research Excellence Grants</w:t>
      </w:r>
      <w:r w:rsidR="00C7681F">
        <w:t xml:space="preserve"> </w:t>
      </w:r>
      <w:r w:rsidR="0069670E">
        <w:t xml:space="preserve">(letter of </w:t>
      </w:r>
      <w:r w:rsidR="000C2C99">
        <w:t>29</w:t>
      </w:r>
      <w:r w:rsidR="00104E8B">
        <w:t> June </w:t>
      </w:r>
      <w:r w:rsidR="00104E8B" w:rsidRPr="00002D5D">
        <w:t>2016</w:t>
      </w:r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</w:t>
      </w:r>
      <w:r w:rsidR="001233B0">
        <w:t xml:space="preserve">ies about this costing, please </w:t>
      </w:r>
      <w:r w:rsidR="00F75D33">
        <w:t>contact Colin </w:t>
      </w:r>
      <w:r w:rsidR="001233B0">
        <w:t>Brown on (02)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6100F0" w:rsidP="006100F0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675729">
        <w:rPr>
          <w:rFonts w:ascii="Times New Roman" w:hAnsi="Times New Roman" w:cs="Times New Roman"/>
          <w:sz w:val="24"/>
          <w:szCs w:val="24"/>
        </w:rPr>
        <w:t xml:space="preserve">June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30266A">
            <w:r>
              <w:t>Name of proposal:</w:t>
            </w:r>
          </w:p>
        </w:tc>
        <w:tc>
          <w:tcPr>
            <w:tcW w:w="5335" w:type="dxa"/>
          </w:tcPr>
          <w:p w:rsidR="004D5525" w:rsidRDefault="00257213" w:rsidP="00302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Sustainable Research Excellence Grants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30266A">
            <w:r>
              <w:t>Summary of proposal:</w:t>
            </w:r>
          </w:p>
        </w:tc>
        <w:tc>
          <w:tcPr>
            <w:tcW w:w="5335" w:type="dxa"/>
          </w:tcPr>
          <w:p w:rsidR="00257213" w:rsidRPr="00B07803" w:rsidRDefault="00257213" w:rsidP="0030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03">
              <w:t xml:space="preserve">The proposal would lift the funds available to the Sustainable Research Excellence (SRE) grant program to a level </w:t>
            </w:r>
            <w:r>
              <w:t>where</w:t>
            </w:r>
            <w:r w:rsidRPr="00B07803">
              <w:t xml:space="preserve"> the combined amount from the SRE and the Research Infrastructure Block Grants </w:t>
            </w:r>
            <w:r>
              <w:t xml:space="preserve">(RIBG) </w:t>
            </w:r>
            <w:r w:rsidRPr="00B07803">
              <w:t>is equal to 50</w:t>
            </w:r>
            <w:r>
              <w:t> per cent</w:t>
            </w:r>
            <w:r w:rsidRPr="00B07803">
              <w:t xml:space="preserve"> of the total amount of competitive research grants awarded.</w:t>
            </w:r>
          </w:p>
          <w:p w:rsidR="004D5525" w:rsidRDefault="00257213" w:rsidP="0030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03">
              <w:t xml:space="preserve">The proposal would </w:t>
            </w:r>
            <w:r>
              <w:t>take</w:t>
            </w:r>
            <w:r w:rsidR="003A00C8">
              <w:t xml:space="preserve"> effect from 1 September 2016</w:t>
            </w:r>
            <w:r w:rsidRPr="00B07803">
              <w:t>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30266A"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5C0B39" w:rsidP="0030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371">
              <w:t>Senator Richard Di Natale, Australian Greens</w:t>
            </w:r>
          </w:p>
        </w:tc>
      </w:tr>
      <w:tr w:rsidR="001233B0" w:rsidTr="005D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233B0" w:rsidRDefault="001233B0" w:rsidP="0030266A">
            <w:r>
              <w:t>Date of public release of policy:</w:t>
            </w:r>
          </w:p>
        </w:tc>
        <w:tc>
          <w:tcPr>
            <w:tcW w:w="5335" w:type="dxa"/>
          </w:tcPr>
          <w:p w:rsidR="001233B0" w:rsidRDefault="003A00C8" w:rsidP="0030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61E08">
              <w:t>3</w:t>
            </w:r>
            <w:r>
              <w:t xml:space="preserve"> May 2016</w:t>
            </w:r>
          </w:p>
          <w:p w:rsidR="00961E08" w:rsidRPr="00C17112" w:rsidRDefault="000B3E6B" w:rsidP="0030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961E08" w:rsidRPr="00E4531D">
                <w:rPr>
                  <w:rStyle w:val="Hyperlink"/>
                </w:rPr>
                <w:t>http://greens.org.au/research</w:t>
              </w:r>
            </w:hyperlink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30266A">
            <w:r>
              <w:t>Date costing request received:</w:t>
            </w:r>
          </w:p>
        </w:tc>
        <w:tc>
          <w:tcPr>
            <w:tcW w:w="5335" w:type="dxa"/>
          </w:tcPr>
          <w:p w:rsidR="004D5525" w:rsidRPr="00B075B3" w:rsidRDefault="00C64F98" w:rsidP="0030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104E8B" w:rsidRPr="00B075B3">
              <w:t xml:space="preserve"> June 2016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30266A">
            <w:r>
              <w:t>Date costing completed</w:t>
            </w:r>
            <w:r w:rsidR="0030266A">
              <w:t>:</w:t>
            </w:r>
          </w:p>
        </w:tc>
        <w:tc>
          <w:tcPr>
            <w:tcW w:w="5335" w:type="dxa"/>
          </w:tcPr>
          <w:p w:rsidR="004D5525" w:rsidRPr="00B075B3" w:rsidRDefault="00C64F98" w:rsidP="0030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5C0B39" w:rsidRPr="00B075B3">
              <w:t xml:space="preserve">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30266A"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4C4FFE" w:rsidP="0030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4D5525" w:rsidRPr="00220BE5">
              <w:t xml:space="preserve">elease of </w:t>
            </w:r>
            <w:r w:rsidR="00220BE5">
              <w:t xml:space="preserve">the next economic and fiscal </w:t>
            </w:r>
            <w:r>
              <w:t>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257213" w:rsidRDefault="00257213" w:rsidP="00257213">
      <w:r>
        <w:t>This proposal would be</w:t>
      </w:r>
      <w:r w:rsidRPr="006D0773">
        <w:t xml:space="preserve"> expected to decrease the fiscal </w:t>
      </w:r>
      <w:r>
        <w:t xml:space="preserve">and </w:t>
      </w:r>
      <w:r w:rsidRPr="006D0773">
        <w:t>underlying cash</w:t>
      </w:r>
      <w:r>
        <w:t xml:space="preserve"> </w:t>
      </w:r>
      <w:r w:rsidRPr="006D0773">
        <w:t>balance</w:t>
      </w:r>
      <w:r>
        <w:t>s</w:t>
      </w:r>
      <w:r w:rsidRPr="006D0773">
        <w:t xml:space="preserve"> by</w:t>
      </w:r>
      <w:r>
        <w:t xml:space="preserve"> </w:t>
      </w:r>
      <w:r w:rsidRPr="00BE344C">
        <w:t>$</w:t>
      </w:r>
      <w:r w:rsidR="007A4152">
        <w:t>1,430.4</w:t>
      </w:r>
      <w:r>
        <w:t> million over the 2016-17 Budget forward estimates period.  This impact is entirely due to an increase in administered expenses.  The proposal would not have an impact beyond the 2016</w:t>
      </w:r>
      <w:r>
        <w:noBreakHyphen/>
        <w:t>17 Budget forward estimates period as the proposed funding increase would terminate in 2019-20.</w:t>
      </w:r>
    </w:p>
    <w:p w:rsidR="00257213" w:rsidRDefault="00257213" w:rsidP="00257213">
      <w:r>
        <w:t>The proposal</w:t>
      </w:r>
      <w:r w:rsidRPr="00D11A0B">
        <w:t xml:space="preserve"> would not be expected to </w:t>
      </w:r>
      <w:r w:rsidR="00CB4A52">
        <w:t>involve</w:t>
      </w:r>
      <w:r w:rsidR="00CB4A52" w:rsidRPr="00D11A0B">
        <w:t xml:space="preserve"> </w:t>
      </w:r>
      <w:r w:rsidRPr="00D11A0B">
        <w:t>additional departmental expenses, as the proposal relates</w:t>
      </w:r>
      <w:r>
        <w:t xml:space="preserve"> to increasing existing payments</w:t>
      </w:r>
      <w:r w:rsidR="00CB4A52">
        <w:t xml:space="preserve"> under an existing program</w:t>
      </w:r>
      <w:r>
        <w:t>.</w:t>
      </w:r>
    </w:p>
    <w:p w:rsidR="00257213" w:rsidRDefault="00257213" w:rsidP="00257213">
      <w:r w:rsidRPr="001F29C2">
        <w:rPr>
          <w:lang w:eastAsia="en-AU"/>
        </w:rPr>
        <w:t>This</w:t>
      </w:r>
      <w:r>
        <w:rPr>
          <w:lang w:eastAsia="en-AU"/>
        </w:rPr>
        <w:t xml:space="preserve"> costing is considered to be of high </w:t>
      </w:r>
      <w:r w:rsidRPr="001F29C2">
        <w:rPr>
          <w:lang w:eastAsia="en-AU"/>
        </w:rPr>
        <w:t xml:space="preserve">reliability as </w:t>
      </w:r>
      <w:r>
        <w:rPr>
          <w:lang w:eastAsia="en-AU"/>
        </w:rPr>
        <w:t>it is based on a specified increase in administered expenses.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D8405B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61729B" w:rsidRDefault="00CA5D42" w:rsidP="0030266A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1338B6">
              <w:rPr>
                <w:rFonts w:ascii="Calibri" w:hAnsi="Calibri"/>
                <w:b w:val="0"/>
                <w:szCs w:val="20"/>
              </w:rPr>
              <w:t>Impact on</w:t>
            </w:r>
            <w:r w:rsidR="00461597" w:rsidRPr="001338B6">
              <w:rPr>
                <w:rFonts w:ascii="Calibri" w:hAnsi="Calibri"/>
                <w:b w:val="0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9948C0" w:rsidRDefault="00CA5D42" w:rsidP="0030266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948C0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9948C0" w:rsidRDefault="00CA5D42" w:rsidP="0030266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948C0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9948C0" w:rsidRDefault="00CA5D42" w:rsidP="0030266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948C0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9948C0" w:rsidRDefault="00CA5D42" w:rsidP="0030266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948C0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B73AC8" w:rsidRDefault="00CA5D42" w:rsidP="0030266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107800" w:rsidRPr="00B73AC8" w:rsidTr="0046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107800" w:rsidRPr="00B73AC8" w:rsidRDefault="00107800" w:rsidP="0030266A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107800" w:rsidRPr="00107800" w:rsidRDefault="007A4152" w:rsidP="0030266A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-311.0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1" w:type="pct"/>
          </w:tcPr>
          <w:p w:rsidR="00107800" w:rsidRPr="009948C0" w:rsidRDefault="007A4152" w:rsidP="0030266A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-1,430.4</w:t>
            </w:r>
          </w:p>
        </w:tc>
      </w:tr>
      <w:tr w:rsidR="00107800" w:rsidRPr="00B73AC8" w:rsidTr="0046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107800" w:rsidRPr="00B73AC8" w:rsidRDefault="00107800" w:rsidP="0030266A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107800" w:rsidRPr="00107800" w:rsidRDefault="007A4152" w:rsidP="0030266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-311.0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2" w:type="pct"/>
            <w:vAlign w:val="center"/>
          </w:tcPr>
          <w:p w:rsidR="00107800" w:rsidRPr="00107800" w:rsidRDefault="00107800" w:rsidP="0030266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800">
              <w:rPr>
                <w:sz w:val="20"/>
                <w:szCs w:val="20"/>
              </w:rPr>
              <w:t>-373.1</w:t>
            </w:r>
          </w:p>
        </w:tc>
        <w:tc>
          <w:tcPr>
            <w:tcW w:w="681" w:type="pct"/>
          </w:tcPr>
          <w:p w:rsidR="00107800" w:rsidRPr="009948C0" w:rsidRDefault="007A4152" w:rsidP="0030266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-1,430.4</w:t>
            </w:r>
          </w:p>
        </w:tc>
      </w:tr>
    </w:tbl>
    <w:p w:rsidR="00AC613C" w:rsidRPr="005A687A" w:rsidRDefault="00AC613C" w:rsidP="00AC613C">
      <w:pPr>
        <w:pStyle w:val="Footnotes"/>
        <w:keepNext/>
        <w:numPr>
          <w:ilvl w:val="0"/>
          <w:numId w:val="15"/>
        </w:numPr>
        <w:ind w:left="284" w:hanging="284"/>
        <w:rPr>
          <w:rFonts w:ascii="Calibri" w:hAnsi="Calibri"/>
        </w:rPr>
      </w:pPr>
      <w:r w:rsidRPr="005A687A">
        <w:t>A positive number indicates an increase in the relevant budget balance, a negative number a decrease.</w:t>
      </w:r>
    </w:p>
    <w:p w:rsidR="00AC613C" w:rsidRPr="005A687A" w:rsidRDefault="00AC613C" w:rsidP="00AC613C">
      <w:pPr>
        <w:pStyle w:val="Footnotes"/>
        <w:keepNext/>
        <w:numPr>
          <w:ilvl w:val="0"/>
          <w:numId w:val="15"/>
        </w:numPr>
        <w:ind w:left="284" w:hanging="284"/>
        <w:rPr>
          <w:rFonts w:ascii="Times New Roman" w:eastAsia="Times New Roman" w:hAnsi="Times New Roman"/>
          <w:lang w:eastAsia="en-AU"/>
        </w:rPr>
      </w:pPr>
      <w:r w:rsidRPr="005A687A">
        <w:t>Figures may not sum to totals due to rounding.</w:t>
      </w:r>
    </w:p>
    <w:p w:rsidR="00150C32" w:rsidRPr="00FC6579" w:rsidRDefault="00150C32" w:rsidP="00150C32">
      <w:pPr>
        <w:pStyle w:val="Heading2"/>
      </w:pPr>
      <w:r>
        <w:t>Key assumptions</w:t>
      </w:r>
    </w:p>
    <w:p w:rsidR="009D4063" w:rsidRPr="005C0B39" w:rsidRDefault="00150C32" w:rsidP="0030266A">
      <w:r>
        <w:t>In costing this proposal it has been assumed that the first year impact would reflect the remainder of 2016-17 from 1 September 2016.</w:t>
      </w:r>
    </w:p>
    <w:sectPr w:rsidR="009D4063" w:rsidRPr="005C0B39" w:rsidSect="00FC1DE9">
      <w:headerReference w:type="first" r:id="rId14"/>
      <w:footerReference w:type="first" r:id="rId15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F8" w:rsidRDefault="009423F8" w:rsidP="008F588A">
      <w:pPr>
        <w:spacing w:line="240" w:lineRule="auto"/>
      </w:pPr>
      <w:r>
        <w:separator/>
      </w:r>
    </w:p>
    <w:p w:rsidR="009423F8" w:rsidRDefault="009423F8"/>
  </w:endnote>
  <w:endnote w:type="continuationSeparator" w:id="0">
    <w:p w:rsidR="009423F8" w:rsidRDefault="009423F8" w:rsidP="008F588A">
      <w:pPr>
        <w:spacing w:line="240" w:lineRule="auto"/>
      </w:pPr>
      <w:r>
        <w:continuationSeparator/>
      </w:r>
    </w:p>
    <w:p w:rsidR="009423F8" w:rsidRDefault="0094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B3E6B">
      <w:rPr>
        <w:noProof/>
      </w:rPr>
      <w:t>3</w:t>
    </w:r>
    <w:r w:rsidRPr="00C24267">
      <w:fldChar w:fldCharType="end"/>
    </w:r>
    <w:r w:rsidRPr="00C24267">
      <w:t xml:space="preserve"> of </w:t>
    </w:r>
    <w:r w:rsidR="000B3E6B">
      <w:fldChar w:fldCharType="begin"/>
    </w:r>
    <w:r w:rsidR="000B3E6B">
      <w:instrText xml:space="preserve"> NUMPAGES  \* Arabic  \* MERGEFORMAT </w:instrText>
    </w:r>
    <w:r w:rsidR="000B3E6B">
      <w:fldChar w:fldCharType="separate"/>
    </w:r>
    <w:r w:rsidR="000B3E6B">
      <w:rPr>
        <w:noProof/>
      </w:rPr>
      <w:t>3</w:t>
    </w:r>
    <w:r w:rsidR="000B3E6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Letterfooter"/>
    </w:pPr>
    <w:r w:rsidRPr="00C24267">
      <w:t>Parliamentary Budget Office   PO Box 6010   Parliament House   Canberra ACT 2600</w:t>
    </w:r>
  </w:p>
  <w:p w:rsidR="001278D0" w:rsidRPr="00C24267" w:rsidRDefault="001278D0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B3E6B">
      <w:rPr>
        <w:noProof/>
      </w:rPr>
      <w:t>2</w:t>
    </w:r>
    <w:r w:rsidRPr="00C24267">
      <w:fldChar w:fldCharType="end"/>
    </w:r>
    <w:r w:rsidRPr="00C24267">
      <w:t xml:space="preserve"> of </w:t>
    </w:r>
    <w:r w:rsidR="000B3E6B">
      <w:fldChar w:fldCharType="begin"/>
    </w:r>
    <w:r w:rsidR="000B3E6B">
      <w:instrText xml:space="preserve"> NUMPAGES  \* Arabic  \* MERGEFORMAT </w:instrText>
    </w:r>
    <w:r w:rsidR="000B3E6B">
      <w:fldChar w:fldCharType="separate"/>
    </w:r>
    <w:r w:rsidR="000B3E6B">
      <w:rPr>
        <w:noProof/>
      </w:rPr>
      <w:t>3</w:t>
    </w:r>
    <w:r w:rsidR="000B3E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F8" w:rsidRDefault="009423F8" w:rsidP="008F588A">
      <w:pPr>
        <w:spacing w:line="240" w:lineRule="auto"/>
      </w:pPr>
      <w:r>
        <w:separator/>
      </w:r>
    </w:p>
    <w:p w:rsidR="009423F8" w:rsidRDefault="009423F8"/>
  </w:footnote>
  <w:footnote w:type="continuationSeparator" w:id="0">
    <w:p w:rsidR="009423F8" w:rsidRDefault="009423F8" w:rsidP="008F588A">
      <w:pPr>
        <w:spacing w:line="240" w:lineRule="auto"/>
      </w:pPr>
      <w:r>
        <w:continuationSeparator/>
      </w:r>
    </w:p>
    <w:p w:rsidR="009423F8" w:rsidRDefault="009423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Default="001278D0" w:rsidP="00CB40E1">
    <w:pPr>
      <w:pStyle w:val="Header"/>
    </w:pPr>
    <w:r>
      <w:rPr>
        <w:noProof/>
        <w:lang w:eastAsia="en-AU"/>
      </w:rPr>
      <w:drawing>
        <wp:inline distT="0" distB="0" distL="0" distR="0" wp14:anchorId="7BAF55AE" wp14:editId="1076F59E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0" w:rsidRPr="00DA1C8A" w:rsidRDefault="001278D0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36" w:rsidRPr="00776636" w:rsidRDefault="00776636" w:rsidP="00776636">
    <w:pPr>
      <w:pStyle w:val="Header"/>
      <w:spacing w:before="0" w:after="0"/>
      <w:rPr>
        <w:b/>
        <w:color w:val="000000" w:themeColor="text1"/>
        <w:sz w:val="28"/>
        <w:szCs w:val="28"/>
      </w:rPr>
    </w:pPr>
    <w:r>
      <w:rPr>
        <w:noProof/>
        <w:lang w:eastAsia="en-AU"/>
      </w:rPr>
      <w:drawing>
        <wp:inline distT="0" distB="0" distL="0" distR="0" wp14:anchorId="3CC04D31" wp14:editId="385E1BA8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E19AC"/>
    <w:multiLevelType w:val="singleLevel"/>
    <w:tmpl w:val="032CEB4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</w:abstractNum>
  <w:abstractNum w:abstractNumId="8">
    <w:nsid w:val="6D84339C"/>
    <w:multiLevelType w:val="hybridMultilevel"/>
    <w:tmpl w:val="15AA6E6C"/>
    <w:lvl w:ilvl="0" w:tplc="1720AE0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8"/>
    <w:rsid w:val="00002D5D"/>
    <w:rsid w:val="00040DCE"/>
    <w:rsid w:val="00096F3A"/>
    <w:rsid w:val="000B3E6B"/>
    <w:rsid w:val="000C1A75"/>
    <w:rsid w:val="000C2C99"/>
    <w:rsid w:val="00104E8B"/>
    <w:rsid w:val="00107800"/>
    <w:rsid w:val="001233B0"/>
    <w:rsid w:val="001278D0"/>
    <w:rsid w:val="001338B6"/>
    <w:rsid w:val="00141914"/>
    <w:rsid w:val="0014239B"/>
    <w:rsid w:val="00150C32"/>
    <w:rsid w:val="001A02D1"/>
    <w:rsid w:val="00220BE5"/>
    <w:rsid w:val="002422A3"/>
    <w:rsid w:val="00257213"/>
    <w:rsid w:val="00301F1C"/>
    <w:rsid w:val="0030266A"/>
    <w:rsid w:val="00315E34"/>
    <w:rsid w:val="00326DE2"/>
    <w:rsid w:val="00371D83"/>
    <w:rsid w:val="003A00C8"/>
    <w:rsid w:val="003F73CA"/>
    <w:rsid w:val="00440E32"/>
    <w:rsid w:val="00461597"/>
    <w:rsid w:val="004C283B"/>
    <w:rsid w:val="004C4931"/>
    <w:rsid w:val="004C4FFE"/>
    <w:rsid w:val="004D13ED"/>
    <w:rsid w:val="004D5525"/>
    <w:rsid w:val="005035DA"/>
    <w:rsid w:val="00507897"/>
    <w:rsid w:val="00515A85"/>
    <w:rsid w:val="00545F24"/>
    <w:rsid w:val="0055581F"/>
    <w:rsid w:val="0056229A"/>
    <w:rsid w:val="00570154"/>
    <w:rsid w:val="00570B5A"/>
    <w:rsid w:val="005C0B39"/>
    <w:rsid w:val="005C6967"/>
    <w:rsid w:val="005E3562"/>
    <w:rsid w:val="005F7DE0"/>
    <w:rsid w:val="006100F0"/>
    <w:rsid w:val="0061729B"/>
    <w:rsid w:val="006272A3"/>
    <w:rsid w:val="00640346"/>
    <w:rsid w:val="00660385"/>
    <w:rsid w:val="00662E65"/>
    <w:rsid w:val="0066665A"/>
    <w:rsid w:val="00675729"/>
    <w:rsid w:val="0068448E"/>
    <w:rsid w:val="00692DD8"/>
    <w:rsid w:val="0069670E"/>
    <w:rsid w:val="006A039F"/>
    <w:rsid w:val="006E261C"/>
    <w:rsid w:val="006F0CE9"/>
    <w:rsid w:val="007053DB"/>
    <w:rsid w:val="0072029D"/>
    <w:rsid w:val="007202A8"/>
    <w:rsid w:val="00776636"/>
    <w:rsid w:val="007864F7"/>
    <w:rsid w:val="007A4152"/>
    <w:rsid w:val="007B029A"/>
    <w:rsid w:val="007B325A"/>
    <w:rsid w:val="007D33AA"/>
    <w:rsid w:val="007F5F52"/>
    <w:rsid w:val="007F7BCF"/>
    <w:rsid w:val="008030EC"/>
    <w:rsid w:val="00811D6D"/>
    <w:rsid w:val="00844776"/>
    <w:rsid w:val="00861BBB"/>
    <w:rsid w:val="008850D9"/>
    <w:rsid w:val="008A4578"/>
    <w:rsid w:val="008C03C3"/>
    <w:rsid w:val="008D3909"/>
    <w:rsid w:val="008F588A"/>
    <w:rsid w:val="00902D2D"/>
    <w:rsid w:val="00915804"/>
    <w:rsid w:val="009423F8"/>
    <w:rsid w:val="00957285"/>
    <w:rsid w:val="009573AF"/>
    <w:rsid w:val="00961E08"/>
    <w:rsid w:val="009948C0"/>
    <w:rsid w:val="009963ED"/>
    <w:rsid w:val="009D4063"/>
    <w:rsid w:val="00A41BD3"/>
    <w:rsid w:val="00A449C2"/>
    <w:rsid w:val="00A55500"/>
    <w:rsid w:val="00AA3D6F"/>
    <w:rsid w:val="00AB6F7D"/>
    <w:rsid w:val="00AC613C"/>
    <w:rsid w:val="00AC7878"/>
    <w:rsid w:val="00AD493E"/>
    <w:rsid w:val="00B06055"/>
    <w:rsid w:val="00B075B3"/>
    <w:rsid w:val="00B329D0"/>
    <w:rsid w:val="00B44D8A"/>
    <w:rsid w:val="00B73AC8"/>
    <w:rsid w:val="00B747A7"/>
    <w:rsid w:val="00B84813"/>
    <w:rsid w:val="00BC559C"/>
    <w:rsid w:val="00C17112"/>
    <w:rsid w:val="00C24267"/>
    <w:rsid w:val="00C64F98"/>
    <w:rsid w:val="00C7681F"/>
    <w:rsid w:val="00CA5D42"/>
    <w:rsid w:val="00CB40E1"/>
    <w:rsid w:val="00CB4A52"/>
    <w:rsid w:val="00CF6DB6"/>
    <w:rsid w:val="00D134CA"/>
    <w:rsid w:val="00D26BD7"/>
    <w:rsid w:val="00D8405B"/>
    <w:rsid w:val="00DA1C8A"/>
    <w:rsid w:val="00DB44F0"/>
    <w:rsid w:val="00DC673D"/>
    <w:rsid w:val="00DD109E"/>
    <w:rsid w:val="00DD3E18"/>
    <w:rsid w:val="00E12103"/>
    <w:rsid w:val="00E15AAE"/>
    <w:rsid w:val="00E21184"/>
    <w:rsid w:val="00E40B8B"/>
    <w:rsid w:val="00E40D13"/>
    <w:rsid w:val="00E5742E"/>
    <w:rsid w:val="00EA2393"/>
    <w:rsid w:val="00EA265F"/>
    <w:rsid w:val="00ED43FF"/>
    <w:rsid w:val="00EF1D6A"/>
    <w:rsid w:val="00EF2E51"/>
    <w:rsid w:val="00F242C7"/>
    <w:rsid w:val="00F31E24"/>
    <w:rsid w:val="00F52474"/>
    <w:rsid w:val="00F5669E"/>
    <w:rsid w:val="00F75D33"/>
    <w:rsid w:val="00F954CF"/>
    <w:rsid w:val="00FC1DE9"/>
    <w:rsid w:val="00FC6579"/>
    <w:rsid w:val="00FD3FB3"/>
    <w:rsid w:val="00FE63D9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5C0B39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ChartandTableFootnoteAlpha">
    <w:name w:val="Chart and Table Footnote Alpha"/>
    <w:basedOn w:val="Normal"/>
    <w:next w:val="Normal"/>
    <w:rsid w:val="00FC1DE9"/>
    <w:pPr>
      <w:keepLines/>
      <w:numPr>
        <w:numId w:val="13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FC1DE9"/>
  </w:style>
  <w:style w:type="character" w:customStyle="1" w:styleId="TablefootnoteChar">
    <w:name w:val="Table footnote Char"/>
    <w:basedOn w:val="DefaultParagraphFont"/>
    <w:link w:val="Tablefootnote"/>
    <w:rsid w:val="00FC1DE9"/>
    <w:rPr>
      <w:rFonts w:ascii="Arial" w:eastAsia="Times New Roman" w:hAnsi="Arial" w:cs="Times New Roman"/>
      <w:sz w:val="16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C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5C0B39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ChartandTableFootnoteAlpha">
    <w:name w:val="Chart and Table Footnote Alpha"/>
    <w:basedOn w:val="Normal"/>
    <w:next w:val="Normal"/>
    <w:rsid w:val="00FC1DE9"/>
    <w:pPr>
      <w:keepLines/>
      <w:numPr>
        <w:numId w:val="13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FC1DE9"/>
  </w:style>
  <w:style w:type="character" w:customStyle="1" w:styleId="TablefootnoteChar">
    <w:name w:val="Table footnote Char"/>
    <w:basedOn w:val="DefaultParagraphFont"/>
    <w:link w:val="Tablefootnote"/>
    <w:rsid w:val="00FC1DE9"/>
    <w:rPr>
      <w:rFonts w:ascii="Arial" w:eastAsia="Times New Roman" w:hAnsi="Arial" w:cs="Times New Roman"/>
      <w:sz w:val="16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C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resear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D4DC-DA06-4E5A-94E0-E8736320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50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GRN055 - Sustainable Research Excellence Grants - 30 June 2016</vt:lpstr>
    </vt:vector>
  </TitlesOfParts>
  <Company>Parliament of Australia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GRN055 - Sustainable Research Excellence Grants - 30 June 2016</dc:title>
  <dc:creator>Parliamentary Budget Office</dc:creator>
  <cp:lastModifiedBy>Milligan, Louise (PBO)</cp:lastModifiedBy>
  <cp:revision>33</cp:revision>
  <cp:lastPrinted>2016-06-29T11:02:00Z</cp:lastPrinted>
  <dcterms:created xsi:type="dcterms:W3CDTF">2016-06-21T06:16:00Z</dcterms:created>
  <dcterms:modified xsi:type="dcterms:W3CDTF">2016-06-30T01:03:00Z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