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B40AD8" w:rsidP="00C17112">
      <w:pPr>
        <w:spacing w:before="1560" w:after="0" w:line="240" w:lineRule="auto"/>
        <w:rPr>
          <w:rFonts w:ascii="Times New Roman" w:hAnsi="Times New Roman" w:cs="Times New Roman"/>
          <w:sz w:val="24"/>
          <w:szCs w:val="24"/>
        </w:rPr>
      </w:pPr>
      <w:bookmarkStart w:id="0" w:name="_GoBack"/>
      <w:bookmarkEnd w:id="0"/>
      <w:r w:rsidRPr="00B40AD8">
        <w:rPr>
          <w:rFonts w:ascii="Times New Roman" w:hAnsi="Times New Roman" w:cs="Times New Roman"/>
          <w:sz w:val="24"/>
          <w:szCs w:val="24"/>
        </w:rPr>
        <w:t>Senator Richard Di Natale</w:t>
      </w:r>
    </w:p>
    <w:p w:rsidR="00B40AD8" w:rsidRPr="00B40AD8" w:rsidRDefault="00B40AD8" w:rsidP="00B40AD8">
      <w:pPr>
        <w:spacing w:before="0" w:after="0" w:line="240" w:lineRule="auto"/>
        <w:rPr>
          <w:rFonts w:ascii="Times New Roman" w:hAnsi="Times New Roman" w:cs="Times New Roman"/>
          <w:sz w:val="24"/>
          <w:szCs w:val="24"/>
        </w:rPr>
      </w:pPr>
      <w:r w:rsidRPr="00B40AD8">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CANBERRA  ACT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692227" w:rsidRPr="00692227">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905D48" w:rsidRPr="00905D48">
        <w:rPr>
          <w:i/>
        </w:rPr>
        <w:t>A National Biosecurity Authority</w:t>
      </w:r>
      <w:r w:rsidRPr="00002D5D">
        <w:t xml:space="preserve"> (letter of </w:t>
      </w:r>
      <w:r w:rsidR="00905D48" w:rsidRPr="00905D48">
        <w:t>29 June</w:t>
      </w:r>
      <w:r w:rsidRPr="00002D5D">
        <w:t xml:space="preserve"> 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C7158F" w:rsidP="00C7158F">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29 </w:t>
      </w:r>
      <w:r w:rsidR="00905D48">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ayout w:type="fixed"/>
        <w:tblLook w:val="04A0" w:firstRow="1" w:lastRow="0" w:firstColumn="1" w:lastColumn="0" w:noHBand="0" w:noVBand="1"/>
      </w:tblPr>
      <w:tblGrid>
        <w:gridCol w:w="3005"/>
        <w:gridCol w:w="5335"/>
      </w:tblGrid>
      <w:tr w:rsidR="004D5525" w:rsidRPr="00B76D94" w:rsidTr="00905D48">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B76D94" w:rsidRDefault="004D5525" w:rsidP="004D5525">
            <w:pPr>
              <w:pStyle w:val="BodyText"/>
              <w:rPr>
                <w:sz w:val="22"/>
              </w:rPr>
            </w:pPr>
            <w:r w:rsidRPr="00B76D94">
              <w:rPr>
                <w:sz w:val="22"/>
              </w:rPr>
              <w:t>Name of proposal:</w:t>
            </w:r>
          </w:p>
        </w:tc>
        <w:tc>
          <w:tcPr>
            <w:tcW w:w="5335" w:type="dxa"/>
          </w:tcPr>
          <w:p w:rsidR="004D5525" w:rsidRPr="00B76D94" w:rsidRDefault="00905D48" w:rsidP="00677E56">
            <w:pPr>
              <w:pStyle w:val="BodyText"/>
              <w:rPr>
                <w:sz w:val="22"/>
              </w:rPr>
            </w:pPr>
            <w:r w:rsidRPr="00B76D94">
              <w:rPr>
                <w:sz w:val="22"/>
              </w:rPr>
              <w:t>A National Biosecurity Authority</w:t>
            </w:r>
          </w:p>
        </w:tc>
      </w:tr>
      <w:tr w:rsidR="00677E56" w:rsidTr="00905D48">
        <w:tc>
          <w:tcPr>
            <w:tcW w:w="3005" w:type="dxa"/>
          </w:tcPr>
          <w:p w:rsidR="00677E56" w:rsidRDefault="00677E56" w:rsidP="004D5525">
            <w:pPr>
              <w:pStyle w:val="BodyText"/>
            </w:pPr>
            <w:r>
              <w:t>Summary of proposal:</w:t>
            </w:r>
          </w:p>
        </w:tc>
        <w:tc>
          <w:tcPr>
            <w:tcW w:w="5335" w:type="dxa"/>
          </w:tcPr>
          <w:p w:rsidR="00677E56" w:rsidRDefault="00677E56" w:rsidP="000D4DCA">
            <w:pPr>
              <w:spacing w:before="120" w:after="120"/>
            </w:pPr>
            <w:r>
              <w:t xml:space="preserve">The proposal contains </w:t>
            </w:r>
            <w:r w:rsidR="00AC1FAE">
              <w:t>four</w:t>
            </w:r>
            <w:r>
              <w:t xml:space="preserve"> components:</w:t>
            </w:r>
          </w:p>
          <w:p w:rsidR="00677E56" w:rsidRDefault="00677E56" w:rsidP="000D4DCA">
            <w:pPr>
              <w:spacing w:before="120" w:after="120"/>
              <w:rPr>
                <w:u w:val="single"/>
              </w:rPr>
            </w:pPr>
            <w:r>
              <w:rPr>
                <w:u w:val="single"/>
              </w:rPr>
              <w:t>Component 1: National biosecurity</w:t>
            </w:r>
          </w:p>
          <w:p w:rsidR="00677E56" w:rsidRPr="00B02D74" w:rsidRDefault="00677E56" w:rsidP="000D4DCA">
            <w:pPr>
              <w:spacing w:before="120" w:after="120"/>
            </w:pPr>
            <w:r w:rsidRPr="00B02D74">
              <w:t xml:space="preserve">This component would implement the recommendations of the 2008 Beale review to: </w:t>
            </w:r>
          </w:p>
          <w:p w:rsidR="00677E56" w:rsidRPr="00504EB2" w:rsidRDefault="00677E56" w:rsidP="00677E56">
            <w:pPr>
              <w:pStyle w:val="Bullet1"/>
            </w:pPr>
            <w:r w:rsidRPr="00504EB2">
              <w:t>establish an independent expert panel – the National Biosecurity Commission</w:t>
            </w:r>
            <w:r w:rsidR="00B13E45">
              <w:t xml:space="preserve"> (recommendations 12</w:t>
            </w:r>
            <w:r w:rsidR="00B13E45">
              <w:noBreakHyphen/>
              <w:t>15)</w:t>
            </w:r>
          </w:p>
          <w:p w:rsidR="00677E56" w:rsidRPr="00504EB2" w:rsidRDefault="00677E56" w:rsidP="00677E56">
            <w:pPr>
              <w:pStyle w:val="Bullet1"/>
            </w:pPr>
            <w:r w:rsidRPr="00504EB2">
              <w:t>establish a regulatory agency – the National Biosecurity Authority</w:t>
            </w:r>
            <w:r w:rsidR="00B13E45">
              <w:t xml:space="preserve"> (recommendations 16</w:t>
            </w:r>
            <w:r w:rsidR="00B13E45">
              <w:noBreakHyphen/>
              <w:t>22)</w:t>
            </w:r>
            <w:r w:rsidRPr="00504EB2">
              <w:t>.</w:t>
            </w:r>
          </w:p>
          <w:p w:rsidR="00677E56" w:rsidRDefault="00677E56" w:rsidP="000D4DCA">
            <w:pPr>
              <w:spacing w:before="120" w:after="120"/>
              <w:rPr>
                <w:u w:val="single"/>
              </w:rPr>
            </w:pPr>
            <w:r>
              <w:rPr>
                <w:u w:val="single"/>
              </w:rPr>
              <w:t>Component 2: Environmental biosecurity measures</w:t>
            </w:r>
          </w:p>
          <w:p w:rsidR="00677E56" w:rsidRPr="00B02D74" w:rsidRDefault="00677E56" w:rsidP="000D4DCA">
            <w:pPr>
              <w:spacing w:before="120" w:after="120"/>
              <w:rPr>
                <w:u w:val="single"/>
              </w:rPr>
            </w:pPr>
            <w:r w:rsidRPr="00B02D74">
              <w:t>This component would provide</w:t>
            </w:r>
            <w:r w:rsidRPr="00F23EAE">
              <w:t xml:space="preserve"> </w:t>
            </w:r>
            <w:r>
              <w:t>resourcing to implement the recommendations of the Senate Inquiry into Environmental Biosecurity with:</w:t>
            </w:r>
          </w:p>
          <w:p w:rsidR="00677E56" w:rsidRPr="00504EB2" w:rsidRDefault="00677E56" w:rsidP="00677E56">
            <w:pPr>
              <w:pStyle w:val="Bullet1"/>
            </w:pPr>
            <w:r w:rsidRPr="00504EB2">
              <w:t>additional resourcing for recommendations 2-5, 14, 18, 24 and 26, which involve the Commonwealth working with the states and territories to adjust the biosecurity regulatory framework</w:t>
            </w:r>
          </w:p>
          <w:p w:rsidR="00677E56" w:rsidRPr="00504EB2" w:rsidRDefault="00677E56" w:rsidP="00677E56">
            <w:pPr>
              <w:pStyle w:val="Bullet1"/>
            </w:pPr>
            <w:r w:rsidRPr="00504EB2">
              <w:t>additional resourcing for Commonwealth agencies to implement recommendations 1, 6, 8-13, 15-17, 19-22, which largely involve reviewing specific aspects of existing systems</w:t>
            </w:r>
          </w:p>
          <w:p w:rsidR="00677E56" w:rsidRPr="00504EB2" w:rsidRDefault="00677E56" w:rsidP="00677E56">
            <w:pPr>
              <w:pStyle w:val="Bullet1"/>
            </w:pPr>
            <w:r w:rsidRPr="00504EB2">
              <w:t>the Department of Agriculture and Water Resources (DAWR) to undertake more regular ship inspections targeted at biofouling and improve surveillance of freshwater fish imports to implement recommendation 23.</w:t>
            </w:r>
          </w:p>
          <w:p w:rsidR="00677E56" w:rsidRDefault="00677E56" w:rsidP="000D4DCA">
            <w:pPr>
              <w:pStyle w:val="Bullet2"/>
              <w:numPr>
                <w:ilvl w:val="0"/>
                <w:numId w:val="0"/>
              </w:numPr>
              <w:spacing w:after="120"/>
              <w:rPr>
                <w:u w:val="single"/>
              </w:rPr>
            </w:pPr>
            <w:r>
              <w:rPr>
                <w:u w:val="single"/>
              </w:rPr>
              <w:t>Component 3</w:t>
            </w:r>
            <w:r w:rsidR="00504EB2">
              <w:rPr>
                <w:u w:val="single"/>
              </w:rPr>
              <w:t>:</w:t>
            </w:r>
            <w:r>
              <w:rPr>
                <w:u w:val="single"/>
              </w:rPr>
              <w:t xml:space="preserve"> Invasive species</w:t>
            </w:r>
          </w:p>
          <w:p w:rsidR="00677E56" w:rsidRPr="003039D3" w:rsidRDefault="00677E56" w:rsidP="000D4DCA">
            <w:pPr>
              <w:pStyle w:val="Bullet2"/>
              <w:numPr>
                <w:ilvl w:val="0"/>
                <w:numId w:val="0"/>
              </w:numPr>
              <w:spacing w:after="120"/>
            </w:pPr>
            <w:r w:rsidRPr="00B02D74">
              <w:t>This component would</w:t>
            </w:r>
            <w:r>
              <w:t xml:space="preserve"> provide funding:</w:t>
            </w:r>
          </w:p>
          <w:p w:rsidR="00C7158F" w:rsidRDefault="00677E56" w:rsidP="00C7158F">
            <w:pPr>
              <w:pStyle w:val="Bullet1"/>
            </w:pPr>
            <w:r w:rsidRPr="00504EB2">
              <w:t>for the Centre for Invasive Species Solutions as recommended by the current Animal Cooperative Research Centre</w:t>
            </w:r>
            <w:r w:rsidR="00C642DF">
              <w:t xml:space="preserve"> from 1 July 2017 to 30 June 2021.</w:t>
            </w:r>
          </w:p>
          <w:p w:rsidR="00C7158F" w:rsidRPr="00C7158F" w:rsidRDefault="00C7158F" w:rsidP="00C7158F">
            <w:pPr>
              <w:pStyle w:val="Bullet1"/>
              <w:numPr>
                <w:ilvl w:val="0"/>
                <w:numId w:val="0"/>
              </w:numPr>
            </w:pPr>
          </w:p>
          <w:p w:rsidR="00677E56" w:rsidRPr="00504EB2" w:rsidRDefault="00677E56" w:rsidP="00C7158F">
            <w:pPr>
              <w:pStyle w:val="Bullet1"/>
              <w:keepNext/>
            </w:pPr>
            <w:r w:rsidRPr="00504EB2">
              <w:lastRenderedPageBreak/>
              <w:t>to establish, and for ongoing operation of, Environmental Health Australia, in line with proposals by the Invasive Species Council</w:t>
            </w:r>
          </w:p>
          <w:p w:rsidR="00677E56" w:rsidRPr="000A2C2B" w:rsidRDefault="00677E56" w:rsidP="00C7158F">
            <w:pPr>
              <w:pStyle w:val="Bullet1"/>
              <w:keepNext/>
            </w:pPr>
            <w:r w:rsidRPr="00504EB2">
              <w:t xml:space="preserve">of $8 million over four years to develop an invasive species target and plan, and a </w:t>
            </w:r>
            <w:r w:rsidRPr="000A2C2B">
              <w:t>separate plan to reduce the risks from exotic pe</w:t>
            </w:r>
            <w:r w:rsidR="006E6583" w:rsidRPr="000A2C2B">
              <w:t>s</w:t>
            </w:r>
            <w:r w:rsidRPr="000A2C2B">
              <w:t>ts</w:t>
            </w:r>
          </w:p>
          <w:p w:rsidR="00677E56" w:rsidRPr="00504EB2" w:rsidRDefault="00677E56" w:rsidP="00C7158F">
            <w:pPr>
              <w:pStyle w:val="Bullet1"/>
              <w:keepNext/>
            </w:pPr>
            <w:r w:rsidRPr="00504EB2">
              <w:t>to work through the Council of Australian Governments (COAG) to limit the movement of potentially damaging exotic species.</w:t>
            </w:r>
          </w:p>
          <w:p w:rsidR="00677E56" w:rsidRDefault="00677E56" w:rsidP="00C7158F">
            <w:pPr>
              <w:pStyle w:val="Bullet1"/>
              <w:keepNext/>
              <w:numPr>
                <w:ilvl w:val="0"/>
                <w:numId w:val="0"/>
              </w:numPr>
              <w:spacing w:before="120" w:after="120"/>
              <w:rPr>
                <w:u w:val="single"/>
              </w:rPr>
            </w:pPr>
            <w:r>
              <w:rPr>
                <w:u w:val="single"/>
              </w:rPr>
              <w:t>Component 4</w:t>
            </w:r>
            <w:r w:rsidR="00504EB2">
              <w:rPr>
                <w:u w:val="single"/>
              </w:rPr>
              <w:t>:</w:t>
            </w:r>
            <w:r>
              <w:rPr>
                <w:u w:val="single"/>
              </w:rPr>
              <w:t xml:space="preserve"> National </w:t>
            </w:r>
            <w:r w:rsidRPr="00FB6179">
              <w:rPr>
                <w:u w:val="single"/>
              </w:rPr>
              <w:t>strategy to protect islands from biosecurity</w:t>
            </w:r>
            <w:r w:rsidR="006E6583">
              <w:rPr>
                <w:u w:val="single"/>
              </w:rPr>
              <w:t xml:space="preserve"> risks</w:t>
            </w:r>
          </w:p>
          <w:p w:rsidR="00677E56" w:rsidRDefault="00677E56" w:rsidP="00C7158F">
            <w:pPr>
              <w:pStyle w:val="Bullet1"/>
              <w:keepNext/>
              <w:numPr>
                <w:ilvl w:val="0"/>
                <w:numId w:val="0"/>
              </w:numPr>
              <w:spacing w:before="120" w:after="120"/>
            </w:pPr>
            <w:r w:rsidRPr="00B02D74">
              <w:t xml:space="preserve">This component would provide </w:t>
            </w:r>
            <w:r>
              <w:t>$5 million a year in funding (ongoing) for a national strategy to protect islands from biosecurity risks.</w:t>
            </w:r>
          </w:p>
          <w:p w:rsidR="006E6583" w:rsidRPr="00390FD6" w:rsidRDefault="006E6583" w:rsidP="00C7158F">
            <w:pPr>
              <w:pStyle w:val="Bullet1"/>
              <w:keepNext/>
              <w:numPr>
                <w:ilvl w:val="0"/>
                <w:numId w:val="0"/>
              </w:numPr>
              <w:spacing w:before="120" w:after="120"/>
            </w:pPr>
            <w:r>
              <w:t>The proposal would have effect from 1 July 2017.</w:t>
            </w:r>
          </w:p>
        </w:tc>
      </w:tr>
      <w:tr w:rsidR="00677E56" w:rsidTr="00905D48">
        <w:tc>
          <w:tcPr>
            <w:tcW w:w="3005" w:type="dxa"/>
          </w:tcPr>
          <w:p w:rsidR="00677E56" w:rsidRDefault="00677E56" w:rsidP="004D5525">
            <w:pPr>
              <w:pStyle w:val="BodyText"/>
            </w:pPr>
            <w:r>
              <w:lastRenderedPageBreak/>
              <w:t>Person/party requesting costing:</w:t>
            </w:r>
          </w:p>
        </w:tc>
        <w:tc>
          <w:tcPr>
            <w:tcW w:w="5335" w:type="dxa"/>
          </w:tcPr>
          <w:p w:rsidR="00677E56" w:rsidRPr="000C193A" w:rsidRDefault="00677E56" w:rsidP="000D4DCA">
            <w:pPr>
              <w:spacing w:before="120" w:after="120"/>
              <w:rPr>
                <w:highlight w:val="lightGray"/>
              </w:rPr>
            </w:pPr>
            <w:r w:rsidRPr="00865039">
              <w:t>Senator Richard Di Natale, Australian Greens</w:t>
            </w:r>
          </w:p>
        </w:tc>
      </w:tr>
      <w:tr w:rsidR="007D3577" w:rsidTr="00905D48">
        <w:tc>
          <w:tcPr>
            <w:tcW w:w="3005" w:type="dxa"/>
          </w:tcPr>
          <w:p w:rsidR="007D3577" w:rsidRDefault="007D3577" w:rsidP="00060F22">
            <w:pPr>
              <w:pStyle w:val="BodyText"/>
            </w:pPr>
            <w:r>
              <w:t>Date of public release of policy:</w:t>
            </w:r>
          </w:p>
        </w:tc>
        <w:tc>
          <w:tcPr>
            <w:tcW w:w="5335" w:type="dxa"/>
          </w:tcPr>
          <w:p w:rsidR="00905D48" w:rsidRDefault="00905D48" w:rsidP="00060F22">
            <w:pPr>
              <w:pStyle w:val="BodyText"/>
            </w:pPr>
            <w:r w:rsidRPr="00905D48">
              <w:t>2</w:t>
            </w:r>
            <w:r w:rsidR="00987181">
              <w:t>2</w:t>
            </w:r>
            <w:r w:rsidRPr="00905D48">
              <w:t xml:space="preserve"> June 2016</w:t>
            </w:r>
          </w:p>
          <w:p w:rsidR="00905D48" w:rsidRPr="00C17112" w:rsidRDefault="000F0FBA" w:rsidP="00905D48">
            <w:pPr>
              <w:pStyle w:val="BodyText"/>
            </w:pPr>
            <w:hyperlink r:id="rId13" w:history="1">
              <w:r w:rsidR="00905D48" w:rsidRPr="00C26CDA">
                <w:rPr>
                  <w:rStyle w:val="Hyperlink"/>
                </w:rPr>
                <w:t>http://greens.org.au/sites/greens.org.au/files/20160622%20Biosecurity%20initiative.pdf</w:t>
              </w:r>
            </w:hyperlink>
          </w:p>
        </w:tc>
      </w:tr>
      <w:tr w:rsidR="004D5525" w:rsidTr="00905D48">
        <w:tc>
          <w:tcPr>
            <w:tcW w:w="3005" w:type="dxa"/>
          </w:tcPr>
          <w:p w:rsidR="004D5525" w:rsidRDefault="004D5525" w:rsidP="004D5525">
            <w:pPr>
              <w:pStyle w:val="BodyText"/>
            </w:pPr>
            <w:r>
              <w:t>Date costing request received:</w:t>
            </w:r>
          </w:p>
        </w:tc>
        <w:tc>
          <w:tcPr>
            <w:tcW w:w="5335" w:type="dxa"/>
          </w:tcPr>
          <w:p w:rsidR="004D5525" w:rsidRDefault="00905D48" w:rsidP="004D5525">
            <w:pPr>
              <w:pStyle w:val="BodyText"/>
            </w:pPr>
            <w:r>
              <w:t>29 June 2016</w:t>
            </w:r>
          </w:p>
        </w:tc>
      </w:tr>
      <w:tr w:rsidR="004D5525" w:rsidTr="00905D48">
        <w:tc>
          <w:tcPr>
            <w:tcW w:w="3005" w:type="dxa"/>
          </w:tcPr>
          <w:p w:rsidR="004D5525" w:rsidRDefault="004D5525" w:rsidP="004D5525">
            <w:pPr>
              <w:pStyle w:val="BodyText"/>
            </w:pPr>
            <w:r>
              <w:t>Date costing completed</w:t>
            </w:r>
            <w:r w:rsidR="00C7158F">
              <w:t>:</w:t>
            </w:r>
          </w:p>
        </w:tc>
        <w:tc>
          <w:tcPr>
            <w:tcW w:w="5335" w:type="dxa"/>
          </w:tcPr>
          <w:p w:rsidR="004D5525" w:rsidRPr="00C17112" w:rsidRDefault="00905D48" w:rsidP="004D5525">
            <w:pPr>
              <w:pStyle w:val="BodyText"/>
            </w:pPr>
            <w:r>
              <w:t>29 June 2016</w:t>
            </w:r>
          </w:p>
        </w:tc>
      </w:tr>
      <w:tr w:rsidR="004D5525" w:rsidTr="00905D48">
        <w:tc>
          <w:tcPr>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F4535C" w:rsidP="00220BE5">
            <w:pPr>
              <w:pStyle w:val="BodyText"/>
            </w:pPr>
            <w:r>
              <w:t>Release of the next economic and fiscal outlook report</w:t>
            </w:r>
          </w:p>
        </w:tc>
      </w:tr>
    </w:tbl>
    <w:p w:rsidR="0055581F" w:rsidRPr="00002D5D" w:rsidRDefault="008030EC" w:rsidP="00FC6579">
      <w:pPr>
        <w:pStyle w:val="Heading2"/>
      </w:pPr>
      <w:r w:rsidRPr="00002D5D">
        <w:t>Costing overview</w:t>
      </w:r>
    </w:p>
    <w:p w:rsidR="00677E56" w:rsidRPr="009443B0" w:rsidRDefault="00677E56" w:rsidP="00677E56">
      <w:r w:rsidRPr="00CB3EF1">
        <w:t xml:space="preserve">This proposal </w:t>
      </w:r>
      <w:r>
        <w:t xml:space="preserve">would be </w:t>
      </w:r>
      <w:r w:rsidRPr="00CB3EF1">
        <w:t xml:space="preserve">expected to decrease the </w:t>
      </w:r>
      <w:r>
        <w:t xml:space="preserve">fiscal and </w:t>
      </w:r>
      <w:r w:rsidRPr="00CB3EF1">
        <w:t>underlying cash balances by $</w:t>
      </w:r>
      <w:r>
        <w:t>185.2 </w:t>
      </w:r>
      <w:r w:rsidRPr="00CB3EF1">
        <w:t>million over the 2016</w:t>
      </w:r>
      <w:r w:rsidRPr="00CB3EF1">
        <w:noBreakHyphen/>
        <w:t xml:space="preserve">17 Budget forward estimates period. </w:t>
      </w:r>
      <w:r>
        <w:t xml:space="preserve"> This reflects an increase in administered expenditure of $115.6 million and $69.5 million</w:t>
      </w:r>
      <w:r w:rsidR="006E6583">
        <w:t xml:space="preserve"> in departmental expenditure.</w:t>
      </w:r>
    </w:p>
    <w:p w:rsidR="00677E56" w:rsidRPr="006B5EDC" w:rsidRDefault="00677E56" w:rsidP="00677E56">
      <w:r w:rsidRPr="006B5EDC">
        <w:t>The financial impact of this proposal includes a number of components</w:t>
      </w:r>
      <w:r>
        <w:t xml:space="preserve">, </w:t>
      </w:r>
      <w:r w:rsidR="009725E6">
        <w:t xml:space="preserve">only </w:t>
      </w:r>
      <w:r>
        <w:t xml:space="preserve">some of which would be expected to have impacts beyond the 2016-17 Budget forward estimates period.  </w:t>
      </w:r>
      <w:r w:rsidR="00AC1FAE">
        <w:t>Detailed financial implications a</w:t>
      </w:r>
      <w:r w:rsidR="009725E6">
        <w:t>r</w:t>
      </w:r>
      <w:r w:rsidR="00AC1FAE">
        <w:t>e</w:t>
      </w:r>
      <w:r>
        <w:t xml:space="preserve"> provided at </w:t>
      </w:r>
      <w:r w:rsidRPr="006B5EDC">
        <w:rPr>
          <w:u w:val="single"/>
        </w:rPr>
        <w:t>Attachment</w:t>
      </w:r>
      <w:r>
        <w:rPr>
          <w:u w:val="single"/>
        </w:rPr>
        <w:t> </w:t>
      </w:r>
      <w:r w:rsidRPr="006B5EDC">
        <w:rPr>
          <w:u w:val="single"/>
        </w:rPr>
        <w:t>A</w:t>
      </w:r>
      <w:r w:rsidRPr="006B5EDC">
        <w:t>.</w:t>
      </w:r>
    </w:p>
    <w:p w:rsidR="008D3909" w:rsidRPr="00002D5D" w:rsidRDefault="00677E56" w:rsidP="00677E56">
      <w:pPr>
        <w:rPr>
          <w:highlight w:val="yellow"/>
        </w:rPr>
      </w:pPr>
      <w:r w:rsidRPr="00317A9A">
        <w:rPr>
          <w:lang w:eastAsia="en-AU"/>
        </w:rPr>
        <w:t xml:space="preserve">This costing is considered to be of </w:t>
      </w:r>
      <w:r>
        <w:rPr>
          <w:lang w:eastAsia="en-AU"/>
        </w:rPr>
        <w:t>medium</w:t>
      </w:r>
      <w:r w:rsidRPr="00317A9A">
        <w:rPr>
          <w:lang w:eastAsia="en-AU"/>
        </w:rPr>
        <w:t xml:space="preserve"> reliability </w:t>
      </w:r>
      <w:r>
        <w:rPr>
          <w:lang w:eastAsia="en-AU"/>
        </w:rPr>
        <w:t>as there is some uncertainty over the size and scope of some of the functions that would be undertaken or funded by the Commonwealth</w:t>
      </w:r>
      <w:r w:rsidRPr="00317A9A">
        <w:rPr>
          <w:lang w:eastAsia="en-AU"/>
        </w:rPr>
        <w:t>.</w:t>
      </w:r>
    </w:p>
    <w:p w:rsidR="005E3562" w:rsidRPr="00FC6579" w:rsidRDefault="005E3562" w:rsidP="00FC6579">
      <w:pPr>
        <w:pStyle w:val="Captionheading"/>
      </w:pPr>
      <w:r w:rsidRPr="00FC6579">
        <w:lastRenderedPageBreak/>
        <w:t xml:space="preserve">Table </w:t>
      </w:r>
      <w:r w:rsidR="001A02D1" w:rsidRPr="00FC6579">
        <w:t>1</w:t>
      </w:r>
      <w:r w:rsidRPr="00FC6579">
        <w:t>: Financial implications (outturn prices)</w:t>
      </w:r>
      <w:r w:rsidRPr="00844776">
        <w:rPr>
          <w:vertAlign w:val="superscript"/>
        </w:rPr>
        <w:t>(a)</w:t>
      </w:r>
      <w:r w:rsidR="002D0604">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C715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B73AC8" w:rsidRDefault="00CA5D42" w:rsidP="00C7158F">
            <w:pPr>
              <w:pStyle w:val="TableText"/>
              <w:keepNext/>
              <w:keepLines/>
              <w:spacing w:line="240" w:lineRule="auto"/>
              <w:ind w:left="57" w:right="57"/>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vAlign w:val="center"/>
          </w:tcPr>
          <w:p w:rsidR="00CA5D42" w:rsidRPr="00B73AC8" w:rsidRDefault="00CA5D42" w:rsidP="00C7158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vAlign w:val="center"/>
          </w:tcPr>
          <w:p w:rsidR="00CA5D42" w:rsidRPr="00B73AC8" w:rsidRDefault="00CA5D42" w:rsidP="00C7158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vAlign w:val="center"/>
          </w:tcPr>
          <w:p w:rsidR="00CA5D42" w:rsidRPr="00B73AC8" w:rsidRDefault="00CA5D42" w:rsidP="00C7158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vAlign w:val="center"/>
          </w:tcPr>
          <w:p w:rsidR="00CA5D42" w:rsidRPr="00B73AC8" w:rsidRDefault="00CA5D42" w:rsidP="00C7158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vAlign w:val="center"/>
          </w:tcPr>
          <w:p w:rsidR="00CA5D42" w:rsidRPr="00F97DFF" w:rsidRDefault="00CA5D42" w:rsidP="00C7158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677E56" w:rsidRPr="00B73AC8" w:rsidTr="00C71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677E56" w:rsidRPr="00B73AC8" w:rsidRDefault="00677E56" w:rsidP="00C7158F">
            <w:pPr>
              <w:pStyle w:val="TableTextCentred"/>
              <w:keepNext/>
              <w:keepLines/>
              <w:spacing w:line="240" w:lineRule="auto"/>
              <w:ind w:left="57" w:right="57"/>
              <w:jc w:val="left"/>
              <w:rPr>
                <w:szCs w:val="20"/>
              </w:rPr>
            </w:pPr>
            <w:r w:rsidRPr="00B73AC8">
              <w:rPr>
                <w:szCs w:val="20"/>
              </w:rPr>
              <w:t>Fiscal balance</w:t>
            </w:r>
          </w:p>
        </w:tc>
        <w:tc>
          <w:tcPr>
            <w:tcW w:w="682" w:type="pct"/>
          </w:tcPr>
          <w:p w:rsidR="00677E56" w:rsidRPr="00677E56" w:rsidRDefault="00677E56" w:rsidP="00C7158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i w:val="0"/>
              </w:rPr>
            </w:pPr>
            <w:r w:rsidRPr="00677E56">
              <w:rPr>
                <w:i w:val="0"/>
              </w:rPr>
              <w:t>-</w:t>
            </w:r>
          </w:p>
        </w:tc>
        <w:tc>
          <w:tcPr>
            <w:tcW w:w="682" w:type="pct"/>
          </w:tcPr>
          <w:p w:rsidR="00677E56" w:rsidRPr="00677E56" w:rsidRDefault="00911B50" w:rsidP="00C7158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i w:val="0"/>
              </w:rPr>
            </w:pPr>
            <w:r>
              <w:rPr>
                <w:i w:val="0"/>
              </w:rPr>
              <w:t>-62.4</w:t>
            </w:r>
          </w:p>
        </w:tc>
        <w:tc>
          <w:tcPr>
            <w:tcW w:w="682" w:type="pct"/>
          </w:tcPr>
          <w:p w:rsidR="00677E56" w:rsidRPr="00677E56" w:rsidRDefault="00911B50" w:rsidP="00C7158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i w:val="0"/>
              </w:rPr>
            </w:pPr>
            <w:r>
              <w:rPr>
                <w:i w:val="0"/>
              </w:rPr>
              <w:t>-61.4</w:t>
            </w:r>
          </w:p>
        </w:tc>
        <w:tc>
          <w:tcPr>
            <w:tcW w:w="682" w:type="pct"/>
          </w:tcPr>
          <w:p w:rsidR="00677E56" w:rsidRPr="00677E56" w:rsidRDefault="00911B50" w:rsidP="00C7158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i w:val="0"/>
              </w:rPr>
            </w:pPr>
            <w:r>
              <w:rPr>
                <w:i w:val="0"/>
              </w:rPr>
              <w:t>-61.4</w:t>
            </w:r>
          </w:p>
        </w:tc>
        <w:tc>
          <w:tcPr>
            <w:tcW w:w="681" w:type="pct"/>
          </w:tcPr>
          <w:p w:rsidR="00677E56" w:rsidRPr="00677E56" w:rsidRDefault="00911B50" w:rsidP="00C7158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-185.2</w:t>
            </w:r>
          </w:p>
        </w:tc>
      </w:tr>
      <w:tr w:rsidR="00677E56" w:rsidRPr="00B73AC8" w:rsidTr="00C7158F">
        <w:tc>
          <w:tcPr>
            <w:cnfStyle w:val="001000000000" w:firstRow="0" w:lastRow="0" w:firstColumn="1" w:lastColumn="0" w:oddVBand="0" w:evenVBand="0" w:oddHBand="0" w:evenHBand="0" w:firstRowFirstColumn="0" w:firstRowLastColumn="0" w:lastRowFirstColumn="0" w:lastRowLastColumn="0"/>
            <w:tcW w:w="1591" w:type="pct"/>
          </w:tcPr>
          <w:p w:rsidR="00677E56" w:rsidRPr="00B73AC8" w:rsidRDefault="00677E56" w:rsidP="00C7158F">
            <w:pPr>
              <w:pStyle w:val="TableTextCentred"/>
              <w:keepNext/>
              <w:keepLines/>
              <w:spacing w:line="240" w:lineRule="auto"/>
              <w:ind w:left="57" w:right="57"/>
              <w:jc w:val="left"/>
              <w:rPr>
                <w:szCs w:val="20"/>
              </w:rPr>
            </w:pPr>
            <w:r w:rsidRPr="00B73AC8">
              <w:rPr>
                <w:szCs w:val="20"/>
              </w:rPr>
              <w:t>Underlying cash balance</w:t>
            </w:r>
          </w:p>
        </w:tc>
        <w:tc>
          <w:tcPr>
            <w:tcW w:w="682" w:type="pct"/>
          </w:tcPr>
          <w:p w:rsidR="00677E56" w:rsidRPr="00677E56" w:rsidRDefault="00911B50" w:rsidP="00C7158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rPr>
            </w:pPr>
            <w:r>
              <w:rPr>
                <w:i w:val="0"/>
              </w:rPr>
              <w:t>-</w:t>
            </w:r>
          </w:p>
        </w:tc>
        <w:tc>
          <w:tcPr>
            <w:tcW w:w="682" w:type="pct"/>
          </w:tcPr>
          <w:p w:rsidR="00677E56" w:rsidRPr="00677E56" w:rsidRDefault="00911B50" w:rsidP="00C7158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rPr>
            </w:pPr>
            <w:r>
              <w:rPr>
                <w:i w:val="0"/>
              </w:rPr>
              <w:t>-62.4</w:t>
            </w:r>
          </w:p>
        </w:tc>
        <w:tc>
          <w:tcPr>
            <w:tcW w:w="682" w:type="pct"/>
          </w:tcPr>
          <w:p w:rsidR="00677E56" w:rsidRPr="00677E56" w:rsidRDefault="00911B50" w:rsidP="00C7158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rPr>
            </w:pPr>
            <w:r>
              <w:rPr>
                <w:i w:val="0"/>
              </w:rPr>
              <w:t>-61.4</w:t>
            </w:r>
          </w:p>
        </w:tc>
        <w:tc>
          <w:tcPr>
            <w:tcW w:w="682" w:type="pct"/>
          </w:tcPr>
          <w:p w:rsidR="00677E56" w:rsidRPr="00677E56" w:rsidRDefault="00911B50" w:rsidP="00C7158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rPr>
            </w:pPr>
            <w:r>
              <w:rPr>
                <w:i w:val="0"/>
              </w:rPr>
              <w:t>-61.4</w:t>
            </w:r>
          </w:p>
        </w:tc>
        <w:tc>
          <w:tcPr>
            <w:tcW w:w="681" w:type="pct"/>
          </w:tcPr>
          <w:p w:rsidR="00677E56" w:rsidRPr="00677E56" w:rsidRDefault="00911B50" w:rsidP="00C7158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-185.2</w:t>
            </w:r>
          </w:p>
        </w:tc>
      </w:tr>
    </w:tbl>
    <w:p w:rsidR="00911B50" w:rsidRDefault="00911B50" w:rsidP="00911B50">
      <w:pPr>
        <w:pStyle w:val="Footnotes"/>
        <w:keepNext/>
        <w:keepLines/>
        <w:numPr>
          <w:ilvl w:val="0"/>
          <w:numId w:val="7"/>
        </w:numPr>
        <w:ind w:left="284" w:hanging="284"/>
      </w:pPr>
      <w:r w:rsidRPr="001D274A">
        <w:t xml:space="preserve">A negative number </w:t>
      </w:r>
      <w:r>
        <w:t>indicates a</w:t>
      </w:r>
      <w:r w:rsidRPr="00916D5F">
        <w:t xml:space="preserve"> </w:t>
      </w:r>
      <w:r>
        <w:t>de</w:t>
      </w:r>
      <w:r w:rsidRPr="00916D5F">
        <w:t>crease in the relevant budget balance</w:t>
      </w:r>
      <w:r>
        <w:t>.</w:t>
      </w:r>
    </w:p>
    <w:p w:rsidR="00911B50" w:rsidRDefault="00911B50" w:rsidP="00911B50">
      <w:pPr>
        <w:pStyle w:val="Footnotes"/>
        <w:numPr>
          <w:ilvl w:val="0"/>
          <w:numId w:val="7"/>
        </w:numPr>
        <w:ind w:left="284" w:hanging="284"/>
      </w:pPr>
      <w:r w:rsidRPr="008516C0">
        <w:t>Figures may not sum to total due to rounding.</w:t>
      </w:r>
    </w:p>
    <w:p w:rsidR="00911B50" w:rsidRDefault="00911B50" w:rsidP="00911B50">
      <w:pPr>
        <w:pStyle w:val="Footnotes"/>
        <w:numPr>
          <w:ilvl w:val="0"/>
          <w:numId w:val="21"/>
        </w:numPr>
        <w:ind w:left="284" w:hanging="284"/>
      </w:pPr>
      <w:r w:rsidRPr="00C772BA">
        <w:t>Indicates nil.</w:t>
      </w:r>
    </w:p>
    <w:p w:rsidR="008D3909" w:rsidRPr="00FC6579" w:rsidRDefault="005E3562" w:rsidP="00E40B8B">
      <w:pPr>
        <w:pStyle w:val="Heading2"/>
      </w:pPr>
      <w:r w:rsidRPr="00FC6579">
        <w:t>Key assumptions</w:t>
      </w:r>
    </w:p>
    <w:p w:rsidR="000D4DCA" w:rsidRDefault="000D4DCA" w:rsidP="000D4DCA">
      <w:r>
        <w:t>In costing this proposal it has been assumed that the:</w:t>
      </w:r>
    </w:p>
    <w:p w:rsidR="000D4DCA" w:rsidRPr="006F7E8C" w:rsidRDefault="000D4DCA" w:rsidP="006F7E8C">
      <w:pPr>
        <w:pStyle w:val="Bullet1"/>
      </w:pPr>
      <w:r w:rsidRPr="006F7E8C">
        <w:t>secretariat support for the National Biosecurity Commission would be provided by the new National Biosecurity Authority</w:t>
      </w:r>
    </w:p>
    <w:p w:rsidR="000D4DCA" w:rsidRPr="006F7E8C" w:rsidRDefault="000D4DCA" w:rsidP="006F7E8C">
      <w:pPr>
        <w:pStyle w:val="Bullet1"/>
      </w:pPr>
      <w:r w:rsidRPr="006F7E8C">
        <w:t>costs for the new National Biosecurity Authority would be partially offset by funding for existing activities to be transferred to the authority from DAWR</w:t>
      </w:r>
    </w:p>
    <w:p w:rsidR="005E3562" w:rsidRPr="006F7E8C" w:rsidRDefault="000D4DCA" w:rsidP="006F7E8C">
      <w:pPr>
        <w:pStyle w:val="Bullet1"/>
      </w:pPr>
      <w:r w:rsidRPr="006F7E8C">
        <w:t>development of plans and strategies would take two years to complete</w:t>
      </w:r>
      <w:r w:rsidR="009725E6" w:rsidRPr="006F7E8C">
        <w:t>.</w:t>
      </w:r>
    </w:p>
    <w:p w:rsidR="005E3562" w:rsidRPr="00FC6579" w:rsidRDefault="005E3562" w:rsidP="00E40B8B">
      <w:pPr>
        <w:pStyle w:val="Heading2"/>
      </w:pPr>
      <w:r w:rsidRPr="00FC6579">
        <w:t>Methodology</w:t>
      </w:r>
    </w:p>
    <w:p w:rsidR="000D4DCA" w:rsidRPr="000D4DCA" w:rsidRDefault="000D4DCA" w:rsidP="000D4DCA">
      <w:pPr>
        <w:rPr>
          <w:u w:val="single"/>
        </w:rPr>
      </w:pPr>
      <w:r w:rsidRPr="000D4DCA">
        <w:rPr>
          <w:u w:val="single"/>
        </w:rPr>
        <w:t xml:space="preserve">Component 1: National biosecurity </w:t>
      </w:r>
    </w:p>
    <w:p w:rsidR="000D4DCA" w:rsidRDefault="000D4DCA" w:rsidP="000D4DCA">
      <w:r>
        <w:t>Departmental expenditure for the establishment of a National Biosecurity Commission and National Biosecurity Authority were based on existing commissions and authorities of a similar size and scope.</w:t>
      </w:r>
    </w:p>
    <w:p w:rsidR="000D4DCA" w:rsidRPr="000D4DCA" w:rsidRDefault="000D4DCA" w:rsidP="000D4DCA">
      <w:pPr>
        <w:rPr>
          <w:u w:val="single"/>
        </w:rPr>
      </w:pPr>
      <w:r w:rsidRPr="000D4DCA">
        <w:rPr>
          <w:u w:val="single"/>
        </w:rPr>
        <w:t>Component 2: Environmental biosecurity measures</w:t>
      </w:r>
    </w:p>
    <w:p w:rsidR="000D4DCA" w:rsidRDefault="000D4DCA" w:rsidP="000D4DCA">
      <w:r>
        <w:t>Administered expenditure includes an allocation for ongoing surveillance and inspection functions.</w:t>
      </w:r>
    </w:p>
    <w:p w:rsidR="000D4DCA" w:rsidRDefault="000D4DCA" w:rsidP="000D4DCA">
      <w:r>
        <w:t>Departmental expenditure includes an ongoing allocation for review of cargo surveillance measures and private agriculture import regulations.</w:t>
      </w:r>
    </w:p>
    <w:p w:rsidR="000D4DCA" w:rsidRPr="000D4DCA" w:rsidRDefault="000D4DCA" w:rsidP="000D4DCA">
      <w:pPr>
        <w:rPr>
          <w:u w:val="single"/>
        </w:rPr>
      </w:pPr>
      <w:r w:rsidRPr="000D4DCA">
        <w:rPr>
          <w:u w:val="single"/>
        </w:rPr>
        <w:t>Components 3 and 4: Invasive species, and National strategy to protect islands from biosecurity</w:t>
      </w:r>
      <w:r w:rsidR="006E6583">
        <w:rPr>
          <w:u w:val="single"/>
        </w:rPr>
        <w:t xml:space="preserve"> risks</w:t>
      </w:r>
    </w:p>
    <w:p w:rsidR="000D4DCA" w:rsidRDefault="000D4DCA" w:rsidP="000D4DCA">
      <w:r>
        <w:t xml:space="preserve">Capped elements of the component are as specified to develop an invasive species target and plan, and a plan to reduce the risks of </w:t>
      </w:r>
      <w:r w:rsidRPr="00EE2124">
        <w:t>exotic pe</w:t>
      </w:r>
      <w:r w:rsidR="00AD7AA7" w:rsidRPr="00EE2124">
        <w:t>s</w:t>
      </w:r>
      <w:r w:rsidRPr="00EE2124">
        <w:t>ts</w:t>
      </w:r>
      <w:r>
        <w:t xml:space="preserve"> and a national strategy to protect islands from biosecurity risk.</w:t>
      </w:r>
    </w:p>
    <w:p w:rsidR="000D4DCA" w:rsidRDefault="000D4DCA" w:rsidP="000D4DCA">
      <w:r>
        <w:t>The establishment and ongoing management of a Centre for Invasive Species Solutions and Environment Health Australia are based on like establishments of a similar size and scope.  Funding for these bodies is treated as an administered grant from government to the new bodies consistent with the treatment of funding provided to similar existing bodies.</w:t>
      </w:r>
    </w:p>
    <w:p w:rsidR="005E3562" w:rsidRPr="00002D5D" w:rsidRDefault="000D4DCA" w:rsidP="000D4DCA">
      <w:r>
        <w:lastRenderedPageBreak/>
        <w:t>All departmental expenditure estimates account for the net effect of indexation parameters and the efficiency dividend, in accordance with the Department of Finance’s costing practices.</w:t>
      </w:r>
    </w:p>
    <w:p w:rsidR="005E3562" w:rsidRPr="00FC6579" w:rsidRDefault="005E3562" w:rsidP="00E40B8B">
      <w:pPr>
        <w:pStyle w:val="Heading2"/>
      </w:pPr>
      <w:r w:rsidRPr="00FC6579">
        <w:t>Data sources</w:t>
      </w:r>
    </w:p>
    <w:p w:rsidR="000D4DCA" w:rsidRPr="00F81CAF" w:rsidRDefault="006E6583" w:rsidP="00F81CAF">
      <w:pPr>
        <w:pStyle w:val="Bullet1"/>
      </w:pPr>
      <w:r w:rsidRPr="00F81CAF">
        <w:t>DAWR</w:t>
      </w:r>
      <w:r w:rsidR="000D4DCA" w:rsidRPr="00F81CAF">
        <w:t>:</w:t>
      </w:r>
    </w:p>
    <w:p w:rsidR="000D4DCA" w:rsidRPr="00F81CAF" w:rsidRDefault="000D4DCA" w:rsidP="00F81CAF">
      <w:pPr>
        <w:pStyle w:val="Bullet2"/>
      </w:pPr>
      <w:r w:rsidRPr="00F81CAF">
        <w:t>Portfolio Budget and Additional Estimates Statements (various)</w:t>
      </w:r>
    </w:p>
    <w:p w:rsidR="000D4DCA" w:rsidRPr="00F81CAF" w:rsidRDefault="000D4DCA" w:rsidP="00F81CAF">
      <w:pPr>
        <w:pStyle w:val="Bullet2"/>
      </w:pPr>
      <w:r w:rsidRPr="00F81CAF">
        <w:t>Annual reports (various)</w:t>
      </w:r>
    </w:p>
    <w:p w:rsidR="000D4DCA" w:rsidRPr="00F81CAF" w:rsidRDefault="000D4DCA" w:rsidP="00F81CAF">
      <w:pPr>
        <w:pStyle w:val="Bullet2"/>
      </w:pPr>
      <w:r w:rsidRPr="00F81CAF">
        <w:t>Contract listings (various).</w:t>
      </w:r>
    </w:p>
    <w:p w:rsidR="000D4DCA" w:rsidRPr="00F81CAF" w:rsidRDefault="000D4DCA" w:rsidP="00F81CAF">
      <w:pPr>
        <w:pStyle w:val="Bullet1"/>
      </w:pPr>
      <w:r w:rsidRPr="00F81CAF">
        <w:t>Department of Environment:</w:t>
      </w:r>
    </w:p>
    <w:p w:rsidR="000D4DCA" w:rsidRPr="00F81CAF" w:rsidRDefault="000D4DCA" w:rsidP="00F81CAF">
      <w:pPr>
        <w:pStyle w:val="Bullet2"/>
      </w:pPr>
      <w:r w:rsidRPr="00F81CAF">
        <w:t>Portfolio Budget and Additional Estimates Statements (various)</w:t>
      </w:r>
    </w:p>
    <w:p w:rsidR="000D4DCA" w:rsidRPr="00F81CAF" w:rsidRDefault="000D4DCA" w:rsidP="00F81CAF">
      <w:pPr>
        <w:pStyle w:val="Bullet2"/>
      </w:pPr>
      <w:r w:rsidRPr="00F81CAF">
        <w:t>Annual reports (various)</w:t>
      </w:r>
    </w:p>
    <w:p w:rsidR="000D4DCA" w:rsidRPr="00F81CAF" w:rsidRDefault="000D4DCA" w:rsidP="00F81CAF">
      <w:pPr>
        <w:pStyle w:val="Bullet2"/>
      </w:pPr>
      <w:r w:rsidRPr="00F81CAF">
        <w:t xml:space="preserve">Contract listings (various). </w:t>
      </w:r>
    </w:p>
    <w:p w:rsidR="000D4DCA" w:rsidRPr="00F81CAF" w:rsidRDefault="000D4DCA" w:rsidP="00F81CAF">
      <w:pPr>
        <w:pStyle w:val="Bullet1"/>
      </w:pPr>
      <w:r w:rsidRPr="00F81CAF">
        <w:t>Environmental Biosecurity, Senate Environment and Communications References Committee, May 2015.</w:t>
      </w:r>
    </w:p>
    <w:p w:rsidR="000D4DCA" w:rsidRPr="00F81CAF" w:rsidRDefault="000D4DCA" w:rsidP="00F81CAF">
      <w:pPr>
        <w:pStyle w:val="Bullet1"/>
      </w:pPr>
      <w:r w:rsidRPr="00F81CAF">
        <w:t>Invasive Animals Cooperative Research Centre – Annual Report (various).</w:t>
      </w:r>
    </w:p>
    <w:p w:rsidR="000D4DCA" w:rsidRPr="00F81CAF" w:rsidRDefault="000D4DCA" w:rsidP="00F81CAF">
      <w:pPr>
        <w:pStyle w:val="Bullet1"/>
      </w:pPr>
      <w:r w:rsidRPr="00F81CAF">
        <w:t>One Biosecurity: a working partnership, Beale et al, 30 September 2008.</w:t>
      </w:r>
    </w:p>
    <w:p w:rsidR="000D4DCA" w:rsidRPr="00F81CAF" w:rsidRDefault="000D4DCA" w:rsidP="00F81CAF">
      <w:pPr>
        <w:pStyle w:val="Bullet1"/>
      </w:pPr>
      <w:r w:rsidRPr="00F81CAF">
        <w:t>Plant Health Australia - Annual reports (various).</w:t>
      </w:r>
    </w:p>
    <w:p w:rsidR="006E6583" w:rsidRPr="00F81CAF" w:rsidRDefault="000D4DCA" w:rsidP="00F81CAF">
      <w:pPr>
        <w:pStyle w:val="Bullet1"/>
      </w:pPr>
      <w:r w:rsidRPr="00F81CAF">
        <w:t>Remuneration Tribunal - Determination 2015/02: Remuneration and Allowances for Holders of Part-Time Public Office.</w:t>
      </w:r>
    </w:p>
    <w:p w:rsidR="006E6583" w:rsidRPr="00F81CAF" w:rsidRDefault="006E6583" w:rsidP="00F81CAF">
      <w:pPr>
        <w:pStyle w:val="Bullet1"/>
      </w:pPr>
      <w:r w:rsidRPr="00F81CAF">
        <w:t>The Department of Finance provided indexation and efficiency dividend parameters.</w:t>
      </w:r>
    </w:p>
    <w:p w:rsidR="006E6583" w:rsidRPr="00F81CAF" w:rsidRDefault="006E6583" w:rsidP="00F81CAF">
      <w:pPr>
        <w:pStyle w:val="Bullet1"/>
        <w:sectPr w:rsidR="006E6583" w:rsidRPr="00F81CAF" w:rsidSect="00002D5D">
          <w:headerReference w:type="first" r:id="rId14"/>
          <w:footerReference w:type="first" r:id="rId15"/>
          <w:pgSz w:w="11906" w:h="16838"/>
          <w:pgMar w:top="1361" w:right="1797" w:bottom="1474" w:left="1797" w:header="709" w:footer="709" w:gutter="0"/>
          <w:cols w:space="708"/>
          <w:titlePg/>
          <w:docGrid w:linePitch="360"/>
        </w:sectPr>
      </w:pPr>
    </w:p>
    <w:p w:rsidR="000D4DCA" w:rsidRPr="00FC6579" w:rsidRDefault="000D4DCA" w:rsidP="00EC7179">
      <w:pPr>
        <w:pStyle w:val="Heading1"/>
      </w:pPr>
      <w:r w:rsidRPr="00FC6579">
        <w:lastRenderedPageBreak/>
        <w:t>Attachment A:</w:t>
      </w:r>
      <w:r>
        <w:t xml:space="preserve"> </w:t>
      </w:r>
      <w:r w:rsidR="00397362" w:rsidRPr="00397362">
        <w:t>A coordinated approach to biosecurity</w:t>
      </w:r>
      <w:r w:rsidR="00EC7179" w:rsidRPr="00EC7179">
        <w:t>—financial implications</w:t>
      </w:r>
    </w:p>
    <w:p w:rsidR="00F52474" w:rsidRPr="00FC6579" w:rsidRDefault="005D22D9" w:rsidP="00FC6579">
      <w:pPr>
        <w:pStyle w:val="Captionheading"/>
      </w:pPr>
      <w:r>
        <w:t xml:space="preserve">Table A1: </w:t>
      </w:r>
      <w:r w:rsidRPr="005D22D9">
        <w:t>Combined impact of all compo</w:t>
      </w:r>
      <w:r w:rsidR="00EC7179">
        <w:t>nents</w:t>
      </w:r>
      <w:r w:rsidR="00EC7179" w:rsidRPr="00EC7179">
        <w:t>—Financial implications</w:t>
      </w:r>
      <w:r w:rsidR="00EC7179" w:rsidRPr="00EC7179">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1"/>
        <w:gridCol w:w="907"/>
        <w:gridCol w:w="901"/>
        <w:gridCol w:w="901"/>
        <w:gridCol w:w="901"/>
        <w:gridCol w:w="901"/>
        <w:gridCol w:w="901"/>
        <w:gridCol w:w="901"/>
        <w:gridCol w:w="901"/>
        <w:gridCol w:w="904"/>
      </w:tblGrid>
      <w:tr w:rsidR="00957285" w:rsidRPr="00B31810" w:rsidTr="008D6ECA">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957285" w:rsidRPr="0064766E" w:rsidRDefault="00957285" w:rsidP="0062614D">
            <w:pPr>
              <w:keepNext/>
              <w:keepLines/>
              <w:spacing w:before="70" w:after="70" w:line="240" w:lineRule="auto"/>
              <w:ind w:left="57" w:right="57"/>
              <w:rPr>
                <w:szCs w:val="20"/>
              </w:rPr>
            </w:pPr>
            <w:r w:rsidRPr="0064766E">
              <w:rPr>
                <w:szCs w:val="20"/>
              </w:rPr>
              <w:t>($m)</w:t>
            </w:r>
          </w:p>
        </w:tc>
        <w:tc>
          <w:tcPr>
            <w:tcW w:w="326" w:type="pct"/>
            <w:shd w:val="clear" w:color="auto" w:fill="D7DDE9"/>
          </w:tcPr>
          <w:p w:rsidR="00957285" w:rsidRPr="0064766E" w:rsidRDefault="00957285"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2016–17</w:t>
            </w:r>
          </w:p>
        </w:tc>
        <w:tc>
          <w:tcPr>
            <w:tcW w:w="325" w:type="pct"/>
            <w:shd w:val="clear" w:color="auto" w:fill="D7DDE9"/>
          </w:tcPr>
          <w:p w:rsidR="00957285" w:rsidRPr="0064766E" w:rsidRDefault="00957285"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2017–18</w:t>
            </w:r>
          </w:p>
        </w:tc>
        <w:tc>
          <w:tcPr>
            <w:tcW w:w="325" w:type="pct"/>
            <w:shd w:val="clear" w:color="auto" w:fill="D7DDE9"/>
          </w:tcPr>
          <w:p w:rsidR="00957285" w:rsidRPr="0064766E" w:rsidRDefault="00957285"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2018–19</w:t>
            </w:r>
          </w:p>
        </w:tc>
        <w:tc>
          <w:tcPr>
            <w:tcW w:w="325" w:type="pct"/>
            <w:shd w:val="clear" w:color="auto" w:fill="D7DDE9"/>
          </w:tcPr>
          <w:p w:rsidR="00957285" w:rsidRPr="0064766E" w:rsidRDefault="00957285"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2019–20</w:t>
            </w:r>
          </w:p>
        </w:tc>
        <w:tc>
          <w:tcPr>
            <w:tcW w:w="327" w:type="pct"/>
            <w:shd w:val="clear" w:color="auto" w:fill="D7DDE9"/>
          </w:tcPr>
          <w:p w:rsidR="00957285" w:rsidRPr="0064766E" w:rsidRDefault="00957285"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Total to 2019–20</w:t>
            </w:r>
          </w:p>
        </w:tc>
        <w:tc>
          <w:tcPr>
            <w:tcW w:w="325" w:type="pct"/>
            <w:shd w:val="clear" w:color="auto" w:fill="D7DDE9"/>
          </w:tcPr>
          <w:p w:rsidR="00957285" w:rsidRPr="0064766E" w:rsidRDefault="00957285"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2020–21</w:t>
            </w:r>
          </w:p>
        </w:tc>
        <w:tc>
          <w:tcPr>
            <w:tcW w:w="325" w:type="pct"/>
            <w:shd w:val="clear" w:color="auto" w:fill="D7DDE9"/>
          </w:tcPr>
          <w:p w:rsidR="00957285" w:rsidRPr="0064766E" w:rsidRDefault="00957285"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2021–22</w:t>
            </w:r>
          </w:p>
        </w:tc>
        <w:tc>
          <w:tcPr>
            <w:tcW w:w="325" w:type="pct"/>
            <w:shd w:val="clear" w:color="auto" w:fill="D7DDE9"/>
          </w:tcPr>
          <w:p w:rsidR="00957285" w:rsidRPr="0064766E" w:rsidRDefault="00957285"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2022–23</w:t>
            </w:r>
          </w:p>
        </w:tc>
        <w:tc>
          <w:tcPr>
            <w:tcW w:w="325" w:type="pct"/>
            <w:shd w:val="clear" w:color="auto" w:fill="D7DDE9"/>
          </w:tcPr>
          <w:p w:rsidR="00957285" w:rsidRPr="0064766E" w:rsidRDefault="00957285"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2023–24</w:t>
            </w:r>
          </w:p>
        </w:tc>
        <w:tc>
          <w:tcPr>
            <w:tcW w:w="325" w:type="pct"/>
            <w:shd w:val="clear" w:color="auto" w:fill="D7DDE9"/>
          </w:tcPr>
          <w:p w:rsidR="00957285" w:rsidRPr="0064766E" w:rsidRDefault="00957285"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2024–25</w:t>
            </w:r>
          </w:p>
        </w:tc>
        <w:tc>
          <w:tcPr>
            <w:tcW w:w="325" w:type="pct"/>
            <w:shd w:val="clear" w:color="auto" w:fill="D7DDE9"/>
          </w:tcPr>
          <w:p w:rsidR="00957285" w:rsidRPr="0064766E" w:rsidRDefault="00957285"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2025–26</w:t>
            </w:r>
          </w:p>
        </w:tc>
        <w:tc>
          <w:tcPr>
            <w:tcW w:w="325" w:type="pct"/>
            <w:shd w:val="clear" w:color="auto" w:fill="D7DDE9"/>
          </w:tcPr>
          <w:p w:rsidR="00957285" w:rsidRPr="0064766E" w:rsidRDefault="00957285"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2026–27</w:t>
            </w:r>
          </w:p>
        </w:tc>
        <w:tc>
          <w:tcPr>
            <w:tcW w:w="326" w:type="pct"/>
            <w:shd w:val="clear" w:color="auto" w:fill="D7DDE9"/>
          </w:tcPr>
          <w:p w:rsidR="00957285" w:rsidRPr="0064766E" w:rsidRDefault="00957285"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Total to 2026–27</w:t>
            </w:r>
          </w:p>
        </w:tc>
      </w:tr>
      <w:tr w:rsidR="00AB2ECA" w:rsidRPr="00EF1D6A" w:rsidTr="000905A8">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AB2ECA" w:rsidRPr="0064766E" w:rsidRDefault="00AB2ECA" w:rsidP="0062614D">
            <w:pPr>
              <w:pStyle w:val="TableHeadingCentred"/>
              <w:spacing w:line="240" w:lineRule="auto"/>
              <w:ind w:left="57" w:right="57"/>
              <w:jc w:val="left"/>
              <w:rPr>
                <w:b/>
                <w:szCs w:val="20"/>
              </w:rPr>
            </w:pPr>
            <w:r w:rsidRPr="0064766E">
              <w:rPr>
                <w:b/>
                <w:szCs w:val="20"/>
              </w:rPr>
              <w:t>Impact on fiscal and underlying cash balances</w:t>
            </w:r>
          </w:p>
        </w:tc>
      </w:tr>
      <w:tr w:rsidR="00987181" w:rsidTr="00987181">
        <w:trPr>
          <w:cantSplit/>
        </w:trPr>
        <w:tc>
          <w:tcPr>
            <w:cnfStyle w:val="001000000000" w:firstRow="0" w:lastRow="0" w:firstColumn="1" w:lastColumn="0" w:oddVBand="0" w:evenVBand="0" w:oddHBand="0" w:evenHBand="0" w:firstRowFirstColumn="0" w:firstRowLastColumn="0" w:lastRowFirstColumn="0" w:lastRowLastColumn="0"/>
            <w:tcW w:w="771" w:type="pct"/>
          </w:tcPr>
          <w:p w:rsidR="00987181" w:rsidRPr="0064766E" w:rsidRDefault="00987181" w:rsidP="0062614D">
            <w:pPr>
              <w:spacing w:before="70" w:after="70" w:line="240" w:lineRule="auto"/>
              <w:ind w:left="57" w:right="57"/>
              <w:rPr>
                <w:color w:val="000000"/>
                <w:szCs w:val="20"/>
              </w:rPr>
            </w:pPr>
            <w:r w:rsidRPr="0064766E">
              <w:rPr>
                <w:color w:val="000000"/>
                <w:szCs w:val="20"/>
              </w:rPr>
              <w:t>Administered</w:t>
            </w:r>
          </w:p>
        </w:tc>
        <w:tc>
          <w:tcPr>
            <w:tcW w:w="326" w:type="pct"/>
          </w:tcPr>
          <w:p w:rsidR="00987181" w:rsidRPr="0064766E"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w:t>
            </w:r>
          </w:p>
        </w:tc>
        <w:tc>
          <w:tcPr>
            <w:tcW w:w="325" w:type="pct"/>
          </w:tcPr>
          <w:p w:rsidR="00987181" w:rsidRPr="0064766E"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-39.1</w:t>
            </w:r>
          </w:p>
        </w:tc>
        <w:tc>
          <w:tcPr>
            <w:tcW w:w="325" w:type="pct"/>
          </w:tcPr>
          <w:p w:rsidR="00987181" w:rsidRPr="0064766E"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-38.0</w:t>
            </w:r>
          </w:p>
        </w:tc>
        <w:tc>
          <w:tcPr>
            <w:tcW w:w="325" w:type="pct"/>
          </w:tcPr>
          <w:p w:rsidR="00987181" w:rsidRPr="0064766E"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-38.5</w:t>
            </w:r>
          </w:p>
        </w:tc>
        <w:tc>
          <w:tcPr>
            <w:tcW w:w="327" w:type="pct"/>
          </w:tcPr>
          <w:p w:rsidR="00987181" w:rsidRPr="0064766E"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-115.6</w:t>
            </w:r>
          </w:p>
        </w:tc>
        <w:tc>
          <w:tcPr>
            <w:tcW w:w="325" w:type="pct"/>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7181">
              <w:rPr>
                <w:szCs w:val="20"/>
              </w:rPr>
              <w:t>-39.0</w:t>
            </w:r>
          </w:p>
        </w:tc>
        <w:tc>
          <w:tcPr>
            <w:tcW w:w="325" w:type="pct"/>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7181">
              <w:rPr>
                <w:szCs w:val="20"/>
              </w:rPr>
              <w:t xml:space="preserve">-39.5 </w:t>
            </w:r>
          </w:p>
        </w:tc>
        <w:tc>
          <w:tcPr>
            <w:tcW w:w="325" w:type="pct"/>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7181">
              <w:rPr>
                <w:szCs w:val="20"/>
              </w:rPr>
              <w:t xml:space="preserve">-20.8 </w:t>
            </w:r>
          </w:p>
        </w:tc>
        <w:tc>
          <w:tcPr>
            <w:tcW w:w="325" w:type="pct"/>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7181">
              <w:rPr>
                <w:szCs w:val="20"/>
              </w:rPr>
              <w:t xml:space="preserve">-21.1 </w:t>
            </w:r>
          </w:p>
        </w:tc>
        <w:tc>
          <w:tcPr>
            <w:tcW w:w="325" w:type="pct"/>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7181">
              <w:rPr>
                <w:szCs w:val="20"/>
              </w:rPr>
              <w:t xml:space="preserve">-21.4 </w:t>
            </w:r>
          </w:p>
        </w:tc>
        <w:tc>
          <w:tcPr>
            <w:tcW w:w="325" w:type="pct"/>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7181">
              <w:rPr>
                <w:szCs w:val="20"/>
              </w:rPr>
              <w:t xml:space="preserve">-21.8 </w:t>
            </w:r>
          </w:p>
        </w:tc>
        <w:tc>
          <w:tcPr>
            <w:tcW w:w="325" w:type="pct"/>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7181">
              <w:rPr>
                <w:szCs w:val="20"/>
              </w:rPr>
              <w:t xml:space="preserve">-22.1 </w:t>
            </w:r>
          </w:p>
        </w:tc>
        <w:tc>
          <w:tcPr>
            <w:tcW w:w="326" w:type="pct"/>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87181">
              <w:rPr>
                <w:b/>
                <w:szCs w:val="20"/>
              </w:rPr>
              <w:t xml:space="preserve">-301.3 </w:t>
            </w:r>
          </w:p>
        </w:tc>
      </w:tr>
      <w:tr w:rsidR="00987181" w:rsidTr="00987181">
        <w:trPr>
          <w:cantSplit/>
        </w:trPr>
        <w:tc>
          <w:tcPr>
            <w:cnfStyle w:val="001000000000" w:firstRow="0" w:lastRow="0" w:firstColumn="1" w:lastColumn="0" w:oddVBand="0" w:evenVBand="0" w:oddHBand="0" w:evenHBand="0" w:firstRowFirstColumn="0" w:firstRowLastColumn="0" w:lastRowFirstColumn="0" w:lastRowLastColumn="0"/>
            <w:tcW w:w="771" w:type="pct"/>
          </w:tcPr>
          <w:p w:rsidR="00987181" w:rsidRPr="0064766E" w:rsidRDefault="00987181" w:rsidP="0062614D">
            <w:pPr>
              <w:spacing w:before="70" w:after="70" w:line="240" w:lineRule="auto"/>
              <w:ind w:left="57" w:right="57"/>
              <w:rPr>
                <w:color w:val="000000"/>
                <w:szCs w:val="20"/>
              </w:rPr>
            </w:pPr>
            <w:r w:rsidRPr="0064766E">
              <w:rPr>
                <w:color w:val="000000"/>
                <w:szCs w:val="20"/>
              </w:rPr>
              <w:t>Departmental</w:t>
            </w:r>
          </w:p>
        </w:tc>
        <w:tc>
          <w:tcPr>
            <w:tcW w:w="326" w:type="pct"/>
          </w:tcPr>
          <w:p w:rsidR="00987181" w:rsidRPr="0064766E"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w:t>
            </w:r>
          </w:p>
        </w:tc>
        <w:tc>
          <w:tcPr>
            <w:tcW w:w="325" w:type="pct"/>
          </w:tcPr>
          <w:p w:rsidR="00987181" w:rsidRPr="0064766E"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-23.3</w:t>
            </w:r>
          </w:p>
        </w:tc>
        <w:tc>
          <w:tcPr>
            <w:tcW w:w="325" w:type="pct"/>
          </w:tcPr>
          <w:p w:rsidR="00987181" w:rsidRPr="0064766E"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-23.3</w:t>
            </w:r>
          </w:p>
        </w:tc>
        <w:tc>
          <w:tcPr>
            <w:tcW w:w="325" w:type="pct"/>
          </w:tcPr>
          <w:p w:rsidR="00987181" w:rsidRPr="0064766E"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-22.9</w:t>
            </w:r>
          </w:p>
        </w:tc>
        <w:tc>
          <w:tcPr>
            <w:tcW w:w="327" w:type="pct"/>
          </w:tcPr>
          <w:p w:rsidR="00987181" w:rsidRPr="0064766E"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-69.5</w:t>
            </w:r>
          </w:p>
        </w:tc>
        <w:tc>
          <w:tcPr>
            <w:tcW w:w="325" w:type="pct"/>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7181">
              <w:rPr>
                <w:szCs w:val="20"/>
              </w:rPr>
              <w:t xml:space="preserve">-23.0 </w:t>
            </w:r>
          </w:p>
        </w:tc>
        <w:tc>
          <w:tcPr>
            <w:tcW w:w="325" w:type="pct"/>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7181">
              <w:rPr>
                <w:szCs w:val="20"/>
              </w:rPr>
              <w:t xml:space="preserve">-21.0 </w:t>
            </w:r>
          </w:p>
        </w:tc>
        <w:tc>
          <w:tcPr>
            <w:tcW w:w="325" w:type="pct"/>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7181">
              <w:rPr>
                <w:szCs w:val="20"/>
              </w:rPr>
              <w:t xml:space="preserve">-21.1 </w:t>
            </w:r>
          </w:p>
        </w:tc>
        <w:tc>
          <w:tcPr>
            <w:tcW w:w="325" w:type="pct"/>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7181">
              <w:rPr>
                <w:szCs w:val="20"/>
              </w:rPr>
              <w:t xml:space="preserve">-21.2 </w:t>
            </w:r>
          </w:p>
        </w:tc>
        <w:tc>
          <w:tcPr>
            <w:tcW w:w="325" w:type="pct"/>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7181">
              <w:rPr>
                <w:szCs w:val="20"/>
              </w:rPr>
              <w:t xml:space="preserve">-21.2 </w:t>
            </w:r>
          </w:p>
        </w:tc>
        <w:tc>
          <w:tcPr>
            <w:tcW w:w="325" w:type="pct"/>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7181">
              <w:rPr>
                <w:szCs w:val="20"/>
              </w:rPr>
              <w:t xml:space="preserve">-21.3 </w:t>
            </w:r>
          </w:p>
        </w:tc>
        <w:tc>
          <w:tcPr>
            <w:tcW w:w="325" w:type="pct"/>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7181">
              <w:rPr>
                <w:szCs w:val="20"/>
              </w:rPr>
              <w:t xml:space="preserve">-21.3 </w:t>
            </w:r>
          </w:p>
        </w:tc>
        <w:tc>
          <w:tcPr>
            <w:tcW w:w="326" w:type="pct"/>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87181">
              <w:rPr>
                <w:b/>
                <w:szCs w:val="20"/>
              </w:rPr>
              <w:t xml:space="preserve">-219.7 </w:t>
            </w:r>
          </w:p>
        </w:tc>
      </w:tr>
      <w:tr w:rsidR="00987181" w:rsidRPr="008D6ECA" w:rsidTr="00987181">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E9ECF3"/>
          </w:tcPr>
          <w:p w:rsidR="00987181" w:rsidRPr="0064766E" w:rsidRDefault="00987181" w:rsidP="0062614D">
            <w:pPr>
              <w:spacing w:before="70" w:after="70" w:line="240" w:lineRule="auto"/>
              <w:ind w:left="57" w:right="57"/>
              <w:rPr>
                <w:b/>
                <w:bCs/>
                <w:color w:val="000000"/>
                <w:szCs w:val="20"/>
              </w:rPr>
            </w:pPr>
            <w:r w:rsidRPr="0064766E">
              <w:rPr>
                <w:b/>
                <w:bCs/>
                <w:color w:val="000000"/>
                <w:szCs w:val="20"/>
              </w:rPr>
              <w:t>Total</w:t>
            </w:r>
          </w:p>
        </w:tc>
        <w:tc>
          <w:tcPr>
            <w:tcW w:w="326" w:type="pct"/>
            <w:shd w:val="clear" w:color="auto" w:fill="E9ECF3"/>
          </w:tcPr>
          <w:p w:rsidR="00987181" w:rsidRPr="0064766E"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sidRPr="0064766E">
              <w:rPr>
                <w:b/>
                <w:bCs/>
                <w:i w:val="0"/>
                <w:szCs w:val="20"/>
              </w:rPr>
              <w:t>-</w:t>
            </w:r>
          </w:p>
        </w:tc>
        <w:tc>
          <w:tcPr>
            <w:tcW w:w="325" w:type="pct"/>
            <w:shd w:val="clear" w:color="auto" w:fill="E9ECF3"/>
          </w:tcPr>
          <w:p w:rsidR="00987181" w:rsidRPr="0064766E"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sidRPr="0064766E">
              <w:rPr>
                <w:b/>
                <w:bCs/>
                <w:i w:val="0"/>
                <w:szCs w:val="20"/>
              </w:rPr>
              <w:t>-62.4</w:t>
            </w:r>
          </w:p>
        </w:tc>
        <w:tc>
          <w:tcPr>
            <w:tcW w:w="325" w:type="pct"/>
            <w:shd w:val="clear" w:color="auto" w:fill="E9ECF3"/>
          </w:tcPr>
          <w:p w:rsidR="00987181" w:rsidRPr="0064766E"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sidRPr="0064766E">
              <w:rPr>
                <w:b/>
                <w:bCs/>
                <w:i w:val="0"/>
                <w:szCs w:val="20"/>
              </w:rPr>
              <w:t>-61.4</w:t>
            </w:r>
          </w:p>
        </w:tc>
        <w:tc>
          <w:tcPr>
            <w:tcW w:w="325" w:type="pct"/>
            <w:shd w:val="clear" w:color="auto" w:fill="E9ECF3"/>
          </w:tcPr>
          <w:p w:rsidR="00987181" w:rsidRPr="0064766E"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sidRPr="0064766E">
              <w:rPr>
                <w:b/>
                <w:bCs/>
                <w:i w:val="0"/>
                <w:szCs w:val="20"/>
              </w:rPr>
              <w:t>-61.4</w:t>
            </w:r>
          </w:p>
        </w:tc>
        <w:tc>
          <w:tcPr>
            <w:tcW w:w="327" w:type="pct"/>
            <w:shd w:val="clear" w:color="auto" w:fill="E9ECF3"/>
          </w:tcPr>
          <w:p w:rsidR="00987181" w:rsidRPr="0064766E"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sidRPr="0064766E">
              <w:rPr>
                <w:b/>
                <w:bCs/>
                <w:i w:val="0"/>
                <w:szCs w:val="20"/>
              </w:rPr>
              <w:t>-185.2</w:t>
            </w:r>
          </w:p>
        </w:tc>
        <w:tc>
          <w:tcPr>
            <w:tcW w:w="325" w:type="pct"/>
            <w:shd w:val="clear" w:color="auto" w:fill="E9ECF3"/>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87181">
              <w:rPr>
                <w:b/>
                <w:szCs w:val="20"/>
              </w:rPr>
              <w:t xml:space="preserve">-62.0 </w:t>
            </w:r>
          </w:p>
        </w:tc>
        <w:tc>
          <w:tcPr>
            <w:tcW w:w="325" w:type="pct"/>
            <w:shd w:val="clear" w:color="auto" w:fill="E9ECF3"/>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87181">
              <w:rPr>
                <w:b/>
                <w:szCs w:val="20"/>
              </w:rPr>
              <w:t xml:space="preserve">-60.5 </w:t>
            </w:r>
          </w:p>
        </w:tc>
        <w:tc>
          <w:tcPr>
            <w:tcW w:w="325" w:type="pct"/>
            <w:shd w:val="clear" w:color="auto" w:fill="E9ECF3"/>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87181">
              <w:rPr>
                <w:b/>
                <w:szCs w:val="20"/>
              </w:rPr>
              <w:t xml:space="preserve">-41.9 </w:t>
            </w:r>
          </w:p>
        </w:tc>
        <w:tc>
          <w:tcPr>
            <w:tcW w:w="325" w:type="pct"/>
            <w:shd w:val="clear" w:color="auto" w:fill="E9ECF3"/>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87181">
              <w:rPr>
                <w:b/>
                <w:szCs w:val="20"/>
              </w:rPr>
              <w:t xml:space="preserve">-42.3 </w:t>
            </w:r>
          </w:p>
        </w:tc>
        <w:tc>
          <w:tcPr>
            <w:tcW w:w="325" w:type="pct"/>
            <w:shd w:val="clear" w:color="auto" w:fill="E9ECF3"/>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87181">
              <w:rPr>
                <w:b/>
                <w:szCs w:val="20"/>
              </w:rPr>
              <w:t xml:space="preserve">-42.7 </w:t>
            </w:r>
          </w:p>
        </w:tc>
        <w:tc>
          <w:tcPr>
            <w:tcW w:w="325" w:type="pct"/>
            <w:shd w:val="clear" w:color="auto" w:fill="E9ECF3"/>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87181">
              <w:rPr>
                <w:b/>
                <w:szCs w:val="20"/>
              </w:rPr>
              <w:t xml:space="preserve">-43.1 </w:t>
            </w:r>
          </w:p>
        </w:tc>
        <w:tc>
          <w:tcPr>
            <w:tcW w:w="325" w:type="pct"/>
            <w:shd w:val="clear" w:color="auto" w:fill="E9ECF3"/>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87181">
              <w:rPr>
                <w:b/>
                <w:szCs w:val="20"/>
              </w:rPr>
              <w:t xml:space="preserve">-43.5 </w:t>
            </w:r>
          </w:p>
        </w:tc>
        <w:tc>
          <w:tcPr>
            <w:tcW w:w="326" w:type="pct"/>
            <w:shd w:val="clear" w:color="auto" w:fill="E9ECF3"/>
          </w:tcPr>
          <w:p w:rsidR="00987181" w:rsidRPr="00987181"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87181">
              <w:rPr>
                <w:b/>
                <w:szCs w:val="20"/>
              </w:rPr>
              <w:t xml:space="preserve">-521.0 </w:t>
            </w:r>
          </w:p>
        </w:tc>
      </w:tr>
    </w:tbl>
    <w:p w:rsidR="00B53B7F" w:rsidRDefault="00EC7179" w:rsidP="0062614D">
      <w:pPr>
        <w:pStyle w:val="Footnotes"/>
        <w:numPr>
          <w:ilvl w:val="0"/>
          <w:numId w:val="10"/>
        </w:numPr>
        <w:ind w:left="284" w:hanging="284"/>
      </w:pPr>
      <w:r w:rsidRPr="00EC7179">
        <w:t>A negative number indicates a decrease in revenue or an increase in expenses or net capital investment in accrual and cash terms</w:t>
      </w:r>
      <w:r w:rsidR="00B53B7F">
        <w:t>.</w:t>
      </w:r>
    </w:p>
    <w:p w:rsidR="00EC7179" w:rsidRPr="00EC7179" w:rsidRDefault="00EC7179" w:rsidP="0062614D">
      <w:pPr>
        <w:numPr>
          <w:ilvl w:val="0"/>
          <w:numId w:val="7"/>
        </w:numPr>
        <w:spacing w:before="113" w:after="0" w:line="260" w:lineRule="atLeast"/>
        <w:ind w:left="284" w:hanging="284"/>
        <w:rPr>
          <w:sz w:val="20"/>
          <w:szCs w:val="20"/>
        </w:rPr>
      </w:pPr>
      <w:r w:rsidRPr="00EC7179">
        <w:rPr>
          <w:sz w:val="20"/>
          <w:szCs w:val="20"/>
        </w:rPr>
        <w:t>Figures may not sum to total due to rounding.</w:t>
      </w:r>
    </w:p>
    <w:p w:rsidR="00060F22" w:rsidRPr="00EC7179" w:rsidRDefault="00EC7179" w:rsidP="0062614D">
      <w:pPr>
        <w:numPr>
          <w:ilvl w:val="0"/>
          <w:numId w:val="21"/>
        </w:numPr>
        <w:spacing w:before="113" w:after="0" w:line="260" w:lineRule="atLeast"/>
        <w:ind w:left="284" w:hanging="284"/>
        <w:rPr>
          <w:sz w:val="20"/>
          <w:szCs w:val="20"/>
        </w:rPr>
        <w:sectPr w:rsidR="00060F22" w:rsidRPr="00EC7179" w:rsidSect="00957285">
          <w:headerReference w:type="first" r:id="rId16"/>
          <w:footerReference w:type="first" r:id="rId17"/>
          <w:pgSz w:w="16838" w:h="11906" w:orient="landscape"/>
          <w:pgMar w:top="1797" w:right="1361" w:bottom="1797" w:left="1474" w:header="709" w:footer="709" w:gutter="0"/>
          <w:cols w:space="708"/>
          <w:titlePg/>
          <w:docGrid w:linePitch="360"/>
        </w:sectPr>
      </w:pPr>
      <w:r w:rsidRPr="00EC7179">
        <w:rPr>
          <w:sz w:val="20"/>
          <w:szCs w:val="20"/>
        </w:rPr>
        <w:t>Indicates nil.</w:t>
      </w:r>
    </w:p>
    <w:p w:rsidR="00DA3B55" w:rsidRDefault="005D22D9" w:rsidP="00F21865">
      <w:pPr>
        <w:pStyle w:val="Captionheading"/>
      </w:pPr>
      <w:r>
        <w:lastRenderedPageBreak/>
        <w:t xml:space="preserve">Table A2: Component 1: </w:t>
      </w:r>
      <w:r w:rsidR="00397362" w:rsidRPr="00397362">
        <w:t>National biosecurity</w:t>
      </w:r>
      <w:r w:rsidR="007B251E" w:rsidRPr="007B251E">
        <w:t>—Financial implications</w:t>
      </w:r>
      <w:r w:rsidR="007B251E" w:rsidRPr="007B251E">
        <w:rPr>
          <w:vertAlign w:val="superscript"/>
        </w:rPr>
        <w:t>(a)(b)</w:t>
      </w:r>
    </w:p>
    <w:tbl>
      <w:tblPr>
        <w:tblStyle w:val="TableGrid"/>
        <w:tblW w:w="5006" w:type="pct"/>
        <w:tblLook w:val="0680" w:firstRow="0" w:lastRow="0" w:firstColumn="1" w:lastColumn="0" w:noHBand="1" w:noVBand="1"/>
      </w:tblPr>
      <w:tblGrid>
        <w:gridCol w:w="2134"/>
        <w:gridCol w:w="914"/>
        <w:gridCol w:w="914"/>
        <w:gridCol w:w="909"/>
        <w:gridCol w:w="6"/>
        <w:gridCol w:w="912"/>
        <w:gridCol w:w="6"/>
        <w:gridCol w:w="912"/>
        <w:gridCol w:w="6"/>
        <w:gridCol w:w="906"/>
        <w:gridCol w:w="6"/>
        <w:gridCol w:w="906"/>
        <w:gridCol w:w="6"/>
        <w:gridCol w:w="909"/>
        <w:gridCol w:w="6"/>
        <w:gridCol w:w="912"/>
        <w:gridCol w:w="6"/>
        <w:gridCol w:w="912"/>
        <w:gridCol w:w="6"/>
        <w:gridCol w:w="912"/>
        <w:gridCol w:w="6"/>
        <w:gridCol w:w="909"/>
        <w:gridCol w:w="6"/>
        <w:gridCol w:w="909"/>
      </w:tblGrid>
      <w:tr w:rsidR="00DA3B55" w:rsidRPr="00B31810" w:rsidTr="000D4DCA">
        <w:trPr>
          <w:cantSplit/>
          <w:tblHeader/>
        </w:trPr>
        <w:tc>
          <w:tcPr>
            <w:cnfStyle w:val="001000000000" w:firstRow="0" w:lastRow="0" w:firstColumn="1" w:lastColumn="0" w:oddVBand="0" w:evenVBand="0" w:oddHBand="0" w:evenHBand="0" w:firstRowFirstColumn="0" w:firstRowLastColumn="0" w:lastRowFirstColumn="0" w:lastRowLastColumn="0"/>
            <w:tcW w:w="761" w:type="pct"/>
            <w:shd w:val="clear" w:color="auto" w:fill="D7DDE9"/>
          </w:tcPr>
          <w:p w:rsidR="00DA3B55" w:rsidRPr="007B251E" w:rsidRDefault="00DA3B55" w:rsidP="0062614D">
            <w:pPr>
              <w:spacing w:before="70" w:after="10" w:line="240" w:lineRule="auto"/>
              <w:ind w:left="57" w:right="57"/>
              <w:rPr>
                <w:szCs w:val="20"/>
              </w:rPr>
            </w:pPr>
            <w:r w:rsidRPr="007B251E">
              <w:rPr>
                <w:szCs w:val="20"/>
              </w:rPr>
              <w:t>($m)</w:t>
            </w:r>
          </w:p>
        </w:tc>
        <w:tc>
          <w:tcPr>
            <w:tcW w:w="326" w:type="pct"/>
            <w:shd w:val="clear" w:color="auto" w:fill="D7DDE9"/>
          </w:tcPr>
          <w:p w:rsidR="00DA3B55" w:rsidRPr="007B251E" w:rsidRDefault="00DA3B55" w:rsidP="0062614D">
            <w:pPr>
              <w:pStyle w:val="TableHeadingCentred"/>
              <w:keepNext w:val="0"/>
              <w:keepLines w:val="0"/>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2016–17</w:t>
            </w:r>
          </w:p>
        </w:tc>
        <w:tc>
          <w:tcPr>
            <w:tcW w:w="326" w:type="pct"/>
            <w:shd w:val="clear" w:color="auto" w:fill="D7DDE9"/>
          </w:tcPr>
          <w:p w:rsidR="00DA3B55" w:rsidRPr="007B251E" w:rsidRDefault="00DA3B55" w:rsidP="0062614D">
            <w:pPr>
              <w:pStyle w:val="TableHeadingCentred"/>
              <w:keepNext w:val="0"/>
              <w:keepLines w:val="0"/>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2017–18</w:t>
            </w:r>
          </w:p>
        </w:tc>
        <w:tc>
          <w:tcPr>
            <w:tcW w:w="324" w:type="pct"/>
            <w:shd w:val="clear" w:color="auto" w:fill="D7DDE9"/>
          </w:tcPr>
          <w:p w:rsidR="00DA3B55" w:rsidRPr="007B251E" w:rsidRDefault="00DA3B55" w:rsidP="0062614D">
            <w:pPr>
              <w:pStyle w:val="TableHeadingCentred"/>
              <w:keepNext w:val="0"/>
              <w:keepLines w:val="0"/>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2018–19</w:t>
            </w:r>
          </w:p>
        </w:tc>
        <w:tc>
          <w:tcPr>
            <w:tcW w:w="327" w:type="pct"/>
            <w:gridSpan w:val="2"/>
            <w:shd w:val="clear" w:color="auto" w:fill="D7DDE9"/>
          </w:tcPr>
          <w:p w:rsidR="00DA3B55" w:rsidRPr="007B251E" w:rsidRDefault="00DA3B55" w:rsidP="0062614D">
            <w:pPr>
              <w:pStyle w:val="TableHeadingCentred"/>
              <w:keepNext w:val="0"/>
              <w:keepLines w:val="0"/>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2019–20</w:t>
            </w:r>
          </w:p>
        </w:tc>
        <w:tc>
          <w:tcPr>
            <w:tcW w:w="327" w:type="pct"/>
            <w:gridSpan w:val="2"/>
            <w:shd w:val="clear" w:color="auto" w:fill="D7DDE9"/>
          </w:tcPr>
          <w:p w:rsidR="00DA3B55" w:rsidRPr="007B251E" w:rsidRDefault="00DA3B55" w:rsidP="0062614D">
            <w:pPr>
              <w:pStyle w:val="TableHeadingCentred"/>
              <w:keepNext w:val="0"/>
              <w:keepLines w:val="0"/>
              <w:spacing w:after="10"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7B251E">
              <w:rPr>
                <w:b/>
                <w:szCs w:val="20"/>
              </w:rPr>
              <w:t>Total to 2019–20</w:t>
            </w:r>
          </w:p>
        </w:tc>
        <w:tc>
          <w:tcPr>
            <w:tcW w:w="325" w:type="pct"/>
            <w:gridSpan w:val="2"/>
            <w:shd w:val="clear" w:color="auto" w:fill="D7DDE9"/>
          </w:tcPr>
          <w:p w:rsidR="00DA3B55" w:rsidRPr="007B251E" w:rsidRDefault="00DA3B55" w:rsidP="0062614D">
            <w:pPr>
              <w:pStyle w:val="TableHeadingCentred"/>
              <w:keepNext w:val="0"/>
              <w:keepLines w:val="0"/>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2020–21</w:t>
            </w:r>
          </w:p>
        </w:tc>
        <w:tc>
          <w:tcPr>
            <w:tcW w:w="325" w:type="pct"/>
            <w:gridSpan w:val="2"/>
            <w:shd w:val="clear" w:color="auto" w:fill="D7DDE9"/>
          </w:tcPr>
          <w:p w:rsidR="00DA3B55" w:rsidRPr="007B251E" w:rsidRDefault="00DA3B55" w:rsidP="0062614D">
            <w:pPr>
              <w:pStyle w:val="TableHeadingCentred"/>
              <w:keepNext w:val="0"/>
              <w:keepLines w:val="0"/>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2021–22</w:t>
            </w:r>
          </w:p>
        </w:tc>
        <w:tc>
          <w:tcPr>
            <w:tcW w:w="326" w:type="pct"/>
            <w:gridSpan w:val="2"/>
            <w:shd w:val="clear" w:color="auto" w:fill="D7DDE9"/>
          </w:tcPr>
          <w:p w:rsidR="00DA3B55" w:rsidRPr="007B251E" w:rsidRDefault="00DA3B55" w:rsidP="0062614D">
            <w:pPr>
              <w:pStyle w:val="TableHeadingCentred"/>
              <w:keepNext w:val="0"/>
              <w:keepLines w:val="0"/>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2022–23</w:t>
            </w:r>
          </w:p>
        </w:tc>
        <w:tc>
          <w:tcPr>
            <w:tcW w:w="327" w:type="pct"/>
            <w:gridSpan w:val="2"/>
            <w:shd w:val="clear" w:color="auto" w:fill="D7DDE9"/>
          </w:tcPr>
          <w:p w:rsidR="00DA3B55" w:rsidRPr="007B251E" w:rsidRDefault="00DA3B55" w:rsidP="0062614D">
            <w:pPr>
              <w:pStyle w:val="TableHeadingCentred"/>
              <w:keepNext w:val="0"/>
              <w:keepLines w:val="0"/>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2023–24</w:t>
            </w:r>
          </w:p>
        </w:tc>
        <w:tc>
          <w:tcPr>
            <w:tcW w:w="327" w:type="pct"/>
            <w:gridSpan w:val="2"/>
            <w:shd w:val="clear" w:color="auto" w:fill="D7DDE9"/>
          </w:tcPr>
          <w:p w:rsidR="00DA3B55" w:rsidRPr="007B251E" w:rsidRDefault="00DA3B55" w:rsidP="0062614D">
            <w:pPr>
              <w:pStyle w:val="TableHeadingCentred"/>
              <w:keepNext w:val="0"/>
              <w:keepLines w:val="0"/>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2024–25</w:t>
            </w:r>
          </w:p>
        </w:tc>
        <w:tc>
          <w:tcPr>
            <w:tcW w:w="327" w:type="pct"/>
            <w:gridSpan w:val="2"/>
            <w:shd w:val="clear" w:color="auto" w:fill="D7DDE9"/>
          </w:tcPr>
          <w:p w:rsidR="00DA3B55" w:rsidRPr="007B251E" w:rsidRDefault="00DA3B55" w:rsidP="0062614D">
            <w:pPr>
              <w:pStyle w:val="TableHeadingCentred"/>
              <w:keepNext w:val="0"/>
              <w:keepLines w:val="0"/>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2025–26</w:t>
            </w:r>
          </w:p>
        </w:tc>
        <w:tc>
          <w:tcPr>
            <w:tcW w:w="326" w:type="pct"/>
            <w:gridSpan w:val="2"/>
            <w:shd w:val="clear" w:color="auto" w:fill="D7DDE9"/>
          </w:tcPr>
          <w:p w:rsidR="00DA3B55" w:rsidRPr="007B251E" w:rsidRDefault="00DA3B55" w:rsidP="0062614D">
            <w:pPr>
              <w:pStyle w:val="TableHeadingCentred"/>
              <w:keepNext w:val="0"/>
              <w:keepLines w:val="0"/>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2026–27</w:t>
            </w:r>
          </w:p>
        </w:tc>
        <w:tc>
          <w:tcPr>
            <w:tcW w:w="326" w:type="pct"/>
            <w:gridSpan w:val="2"/>
            <w:shd w:val="clear" w:color="auto" w:fill="D7DDE9"/>
          </w:tcPr>
          <w:p w:rsidR="00DA3B55" w:rsidRPr="007B251E" w:rsidRDefault="00DA3B55" w:rsidP="0062614D">
            <w:pPr>
              <w:pStyle w:val="TableHeadingCentred"/>
              <w:keepNext w:val="0"/>
              <w:keepLines w:val="0"/>
              <w:spacing w:after="10"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7B251E">
              <w:rPr>
                <w:b/>
                <w:szCs w:val="20"/>
              </w:rPr>
              <w:t>Total to 2026–27</w:t>
            </w:r>
          </w:p>
        </w:tc>
      </w:tr>
      <w:tr w:rsidR="000721A4" w:rsidRPr="00AB55AE" w:rsidTr="000721A4">
        <w:trPr>
          <w:cantSplit/>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D7DDE9"/>
          </w:tcPr>
          <w:p w:rsidR="000721A4" w:rsidRPr="007B251E" w:rsidRDefault="000721A4" w:rsidP="0062614D">
            <w:pPr>
              <w:pStyle w:val="TableTextRight"/>
              <w:spacing w:after="10" w:line="240" w:lineRule="auto"/>
              <w:ind w:left="57" w:right="57"/>
              <w:jc w:val="left"/>
              <w:rPr>
                <w:b/>
                <w:i w:val="0"/>
                <w:szCs w:val="20"/>
              </w:rPr>
            </w:pPr>
            <w:r w:rsidRPr="007B251E">
              <w:rPr>
                <w:b/>
                <w:i w:val="0"/>
                <w:szCs w:val="20"/>
              </w:rPr>
              <w:t>Impact on fiscal and underlying cash balances</w:t>
            </w:r>
          </w:p>
        </w:tc>
      </w:tr>
      <w:tr w:rsidR="00DA3B55" w:rsidTr="000D4DCA">
        <w:trPr>
          <w:cantSplit/>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E9ECF3"/>
          </w:tcPr>
          <w:p w:rsidR="00DA3B55" w:rsidRPr="007B251E" w:rsidRDefault="00397362" w:rsidP="0062614D">
            <w:pPr>
              <w:pStyle w:val="TableTextRight"/>
              <w:spacing w:after="10" w:line="240" w:lineRule="auto"/>
              <w:ind w:left="57" w:right="57"/>
              <w:jc w:val="left"/>
              <w:rPr>
                <w:b/>
                <w:i w:val="0"/>
                <w:szCs w:val="20"/>
              </w:rPr>
            </w:pPr>
            <w:r w:rsidRPr="007B251E">
              <w:rPr>
                <w:b/>
                <w:i w:val="0"/>
                <w:szCs w:val="20"/>
              </w:rPr>
              <w:t>Departmental</w:t>
            </w:r>
          </w:p>
        </w:tc>
      </w:tr>
      <w:tr w:rsidR="00A912C2" w:rsidTr="00987181">
        <w:trPr>
          <w:cantSplit/>
        </w:trPr>
        <w:tc>
          <w:tcPr>
            <w:cnfStyle w:val="001000000000" w:firstRow="0" w:lastRow="0" w:firstColumn="1" w:lastColumn="0" w:oddVBand="0" w:evenVBand="0" w:oddHBand="0" w:evenHBand="0" w:firstRowFirstColumn="0" w:firstRowLastColumn="0" w:lastRowFirstColumn="0" w:lastRowLastColumn="0"/>
            <w:tcW w:w="761" w:type="pct"/>
          </w:tcPr>
          <w:p w:rsidR="00A912C2" w:rsidRPr="007B251E" w:rsidRDefault="00435D1F" w:rsidP="0062614D">
            <w:pPr>
              <w:spacing w:before="70" w:after="10" w:line="240" w:lineRule="auto"/>
              <w:ind w:left="57" w:right="57"/>
              <w:rPr>
                <w:szCs w:val="20"/>
              </w:rPr>
            </w:pPr>
            <w:r>
              <w:rPr>
                <w:szCs w:val="20"/>
              </w:rPr>
              <w:t xml:space="preserve">National Biosecurity </w:t>
            </w:r>
            <w:r w:rsidR="002352DE">
              <w:rPr>
                <w:szCs w:val="20"/>
              </w:rPr>
              <w:t>Co</w:t>
            </w:r>
            <w:r w:rsidR="009725E6">
              <w:rPr>
                <w:szCs w:val="20"/>
              </w:rPr>
              <w:t>m</w:t>
            </w:r>
            <w:r w:rsidR="002352DE">
              <w:rPr>
                <w:szCs w:val="20"/>
              </w:rPr>
              <w:t>mission</w:t>
            </w:r>
          </w:p>
        </w:tc>
        <w:tc>
          <w:tcPr>
            <w:tcW w:w="326" w:type="pct"/>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w:t>
            </w:r>
          </w:p>
        </w:tc>
        <w:tc>
          <w:tcPr>
            <w:tcW w:w="326" w:type="pct"/>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-0.5</w:t>
            </w:r>
          </w:p>
        </w:tc>
        <w:tc>
          <w:tcPr>
            <w:tcW w:w="326"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-0.5</w:t>
            </w:r>
          </w:p>
        </w:tc>
        <w:tc>
          <w:tcPr>
            <w:tcW w:w="327"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-0.5</w:t>
            </w:r>
          </w:p>
        </w:tc>
        <w:tc>
          <w:tcPr>
            <w:tcW w:w="327"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sidRPr="007B251E">
              <w:rPr>
                <w:b/>
                <w:bCs/>
                <w:szCs w:val="20"/>
              </w:rPr>
              <w:t>-1.6</w:t>
            </w:r>
          </w:p>
        </w:tc>
        <w:tc>
          <w:tcPr>
            <w:tcW w:w="325"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-0.6</w:t>
            </w:r>
          </w:p>
        </w:tc>
        <w:tc>
          <w:tcPr>
            <w:tcW w:w="325"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-0.6</w:t>
            </w:r>
          </w:p>
        </w:tc>
        <w:tc>
          <w:tcPr>
            <w:tcW w:w="326"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-0.6</w:t>
            </w:r>
          </w:p>
        </w:tc>
        <w:tc>
          <w:tcPr>
            <w:tcW w:w="327"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-0.6</w:t>
            </w:r>
          </w:p>
        </w:tc>
        <w:tc>
          <w:tcPr>
            <w:tcW w:w="327"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-0.6</w:t>
            </w:r>
          </w:p>
        </w:tc>
        <w:tc>
          <w:tcPr>
            <w:tcW w:w="327"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-0.6</w:t>
            </w:r>
          </w:p>
        </w:tc>
        <w:tc>
          <w:tcPr>
            <w:tcW w:w="326" w:type="pct"/>
            <w:gridSpan w:val="2"/>
          </w:tcPr>
          <w:p w:rsidR="00A912C2" w:rsidRPr="007B251E" w:rsidRDefault="00435D1F"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-0.6</w:t>
            </w:r>
          </w:p>
        </w:tc>
        <w:tc>
          <w:tcPr>
            <w:tcW w:w="324" w:type="pct"/>
          </w:tcPr>
          <w:p w:rsidR="00A912C2" w:rsidRPr="007B251E" w:rsidRDefault="00435D1F"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Pr>
                <w:b/>
                <w:bCs/>
                <w:szCs w:val="20"/>
              </w:rPr>
              <w:t>-5.6</w:t>
            </w:r>
          </w:p>
        </w:tc>
      </w:tr>
      <w:tr w:rsidR="00A912C2" w:rsidTr="00987181">
        <w:trPr>
          <w:cantSplit/>
        </w:trPr>
        <w:tc>
          <w:tcPr>
            <w:cnfStyle w:val="001000000000" w:firstRow="0" w:lastRow="0" w:firstColumn="1" w:lastColumn="0" w:oddVBand="0" w:evenVBand="0" w:oddHBand="0" w:evenHBand="0" w:firstRowFirstColumn="0" w:firstRowLastColumn="0" w:lastRowFirstColumn="0" w:lastRowLastColumn="0"/>
            <w:tcW w:w="761" w:type="pct"/>
          </w:tcPr>
          <w:p w:rsidR="00A912C2" w:rsidRPr="007B251E" w:rsidRDefault="00435D1F" w:rsidP="0062614D">
            <w:pPr>
              <w:spacing w:before="70" w:after="10" w:line="240" w:lineRule="auto"/>
              <w:ind w:left="57" w:right="57"/>
              <w:rPr>
                <w:szCs w:val="20"/>
              </w:rPr>
            </w:pPr>
            <w:r>
              <w:rPr>
                <w:szCs w:val="20"/>
              </w:rPr>
              <w:t>National Biosecurity Authority</w:t>
            </w:r>
          </w:p>
        </w:tc>
        <w:tc>
          <w:tcPr>
            <w:tcW w:w="326" w:type="pct"/>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w:t>
            </w:r>
          </w:p>
        </w:tc>
        <w:tc>
          <w:tcPr>
            <w:tcW w:w="326" w:type="pct"/>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-8.2</w:t>
            </w:r>
          </w:p>
        </w:tc>
        <w:tc>
          <w:tcPr>
            <w:tcW w:w="326"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-8.1</w:t>
            </w:r>
          </w:p>
        </w:tc>
        <w:tc>
          <w:tcPr>
            <w:tcW w:w="327"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-8.1</w:t>
            </w:r>
          </w:p>
        </w:tc>
        <w:tc>
          <w:tcPr>
            <w:tcW w:w="327"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sidRPr="007B251E">
              <w:rPr>
                <w:b/>
                <w:bCs/>
                <w:szCs w:val="20"/>
              </w:rPr>
              <w:t>-24.4</w:t>
            </w:r>
          </w:p>
        </w:tc>
        <w:tc>
          <w:tcPr>
            <w:tcW w:w="325"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-8.2</w:t>
            </w:r>
          </w:p>
        </w:tc>
        <w:tc>
          <w:tcPr>
            <w:tcW w:w="325"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-8.2</w:t>
            </w:r>
          </w:p>
        </w:tc>
        <w:tc>
          <w:tcPr>
            <w:tcW w:w="326"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-8.3</w:t>
            </w:r>
          </w:p>
        </w:tc>
        <w:tc>
          <w:tcPr>
            <w:tcW w:w="327"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-8.4</w:t>
            </w:r>
          </w:p>
        </w:tc>
        <w:tc>
          <w:tcPr>
            <w:tcW w:w="327"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-8.4</w:t>
            </w:r>
          </w:p>
        </w:tc>
        <w:tc>
          <w:tcPr>
            <w:tcW w:w="327"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-8.5</w:t>
            </w:r>
          </w:p>
        </w:tc>
        <w:tc>
          <w:tcPr>
            <w:tcW w:w="326" w:type="pct"/>
            <w:gridSpan w:val="2"/>
          </w:tcPr>
          <w:p w:rsidR="00A912C2" w:rsidRPr="007B251E" w:rsidRDefault="00A912C2"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7B251E">
              <w:rPr>
                <w:szCs w:val="20"/>
              </w:rPr>
              <w:t>-8.5</w:t>
            </w:r>
          </w:p>
        </w:tc>
        <w:tc>
          <w:tcPr>
            <w:tcW w:w="324" w:type="pct"/>
          </w:tcPr>
          <w:p w:rsidR="00A912C2" w:rsidRPr="007B251E" w:rsidRDefault="00435D1F"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Pr>
                <w:b/>
                <w:bCs/>
                <w:szCs w:val="20"/>
              </w:rPr>
              <w:t>-83.0</w:t>
            </w:r>
          </w:p>
        </w:tc>
      </w:tr>
      <w:tr w:rsidR="007B251E" w:rsidRPr="00AB55AE" w:rsidTr="00987181">
        <w:trPr>
          <w:cantSplit/>
        </w:trPr>
        <w:tc>
          <w:tcPr>
            <w:cnfStyle w:val="001000000000" w:firstRow="0" w:lastRow="0" w:firstColumn="1" w:lastColumn="0" w:oddVBand="0" w:evenVBand="0" w:oddHBand="0" w:evenHBand="0" w:firstRowFirstColumn="0" w:firstRowLastColumn="0" w:lastRowFirstColumn="0" w:lastRowLastColumn="0"/>
            <w:tcW w:w="761" w:type="pct"/>
          </w:tcPr>
          <w:p w:rsidR="00D51D64" w:rsidRPr="007B251E" w:rsidRDefault="00D51D64" w:rsidP="0062614D">
            <w:pPr>
              <w:spacing w:before="70" w:after="10" w:line="240" w:lineRule="auto"/>
              <w:ind w:left="57" w:right="57"/>
              <w:rPr>
                <w:b/>
                <w:szCs w:val="20"/>
              </w:rPr>
            </w:pPr>
            <w:r w:rsidRPr="007B251E">
              <w:rPr>
                <w:b/>
                <w:szCs w:val="20"/>
              </w:rPr>
              <w:t>T</w:t>
            </w:r>
            <w:r w:rsidR="00B461BC">
              <w:rPr>
                <w:b/>
                <w:szCs w:val="20"/>
              </w:rPr>
              <w:t>otal - d</w:t>
            </w:r>
            <w:r w:rsidRPr="007B251E">
              <w:rPr>
                <w:b/>
                <w:szCs w:val="20"/>
              </w:rPr>
              <w:t>epartmental</w:t>
            </w:r>
          </w:p>
        </w:tc>
        <w:tc>
          <w:tcPr>
            <w:tcW w:w="326" w:type="pct"/>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7B251E">
              <w:rPr>
                <w:b/>
                <w:szCs w:val="20"/>
              </w:rPr>
              <w:t>-</w:t>
            </w:r>
          </w:p>
        </w:tc>
        <w:tc>
          <w:tcPr>
            <w:tcW w:w="326" w:type="pct"/>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sidRPr="007B251E">
              <w:rPr>
                <w:b/>
                <w:bCs/>
                <w:szCs w:val="20"/>
              </w:rPr>
              <w:t>-8.7</w:t>
            </w:r>
          </w:p>
        </w:tc>
        <w:tc>
          <w:tcPr>
            <w:tcW w:w="326" w:type="pct"/>
            <w:gridSpan w:val="2"/>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sidRPr="007B251E">
              <w:rPr>
                <w:b/>
                <w:bCs/>
                <w:szCs w:val="20"/>
              </w:rPr>
              <w:t>-8.7</w:t>
            </w:r>
          </w:p>
        </w:tc>
        <w:tc>
          <w:tcPr>
            <w:tcW w:w="327" w:type="pct"/>
            <w:gridSpan w:val="2"/>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sidRPr="007B251E">
              <w:rPr>
                <w:b/>
                <w:bCs/>
                <w:szCs w:val="20"/>
              </w:rPr>
              <w:t>-8.7</w:t>
            </w:r>
          </w:p>
        </w:tc>
        <w:tc>
          <w:tcPr>
            <w:tcW w:w="327" w:type="pct"/>
            <w:gridSpan w:val="2"/>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sidRPr="007B251E">
              <w:rPr>
                <w:b/>
                <w:bCs/>
                <w:szCs w:val="20"/>
              </w:rPr>
              <w:t>-26.1</w:t>
            </w:r>
          </w:p>
        </w:tc>
        <w:tc>
          <w:tcPr>
            <w:tcW w:w="325" w:type="pct"/>
            <w:gridSpan w:val="2"/>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sidRPr="007B251E">
              <w:rPr>
                <w:b/>
                <w:bCs/>
                <w:szCs w:val="20"/>
              </w:rPr>
              <w:t>-8.7</w:t>
            </w:r>
          </w:p>
        </w:tc>
        <w:tc>
          <w:tcPr>
            <w:tcW w:w="325" w:type="pct"/>
            <w:gridSpan w:val="2"/>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sidRPr="007B251E">
              <w:rPr>
                <w:b/>
                <w:bCs/>
                <w:szCs w:val="20"/>
              </w:rPr>
              <w:t>-8.8</w:t>
            </w:r>
          </w:p>
        </w:tc>
        <w:tc>
          <w:tcPr>
            <w:tcW w:w="326" w:type="pct"/>
            <w:gridSpan w:val="2"/>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sidRPr="007B251E">
              <w:rPr>
                <w:b/>
                <w:bCs/>
                <w:szCs w:val="20"/>
              </w:rPr>
              <w:t>-8.9</w:t>
            </w:r>
          </w:p>
        </w:tc>
        <w:tc>
          <w:tcPr>
            <w:tcW w:w="327" w:type="pct"/>
            <w:gridSpan w:val="2"/>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sidRPr="007B251E">
              <w:rPr>
                <w:b/>
                <w:bCs/>
                <w:szCs w:val="20"/>
              </w:rPr>
              <w:t>-8.9</w:t>
            </w:r>
          </w:p>
        </w:tc>
        <w:tc>
          <w:tcPr>
            <w:tcW w:w="327" w:type="pct"/>
            <w:gridSpan w:val="2"/>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sidRPr="007B251E">
              <w:rPr>
                <w:b/>
                <w:bCs/>
                <w:szCs w:val="20"/>
              </w:rPr>
              <w:t>-9.0</w:t>
            </w:r>
          </w:p>
        </w:tc>
        <w:tc>
          <w:tcPr>
            <w:tcW w:w="327" w:type="pct"/>
            <w:gridSpan w:val="2"/>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sidRPr="007B251E">
              <w:rPr>
                <w:b/>
                <w:bCs/>
                <w:szCs w:val="20"/>
              </w:rPr>
              <w:t>-9.0</w:t>
            </w:r>
          </w:p>
        </w:tc>
        <w:tc>
          <w:tcPr>
            <w:tcW w:w="326" w:type="pct"/>
            <w:gridSpan w:val="2"/>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sidRPr="007B251E">
              <w:rPr>
                <w:b/>
                <w:bCs/>
                <w:szCs w:val="20"/>
              </w:rPr>
              <w:t>-9.1</w:t>
            </w:r>
          </w:p>
        </w:tc>
        <w:tc>
          <w:tcPr>
            <w:tcW w:w="324" w:type="pct"/>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sidRPr="007B251E">
              <w:rPr>
                <w:b/>
                <w:bCs/>
                <w:szCs w:val="20"/>
              </w:rPr>
              <w:t>-88.5</w:t>
            </w:r>
          </w:p>
        </w:tc>
      </w:tr>
      <w:tr w:rsidR="00D51D64" w:rsidRPr="00AB55AE" w:rsidTr="00987181">
        <w:trPr>
          <w:cantSplit/>
        </w:trPr>
        <w:tc>
          <w:tcPr>
            <w:cnfStyle w:val="001000000000" w:firstRow="0" w:lastRow="0" w:firstColumn="1" w:lastColumn="0" w:oddVBand="0" w:evenVBand="0" w:oddHBand="0" w:evenHBand="0" w:firstRowFirstColumn="0" w:firstRowLastColumn="0" w:lastRowFirstColumn="0" w:lastRowLastColumn="0"/>
            <w:tcW w:w="761" w:type="pct"/>
            <w:shd w:val="clear" w:color="auto" w:fill="D7DDE9"/>
          </w:tcPr>
          <w:p w:rsidR="00D51D64" w:rsidRPr="007B251E" w:rsidRDefault="00D51D64" w:rsidP="0062614D">
            <w:pPr>
              <w:spacing w:before="70" w:after="10" w:line="240" w:lineRule="auto"/>
              <w:ind w:left="57" w:right="57"/>
              <w:rPr>
                <w:b/>
                <w:szCs w:val="20"/>
              </w:rPr>
            </w:pPr>
            <w:r w:rsidRPr="007B251E">
              <w:rPr>
                <w:b/>
                <w:szCs w:val="20"/>
              </w:rPr>
              <w:t>Total</w:t>
            </w:r>
          </w:p>
        </w:tc>
        <w:tc>
          <w:tcPr>
            <w:tcW w:w="326" w:type="pct"/>
            <w:shd w:val="clear" w:color="auto" w:fill="D7DDE9"/>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7B251E">
              <w:rPr>
                <w:b/>
                <w:i w:val="0"/>
                <w:szCs w:val="20"/>
              </w:rPr>
              <w:t>-</w:t>
            </w:r>
          </w:p>
        </w:tc>
        <w:tc>
          <w:tcPr>
            <w:tcW w:w="326" w:type="pct"/>
            <w:shd w:val="clear" w:color="auto" w:fill="D7DDE9"/>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sidRPr="007B251E">
              <w:rPr>
                <w:b/>
                <w:bCs/>
                <w:i w:val="0"/>
                <w:szCs w:val="20"/>
              </w:rPr>
              <w:t>-8.7</w:t>
            </w:r>
          </w:p>
        </w:tc>
        <w:tc>
          <w:tcPr>
            <w:tcW w:w="326" w:type="pct"/>
            <w:gridSpan w:val="2"/>
            <w:shd w:val="clear" w:color="auto" w:fill="D7DDE9"/>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sidRPr="007B251E">
              <w:rPr>
                <w:b/>
                <w:bCs/>
                <w:i w:val="0"/>
                <w:szCs w:val="20"/>
              </w:rPr>
              <w:t>-8.7</w:t>
            </w:r>
          </w:p>
        </w:tc>
        <w:tc>
          <w:tcPr>
            <w:tcW w:w="327" w:type="pct"/>
            <w:gridSpan w:val="2"/>
            <w:shd w:val="clear" w:color="auto" w:fill="D7DDE9"/>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sidRPr="007B251E">
              <w:rPr>
                <w:b/>
                <w:bCs/>
                <w:i w:val="0"/>
                <w:szCs w:val="20"/>
              </w:rPr>
              <w:t>-8.7</w:t>
            </w:r>
          </w:p>
        </w:tc>
        <w:tc>
          <w:tcPr>
            <w:tcW w:w="327" w:type="pct"/>
            <w:gridSpan w:val="2"/>
            <w:shd w:val="clear" w:color="auto" w:fill="D7DDE9"/>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sidRPr="007B251E">
              <w:rPr>
                <w:b/>
                <w:bCs/>
                <w:i w:val="0"/>
                <w:szCs w:val="20"/>
              </w:rPr>
              <w:t>-26.1</w:t>
            </w:r>
          </w:p>
        </w:tc>
        <w:tc>
          <w:tcPr>
            <w:tcW w:w="325" w:type="pct"/>
            <w:gridSpan w:val="2"/>
            <w:shd w:val="clear" w:color="auto" w:fill="D7DDE9"/>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sidRPr="007B251E">
              <w:rPr>
                <w:b/>
                <w:bCs/>
                <w:i w:val="0"/>
                <w:szCs w:val="20"/>
              </w:rPr>
              <w:t>-8.7</w:t>
            </w:r>
          </w:p>
        </w:tc>
        <w:tc>
          <w:tcPr>
            <w:tcW w:w="325" w:type="pct"/>
            <w:gridSpan w:val="2"/>
            <w:shd w:val="clear" w:color="auto" w:fill="D7DDE9"/>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sidRPr="007B251E">
              <w:rPr>
                <w:b/>
                <w:bCs/>
                <w:i w:val="0"/>
                <w:szCs w:val="20"/>
              </w:rPr>
              <w:t>-8.8</w:t>
            </w:r>
          </w:p>
        </w:tc>
        <w:tc>
          <w:tcPr>
            <w:tcW w:w="326" w:type="pct"/>
            <w:gridSpan w:val="2"/>
            <w:shd w:val="clear" w:color="auto" w:fill="D7DDE9"/>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sidRPr="007B251E">
              <w:rPr>
                <w:b/>
                <w:bCs/>
                <w:i w:val="0"/>
                <w:szCs w:val="20"/>
              </w:rPr>
              <w:t>-8.9</w:t>
            </w:r>
          </w:p>
        </w:tc>
        <w:tc>
          <w:tcPr>
            <w:tcW w:w="327" w:type="pct"/>
            <w:gridSpan w:val="2"/>
            <w:shd w:val="clear" w:color="auto" w:fill="D7DDE9"/>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sidRPr="007B251E">
              <w:rPr>
                <w:b/>
                <w:bCs/>
                <w:i w:val="0"/>
                <w:szCs w:val="20"/>
              </w:rPr>
              <w:t>-8.9</w:t>
            </w:r>
          </w:p>
        </w:tc>
        <w:tc>
          <w:tcPr>
            <w:tcW w:w="327" w:type="pct"/>
            <w:gridSpan w:val="2"/>
            <w:shd w:val="clear" w:color="auto" w:fill="D7DDE9"/>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sidRPr="007B251E">
              <w:rPr>
                <w:b/>
                <w:bCs/>
                <w:i w:val="0"/>
                <w:szCs w:val="20"/>
              </w:rPr>
              <w:t>-9.0</w:t>
            </w:r>
          </w:p>
        </w:tc>
        <w:tc>
          <w:tcPr>
            <w:tcW w:w="327" w:type="pct"/>
            <w:gridSpan w:val="2"/>
            <w:shd w:val="clear" w:color="auto" w:fill="D7DDE9"/>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sidRPr="007B251E">
              <w:rPr>
                <w:b/>
                <w:bCs/>
                <w:i w:val="0"/>
                <w:szCs w:val="20"/>
              </w:rPr>
              <w:t>-9.0</w:t>
            </w:r>
          </w:p>
        </w:tc>
        <w:tc>
          <w:tcPr>
            <w:tcW w:w="326" w:type="pct"/>
            <w:gridSpan w:val="2"/>
            <w:shd w:val="clear" w:color="auto" w:fill="D7DDE9"/>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sidRPr="007B251E">
              <w:rPr>
                <w:b/>
                <w:bCs/>
                <w:i w:val="0"/>
                <w:szCs w:val="20"/>
              </w:rPr>
              <w:t>-9.1</w:t>
            </w:r>
          </w:p>
        </w:tc>
        <w:tc>
          <w:tcPr>
            <w:tcW w:w="324" w:type="pct"/>
            <w:shd w:val="clear" w:color="auto" w:fill="D7DDE9"/>
          </w:tcPr>
          <w:p w:rsidR="00D51D64" w:rsidRPr="007B251E" w:rsidRDefault="00D51D64" w:rsidP="0062614D">
            <w:pPr>
              <w:pStyle w:val="TableTextRight"/>
              <w:spacing w:after="10"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sidRPr="007B251E">
              <w:rPr>
                <w:b/>
                <w:bCs/>
                <w:i w:val="0"/>
                <w:szCs w:val="20"/>
              </w:rPr>
              <w:t>-88.5</w:t>
            </w:r>
          </w:p>
        </w:tc>
      </w:tr>
    </w:tbl>
    <w:p w:rsidR="009D6BF6" w:rsidRDefault="009D6BF6" w:rsidP="004D7E76">
      <w:pPr>
        <w:pStyle w:val="Footnotes"/>
        <w:numPr>
          <w:ilvl w:val="0"/>
          <w:numId w:val="20"/>
        </w:numPr>
        <w:ind w:left="284" w:hanging="284"/>
      </w:pPr>
      <w:r w:rsidRPr="009D6BF6">
        <w:t>A negative number for the underlying cash and fiscal balances indicates an increase in expenditure.  Impacts on the fiscal and und</w:t>
      </w:r>
      <w:r w:rsidR="00A912C2">
        <w:t>erlying cash balances are equal</w:t>
      </w:r>
      <w:r>
        <w:t>.</w:t>
      </w:r>
    </w:p>
    <w:p w:rsidR="007B251E" w:rsidRPr="00EC7179" w:rsidRDefault="007B251E" w:rsidP="007B251E">
      <w:pPr>
        <w:numPr>
          <w:ilvl w:val="0"/>
          <w:numId w:val="7"/>
        </w:numPr>
        <w:spacing w:before="113" w:after="0" w:line="260" w:lineRule="atLeast"/>
        <w:ind w:left="284" w:hanging="284"/>
        <w:rPr>
          <w:sz w:val="20"/>
          <w:szCs w:val="20"/>
        </w:rPr>
      </w:pPr>
      <w:r w:rsidRPr="00EC7179">
        <w:rPr>
          <w:sz w:val="20"/>
          <w:szCs w:val="20"/>
        </w:rPr>
        <w:t>Figures may not sum to total due to rounding.</w:t>
      </w:r>
    </w:p>
    <w:p w:rsidR="007B251E" w:rsidRPr="00EC7179" w:rsidRDefault="007B251E" w:rsidP="007B251E">
      <w:pPr>
        <w:numPr>
          <w:ilvl w:val="0"/>
          <w:numId w:val="21"/>
        </w:numPr>
        <w:spacing w:before="113" w:after="0" w:line="260" w:lineRule="atLeast"/>
        <w:ind w:left="284" w:hanging="284"/>
        <w:rPr>
          <w:sz w:val="20"/>
          <w:szCs w:val="20"/>
        </w:rPr>
        <w:sectPr w:rsidR="007B251E" w:rsidRPr="00EC7179" w:rsidSect="00957285">
          <w:headerReference w:type="first" r:id="rId18"/>
          <w:footerReference w:type="first" r:id="rId19"/>
          <w:pgSz w:w="16838" w:h="11906" w:orient="landscape"/>
          <w:pgMar w:top="1797" w:right="1361" w:bottom="1797" w:left="1474" w:header="709" w:footer="709" w:gutter="0"/>
          <w:cols w:space="708"/>
          <w:titlePg/>
          <w:docGrid w:linePitch="360"/>
        </w:sectPr>
      </w:pPr>
      <w:r w:rsidRPr="00EC7179">
        <w:rPr>
          <w:sz w:val="20"/>
          <w:szCs w:val="20"/>
        </w:rPr>
        <w:t>Indicates nil.</w:t>
      </w:r>
    </w:p>
    <w:p w:rsidR="009D6BF6" w:rsidRPr="00FC6579" w:rsidRDefault="009D6BF6" w:rsidP="009D6BF6">
      <w:pPr>
        <w:pStyle w:val="Captionheading"/>
      </w:pPr>
      <w:r w:rsidRPr="009D6BF6">
        <w:lastRenderedPageBreak/>
        <w:t xml:space="preserve">Table A3: </w:t>
      </w:r>
      <w:r w:rsidR="005D22D9">
        <w:t>Component 2:</w:t>
      </w:r>
      <w:r w:rsidR="004549F6" w:rsidRPr="004549F6">
        <w:t xml:space="preserve"> Environmental biosecurity measures</w:t>
      </w:r>
      <w:r w:rsidR="005A2B11" w:rsidRPr="005A2B11">
        <w:t>—Financial implications</w:t>
      </w:r>
      <w:r w:rsidR="005A2B11" w:rsidRPr="005A2B11">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1"/>
        <w:gridCol w:w="907"/>
        <w:gridCol w:w="901"/>
        <w:gridCol w:w="901"/>
        <w:gridCol w:w="901"/>
        <w:gridCol w:w="901"/>
        <w:gridCol w:w="901"/>
        <w:gridCol w:w="901"/>
        <w:gridCol w:w="901"/>
        <w:gridCol w:w="904"/>
      </w:tblGrid>
      <w:tr w:rsidR="009D6BF6" w:rsidRPr="00B31810" w:rsidTr="000905A8">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9D6BF6" w:rsidRPr="005A2B11" w:rsidRDefault="009D6BF6" w:rsidP="0062614D">
            <w:pPr>
              <w:keepNext/>
              <w:keepLines/>
              <w:spacing w:before="70" w:after="70" w:line="240" w:lineRule="auto"/>
              <w:ind w:left="57" w:right="57"/>
              <w:rPr>
                <w:szCs w:val="20"/>
              </w:rPr>
            </w:pPr>
            <w:r w:rsidRPr="005A2B11">
              <w:rPr>
                <w:szCs w:val="20"/>
              </w:rPr>
              <w:t>($m)</w:t>
            </w:r>
          </w:p>
        </w:tc>
        <w:tc>
          <w:tcPr>
            <w:tcW w:w="326" w:type="pct"/>
            <w:shd w:val="clear" w:color="auto" w:fill="D7DDE9"/>
          </w:tcPr>
          <w:p w:rsidR="009D6BF6" w:rsidRPr="005A2B11" w:rsidRDefault="009D6BF6"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2016–17</w:t>
            </w:r>
          </w:p>
        </w:tc>
        <w:tc>
          <w:tcPr>
            <w:tcW w:w="325" w:type="pct"/>
            <w:shd w:val="clear" w:color="auto" w:fill="D7DDE9"/>
          </w:tcPr>
          <w:p w:rsidR="009D6BF6" w:rsidRPr="005A2B11" w:rsidRDefault="009D6BF6"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2017–18</w:t>
            </w:r>
          </w:p>
        </w:tc>
        <w:tc>
          <w:tcPr>
            <w:tcW w:w="325" w:type="pct"/>
            <w:shd w:val="clear" w:color="auto" w:fill="D7DDE9"/>
          </w:tcPr>
          <w:p w:rsidR="009D6BF6" w:rsidRPr="005A2B11" w:rsidRDefault="009D6BF6"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2018–19</w:t>
            </w:r>
          </w:p>
        </w:tc>
        <w:tc>
          <w:tcPr>
            <w:tcW w:w="325" w:type="pct"/>
            <w:shd w:val="clear" w:color="auto" w:fill="D7DDE9"/>
          </w:tcPr>
          <w:p w:rsidR="009D6BF6" w:rsidRPr="005A2B11" w:rsidRDefault="009D6BF6"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2019–20</w:t>
            </w:r>
          </w:p>
        </w:tc>
        <w:tc>
          <w:tcPr>
            <w:tcW w:w="327" w:type="pct"/>
            <w:shd w:val="clear" w:color="auto" w:fill="D7DDE9"/>
          </w:tcPr>
          <w:p w:rsidR="009D6BF6" w:rsidRPr="005A2B11" w:rsidRDefault="009D6BF6"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5A2B11">
              <w:rPr>
                <w:b/>
                <w:szCs w:val="20"/>
              </w:rPr>
              <w:t>Total to 2019–20</w:t>
            </w:r>
          </w:p>
        </w:tc>
        <w:tc>
          <w:tcPr>
            <w:tcW w:w="325" w:type="pct"/>
            <w:shd w:val="clear" w:color="auto" w:fill="D7DDE9"/>
          </w:tcPr>
          <w:p w:rsidR="009D6BF6" w:rsidRPr="005A2B11" w:rsidRDefault="009D6BF6"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2020–21</w:t>
            </w:r>
          </w:p>
        </w:tc>
        <w:tc>
          <w:tcPr>
            <w:tcW w:w="325" w:type="pct"/>
            <w:shd w:val="clear" w:color="auto" w:fill="D7DDE9"/>
          </w:tcPr>
          <w:p w:rsidR="009D6BF6" w:rsidRPr="005A2B11" w:rsidRDefault="009D6BF6"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2021–22</w:t>
            </w:r>
          </w:p>
        </w:tc>
        <w:tc>
          <w:tcPr>
            <w:tcW w:w="325" w:type="pct"/>
            <w:shd w:val="clear" w:color="auto" w:fill="D7DDE9"/>
          </w:tcPr>
          <w:p w:rsidR="009D6BF6" w:rsidRPr="005A2B11" w:rsidRDefault="009D6BF6"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2022–23</w:t>
            </w:r>
          </w:p>
        </w:tc>
        <w:tc>
          <w:tcPr>
            <w:tcW w:w="325" w:type="pct"/>
            <w:shd w:val="clear" w:color="auto" w:fill="D7DDE9"/>
          </w:tcPr>
          <w:p w:rsidR="009D6BF6" w:rsidRPr="005A2B11" w:rsidRDefault="009D6BF6"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2023–24</w:t>
            </w:r>
          </w:p>
        </w:tc>
        <w:tc>
          <w:tcPr>
            <w:tcW w:w="325" w:type="pct"/>
            <w:shd w:val="clear" w:color="auto" w:fill="D7DDE9"/>
          </w:tcPr>
          <w:p w:rsidR="009D6BF6" w:rsidRPr="005A2B11" w:rsidRDefault="009D6BF6"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2024–25</w:t>
            </w:r>
          </w:p>
        </w:tc>
        <w:tc>
          <w:tcPr>
            <w:tcW w:w="325" w:type="pct"/>
            <w:shd w:val="clear" w:color="auto" w:fill="D7DDE9"/>
          </w:tcPr>
          <w:p w:rsidR="009D6BF6" w:rsidRPr="005A2B11" w:rsidRDefault="009D6BF6"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2025–26</w:t>
            </w:r>
          </w:p>
        </w:tc>
        <w:tc>
          <w:tcPr>
            <w:tcW w:w="325" w:type="pct"/>
            <w:shd w:val="clear" w:color="auto" w:fill="D7DDE9"/>
          </w:tcPr>
          <w:p w:rsidR="009D6BF6" w:rsidRPr="005A2B11" w:rsidRDefault="009D6BF6"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2026–27</w:t>
            </w:r>
          </w:p>
        </w:tc>
        <w:tc>
          <w:tcPr>
            <w:tcW w:w="326" w:type="pct"/>
            <w:shd w:val="clear" w:color="auto" w:fill="D7DDE9"/>
          </w:tcPr>
          <w:p w:rsidR="009D6BF6" w:rsidRPr="005A2B11" w:rsidRDefault="009D6BF6" w:rsidP="0062614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5A2B11">
              <w:rPr>
                <w:b/>
                <w:szCs w:val="20"/>
              </w:rPr>
              <w:t>Total to 2026–27</w:t>
            </w:r>
          </w:p>
        </w:tc>
      </w:tr>
      <w:tr w:rsidR="00AB2ECA" w:rsidRPr="00EF1D6A" w:rsidTr="000905A8">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AB2ECA" w:rsidRPr="005A2B11" w:rsidRDefault="00AB2ECA" w:rsidP="0062614D">
            <w:pPr>
              <w:pStyle w:val="TableHeadingCentred"/>
              <w:spacing w:line="240" w:lineRule="auto"/>
              <w:ind w:left="57" w:right="57"/>
              <w:jc w:val="left"/>
              <w:rPr>
                <w:b/>
                <w:szCs w:val="20"/>
              </w:rPr>
            </w:pPr>
            <w:r w:rsidRPr="005A2B11">
              <w:rPr>
                <w:b/>
                <w:szCs w:val="20"/>
              </w:rPr>
              <w:t>Impact on fiscal and underlying cash balances</w:t>
            </w:r>
          </w:p>
        </w:tc>
      </w:tr>
      <w:tr w:rsidR="00537A3D" w:rsidTr="00987181">
        <w:trPr>
          <w:cantSplit/>
        </w:trPr>
        <w:tc>
          <w:tcPr>
            <w:cnfStyle w:val="001000000000" w:firstRow="0" w:lastRow="0" w:firstColumn="1" w:lastColumn="0" w:oddVBand="0" w:evenVBand="0" w:oddHBand="0" w:evenHBand="0" w:firstRowFirstColumn="0" w:firstRowLastColumn="0" w:lastRowFirstColumn="0" w:lastRowLastColumn="0"/>
            <w:tcW w:w="771" w:type="pct"/>
          </w:tcPr>
          <w:p w:rsidR="00537A3D" w:rsidRPr="005A2B11" w:rsidRDefault="00537A3D" w:rsidP="0062614D">
            <w:pPr>
              <w:spacing w:before="70" w:after="70" w:line="240" w:lineRule="auto"/>
              <w:ind w:left="57" w:right="57"/>
              <w:rPr>
                <w:color w:val="000000"/>
                <w:szCs w:val="20"/>
              </w:rPr>
            </w:pPr>
            <w:r w:rsidRPr="005A2B11">
              <w:rPr>
                <w:color w:val="000000"/>
                <w:szCs w:val="20"/>
              </w:rPr>
              <w:t>Administered</w:t>
            </w:r>
          </w:p>
        </w:tc>
        <w:tc>
          <w:tcPr>
            <w:tcW w:w="326" w:type="pct"/>
          </w:tcPr>
          <w:p w:rsidR="00537A3D" w:rsidRPr="005A2B11" w:rsidRDefault="00537A3D"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-2.7</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-1.3</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-1.3</w:t>
            </w:r>
          </w:p>
        </w:tc>
        <w:tc>
          <w:tcPr>
            <w:tcW w:w="327"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Pr>
                <w:b/>
                <w:bCs/>
                <w:szCs w:val="20"/>
              </w:rPr>
              <w:t>-5.3</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-1.4</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-1.5</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-1.6</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-1.7</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-1.8</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-2.0</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-2.1</w:t>
            </w:r>
          </w:p>
        </w:tc>
        <w:tc>
          <w:tcPr>
            <w:tcW w:w="326"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Pr>
                <w:b/>
                <w:bCs/>
                <w:szCs w:val="20"/>
              </w:rPr>
              <w:t>-17.5</w:t>
            </w:r>
          </w:p>
        </w:tc>
      </w:tr>
      <w:tr w:rsidR="00537A3D" w:rsidTr="00987181">
        <w:trPr>
          <w:cantSplit/>
        </w:trPr>
        <w:tc>
          <w:tcPr>
            <w:cnfStyle w:val="001000000000" w:firstRow="0" w:lastRow="0" w:firstColumn="1" w:lastColumn="0" w:oddVBand="0" w:evenVBand="0" w:oddHBand="0" w:evenHBand="0" w:firstRowFirstColumn="0" w:firstRowLastColumn="0" w:lastRowFirstColumn="0" w:lastRowLastColumn="0"/>
            <w:tcW w:w="771" w:type="pct"/>
          </w:tcPr>
          <w:p w:rsidR="00537A3D" w:rsidRPr="005A2B11" w:rsidRDefault="00537A3D" w:rsidP="0062614D">
            <w:pPr>
              <w:spacing w:before="70" w:after="70" w:line="240" w:lineRule="auto"/>
              <w:ind w:left="57" w:right="57"/>
              <w:rPr>
                <w:color w:val="000000"/>
                <w:szCs w:val="20"/>
              </w:rPr>
            </w:pPr>
            <w:r w:rsidRPr="005A2B11">
              <w:rPr>
                <w:color w:val="000000"/>
                <w:szCs w:val="20"/>
              </w:rPr>
              <w:t>Departmental</w:t>
            </w:r>
          </w:p>
        </w:tc>
        <w:tc>
          <w:tcPr>
            <w:tcW w:w="326"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-6.2</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-6.2</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-6.2</w:t>
            </w:r>
          </w:p>
        </w:tc>
        <w:tc>
          <w:tcPr>
            <w:tcW w:w="327"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Pr>
                <w:b/>
                <w:bCs/>
                <w:szCs w:val="20"/>
              </w:rPr>
              <w:t>-18.5</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-6.2</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-6.2</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-6.2</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-6.2</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-6.2</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-6.2</w:t>
            </w:r>
          </w:p>
        </w:tc>
        <w:tc>
          <w:tcPr>
            <w:tcW w:w="325"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-6.2</w:t>
            </w:r>
          </w:p>
        </w:tc>
        <w:tc>
          <w:tcPr>
            <w:tcW w:w="326" w:type="pct"/>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szCs w:val="20"/>
              </w:rPr>
            </w:pPr>
            <w:r>
              <w:rPr>
                <w:b/>
                <w:bCs/>
                <w:szCs w:val="20"/>
              </w:rPr>
              <w:t>-62.3</w:t>
            </w:r>
          </w:p>
        </w:tc>
      </w:tr>
      <w:tr w:rsidR="00537A3D" w:rsidRPr="008D6ECA" w:rsidTr="00987181">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E9ECF3"/>
          </w:tcPr>
          <w:p w:rsidR="00537A3D" w:rsidRPr="005A2B11" w:rsidRDefault="00537A3D" w:rsidP="0062614D">
            <w:pPr>
              <w:spacing w:before="70" w:after="70" w:line="240" w:lineRule="auto"/>
              <w:ind w:left="57" w:right="57"/>
              <w:rPr>
                <w:b/>
                <w:bCs/>
                <w:color w:val="000000"/>
                <w:szCs w:val="20"/>
              </w:rPr>
            </w:pPr>
            <w:r w:rsidRPr="005A2B11">
              <w:rPr>
                <w:b/>
                <w:bCs/>
                <w:color w:val="000000"/>
                <w:szCs w:val="20"/>
              </w:rPr>
              <w:t>Total</w:t>
            </w:r>
          </w:p>
        </w:tc>
        <w:tc>
          <w:tcPr>
            <w:tcW w:w="326" w:type="pct"/>
            <w:shd w:val="clear" w:color="auto" w:fill="E9ECF3"/>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Pr>
                <w:b/>
                <w:bCs/>
                <w:i w:val="0"/>
                <w:szCs w:val="20"/>
              </w:rPr>
              <w:t>-</w:t>
            </w:r>
          </w:p>
        </w:tc>
        <w:tc>
          <w:tcPr>
            <w:tcW w:w="325" w:type="pct"/>
            <w:shd w:val="clear" w:color="auto" w:fill="E9ECF3"/>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Pr>
                <w:b/>
                <w:bCs/>
                <w:i w:val="0"/>
                <w:szCs w:val="20"/>
              </w:rPr>
              <w:t>-8.9</w:t>
            </w:r>
          </w:p>
        </w:tc>
        <w:tc>
          <w:tcPr>
            <w:tcW w:w="325" w:type="pct"/>
            <w:shd w:val="clear" w:color="auto" w:fill="E9ECF3"/>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Pr>
                <w:b/>
                <w:bCs/>
                <w:i w:val="0"/>
                <w:szCs w:val="20"/>
              </w:rPr>
              <w:t>-7.4</w:t>
            </w:r>
          </w:p>
        </w:tc>
        <w:tc>
          <w:tcPr>
            <w:tcW w:w="325" w:type="pct"/>
            <w:shd w:val="clear" w:color="auto" w:fill="E9ECF3"/>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Pr>
                <w:b/>
                <w:bCs/>
                <w:i w:val="0"/>
                <w:szCs w:val="20"/>
              </w:rPr>
              <w:t>-7.6</w:t>
            </w:r>
          </w:p>
        </w:tc>
        <w:tc>
          <w:tcPr>
            <w:tcW w:w="327" w:type="pct"/>
            <w:shd w:val="clear" w:color="auto" w:fill="E9ECF3"/>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Pr>
                <w:b/>
                <w:bCs/>
                <w:i w:val="0"/>
                <w:szCs w:val="20"/>
              </w:rPr>
              <w:t>-23.9</w:t>
            </w:r>
          </w:p>
        </w:tc>
        <w:tc>
          <w:tcPr>
            <w:tcW w:w="325" w:type="pct"/>
            <w:shd w:val="clear" w:color="auto" w:fill="E9ECF3"/>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Pr>
                <w:b/>
                <w:bCs/>
                <w:i w:val="0"/>
                <w:szCs w:val="20"/>
              </w:rPr>
              <w:t>-7.7</w:t>
            </w:r>
          </w:p>
        </w:tc>
        <w:tc>
          <w:tcPr>
            <w:tcW w:w="325" w:type="pct"/>
            <w:shd w:val="clear" w:color="auto" w:fill="E9ECF3"/>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Pr>
                <w:b/>
                <w:bCs/>
                <w:i w:val="0"/>
                <w:szCs w:val="20"/>
              </w:rPr>
              <w:t>-7.8</w:t>
            </w:r>
          </w:p>
        </w:tc>
        <w:tc>
          <w:tcPr>
            <w:tcW w:w="325" w:type="pct"/>
            <w:shd w:val="clear" w:color="auto" w:fill="E9ECF3"/>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Pr>
                <w:b/>
                <w:bCs/>
                <w:i w:val="0"/>
                <w:szCs w:val="20"/>
              </w:rPr>
              <w:t>-7.9</w:t>
            </w:r>
          </w:p>
        </w:tc>
        <w:tc>
          <w:tcPr>
            <w:tcW w:w="325" w:type="pct"/>
            <w:shd w:val="clear" w:color="auto" w:fill="E9ECF3"/>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Pr>
                <w:b/>
                <w:bCs/>
                <w:i w:val="0"/>
                <w:szCs w:val="20"/>
              </w:rPr>
              <w:t>-8.0</w:t>
            </w:r>
          </w:p>
        </w:tc>
        <w:tc>
          <w:tcPr>
            <w:tcW w:w="325" w:type="pct"/>
            <w:shd w:val="clear" w:color="auto" w:fill="E9ECF3"/>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Pr>
                <w:b/>
                <w:bCs/>
                <w:i w:val="0"/>
                <w:szCs w:val="20"/>
              </w:rPr>
              <w:t>-8.1</w:t>
            </w:r>
          </w:p>
        </w:tc>
        <w:tc>
          <w:tcPr>
            <w:tcW w:w="325" w:type="pct"/>
            <w:shd w:val="clear" w:color="auto" w:fill="E9ECF3"/>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Pr>
                <w:b/>
                <w:bCs/>
                <w:i w:val="0"/>
                <w:szCs w:val="20"/>
              </w:rPr>
              <w:t>-8.2</w:t>
            </w:r>
          </w:p>
        </w:tc>
        <w:tc>
          <w:tcPr>
            <w:tcW w:w="325" w:type="pct"/>
            <w:shd w:val="clear" w:color="auto" w:fill="E9ECF3"/>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Pr>
                <w:b/>
                <w:bCs/>
                <w:i w:val="0"/>
                <w:szCs w:val="20"/>
              </w:rPr>
              <w:t>-8.3</w:t>
            </w:r>
          </w:p>
        </w:tc>
        <w:tc>
          <w:tcPr>
            <w:tcW w:w="326" w:type="pct"/>
            <w:shd w:val="clear" w:color="auto" w:fill="E9ECF3"/>
          </w:tcPr>
          <w:p w:rsidR="00537A3D" w:rsidRPr="005A2B11" w:rsidRDefault="005A2B1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szCs w:val="20"/>
              </w:rPr>
            </w:pPr>
            <w:r>
              <w:rPr>
                <w:b/>
                <w:bCs/>
                <w:i w:val="0"/>
                <w:szCs w:val="20"/>
              </w:rPr>
              <w:t>-79.8</w:t>
            </w:r>
          </w:p>
        </w:tc>
      </w:tr>
    </w:tbl>
    <w:p w:rsidR="00A571EC" w:rsidRDefault="00730A6D" w:rsidP="00A571EC">
      <w:pPr>
        <w:pStyle w:val="Footnotes"/>
        <w:numPr>
          <w:ilvl w:val="0"/>
          <w:numId w:val="22"/>
        </w:numPr>
        <w:ind w:left="284" w:hanging="284"/>
      </w:pPr>
      <w:r w:rsidRPr="00730A6D">
        <w:t>A negative number for the underlying cash and fiscal balances indicates an increase in expenditure.  Impacts on the fiscal and unde</w:t>
      </w:r>
      <w:r w:rsidR="007D04C0">
        <w:t>rlying cash balances are equal.</w:t>
      </w:r>
    </w:p>
    <w:p w:rsidR="005A2B11" w:rsidRPr="00EC7179" w:rsidRDefault="005A2B11" w:rsidP="00A571EC">
      <w:pPr>
        <w:pStyle w:val="Footnotes"/>
        <w:numPr>
          <w:ilvl w:val="0"/>
          <w:numId w:val="22"/>
        </w:numPr>
        <w:ind w:left="284" w:hanging="284"/>
      </w:pPr>
      <w:r w:rsidRPr="00EC7179">
        <w:t>Figures may not sum to total due to rounding.</w:t>
      </w:r>
    </w:p>
    <w:p w:rsidR="007D04C0" w:rsidRPr="00A8400D" w:rsidRDefault="00023BF2" w:rsidP="00023BF2">
      <w:pPr>
        <w:numPr>
          <w:ilvl w:val="0"/>
          <w:numId w:val="21"/>
        </w:numPr>
        <w:spacing w:before="113" w:after="0" w:line="260" w:lineRule="atLeast"/>
        <w:ind w:left="284" w:hanging="284"/>
      </w:pPr>
      <w:r w:rsidRPr="00023BF2">
        <w:rPr>
          <w:sz w:val="20"/>
          <w:szCs w:val="20"/>
        </w:rPr>
        <w:t>Indicates nil.</w:t>
      </w:r>
    </w:p>
    <w:p w:rsidR="00A8400D" w:rsidRDefault="00A8400D" w:rsidP="00023BF2">
      <w:pPr>
        <w:numPr>
          <w:ilvl w:val="0"/>
          <w:numId w:val="21"/>
        </w:numPr>
        <w:spacing w:before="113" w:after="0" w:line="260" w:lineRule="atLeast"/>
        <w:ind w:left="284" w:hanging="284"/>
        <w:sectPr w:rsidR="00A8400D" w:rsidSect="00957285">
          <w:headerReference w:type="first" r:id="rId20"/>
          <w:footerReference w:type="first" r:id="rId21"/>
          <w:pgSz w:w="16838" w:h="11906" w:orient="landscape"/>
          <w:pgMar w:top="1797" w:right="1361" w:bottom="1797" w:left="1474" w:header="709" w:footer="709" w:gutter="0"/>
          <w:cols w:space="708"/>
          <w:titlePg/>
          <w:docGrid w:linePitch="360"/>
        </w:sectPr>
      </w:pPr>
    </w:p>
    <w:p w:rsidR="002D0604" w:rsidRPr="002D0604" w:rsidRDefault="002D0604" w:rsidP="00A8400D">
      <w:pPr>
        <w:keepNext/>
        <w:spacing w:before="0"/>
        <w:rPr>
          <w:b/>
          <w:bCs/>
          <w:color w:val="1F497D" w:themeColor="text2"/>
          <w:spacing w:val="-4"/>
        </w:rPr>
      </w:pPr>
      <w:r w:rsidRPr="002D0604">
        <w:rPr>
          <w:b/>
          <w:bCs/>
          <w:color w:val="1F497D" w:themeColor="text2"/>
          <w:spacing w:val="-4"/>
        </w:rPr>
        <w:lastRenderedPageBreak/>
        <w:t>Table A</w:t>
      </w:r>
      <w:r w:rsidR="00192E70">
        <w:rPr>
          <w:b/>
          <w:bCs/>
          <w:color w:val="1F497D" w:themeColor="text2"/>
          <w:spacing w:val="-4"/>
        </w:rPr>
        <w:t>4:</w:t>
      </w:r>
      <w:r w:rsidRPr="002D0604">
        <w:rPr>
          <w:b/>
          <w:bCs/>
          <w:color w:val="1F497D" w:themeColor="text2"/>
          <w:spacing w:val="-4"/>
        </w:rPr>
        <w:t xml:space="preserve"> Component </w:t>
      </w:r>
      <w:r>
        <w:rPr>
          <w:b/>
          <w:bCs/>
          <w:color w:val="1F497D" w:themeColor="text2"/>
          <w:spacing w:val="-4"/>
        </w:rPr>
        <w:t>3</w:t>
      </w:r>
      <w:r w:rsidRPr="002D0604">
        <w:rPr>
          <w:b/>
          <w:bCs/>
          <w:color w:val="1F497D" w:themeColor="text2"/>
          <w:spacing w:val="-4"/>
        </w:rPr>
        <w:t>: Invasive species—Financial implications</w:t>
      </w:r>
      <w:r w:rsidRPr="002D0604">
        <w:rPr>
          <w:b/>
          <w:bCs/>
          <w:color w:val="1F497D" w:themeColor="text2"/>
          <w:spacing w:val="-4"/>
          <w:vertAlign w:val="superscript"/>
        </w:rPr>
        <w:t>(a)(b)</w:t>
      </w:r>
    </w:p>
    <w:tbl>
      <w:tblPr>
        <w:tblStyle w:val="TableGrid"/>
        <w:tblW w:w="5260" w:type="pct"/>
        <w:tblInd w:w="-279" w:type="dxa"/>
        <w:tblLayout w:type="fixed"/>
        <w:tblLook w:val="0680" w:firstRow="0" w:lastRow="0" w:firstColumn="1" w:lastColumn="0" w:noHBand="1" w:noVBand="1"/>
      </w:tblPr>
      <w:tblGrid>
        <w:gridCol w:w="3257"/>
        <w:gridCol w:w="884"/>
        <w:gridCol w:w="884"/>
        <w:gridCol w:w="884"/>
        <w:gridCol w:w="884"/>
        <w:gridCol w:w="884"/>
        <w:gridCol w:w="885"/>
        <w:gridCol w:w="885"/>
        <w:gridCol w:w="885"/>
        <w:gridCol w:w="885"/>
        <w:gridCol w:w="885"/>
        <w:gridCol w:w="885"/>
        <w:gridCol w:w="885"/>
        <w:gridCol w:w="870"/>
      </w:tblGrid>
      <w:tr w:rsidR="00A8400D" w:rsidRPr="00B31810" w:rsidTr="0062614D">
        <w:trPr>
          <w:cantSplit/>
          <w:tblHeader/>
        </w:trPr>
        <w:tc>
          <w:tcPr>
            <w:cnfStyle w:val="001000000000" w:firstRow="0" w:lastRow="0" w:firstColumn="1" w:lastColumn="0" w:oddVBand="0" w:evenVBand="0" w:oddHBand="0" w:evenHBand="0" w:firstRowFirstColumn="0" w:firstRowLastColumn="0" w:lastRowFirstColumn="0" w:lastRowLastColumn="0"/>
            <w:tcW w:w="1105" w:type="pct"/>
            <w:shd w:val="clear" w:color="auto" w:fill="D7DDE9"/>
          </w:tcPr>
          <w:p w:rsidR="002D0604" w:rsidRPr="001D3DC6" w:rsidRDefault="002D0604" w:rsidP="0062614D">
            <w:pPr>
              <w:spacing w:before="70" w:after="70" w:line="240" w:lineRule="auto"/>
              <w:ind w:left="57" w:right="57"/>
              <w:rPr>
                <w:szCs w:val="20"/>
              </w:rPr>
            </w:pPr>
            <w:r w:rsidRPr="001D3DC6">
              <w:rPr>
                <w:szCs w:val="20"/>
              </w:rPr>
              <w:t>($m)</w:t>
            </w:r>
          </w:p>
        </w:tc>
        <w:tc>
          <w:tcPr>
            <w:tcW w:w="300" w:type="pct"/>
            <w:shd w:val="clear" w:color="auto" w:fill="D7DDE9"/>
          </w:tcPr>
          <w:p w:rsidR="002D0604" w:rsidRPr="001D3DC6" w:rsidRDefault="002D0604" w:rsidP="0062614D">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2016–17</w:t>
            </w:r>
          </w:p>
        </w:tc>
        <w:tc>
          <w:tcPr>
            <w:tcW w:w="300" w:type="pct"/>
            <w:shd w:val="clear" w:color="auto" w:fill="D7DDE9"/>
          </w:tcPr>
          <w:p w:rsidR="002D0604" w:rsidRPr="001D3DC6" w:rsidRDefault="002D0604" w:rsidP="0062614D">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2017–18</w:t>
            </w:r>
          </w:p>
        </w:tc>
        <w:tc>
          <w:tcPr>
            <w:tcW w:w="300" w:type="pct"/>
            <w:shd w:val="clear" w:color="auto" w:fill="D7DDE9"/>
          </w:tcPr>
          <w:p w:rsidR="002D0604" w:rsidRPr="001D3DC6" w:rsidRDefault="002D0604" w:rsidP="0062614D">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2018–19</w:t>
            </w:r>
          </w:p>
        </w:tc>
        <w:tc>
          <w:tcPr>
            <w:tcW w:w="300" w:type="pct"/>
            <w:shd w:val="clear" w:color="auto" w:fill="D7DDE9"/>
          </w:tcPr>
          <w:p w:rsidR="002D0604" w:rsidRPr="001D3DC6" w:rsidRDefault="002D0604" w:rsidP="0062614D">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2019–20</w:t>
            </w:r>
          </w:p>
        </w:tc>
        <w:tc>
          <w:tcPr>
            <w:tcW w:w="300" w:type="pct"/>
            <w:shd w:val="clear" w:color="auto" w:fill="D7DDE9"/>
          </w:tcPr>
          <w:p w:rsidR="002D0604" w:rsidRPr="001D3DC6" w:rsidRDefault="002D0604" w:rsidP="0062614D">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1D3DC6">
              <w:rPr>
                <w:b/>
                <w:szCs w:val="20"/>
              </w:rPr>
              <w:t>Total to 2019–20</w:t>
            </w:r>
          </w:p>
        </w:tc>
        <w:tc>
          <w:tcPr>
            <w:tcW w:w="300" w:type="pct"/>
            <w:shd w:val="clear" w:color="auto" w:fill="D7DDE9"/>
          </w:tcPr>
          <w:p w:rsidR="002D0604" w:rsidRPr="001D3DC6" w:rsidRDefault="002D0604" w:rsidP="0062614D">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2020–21</w:t>
            </w:r>
          </w:p>
        </w:tc>
        <w:tc>
          <w:tcPr>
            <w:tcW w:w="300" w:type="pct"/>
            <w:shd w:val="clear" w:color="auto" w:fill="D7DDE9"/>
          </w:tcPr>
          <w:p w:rsidR="002D0604" w:rsidRPr="001D3DC6" w:rsidRDefault="002D0604" w:rsidP="0062614D">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2021–22</w:t>
            </w:r>
          </w:p>
        </w:tc>
        <w:tc>
          <w:tcPr>
            <w:tcW w:w="300" w:type="pct"/>
            <w:shd w:val="clear" w:color="auto" w:fill="D7DDE9"/>
          </w:tcPr>
          <w:p w:rsidR="002D0604" w:rsidRPr="001D3DC6" w:rsidRDefault="002D0604" w:rsidP="0062614D">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2022–23</w:t>
            </w:r>
          </w:p>
        </w:tc>
        <w:tc>
          <w:tcPr>
            <w:tcW w:w="300" w:type="pct"/>
            <w:shd w:val="clear" w:color="auto" w:fill="D7DDE9"/>
          </w:tcPr>
          <w:p w:rsidR="002D0604" w:rsidRPr="001D3DC6" w:rsidRDefault="002D0604" w:rsidP="0062614D">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2023–24</w:t>
            </w:r>
          </w:p>
        </w:tc>
        <w:tc>
          <w:tcPr>
            <w:tcW w:w="300" w:type="pct"/>
            <w:shd w:val="clear" w:color="auto" w:fill="D7DDE9"/>
          </w:tcPr>
          <w:p w:rsidR="002D0604" w:rsidRPr="001D3DC6" w:rsidRDefault="002D0604" w:rsidP="0062614D">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2024–25</w:t>
            </w:r>
          </w:p>
        </w:tc>
        <w:tc>
          <w:tcPr>
            <w:tcW w:w="300" w:type="pct"/>
            <w:shd w:val="clear" w:color="auto" w:fill="D7DDE9"/>
          </w:tcPr>
          <w:p w:rsidR="002D0604" w:rsidRPr="001D3DC6" w:rsidRDefault="002D0604" w:rsidP="0062614D">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2025–26</w:t>
            </w:r>
          </w:p>
        </w:tc>
        <w:tc>
          <w:tcPr>
            <w:tcW w:w="300" w:type="pct"/>
            <w:shd w:val="clear" w:color="auto" w:fill="D7DDE9"/>
          </w:tcPr>
          <w:p w:rsidR="002D0604" w:rsidRPr="001D3DC6" w:rsidRDefault="002D0604" w:rsidP="0062614D">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2026–27</w:t>
            </w:r>
          </w:p>
        </w:tc>
        <w:tc>
          <w:tcPr>
            <w:tcW w:w="297" w:type="pct"/>
            <w:shd w:val="clear" w:color="auto" w:fill="D7DDE9"/>
          </w:tcPr>
          <w:p w:rsidR="002D0604" w:rsidRPr="001D3DC6" w:rsidRDefault="002D0604" w:rsidP="0062614D">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1D3DC6">
              <w:rPr>
                <w:b/>
                <w:szCs w:val="20"/>
              </w:rPr>
              <w:t>Total to 2026–27</w:t>
            </w:r>
          </w:p>
        </w:tc>
      </w:tr>
      <w:tr w:rsidR="002D0604" w:rsidRPr="00AB55AE" w:rsidTr="0062614D">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7DDE9"/>
          </w:tcPr>
          <w:p w:rsidR="002D0604" w:rsidRPr="001D3DC6" w:rsidRDefault="002D0604" w:rsidP="0062614D">
            <w:pPr>
              <w:pStyle w:val="TableTextRight"/>
              <w:spacing w:line="240" w:lineRule="auto"/>
              <w:ind w:left="57" w:right="57"/>
              <w:jc w:val="left"/>
              <w:rPr>
                <w:b/>
                <w:i w:val="0"/>
                <w:szCs w:val="20"/>
              </w:rPr>
            </w:pPr>
            <w:r w:rsidRPr="001D3DC6">
              <w:rPr>
                <w:b/>
                <w:i w:val="0"/>
                <w:szCs w:val="20"/>
              </w:rPr>
              <w:t>Impact on fiscal and underlying cash balances</w:t>
            </w:r>
          </w:p>
        </w:tc>
      </w:tr>
      <w:tr w:rsidR="002D0604" w:rsidTr="0062614D">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tcPr>
          <w:p w:rsidR="002D0604" w:rsidRPr="001D3DC6" w:rsidRDefault="002D0604" w:rsidP="0062614D">
            <w:pPr>
              <w:pStyle w:val="TableTextRight"/>
              <w:spacing w:line="240" w:lineRule="auto"/>
              <w:ind w:left="57" w:right="57"/>
              <w:jc w:val="left"/>
              <w:rPr>
                <w:b/>
                <w:i w:val="0"/>
                <w:szCs w:val="20"/>
              </w:rPr>
            </w:pPr>
            <w:r w:rsidRPr="001D3DC6">
              <w:rPr>
                <w:b/>
                <w:i w:val="0"/>
                <w:szCs w:val="20"/>
              </w:rPr>
              <w:t>Administered</w:t>
            </w:r>
          </w:p>
        </w:tc>
      </w:tr>
      <w:tr w:rsidR="00987181" w:rsidTr="0062614D">
        <w:trPr>
          <w:cantSplit/>
        </w:trPr>
        <w:tc>
          <w:tcPr>
            <w:cnfStyle w:val="001000000000" w:firstRow="0" w:lastRow="0" w:firstColumn="1" w:lastColumn="0" w:oddVBand="0" w:evenVBand="0" w:oddHBand="0" w:evenHBand="0" w:firstRowFirstColumn="0" w:firstRowLastColumn="0" w:lastRowFirstColumn="0" w:lastRowLastColumn="0"/>
            <w:tcW w:w="1105" w:type="pct"/>
          </w:tcPr>
          <w:p w:rsidR="00987181" w:rsidRPr="001D3DC6" w:rsidRDefault="00987181" w:rsidP="0062614D">
            <w:pPr>
              <w:spacing w:before="70" w:after="70" w:line="240" w:lineRule="auto"/>
              <w:ind w:left="57" w:right="57"/>
              <w:rPr>
                <w:color w:val="000000"/>
                <w:szCs w:val="20"/>
              </w:rPr>
            </w:pPr>
            <w:r w:rsidRPr="001D3DC6">
              <w:rPr>
                <w:color w:val="000000"/>
                <w:szCs w:val="20"/>
              </w:rPr>
              <w:t>Centre for Invasive Species Solutions</w:t>
            </w:r>
          </w:p>
        </w:tc>
        <w:tc>
          <w:tcPr>
            <w:tcW w:w="300" w:type="pct"/>
          </w:tcPr>
          <w:p w:rsidR="00987181" w:rsidRPr="001D3DC6"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-18.2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-18.4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-18.6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1106F">
              <w:rPr>
                <w:b/>
                <w:szCs w:val="20"/>
              </w:rPr>
              <w:t xml:space="preserve">-55.2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-18.8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-19.0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 -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 -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 -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 -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 - </w:t>
            </w:r>
          </w:p>
        </w:tc>
        <w:tc>
          <w:tcPr>
            <w:tcW w:w="297"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1106F">
              <w:rPr>
                <w:b/>
                <w:szCs w:val="20"/>
              </w:rPr>
              <w:t xml:space="preserve">-92.9 </w:t>
            </w:r>
          </w:p>
        </w:tc>
      </w:tr>
      <w:tr w:rsidR="00987181" w:rsidTr="0062614D">
        <w:trPr>
          <w:cantSplit/>
        </w:trPr>
        <w:tc>
          <w:tcPr>
            <w:cnfStyle w:val="001000000000" w:firstRow="0" w:lastRow="0" w:firstColumn="1" w:lastColumn="0" w:oddVBand="0" w:evenVBand="0" w:oddHBand="0" w:evenHBand="0" w:firstRowFirstColumn="0" w:firstRowLastColumn="0" w:lastRowFirstColumn="0" w:lastRowLastColumn="0"/>
            <w:tcW w:w="1105" w:type="pct"/>
          </w:tcPr>
          <w:p w:rsidR="00987181" w:rsidRPr="001D3DC6" w:rsidRDefault="00987181" w:rsidP="0062614D">
            <w:pPr>
              <w:spacing w:before="70" w:after="70" w:line="240" w:lineRule="auto"/>
              <w:ind w:left="57" w:right="57"/>
              <w:rPr>
                <w:color w:val="000000"/>
                <w:szCs w:val="20"/>
              </w:rPr>
            </w:pPr>
            <w:r w:rsidRPr="001D3DC6">
              <w:rPr>
                <w:color w:val="000000"/>
                <w:szCs w:val="20"/>
              </w:rPr>
              <w:t>Environmental Health Australia</w:t>
            </w:r>
          </w:p>
        </w:tc>
        <w:tc>
          <w:tcPr>
            <w:tcW w:w="300" w:type="pct"/>
          </w:tcPr>
          <w:p w:rsidR="00987181" w:rsidRPr="001D3DC6"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-18.2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-18.4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-18.6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1106F">
              <w:rPr>
                <w:b/>
                <w:szCs w:val="20"/>
              </w:rPr>
              <w:t xml:space="preserve">-55.2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-18.8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-19.0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-19.2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-19.4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-19.6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-19.8 </w:t>
            </w:r>
          </w:p>
        </w:tc>
        <w:tc>
          <w:tcPr>
            <w:tcW w:w="300"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1106F">
              <w:rPr>
                <w:szCs w:val="20"/>
              </w:rPr>
              <w:t xml:space="preserve">-20.0 </w:t>
            </w:r>
          </w:p>
        </w:tc>
        <w:tc>
          <w:tcPr>
            <w:tcW w:w="297" w:type="pct"/>
            <w:vAlign w:val="bottom"/>
          </w:tcPr>
          <w:p w:rsidR="00987181" w:rsidRPr="0021106F" w:rsidRDefault="00987181"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1106F">
              <w:rPr>
                <w:b/>
                <w:szCs w:val="20"/>
              </w:rPr>
              <w:t xml:space="preserve">-190.9 </w:t>
            </w:r>
          </w:p>
        </w:tc>
      </w:tr>
      <w:tr w:rsidR="0021106F" w:rsidRPr="00AB55AE" w:rsidTr="0062614D">
        <w:trPr>
          <w:cantSplit/>
        </w:trPr>
        <w:tc>
          <w:tcPr>
            <w:cnfStyle w:val="001000000000" w:firstRow="0" w:lastRow="0" w:firstColumn="1" w:lastColumn="0" w:oddVBand="0" w:evenVBand="0" w:oddHBand="0" w:evenHBand="0" w:firstRowFirstColumn="0" w:firstRowLastColumn="0" w:lastRowFirstColumn="0" w:lastRowLastColumn="0"/>
            <w:tcW w:w="1105" w:type="pct"/>
          </w:tcPr>
          <w:p w:rsidR="0021106F" w:rsidRPr="001D3DC6" w:rsidRDefault="0021106F" w:rsidP="0062614D">
            <w:pPr>
              <w:spacing w:before="70" w:after="70" w:line="240" w:lineRule="auto"/>
              <w:ind w:left="57" w:right="57"/>
              <w:rPr>
                <w:b/>
                <w:szCs w:val="20"/>
              </w:rPr>
            </w:pPr>
            <w:r w:rsidRPr="001D3DC6">
              <w:rPr>
                <w:b/>
                <w:szCs w:val="20"/>
              </w:rPr>
              <w:t>Total - administered</w:t>
            </w:r>
          </w:p>
        </w:tc>
        <w:tc>
          <w:tcPr>
            <w:tcW w:w="300" w:type="pct"/>
          </w:tcPr>
          <w:p w:rsidR="0021106F" w:rsidRPr="009725E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725E6">
              <w:rPr>
                <w:b/>
                <w:szCs w:val="20"/>
              </w:rPr>
              <w:t>-</w:t>
            </w:r>
          </w:p>
        </w:tc>
        <w:tc>
          <w:tcPr>
            <w:tcW w:w="300" w:type="pct"/>
            <w:vAlign w:val="bottom"/>
          </w:tcPr>
          <w:p w:rsidR="0021106F" w:rsidRPr="009725E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725E6">
              <w:rPr>
                <w:b/>
                <w:szCs w:val="20"/>
              </w:rPr>
              <w:t xml:space="preserve">-36.4 </w:t>
            </w:r>
          </w:p>
        </w:tc>
        <w:tc>
          <w:tcPr>
            <w:tcW w:w="300" w:type="pct"/>
            <w:vAlign w:val="bottom"/>
          </w:tcPr>
          <w:p w:rsidR="0021106F" w:rsidRPr="009725E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725E6">
              <w:rPr>
                <w:b/>
                <w:szCs w:val="20"/>
              </w:rPr>
              <w:t xml:space="preserve">-36.8 </w:t>
            </w:r>
          </w:p>
        </w:tc>
        <w:tc>
          <w:tcPr>
            <w:tcW w:w="300" w:type="pct"/>
            <w:vAlign w:val="bottom"/>
          </w:tcPr>
          <w:p w:rsidR="0021106F" w:rsidRPr="009725E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725E6">
              <w:rPr>
                <w:b/>
                <w:szCs w:val="20"/>
              </w:rPr>
              <w:t xml:space="preserve">-37.2 </w:t>
            </w:r>
          </w:p>
        </w:tc>
        <w:tc>
          <w:tcPr>
            <w:tcW w:w="300" w:type="pct"/>
            <w:vAlign w:val="bottom"/>
          </w:tcPr>
          <w:p w:rsidR="0021106F" w:rsidRPr="009725E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725E6">
              <w:rPr>
                <w:b/>
                <w:szCs w:val="20"/>
              </w:rPr>
              <w:t xml:space="preserve">-110.3 </w:t>
            </w:r>
          </w:p>
        </w:tc>
        <w:tc>
          <w:tcPr>
            <w:tcW w:w="300" w:type="pct"/>
            <w:vAlign w:val="bottom"/>
          </w:tcPr>
          <w:p w:rsidR="0021106F" w:rsidRPr="009725E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725E6">
              <w:rPr>
                <w:b/>
                <w:szCs w:val="20"/>
              </w:rPr>
              <w:t xml:space="preserve">-37.6 </w:t>
            </w:r>
          </w:p>
        </w:tc>
        <w:tc>
          <w:tcPr>
            <w:tcW w:w="300" w:type="pct"/>
            <w:vAlign w:val="bottom"/>
          </w:tcPr>
          <w:p w:rsidR="0021106F" w:rsidRPr="009725E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725E6">
              <w:rPr>
                <w:b/>
                <w:szCs w:val="20"/>
              </w:rPr>
              <w:t xml:space="preserve">-38.0 </w:t>
            </w:r>
          </w:p>
        </w:tc>
        <w:tc>
          <w:tcPr>
            <w:tcW w:w="300" w:type="pct"/>
            <w:vAlign w:val="bottom"/>
          </w:tcPr>
          <w:p w:rsidR="0021106F" w:rsidRPr="009725E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725E6">
              <w:rPr>
                <w:b/>
                <w:szCs w:val="20"/>
              </w:rPr>
              <w:t xml:space="preserve">-19.2 </w:t>
            </w:r>
          </w:p>
        </w:tc>
        <w:tc>
          <w:tcPr>
            <w:tcW w:w="300" w:type="pct"/>
            <w:vAlign w:val="bottom"/>
          </w:tcPr>
          <w:p w:rsidR="0021106F" w:rsidRPr="009725E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725E6">
              <w:rPr>
                <w:b/>
                <w:szCs w:val="20"/>
              </w:rPr>
              <w:t xml:space="preserve">-19.4 </w:t>
            </w:r>
          </w:p>
        </w:tc>
        <w:tc>
          <w:tcPr>
            <w:tcW w:w="300" w:type="pct"/>
            <w:vAlign w:val="bottom"/>
          </w:tcPr>
          <w:p w:rsidR="0021106F" w:rsidRPr="009725E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725E6">
              <w:rPr>
                <w:b/>
                <w:szCs w:val="20"/>
              </w:rPr>
              <w:t xml:space="preserve">-19.6 </w:t>
            </w:r>
          </w:p>
        </w:tc>
        <w:tc>
          <w:tcPr>
            <w:tcW w:w="300" w:type="pct"/>
            <w:vAlign w:val="bottom"/>
          </w:tcPr>
          <w:p w:rsidR="0021106F" w:rsidRPr="009725E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725E6">
              <w:rPr>
                <w:b/>
                <w:szCs w:val="20"/>
              </w:rPr>
              <w:t xml:space="preserve">-19.8 </w:t>
            </w:r>
          </w:p>
        </w:tc>
        <w:tc>
          <w:tcPr>
            <w:tcW w:w="300" w:type="pct"/>
            <w:vAlign w:val="bottom"/>
          </w:tcPr>
          <w:p w:rsidR="0021106F" w:rsidRPr="009725E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9725E6">
              <w:rPr>
                <w:b/>
                <w:szCs w:val="20"/>
              </w:rPr>
              <w:t xml:space="preserve">-20.0 </w:t>
            </w:r>
          </w:p>
        </w:tc>
        <w:tc>
          <w:tcPr>
            <w:tcW w:w="297" w:type="pct"/>
            <w:vAlign w:val="bottom"/>
          </w:tcPr>
          <w:p w:rsidR="0021106F" w:rsidRPr="0021106F"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1106F">
              <w:rPr>
                <w:b/>
                <w:szCs w:val="20"/>
              </w:rPr>
              <w:t xml:space="preserve">-283.8 </w:t>
            </w:r>
          </w:p>
        </w:tc>
      </w:tr>
      <w:tr w:rsidR="0021106F" w:rsidTr="0062614D">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tcPr>
          <w:p w:rsidR="0021106F" w:rsidRPr="001D3DC6" w:rsidRDefault="0021106F" w:rsidP="0062614D">
            <w:pPr>
              <w:pStyle w:val="TableTextRight"/>
              <w:spacing w:line="240" w:lineRule="auto"/>
              <w:ind w:left="57" w:right="57"/>
              <w:jc w:val="left"/>
              <w:rPr>
                <w:b/>
                <w:i w:val="0"/>
                <w:szCs w:val="20"/>
              </w:rPr>
            </w:pPr>
            <w:r w:rsidRPr="001D3DC6">
              <w:rPr>
                <w:b/>
                <w:i w:val="0"/>
                <w:szCs w:val="20"/>
              </w:rPr>
              <w:t>Departmental</w:t>
            </w:r>
          </w:p>
        </w:tc>
      </w:tr>
      <w:tr w:rsidR="0021106F" w:rsidTr="0062614D">
        <w:trPr>
          <w:cantSplit/>
        </w:trPr>
        <w:tc>
          <w:tcPr>
            <w:cnfStyle w:val="001000000000" w:firstRow="0" w:lastRow="0" w:firstColumn="1" w:lastColumn="0" w:oddVBand="0" w:evenVBand="0" w:oddHBand="0" w:evenHBand="0" w:firstRowFirstColumn="0" w:firstRowLastColumn="0" w:lastRowFirstColumn="0" w:lastRowLastColumn="0"/>
            <w:tcW w:w="1105" w:type="pct"/>
          </w:tcPr>
          <w:p w:rsidR="0021106F" w:rsidRPr="001D3DC6" w:rsidRDefault="0021106F" w:rsidP="0062614D">
            <w:pPr>
              <w:spacing w:before="70" w:after="70" w:line="240" w:lineRule="auto"/>
              <w:ind w:left="57" w:right="57"/>
              <w:rPr>
                <w:color w:val="000000"/>
                <w:szCs w:val="20"/>
              </w:rPr>
            </w:pPr>
            <w:r w:rsidRPr="001D3DC6">
              <w:rPr>
                <w:color w:val="000000"/>
                <w:szCs w:val="20"/>
              </w:rPr>
              <w:t>Centre for Invasive Species Solutions</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-1.5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297"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-4.9</w:t>
            </w:r>
          </w:p>
        </w:tc>
      </w:tr>
      <w:tr w:rsidR="0021106F" w:rsidTr="0062614D">
        <w:trPr>
          <w:cantSplit/>
        </w:trPr>
        <w:tc>
          <w:tcPr>
            <w:cnfStyle w:val="001000000000" w:firstRow="0" w:lastRow="0" w:firstColumn="1" w:lastColumn="0" w:oddVBand="0" w:evenVBand="0" w:oddHBand="0" w:evenHBand="0" w:firstRowFirstColumn="0" w:firstRowLastColumn="0" w:lastRowFirstColumn="0" w:lastRowLastColumn="0"/>
            <w:tcW w:w="1105" w:type="pct"/>
          </w:tcPr>
          <w:p w:rsidR="0021106F" w:rsidRPr="001D3DC6" w:rsidRDefault="0021106F" w:rsidP="0062614D">
            <w:pPr>
              <w:spacing w:before="70" w:after="70" w:line="240" w:lineRule="auto"/>
              <w:ind w:left="57" w:right="57"/>
              <w:rPr>
                <w:color w:val="000000"/>
                <w:szCs w:val="20"/>
              </w:rPr>
            </w:pPr>
            <w:r w:rsidRPr="001D3DC6">
              <w:rPr>
                <w:color w:val="000000"/>
                <w:szCs w:val="20"/>
              </w:rPr>
              <w:t>Environmental Health Australia</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-1.5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297"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-4.9</w:t>
            </w:r>
          </w:p>
        </w:tc>
      </w:tr>
      <w:tr w:rsidR="0021106F" w:rsidTr="0062614D">
        <w:trPr>
          <w:cantSplit/>
        </w:trPr>
        <w:tc>
          <w:tcPr>
            <w:cnfStyle w:val="001000000000" w:firstRow="0" w:lastRow="0" w:firstColumn="1" w:lastColumn="0" w:oddVBand="0" w:evenVBand="0" w:oddHBand="0" w:evenHBand="0" w:firstRowFirstColumn="0" w:firstRowLastColumn="0" w:lastRowFirstColumn="0" w:lastRowLastColumn="0"/>
            <w:tcW w:w="1105" w:type="pct"/>
          </w:tcPr>
          <w:p w:rsidR="0021106F" w:rsidRPr="001D3DC6" w:rsidRDefault="0021106F" w:rsidP="0062614D">
            <w:pPr>
              <w:spacing w:before="70" w:after="70" w:line="240" w:lineRule="auto"/>
              <w:ind w:left="57" w:right="57"/>
              <w:rPr>
                <w:color w:val="000000"/>
                <w:szCs w:val="20"/>
              </w:rPr>
            </w:pPr>
            <w:r w:rsidRPr="001D3DC6">
              <w:rPr>
                <w:color w:val="000000"/>
                <w:szCs w:val="20"/>
              </w:rPr>
              <w:t>Invasive species and exotic pest plans</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-2.0</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-2.0</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-2.0</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-6.0</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-2.0</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297"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-8.0</w:t>
            </w:r>
          </w:p>
        </w:tc>
      </w:tr>
      <w:tr w:rsidR="0021106F" w:rsidTr="0062614D">
        <w:trPr>
          <w:cantSplit/>
        </w:trPr>
        <w:tc>
          <w:tcPr>
            <w:cnfStyle w:val="001000000000" w:firstRow="0" w:lastRow="0" w:firstColumn="1" w:lastColumn="0" w:oddVBand="0" w:evenVBand="0" w:oddHBand="0" w:evenHBand="0" w:firstRowFirstColumn="0" w:firstRowLastColumn="0" w:lastRowFirstColumn="0" w:lastRowLastColumn="0"/>
            <w:tcW w:w="1105" w:type="pct"/>
          </w:tcPr>
          <w:p w:rsidR="0021106F" w:rsidRPr="001D3DC6" w:rsidRDefault="0021106F" w:rsidP="0062614D">
            <w:pPr>
              <w:spacing w:before="70" w:after="70" w:line="240" w:lineRule="auto"/>
              <w:ind w:left="57" w:right="57"/>
              <w:rPr>
                <w:color w:val="000000"/>
                <w:szCs w:val="20"/>
              </w:rPr>
            </w:pPr>
            <w:r w:rsidRPr="001D3DC6">
              <w:rPr>
                <w:color w:val="000000"/>
                <w:szCs w:val="20"/>
              </w:rPr>
              <w:t xml:space="preserve">Work through COAG </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Pr>
                <w:szCs w:val="20"/>
              </w:rPr>
              <w:t>-0.5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-1.0</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297"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-1.0</w:t>
            </w:r>
          </w:p>
        </w:tc>
      </w:tr>
      <w:tr w:rsidR="0021106F" w:rsidRPr="00AB55AE" w:rsidTr="0062614D">
        <w:trPr>
          <w:cantSplit/>
        </w:trPr>
        <w:tc>
          <w:tcPr>
            <w:cnfStyle w:val="001000000000" w:firstRow="0" w:lastRow="0" w:firstColumn="1" w:lastColumn="0" w:oddVBand="0" w:evenVBand="0" w:oddHBand="0" w:evenHBand="0" w:firstRowFirstColumn="0" w:firstRowLastColumn="0" w:lastRowFirstColumn="0" w:lastRowLastColumn="0"/>
            <w:tcW w:w="1105" w:type="pct"/>
          </w:tcPr>
          <w:p w:rsidR="0021106F" w:rsidRPr="001D3DC6" w:rsidRDefault="0021106F" w:rsidP="0062614D">
            <w:pPr>
              <w:spacing w:before="70" w:after="70" w:line="240" w:lineRule="auto"/>
              <w:ind w:left="57" w:right="57"/>
              <w:rPr>
                <w:b/>
                <w:szCs w:val="20"/>
              </w:rPr>
            </w:pPr>
            <w:r w:rsidRPr="001D3DC6">
              <w:rPr>
                <w:b/>
                <w:szCs w:val="20"/>
              </w:rPr>
              <w:t>Total - departmental</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-3.5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-3.5</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-3.0</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-9.9</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-3.0</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-1.0</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-1.0</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-1.0</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-1.0</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-1.0</w:t>
            </w:r>
          </w:p>
        </w:tc>
        <w:tc>
          <w:tcPr>
            <w:tcW w:w="300"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-1.0</w:t>
            </w:r>
          </w:p>
        </w:tc>
        <w:tc>
          <w:tcPr>
            <w:tcW w:w="297" w:type="pct"/>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Pr>
                <w:b/>
                <w:szCs w:val="20"/>
              </w:rPr>
              <w:t>-18.9</w:t>
            </w:r>
          </w:p>
        </w:tc>
      </w:tr>
      <w:tr w:rsidR="0021106F" w:rsidRPr="00AB55AE" w:rsidTr="0062614D">
        <w:trPr>
          <w:cantSplit/>
        </w:trPr>
        <w:tc>
          <w:tcPr>
            <w:cnfStyle w:val="001000000000" w:firstRow="0" w:lastRow="0" w:firstColumn="1" w:lastColumn="0" w:oddVBand="0" w:evenVBand="0" w:oddHBand="0" w:evenHBand="0" w:firstRowFirstColumn="0" w:firstRowLastColumn="0" w:lastRowFirstColumn="0" w:lastRowLastColumn="0"/>
            <w:tcW w:w="1105" w:type="pct"/>
            <w:shd w:val="clear" w:color="auto" w:fill="D7DDE9"/>
          </w:tcPr>
          <w:p w:rsidR="0021106F" w:rsidRPr="001D3DC6" w:rsidRDefault="0021106F" w:rsidP="0062614D">
            <w:pPr>
              <w:spacing w:before="70" w:after="70" w:line="240" w:lineRule="auto"/>
              <w:ind w:left="57" w:right="57"/>
              <w:rPr>
                <w:b/>
                <w:szCs w:val="20"/>
              </w:rPr>
            </w:pPr>
            <w:r w:rsidRPr="001D3DC6">
              <w:rPr>
                <w:b/>
                <w:szCs w:val="20"/>
              </w:rPr>
              <w:t>Total</w:t>
            </w:r>
          </w:p>
        </w:tc>
        <w:tc>
          <w:tcPr>
            <w:tcW w:w="300" w:type="pct"/>
            <w:shd w:val="clear" w:color="auto" w:fill="D7DDE9"/>
          </w:tcPr>
          <w:p w:rsidR="0021106F" w:rsidRPr="001D3DC6"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1D3DC6">
              <w:rPr>
                <w:szCs w:val="20"/>
              </w:rPr>
              <w:t>-</w:t>
            </w:r>
          </w:p>
        </w:tc>
        <w:tc>
          <w:tcPr>
            <w:tcW w:w="300" w:type="pct"/>
            <w:shd w:val="clear" w:color="auto" w:fill="D7DDE9"/>
            <w:vAlign w:val="bottom"/>
          </w:tcPr>
          <w:p w:rsidR="0021106F" w:rsidRPr="0021106F"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1106F">
              <w:rPr>
                <w:b/>
                <w:szCs w:val="20"/>
              </w:rPr>
              <w:t xml:space="preserve">-39.9 </w:t>
            </w:r>
          </w:p>
        </w:tc>
        <w:tc>
          <w:tcPr>
            <w:tcW w:w="300" w:type="pct"/>
            <w:shd w:val="clear" w:color="auto" w:fill="D7DDE9"/>
            <w:vAlign w:val="bottom"/>
          </w:tcPr>
          <w:p w:rsidR="0021106F" w:rsidRPr="0021106F"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1106F">
              <w:rPr>
                <w:b/>
                <w:szCs w:val="20"/>
              </w:rPr>
              <w:t xml:space="preserve">-40.2 </w:t>
            </w:r>
          </w:p>
        </w:tc>
        <w:tc>
          <w:tcPr>
            <w:tcW w:w="300" w:type="pct"/>
            <w:shd w:val="clear" w:color="auto" w:fill="D7DDE9"/>
            <w:vAlign w:val="bottom"/>
          </w:tcPr>
          <w:p w:rsidR="0021106F" w:rsidRPr="0021106F"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1106F">
              <w:rPr>
                <w:b/>
                <w:szCs w:val="20"/>
              </w:rPr>
              <w:t xml:space="preserve">-40.1 </w:t>
            </w:r>
          </w:p>
        </w:tc>
        <w:tc>
          <w:tcPr>
            <w:tcW w:w="300" w:type="pct"/>
            <w:shd w:val="clear" w:color="auto" w:fill="D7DDE9"/>
            <w:vAlign w:val="bottom"/>
          </w:tcPr>
          <w:p w:rsidR="0021106F" w:rsidRPr="0021106F"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1106F">
              <w:rPr>
                <w:b/>
                <w:szCs w:val="20"/>
              </w:rPr>
              <w:t xml:space="preserve">-120.2 </w:t>
            </w:r>
          </w:p>
        </w:tc>
        <w:tc>
          <w:tcPr>
            <w:tcW w:w="300" w:type="pct"/>
            <w:shd w:val="clear" w:color="auto" w:fill="D7DDE9"/>
            <w:vAlign w:val="bottom"/>
          </w:tcPr>
          <w:p w:rsidR="0021106F" w:rsidRPr="0021106F"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1106F">
              <w:rPr>
                <w:b/>
                <w:szCs w:val="20"/>
              </w:rPr>
              <w:t xml:space="preserve">-40.5 </w:t>
            </w:r>
          </w:p>
        </w:tc>
        <w:tc>
          <w:tcPr>
            <w:tcW w:w="300" w:type="pct"/>
            <w:shd w:val="clear" w:color="auto" w:fill="D7DDE9"/>
            <w:vAlign w:val="bottom"/>
          </w:tcPr>
          <w:p w:rsidR="0021106F" w:rsidRPr="0021106F"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1106F">
              <w:rPr>
                <w:b/>
                <w:szCs w:val="20"/>
              </w:rPr>
              <w:t xml:space="preserve">-38.9 </w:t>
            </w:r>
          </w:p>
        </w:tc>
        <w:tc>
          <w:tcPr>
            <w:tcW w:w="300" w:type="pct"/>
            <w:shd w:val="clear" w:color="auto" w:fill="D7DDE9"/>
            <w:vAlign w:val="bottom"/>
          </w:tcPr>
          <w:p w:rsidR="0021106F" w:rsidRPr="0021106F"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1106F">
              <w:rPr>
                <w:b/>
                <w:szCs w:val="20"/>
              </w:rPr>
              <w:t xml:space="preserve">-20.2 </w:t>
            </w:r>
          </w:p>
        </w:tc>
        <w:tc>
          <w:tcPr>
            <w:tcW w:w="300" w:type="pct"/>
            <w:shd w:val="clear" w:color="auto" w:fill="D7DDE9"/>
            <w:vAlign w:val="bottom"/>
          </w:tcPr>
          <w:p w:rsidR="0021106F" w:rsidRPr="0021106F"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1106F">
              <w:rPr>
                <w:b/>
                <w:szCs w:val="20"/>
              </w:rPr>
              <w:t xml:space="preserve">-20.4 </w:t>
            </w:r>
          </w:p>
        </w:tc>
        <w:tc>
          <w:tcPr>
            <w:tcW w:w="300" w:type="pct"/>
            <w:shd w:val="clear" w:color="auto" w:fill="D7DDE9"/>
            <w:vAlign w:val="bottom"/>
          </w:tcPr>
          <w:p w:rsidR="0021106F" w:rsidRPr="0021106F"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1106F">
              <w:rPr>
                <w:b/>
                <w:szCs w:val="20"/>
              </w:rPr>
              <w:t xml:space="preserve">-20.6 </w:t>
            </w:r>
          </w:p>
        </w:tc>
        <w:tc>
          <w:tcPr>
            <w:tcW w:w="300" w:type="pct"/>
            <w:shd w:val="clear" w:color="auto" w:fill="D7DDE9"/>
            <w:vAlign w:val="bottom"/>
          </w:tcPr>
          <w:p w:rsidR="0021106F" w:rsidRPr="0021106F"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1106F">
              <w:rPr>
                <w:b/>
                <w:szCs w:val="20"/>
              </w:rPr>
              <w:t xml:space="preserve">-20.8 </w:t>
            </w:r>
          </w:p>
        </w:tc>
        <w:tc>
          <w:tcPr>
            <w:tcW w:w="300" w:type="pct"/>
            <w:shd w:val="clear" w:color="auto" w:fill="D7DDE9"/>
            <w:vAlign w:val="bottom"/>
          </w:tcPr>
          <w:p w:rsidR="0021106F" w:rsidRPr="0021106F"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1106F">
              <w:rPr>
                <w:b/>
                <w:szCs w:val="20"/>
              </w:rPr>
              <w:t xml:space="preserve">-21.0 </w:t>
            </w:r>
          </w:p>
        </w:tc>
        <w:tc>
          <w:tcPr>
            <w:tcW w:w="297" w:type="pct"/>
            <w:shd w:val="clear" w:color="auto" w:fill="D7DDE9"/>
            <w:vAlign w:val="bottom"/>
          </w:tcPr>
          <w:p w:rsidR="0021106F" w:rsidRPr="0021106F" w:rsidRDefault="0021106F" w:rsidP="0062614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1106F">
              <w:rPr>
                <w:b/>
                <w:szCs w:val="20"/>
              </w:rPr>
              <w:t xml:space="preserve">-302.7 </w:t>
            </w:r>
          </w:p>
        </w:tc>
      </w:tr>
    </w:tbl>
    <w:p w:rsidR="002D0604" w:rsidRPr="002D0604" w:rsidRDefault="002D0604" w:rsidP="00A8400D">
      <w:pPr>
        <w:pStyle w:val="Footnotes"/>
        <w:numPr>
          <w:ilvl w:val="0"/>
          <w:numId w:val="23"/>
        </w:numPr>
        <w:ind w:left="284" w:hanging="284"/>
      </w:pPr>
      <w:r w:rsidRPr="002D0604">
        <w:t>A negative number for the underlying cash and fiscal balances indicates an increase in expenditure.  Impacts on the fiscal and underlying cash balances are equal.</w:t>
      </w:r>
    </w:p>
    <w:p w:rsidR="002D0604" w:rsidRPr="002D0604" w:rsidRDefault="002D0604" w:rsidP="00A8400D">
      <w:pPr>
        <w:numPr>
          <w:ilvl w:val="0"/>
          <w:numId w:val="7"/>
        </w:numPr>
        <w:spacing w:before="113" w:after="0" w:line="260" w:lineRule="atLeast"/>
        <w:ind w:left="284" w:hanging="284"/>
        <w:rPr>
          <w:sz w:val="20"/>
          <w:szCs w:val="20"/>
        </w:rPr>
      </w:pPr>
      <w:r w:rsidRPr="002D0604">
        <w:rPr>
          <w:sz w:val="20"/>
          <w:szCs w:val="20"/>
        </w:rPr>
        <w:t>Figures may not sum to total due to rounding.</w:t>
      </w:r>
    </w:p>
    <w:p w:rsidR="002D0604" w:rsidRPr="002D0604" w:rsidRDefault="002D0604" w:rsidP="00A8400D">
      <w:pPr>
        <w:numPr>
          <w:ilvl w:val="0"/>
          <w:numId w:val="21"/>
        </w:numPr>
        <w:spacing w:before="113" w:after="0" w:line="260" w:lineRule="atLeast"/>
        <w:ind w:left="284" w:hanging="284"/>
        <w:rPr>
          <w:sz w:val="20"/>
          <w:szCs w:val="20"/>
        </w:rPr>
        <w:sectPr w:rsidR="002D0604" w:rsidRPr="002D0604" w:rsidSect="00A8400D">
          <w:pgSz w:w="16838" w:h="11906" w:orient="landscape"/>
          <w:pgMar w:top="1701" w:right="1361" w:bottom="1797" w:left="1474" w:header="709" w:footer="709" w:gutter="0"/>
          <w:cols w:space="708"/>
          <w:titlePg/>
          <w:docGrid w:linePitch="360"/>
        </w:sectPr>
      </w:pPr>
      <w:r w:rsidRPr="002D0604">
        <w:rPr>
          <w:sz w:val="20"/>
          <w:szCs w:val="20"/>
        </w:rPr>
        <w:t>Indicates nil.</w:t>
      </w:r>
    </w:p>
    <w:p w:rsidR="0073736A" w:rsidRPr="00FC6579" w:rsidRDefault="0073736A" w:rsidP="0073736A">
      <w:pPr>
        <w:pStyle w:val="Captionheading"/>
      </w:pPr>
      <w:r w:rsidRPr="009D6BF6">
        <w:lastRenderedPageBreak/>
        <w:t>Table A</w:t>
      </w:r>
      <w:r w:rsidR="001F5941">
        <w:t>5</w:t>
      </w:r>
      <w:r w:rsidRPr="009D6BF6">
        <w:t xml:space="preserve">: </w:t>
      </w:r>
      <w:r>
        <w:t>Compon</w:t>
      </w:r>
      <w:r w:rsidR="001F5941">
        <w:t>ent 4</w:t>
      </w:r>
      <w:r>
        <w:t>:</w:t>
      </w:r>
      <w:r w:rsidRPr="004549F6">
        <w:t xml:space="preserve"> </w:t>
      </w:r>
      <w:r w:rsidR="001F5941" w:rsidRPr="001F5941">
        <w:t xml:space="preserve">National strategy to protect islands from biosecurity </w:t>
      </w:r>
      <w:r w:rsidR="006E6583">
        <w:t xml:space="preserve">risks </w:t>
      </w:r>
      <w:r w:rsidRPr="005A2B11">
        <w:t>—Financial implications</w:t>
      </w:r>
      <w:r w:rsidRPr="005A2B11">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2"/>
        <w:gridCol w:w="907"/>
        <w:gridCol w:w="901"/>
        <w:gridCol w:w="901"/>
        <w:gridCol w:w="901"/>
        <w:gridCol w:w="901"/>
        <w:gridCol w:w="901"/>
        <w:gridCol w:w="901"/>
        <w:gridCol w:w="901"/>
        <w:gridCol w:w="904"/>
      </w:tblGrid>
      <w:tr w:rsidR="001F5941" w:rsidRPr="00B31810" w:rsidTr="00262A55">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1F5941" w:rsidRPr="005A2B11" w:rsidRDefault="001F5941" w:rsidP="009F1F51">
            <w:pPr>
              <w:keepNext/>
              <w:keepLines/>
              <w:spacing w:before="70" w:after="70" w:line="240" w:lineRule="auto"/>
              <w:ind w:left="57" w:right="57"/>
              <w:rPr>
                <w:szCs w:val="20"/>
              </w:rPr>
            </w:pPr>
            <w:r w:rsidRPr="005A2B11">
              <w:rPr>
                <w:szCs w:val="20"/>
              </w:rPr>
              <w:t>($m)</w:t>
            </w:r>
          </w:p>
        </w:tc>
        <w:tc>
          <w:tcPr>
            <w:tcW w:w="326" w:type="pct"/>
            <w:shd w:val="clear" w:color="auto" w:fill="D7DDE9"/>
          </w:tcPr>
          <w:p w:rsidR="001F5941" w:rsidRPr="005A2B11" w:rsidRDefault="001F5941" w:rsidP="009F1F5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2016–17</w:t>
            </w:r>
          </w:p>
        </w:tc>
        <w:tc>
          <w:tcPr>
            <w:tcW w:w="325" w:type="pct"/>
            <w:shd w:val="clear" w:color="auto" w:fill="D7DDE9"/>
          </w:tcPr>
          <w:p w:rsidR="001F5941" w:rsidRPr="005A2B11" w:rsidRDefault="001F5941" w:rsidP="009F1F5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2017–18</w:t>
            </w:r>
          </w:p>
        </w:tc>
        <w:tc>
          <w:tcPr>
            <w:tcW w:w="325" w:type="pct"/>
            <w:shd w:val="clear" w:color="auto" w:fill="D7DDE9"/>
          </w:tcPr>
          <w:p w:rsidR="001F5941" w:rsidRPr="005A2B11" w:rsidRDefault="001F5941" w:rsidP="009F1F5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2018–19</w:t>
            </w:r>
          </w:p>
        </w:tc>
        <w:tc>
          <w:tcPr>
            <w:tcW w:w="325" w:type="pct"/>
            <w:shd w:val="clear" w:color="auto" w:fill="D7DDE9"/>
          </w:tcPr>
          <w:p w:rsidR="001F5941" w:rsidRPr="005A2B11" w:rsidRDefault="001F5941" w:rsidP="009F1F5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2019–20</w:t>
            </w:r>
          </w:p>
        </w:tc>
        <w:tc>
          <w:tcPr>
            <w:tcW w:w="327" w:type="pct"/>
            <w:shd w:val="clear" w:color="auto" w:fill="D7DDE9"/>
          </w:tcPr>
          <w:p w:rsidR="001F5941" w:rsidRPr="005A2B11" w:rsidRDefault="001F5941" w:rsidP="009F1F5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5A2B11">
              <w:rPr>
                <w:b/>
                <w:szCs w:val="20"/>
              </w:rPr>
              <w:t>Total to 2019–20</w:t>
            </w:r>
          </w:p>
        </w:tc>
        <w:tc>
          <w:tcPr>
            <w:tcW w:w="325" w:type="pct"/>
            <w:shd w:val="clear" w:color="auto" w:fill="D7DDE9"/>
          </w:tcPr>
          <w:p w:rsidR="001F5941" w:rsidRPr="005A2B11" w:rsidRDefault="001F5941" w:rsidP="009F1F5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2020–21</w:t>
            </w:r>
          </w:p>
        </w:tc>
        <w:tc>
          <w:tcPr>
            <w:tcW w:w="325" w:type="pct"/>
            <w:shd w:val="clear" w:color="auto" w:fill="D7DDE9"/>
          </w:tcPr>
          <w:p w:rsidR="001F5941" w:rsidRPr="005A2B11" w:rsidRDefault="001F5941" w:rsidP="009F1F5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2021–22</w:t>
            </w:r>
          </w:p>
        </w:tc>
        <w:tc>
          <w:tcPr>
            <w:tcW w:w="325" w:type="pct"/>
            <w:shd w:val="clear" w:color="auto" w:fill="D7DDE9"/>
          </w:tcPr>
          <w:p w:rsidR="001F5941" w:rsidRPr="005A2B11" w:rsidRDefault="001F5941" w:rsidP="009F1F5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2022–23</w:t>
            </w:r>
          </w:p>
        </w:tc>
        <w:tc>
          <w:tcPr>
            <w:tcW w:w="325" w:type="pct"/>
            <w:shd w:val="clear" w:color="auto" w:fill="D7DDE9"/>
          </w:tcPr>
          <w:p w:rsidR="001F5941" w:rsidRPr="005A2B11" w:rsidRDefault="001F5941" w:rsidP="009F1F5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2023–24</w:t>
            </w:r>
          </w:p>
        </w:tc>
        <w:tc>
          <w:tcPr>
            <w:tcW w:w="325" w:type="pct"/>
            <w:shd w:val="clear" w:color="auto" w:fill="D7DDE9"/>
          </w:tcPr>
          <w:p w:rsidR="001F5941" w:rsidRPr="005A2B11" w:rsidRDefault="001F5941" w:rsidP="009F1F5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2024–25</w:t>
            </w:r>
          </w:p>
        </w:tc>
        <w:tc>
          <w:tcPr>
            <w:tcW w:w="325" w:type="pct"/>
            <w:shd w:val="clear" w:color="auto" w:fill="D7DDE9"/>
          </w:tcPr>
          <w:p w:rsidR="001F5941" w:rsidRPr="005A2B11" w:rsidRDefault="001F5941" w:rsidP="009F1F5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2025–26</w:t>
            </w:r>
          </w:p>
        </w:tc>
        <w:tc>
          <w:tcPr>
            <w:tcW w:w="325" w:type="pct"/>
            <w:shd w:val="clear" w:color="auto" w:fill="D7DDE9"/>
          </w:tcPr>
          <w:p w:rsidR="001F5941" w:rsidRPr="005A2B11" w:rsidRDefault="001F5941" w:rsidP="009F1F5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5A2B11">
              <w:rPr>
                <w:szCs w:val="20"/>
              </w:rPr>
              <w:t>2026–27</w:t>
            </w:r>
          </w:p>
        </w:tc>
        <w:tc>
          <w:tcPr>
            <w:tcW w:w="326" w:type="pct"/>
            <w:shd w:val="clear" w:color="auto" w:fill="D7DDE9"/>
          </w:tcPr>
          <w:p w:rsidR="001F5941" w:rsidRPr="005A2B11" w:rsidRDefault="001F5941" w:rsidP="009F1F5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5A2B11">
              <w:rPr>
                <w:b/>
                <w:szCs w:val="20"/>
              </w:rPr>
              <w:t>Total to 2026–27</w:t>
            </w:r>
          </w:p>
        </w:tc>
      </w:tr>
      <w:tr w:rsidR="001F5941" w:rsidRPr="00EF1D6A" w:rsidTr="00262A55">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1F5941" w:rsidRPr="005A2B11" w:rsidRDefault="001F5941" w:rsidP="009F1F51">
            <w:pPr>
              <w:pStyle w:val="TableHeadingCentred"/>
              <w:spacing w:line="240" w:lineRule="auto"/>
              <w:ind w:left="57" w:right="57"/>
              <w:jc w:val="left"/>
              <w:rPr>
                <w:b/>
                <w:szCs w:val="20"/>
              </w:rPr>
            </w:pPr>
            <w:r w:rsidRPr="005A2B11">
              <w:rPr>
                <w:b/>
                <w:szCs w:val="20"/>
              </w:rPr>
              <w:t>Impact on fiscal and underlying cash balances</w:t>
            </w:r>
          </w:p>
        </w:tc>
      </w:tr>
      <w:tr w:rsidR="001F5941" w:rsidTr="001F5941">
        <w:trPr>
          <w:cantSplit/>
        </w:trPr>
        <w:tc>
          <w:tcPr>
            <w:cnfStyle w:val="001000000000" w:firstRow="0" w:lastRow="0" w:firstColumn="1" w:lastColumn="0" w:oddVBand="0" w:evenVBand="0" w:oddHBand="0" w:evenHBand="0" w:firstRowFirstColumn="0" w:firstRowLastColumn="0" w:lastRowFirstColumn="0" w:lastRowLastColumn="0"/>
            <w:tcW w:w="771" w:type="pct"/>
          </w:tcPr>
          <w:p w:rsidR="001F5941" w:rsidRPr="005A2B11" w:rsidRDefault="001F5941" w:rsidP="009F1F51">
            <w:pPr>
              <w:spacing w:before="70" w:after="70" w:line="240" w:lineRule="auto"/>
              <w:ind w:left="57" w:right="57"/>
              <w:rPr>
                <w:color w:val="000000"/>
                <w:szCs w:val="20"/>
              </w:rPr>
            </w:pPr>
            <w:r w:rsidRPr="005A2B11">
              <w:rPr>
                <w:color w:val="000000"/>
                <w:szCs w:val="20"/>
              </w:rPr>
              <w:t>Departmental</w:t>
            </w:r>
          </w:p>
        </w:tc>
        <w:tc>
          <w:tcPr>
            <w:tcW w:w="326" w:type="pct"/>
          </w:tcPr>
          <w:p w:rsidR="001F5941" w:rsidRPr="005A2B11" w:rsidRDefault="001F5941"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w:t>
            </w:r>
          </w:p>
        </w:tc>
        <w:tc>
          <w:tcPr>
            <w:tcW w:w="325" w:type="pct"/>
          </w:tcPr>
          <w:p w:rsidR="001F5941" w:rsidRPr="005E2AA0"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-5.0</w:t>
            </w:r>
          </w:p>
        </w:tc>
        <w:tc>
          <w:tcPr>
            <w:tcW w:w="325" w:type="pct"/>
          </w:tcPr>
          <w:p w:rsidR="001F5941" w:rsidRPr="005E2AA0"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-5.0</w:t>
            </w:r>
          </w:p>
        </w:tc>
        <w:tc>
          <w:tcPr>
            <w:tcW w:w="325" w:type="pct"/>
          </w:tcPr>
          <w:p w:rsidR="001F5941" w:rsidRPr="005E2AA0"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-5.0</w:t>
            </w:r>
          </w:p>
        </w:tc>
        <w:tc>
          <w:tcPr>
            <w:tcW w:w="327" w:type="pct"/>
          </w:tcPr>
          <w:p w:rsidR="001F5941" w:rsidRPr="001F5941"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Pr>
                <w:b/>
              </w:rPr>
              <w:t>-15.0</w:t>
            </w:r>
          </w:p>
        </w:tc>
        <w:tc>
          <w:tcPr>
            <w:tcW w:w="325" w:type="pct"/>
          </w:tcPr>
          <w:p w:rsidR="001F5941" w:rsidRPr="005E2AA0"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-5.0</w:t>
            </w:r>
          </w:p>
        </w:tc>
        <w:tc>
          <w:tcPr>
            <w:tcW w:w="325" w:type="pct"/>
          </w:tcPr>
          <w:p w:rsidR="001F5941" w:rsidRPr="005E2AA0"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-5.0</w:t>
            </w:r>
          </w:p>
        </w:tc>
        <w:tc>
          <w:tcPr>
            <w:tcW w:w="325" w:type="pct"/>
          </w:tcPr>
          <w:p w:rsidR="001F5941" w:rsidRPr="005E2AA0"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-5.0</w:t>
            </w:r>
          </w:p>
        </w:tc>
        <w:tc>
          <w:tcPr>
            <w:tcW w:w="325" w:type="pct"/>
          </w:tcPr>
          <w:p w:rsidR="001F5941" w:rsidRPr="005E2AA0"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-5.0</w:t>
            </w:r>
          </w:p>
        </w:tc>
        <w:tc>
          <w:tcPr>
            <w:tcW w:w="325" w:type="pct"/>
          </w:tcPr>
          <w:p w:rsidR="001F5941" w:rsidRPr="005E2AA0"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-5.0</w:t>
            </w:r>
          </w:p>
        </w:tc>
        <w:tc>
          <w:tcPr>
            <w:tcW w:w="325" w:type="pct"/>
          </w:tcPr>
          <w:p w:rsidR="001F5941" w:rsidRPr="005E2AA0"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-5.0</w:t>
            </w:r>
          </w:p>
        </w:tc>
        <w:tc>
          <w:tcPr>
            <w:tcW w:w="325" w:type="pct"/>
          </w:tcPr>
          <w:p w:rsidR="001F5941" w:rsidRPr="005E2AA0"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-5.0</w:t>
            </w:r>
          </w:p>
        </w:tc>
        <w:tc>
          <w:tcPr>
            <w:tcW w:w="326" w:type="pct"/>
          </w:tcPr>
          <w:p w:rsidR="001F5941" w:rsidRPr="001F5941"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Pr>
                <w:b/>
              </w:rPr>
              <w:t>-50.0</w:t>
            </w:r>
          </w:p>
        </w:tc>
      </w:tr>
      <w:tr w:rsidR="001F5941" w:rsidRPr="008D6ECA" w:rsidTr="001F5941">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E9ECF3"/>
          </w:tcPr>
          <w:p w:rsidR="001F5941" w:rsidRPr="005A2B11" w:rsidRDefault="001F5941" w:rsidP="009F1F51">
            <w:pPr>
              <w:spacing w:before="70" w:after="70" w:line="240" w:lineRule="auto"/>
              <w:ind w:left="57" w:right="57"/>
              <w:rPr>
                <w:b/>
                <w:bCs/>
                <w:color w:val="000000"/>
                <w:szCs w:val="20"/>
              </w:rPr>
            </w:pPr>
            <w:r w:rsidRPr="005A2B11">
              <w:rPr>
                <w:b/>
                <w:bCs/>
                <w:color w:val="000000"/>
                <w:szCs w:val="20"/>
              </w:rPr>
              <w:t>Total</w:t>
            </w:r>
          </w:p>
        </w:tc>
        <w:tc>
          <w:tcPr>
            <w:tcW w:w="326" w:type="pct"/>
            <w:shd w:val="clear" w:color="auto" w:fill="E9ECF3"/>
          </w:tcPr>
          <w:p w:rsidR="001F5941" w:rsidRPr="001F5941" w:rsidRDefault="001F5941"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bCs/>
                <w:i w:val="0"/>
              </w:rPr>
            </w:pPr>
            <w:r w:rsidRPr="001F5941">
              <w:rPr>
                <w:b/>
                <w:bCs/>
                <w:i w:val="0"/>
              </w:rPr>
              <w:t>-</w:t>
            </w:r>
          </w:p>
        </w:tc>
        <w:tc>
          <w:tcPr>
            <w:tcW w:w="325" w:type="pct"/>
            <w:shd w:val="clear" w:color="auto" w:fill="E9ECF3"/>
          </w:tcPr>
          <w:p w:rsidR="001F5941" w:rsidRPr="001F5941"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-5.0</w:t>
            </w:r>
          </w:p>
        </w:tc>
        <w:tc>
          <w:tcPr>
            <w:tcW w:w="325" w:type="pct"/>
            <w:shd w:val="clear" w:color="auto" w:fill="E9ECF3"/>
          </w:tcPr>
          <w:p w:rsidR="001F5941" w:rsidRPr="001F5941"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-5.0</w:t>
            </w:r>
          </w:p>
        </w:tc>
        <w:tc>
          <w:tcPr>
            <w:tcW w:w="325" w:type="pct"/>
            <w:shd w:val="clear" w:color="auto" w:fill="E9ECF3"/>
          </w:tcPr>
          <w:p w:rsidR="001F5941" w:rsidRPr="001F5941"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-5.0</w:t>
            </w:r>
          </w:p>
        </w:tc>
        <w:tc>
          <w:tcPr>
            <w:tcW w:w="327" w:type="pct"/>
            <w:shd w:val="clear" w:color="auto" w:fill="E9ECF3"/>
          </w:tcPr>
          <w:p w:rsidR="001F5941" w:rsidRPr="001F5941"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-15.0</w:t>
            </w:r>
          </w:p>
        </w:tc>
        <w:tc>
          <w:tcPr>
            <w:tcW w:w="325" w:type="pct"/>
            <w:shd w:val="clear" w:color="auto" w:fill="E9ECF3"/>
          </w:tcPr>
          <w:p w:rsidR="001F5941" w:rsidRPr="001F5941"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-5.0</w:t>
            </w:r>
          </w:p>
        </w:tc>
        <w:tc>
          <w:tcPr>
            <w:tcW w:w="325" w:type="pct"/>
            <w:shd w:val="clear" w:color="auto" w:fill="E9ECF3"/>
          </w:tcPr>
          <w:p w:rsidR="001F5941" w:rsidRPr="001F5941"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-5.0</w:t>
            </w:r>
          </w:p>
        </w:tc>
        <w:tc>
          <w:tcPr>
            <w:tcW w:w="325" w:type="pct"/>
            <w:shd w:val="clear" w:color="auto" w:fill="E9ECF3"/>
          </w:tcPr>
          <w:p w:rsidR="001F5941" w:rsidRPr="001F5941"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-5.0</w:t>
            </w:r>
          </w:p>
        </w:tc>
        <w:tc>
          <w:tcPr>
            <w:tcW w:w="325" w:type="pct"/>
            <w:shd w:val="clear" w:color="auto" w:fill="E9ECF3"/>
          </w:tcPr>
          <w:p w:rsidR="001F5941" w:rsidRPr="001F5941"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-5.0</w:t>
            </w:r>
          </w:p>
        </w:tc>
        <w:tc>
          <w:tcPr>
            <w:tcW w:w="325" w:type="pct"/>
            <w:shd w:val="clear" w:color="auto" w:fill="E9ECF3"/>
          </w:tcPr>
          <w:p w:rsidR="001F5941" w:rsidRPr="001F5941"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-5.0</w:t>
            </w:r>
          </w:p>
        </w:tc>
        <w:tc>
          <w:tcPr>
            <w:tcW w:w="325" w:type="pct"/>
            <w:shd w:val="clear" w:color="auto" w:fill="E9ECF3"/>
          </w:tcPr>
          <w:p w:rsidR="001F5941" w:rsidRPr="001F5941"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-5.0</w:t>
            </w:r>
          </w:p>
        </w:tc>
        <w:tc>
          <w:tcPr>
            <w:tcW w:w="325" w:type="pct"/>
            <w:shd w:val="clear" w:color="auto" w:fill="E9ECF3"/>
          </w:tcPr>
          <w:p w:rsidR="001F5941" w:rsidRPr="001F5941"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-5.0</w:t>
            </w:r>
          </w:p>
        </w:tc>
        <w:tc>
          <w:tcPr>
            <w:tcW w:w="326" w:type="pct"/>
            <w:shd w:val="clear" w:color="auto" w:fill="E9ECF3"/>
          </w:tcPr>
          <w:p w:rsidR="001F5941" w:rsidRPr="001F5941" w:rsidRDefault="000F64C9" w:rsidP="009F1F51">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-50.0</w:t>
            </w:r>
          </w:p>
        </w:tc>
      </w:tr>
    </w:tbl>
    <w:p w:rsidR="0073736A" w:rsidRDefault="0073736A" w:rsidP="00E741A2">
      <w:pPr>
        <w:pStyle w:val="Footnotes"/>
        <w:numPr>
          <w:ilvl w:val="0"/>
          <w:numId w:val="24"/>
        </w:numPr>
        <w:ind w:left="284" w:hanging="284"/>
      </w:pPr>
      <w:r w:rsidRPr="00730A6D">
        <w:t>A negative number for the underlying cash and fiscal balances indicates an increase in expenditure.  Impacts on the fiscal and unde</w:t>
      </w:r>
      <w:r>
        <w:t>rlying cash balances are equal.</w:t>
      </w:r>
    </w:p>
    <w:p w:rsidR="0073736A" w:rsidRPr="00EC7179" w:rsidRDefault="0073736A" w:rsidP="00E741A2">
      <w:pPr>
        <w:pStyle w:val="Footnotes"/>
        <w:numPr>
          <w:ilvl w:val="0"/>
          <w:numId w:val="24"/>
        </w:numPr>
        <w:ind w:left="284" w:hanging="284"/>
      </w:pPr>
      <w:r w:rsidRPr="00EC7179">
        <w:t>Figures may not sum to total due to rounding.</w:t>
      </w:r>
    </w:p>
    <w:p w:rsidR="002D0604" w:rsidRPr="00FC6579" w:rsidRDefault="0073736A" w:rsidP="009F1F51">
      <w:pPr>
        <w:numPr>
          <w:ilvl w:val="0"/>
          <w:numId w:val="21"/>
        </w:numPr>
        <w:spacing w:before="113" w:after="0" w:line="260" w:lineRule="atLeast"/>
        <w:ind w:left="284" w:hanging="284"/>
      </w:pPr>
      <w:r w:rsidRPr="00023BF2">
        <w:rPr>
          <w:sz w:val="20"/>
          <w:szCs w:val="20"/>
        </w:rPr>
        <w:t>Indicates nil.</w:t>
      </w:r>
    </w:p>
    <w:sectPr w:rsidR="002D0604" w:rsidRPr="00FC6579" w:rsidSect="00CA12A0">
      <w:headerReference w:type="first" r:id="rId22"/>
      <w:footerReference w:type="first" r:id="rId23"/>
      <w:pgSz w:w="16839" w:h="11907" w:orient="landscape" w:code="9"/>
      <w:pgMar w:top="1797" w:right="1361" w:bottom="1797"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FAE" w:rsidRDefault="00AC1FAE" w:rsidP="008F588A">
      <w:pPr>
        <w:spacing w:line="240" w:lineRule="auto"/>
      </w:pPr>
      <w:r>
        <w:separator/>
      </w:r>
    </w:p>
    <w:p w:rsidR="00AC1FAE" w:rsidRDefault="00AC1FAE"/>
  </w:endnote>
  <w:endnote w:type="continuationSeparator" w:id="0">
    <w:p w:rsidR="00AC1FAE" w:rsidRDefault="00AC1FAE" w:rsidP="008F588A">
      <w:pPr>
        <w:spacing w:line="240" w:lineRule="auto"/>
      </w:pPr>
      <w:r>
        <w:continuationSeparator/>
      </w:r>
    </w:p>
    <w:p w:rsidR="00AC1FAE" w:rsidRDefault="00AC1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AE" w:rsidRPr="00C24267" w:rsidRDefault="00AC1FAE"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0F0FBA">
      <w:rPr>
        <w:noProof/>
      </w:rPr>
      <w:t>4</w:t>
    </w:r>
    <w:r w:rsidRPr="00C24267">
      <w:fldChar w:fldCharType="end"/>
    </w:r>
    <w:r w:rsidRPr="00C24267">
      <w:t xml:space="preserve"> of </w:t>
    </w:r>
    <w:r w:rsidR="000F0FBA">
      <w:fldChar w:fldCharType="begin"/>
    </w:r>
    <w:r w:rsidR="000F0FBA">
      <w:instrText xml:space="preserve"> NUMPAGES  \* Arabic  \* MERGEFORMAT </w:instrText>
    </w:r>
    <w:r w:rsidR="000F0FBA">
      <w:fldChar w:fldCharType="separate"/>
    </w:r>
    <w:r w:rsidR="000F0FBA">
      <w:rPr>
        <w:noProof/>
      </w:rPr>
      <w:t>10</w:t>
    </w:r>
    <w:r w:rsidR="000F0FB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AE" w:rsidRPr="00C24267" w:rsidRDefault="00AC1FAE" w:rsidP="00C24267">
    <w:pPr>
      <w:pStyle w:val="Letterfooter"/>
    </w:pPr>
    <w:r w:rsidRPr="00C24267">
      <w:t>Parliamentary Budget Office   PO Box 6010   Parliament House   Canberra ACT 2600</w:t>
    </w:r>
  </w:p>
  <w:p w:rsidR="00AC1FAE" w:rsidRPr="00C24267" w:rsidRDefault="00AC1FAE"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AE" w:rsidRPr="00C24267" w:rsidRDefault="00AC1FAE"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0F0FBA">
      <w:rPr>
        <w:noProof/>
      </w:rPr>
      <w:t>2</w:t>
    </w:r>
    <w:r w:rsidRPr="00C24267">
      <w:fldChar w:fldCharType="end"/>
    </w:r>
    <w:r w:rsidRPr="00C24267">
      <w:t xml:space="preserve"> of </w:t>
    </w:r>
    <w:r w:rsidR="000F0FBA">
      <w:fldChar w:fldCharType="begin"/>
    </w:r>
    <w:r w:rsidR="000F0FBA">
      <w:instrText xml:space="preserve"> NUMPAGES  \* Arabic  \* MERGE</w:instrText>
    </w:r>
    <w:r w:rsidR="000F0FBA">
      <w:instrText xml:space="preserve">FORMAT </w:instrText>
    </w:r>
    <w:r w:rsidR="000F0FBA">
      <w:fldChar w:fldCharType="separate"/>
    </w:r>
    <w:r w:rsidR="000F0FBA">
      <w:rPr>
        <w:noProof/>
      </w:rPr>
      <w:t>10</w:t>
    </w:r>
    <w:r w:rsidR="000F0FBA">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AE" w:rsidRPr="00C24267" w:rsidRDefault="00AC1FAE"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0F0FBA">
      <w:rPr>
        <w:noProof/>
      </w:rPr>
      <w:t>6</w:t>
    </w:r>
    <w:r w:rsidRPr="00C24267">
      <w:fldChar w:fldCharType="end"/>
    </w:r>
    <w:r w:rsidRPr="00C24267">
      <w:t xml:space="preserve"> of </w:t>
    </w:r>
    <w:r w:rsidR="000F0FBA">
      <w:fldChar w:fldCharType="begin"/>
    </w:r>
    <w:r w:rsidR="000F0FBA">
      <w:instrText xml:space="preserve"> NUMPAGES  \* Arabic  \* MERGEFORMAT </w:instrText>
    </w:r>
    <w:r w:rsidR="000F0FBA">
      <w:fldChar w:fldCharType="separate"/>
    </w:r>
    <w:r w:rsidR="000F0FBA">
      <w:rPr>
        <w:noProof/>
      </w:rPr>
      <w:t>6</w:t>
    </w:r>
    <w:r w:rsidR="000F0FBA">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AE" w:rsidRPr="00C24267" w:rsidRDefault="00AC1FAE"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0F0FBA">
      <w:rPr>
        <w:noProof/>
      </w:rPr>
      <w:t>7</w:t>
    </w:r>
    <w:r w:rsidRPr="00C24267">
      <w:fldChar w:fldCharType="end"/>
    </w:r>
    <w:r w:rsidRPr="00C24267">
      <w:t xml:space="preserve"> of </w:t>
    </w:r>
    <w:r w:rsidR="000F0FBA">
      <w:fldChar w:fldCharType="begin"/>
    </w:r>
    <w:r w:rsidR="000F0FBA">
      <w:instrText xml:space="preserve"> NUMPAGES  \* Arabic  \* MERGEFORMAT </w:instrText>
    </w:r>
    <w:r w:rsidR="000F0FBA">
      <w:fldChar w:fldCharType="separate"/>
    </w:r>
    <w:r w:rsidR="000F0FBA">
      <w:rPr>
        <w:noProof/>
      </w:rPr>
      <w:t>7</w:t>
    </w:r>
    <w:r w:rsidR="000F0FBA">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AE" w:rsidRPr="00C24267" w:rsidRDefault="00AC1FAE"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0F0FBA">
      <w:rPr>
        <w:noProof/>
      </w:rPr>
      <w:t>9</w:t>
    </w:r>
    <w:r w:rsidRPr="00C24267">
      <w:fldChar w:fldCharType="end"/>
    </w:r>
    <w:r w:rsidRPr="00C24267">
      <w:t xml:space="preserve"> of </w:t>
    </w:r>
    <w:r w:rsidR="000F0FBA">
      <w:fldChar w:fldCharType="begin"/>
    </w:r>
    <w:r w:rsidR="000F0FBA">
      <w:instrText xml:space="preserve"> NUMPAGES  \* Arabic  \* MERGEFORMAT </w:instrText>
    </w:r>
    <w:r w:rsidR="000F0FBA">
      <w:fldChar w:fldCharType="separate"/>
    </w:r>
    <w:r w:rsidR="000F0FBA">
      <w:rPr>
        <w:noProof/>
      </w:rPr>
      <w:t>9</w:t>
    </w:r>
    <w:r w:rsidR="000F0FBA">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AE" w:rsidRPr="00C24267" w:rsidRDefault="00AC1FAE"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0F0FBA">
      <w:rPr>
        <w:noProof/>
      </w:rPr>
      <w:t>10</w:t>
    </w:r>
    <w:r w:rsidRPr="00C24267">
      <w:fldChar w:fldCharType="end"/>
    </w:r>
    <w:r w:rsidRPr="00C24267">
      <w:t xml:space="preserve"> of </w:t>
    </w:r>
    <w:r w:rsidR="000F0FBA">
      <w:fldChar w:fldCharType="begin"/>
    </w:r>
    <w:r w:rsidR="000F0FBA">
      <w:instrText xml:space="preserve"> NUMPAGES  \* Arabic  \* MERGEFORMAT </w:instrText>
    </w:r>
    <w:r w:rsidR="000F0FBA">
      <w:fldChar w:fldCharType="separate"/>
    </w:r>
    <w:r w:rsidR="000F0FBA">
      <w:rPr>
        <w:noProof/>
      </w:rPr>
      <w:t>10</w:t>
    </w:r>
    <w:r w:rsidR="000F0FB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FAE" w:rsidRDefault="00AC1FAE" w:rsidP="008F588A">
      <w:pPr>
        <w:spacing w:line="240" w:lineRule="auto"/>
      </w:pPr>
      <w:r>
        <w:separator/>
      </w:r>
    </w:p>
    <w:p w:rsidR="00AC1FAE" w:rsidRDefault="00AC1FAE"/>
  </w:footnote>
  <w:footnote w:type="continuationSeparator" w:id="0">
    <w:p w:rsidR="00AC1FAE" w:rsidRDefault="00AC1FAE" w:rsidP="008F588A">
      <w:pPr>
        <w:spacing w:line="240" w:lineRule="auto"/>
      </w:pPr>
      <w:r>
        <w:continuationSeparator/>
      </w:r>
    </w:p>
    <w:p w:rsidR="00AC1FAE" w:rsidRDefault="00AC1F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AE" w:rsidRDefault="00AC1FAE" w:rsidP="00CB40E1">
    <w:pPr>
      <w:pStyle w:val="Header"/>
    </w:pPr>
    <w:r>
      <w:rPr>
        <w:noProof/>
        <w:lang w:eastAsia="en-AU"/>
      </w:rPr>
      <w:drawing>
        <wp:inline distT="0" distB="0" distL="0" distR="0" wp14:anchorId="7B369CC7" wp14:editId="79297B6C">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AC1FAE" w:rsidRPr="00DA1C8A" w:rsidRDefault="00AC1FAE"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AE" w:rsidRPr="00C17112" w:rsidRDefault="00AC1FAE" w:rsidP="00C17112">
    <w:pPr>
      <w:pStyle w:val="Header"/>
    </w:pPr>
    <w:r>
      <w:rPr>
        <w:noProof/>
        <w:lang w:eastAsia="en-AU"/>
      </w:rPr>
      <w:drawing>
        <wp:inline distT="0" distB="0" distL="0" distR="0" wp14:anchorId="7F9E40B5" wp14:editId="75255D55">
          <wp:extent cx="2696845" cy="57213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AE" w:rsidRPr="00C7158F" w:rsidRDefault="00AC1FAE" w:rsidP="00C715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AE" w:rsidRPr="00C7158F" w:rsidRDefault="00AC1FAE" w:rsidP="00C715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AE" w:rsidRPr="00C7158F" w:rsidRDefault="00AC1FAE" w:rsidP="00C7158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AE" w:rsidRPr="00C7158F" w:rsidRDefault="00AC1FAE" w:rsidP="00C71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0F5564CC"/>
    <w:multiLevelType w:val="hybridMultilevel"/>
    <w:tmpl w:val="6CB4A590"/>
    <w:lvl w:ilvl="0" w:tplc="817E53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2809BF"/>
    <w:multiLevelType w:val="hybridMultilevel"/>
    <w:tmpl w:val="6CB4A590"/>
    <w:lvl w:ilvl="0" w:tplc="817E53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8">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9">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65E7B5A"/>
    <w:multiLevelType w:val="hybridMultilevel"/>
    <w:tmpl w:val="F2C28104"/>
    <w:lvl w:ilvl="0" w:tplc="926CBE88">
      <w:start w:val="1"/>
      <w:numFmt w:val="bullet"/>
      <w:lvlText w:val=""/>
      <w:lvlJc w:val="left"/>
      <w:pPr>
        <w:ind w:left="644" w:hanging="360"/>
      </w:pPr>
      <w:rPr>
        <w:rFonts w:ascii="Symbol" w:hAnsi="Symbol" w:hint="default"/>
      </w:rPr>
    </w:lvl>
    <w:lvl w:ilvl="1" w:tplc="9CA266AC">
      <w:start w:val="1"/>
      <w:numFmt w:val="bullet"/>
      <w:lvlText w:val="-"/>
      <w:lvlJc w:val="left"/>
      <w:pPr>
        <w:ind w:left="2520" w:hanging="360"/>
      </w:pPr>
      <w:rPr>
        <w:rFonts w:ascii="Times New Roman" w:hAnsi="Times New Roman" w:cs="Times New Roman" w:hint="default"/>
      </w:rPr>
    </w:lvl>
    <w:lvl w:ilvl="2" w:tplc="91389894">
      <w:start w:val="1"/>
      <w:numFmt w:val="bullet"/>
      <w:lvlText w:val="+"/>
      <w:lvlJc w:val="left"/>
      <w:pPr>
        <w:ind w:left="2084" w:hanging="360"/>
      </w:pPr>
      <w:rPr>
        <w:rFonts w:ascii="Times New Roman" w:hAnsi="Times New Roman" w:cs="Times New Roman"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nsid w:val="69070E29"/>
    <w:multiLevelType w:val="hybridMultilevel"/>
    <w:tmpl w:val="65EA4040"/>
    <w:lvl w:ilvl="0" w:tplc="CA7A5E2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12"/>
  </w:num>
  <w:num w:numId="6">
    <w:abstractNumId w:val="9"/>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1"/>
  </w:num>
  <w:num w:numId="12">
    <w:abstractNumId w:val="0"/>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10"/>
  </w:num>
  <w:num w:numId="18">
    <w:abstractNumId w:val="2"/>
  </w:num>
  <w:num w:numId="19">
    <w:abstractNumId w:val="13"/>
  </w:num>
  <w:num w:numId="20">
    <w:abstractNumId w:val="9"/>
    <w:lvlOverride w:ilvl="0">
      <w:startOverride w:val="1"/>
    </w:lvlOverride>
  </w:num>
  <w:num w:numId="21">
    <w:abstractNumId w:val="11"/>
  </w:num>
  <w:num w:numId="22">
    <w:abstractNumId w:val="4"/>
  </w:num>
  <w:num w:numId="23">
    <w:abstractNumId w:val="9"/>
    <w:lvlOverride w:ilvl="0">
      <w:startOverride w:val="1"/>
    </w:lvlOverride>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54"/>
    <w:rsid w:val="00002D5D"/>
    <w:rsid w:val="00015FB2"/>
    <w:rsid w:val="00023BF2"/>
    <w:rsid w:val="00040AE6"/>
    <w:rsid w:val="00040DCE"/>
    <w:rsid w:val="00060F22"/>
    <w:rsid w:val="000721A4"/>
    <w:rsid w:val="000905A8"/>
    <w:rsid w:val="00090A9B"/>
    <w:rsid w:val="00096F3A"/>
    <w:rsid w:val="000A2C2B"/>
    <w:rsid w:val="000C00DC"/>
    <w:rsid w:val="000C1A75"/>
    <w:rsid w:val="000D4DCA"/>
    <w:rsid w:val="000F0FBA"/>
    <w:rsid w:val="000F64C9"/>
    <w:rsid w:val="00120510"/>
    <w:rsid w:val="001278D0"/>
    <w:rsid w:val="0014239B"/>
    <w:rsid w:val="00192E70"/>
    <w:rsid w:val="001A02D1"/>
    <w:rsid w:val="001B6EDB"/>
    <w:rsid w:val="001D3DC6"/>
    <w:rsid w:val="001F5941"/>
    <w:rsid w:val="0021106F"/>
    <w:rsid w:val="00220BE5"/>
    <w:rsid w:val="002352DE"/>
    <w:rsid w:val="002422A3"/>
    <w:rsid w:val="00262A55"/>
    <w:rsid w:val="002D0604"/>
    <w:rsid w:val="002E7752"/>
    <w:rsid w:val="00315E34"/>
    <w:rsid w:val="00326DE2"/>
    <w:rsid w:val="00397362"/>
    <w:rsid w:val="003D7744"/>
    <w:rsid w:val="003E4F5F"/>
    <w:rsid w:val="003F73CA"/>
    <w:rsid w:val="00410A2C"/>
    <w:rsid w:val="00435D1F"/>
    <w:rsid w:val="00440E32"/>
    <w:rsid w:val="004549F6"/>
    <w:rsid w:val="00461597"/>
    <w:rsid w:val="00473C24"/>
    <w:rsid w:val="00485374"/>
    <w:rsid w:val="004C283B"/>
    <w:rsid w:val="004D13ED"/>
    <w:rsid w:val="004D5525"/>
    <w:rsid w:val="004D7E76"/>
    <w:rsid w:val="004F1DC3"/>
    <w:rsid w:val="005035DA"/>
    <w:rsid w:val="00504EB2"/>
    <w:rsid w:val="00507897"/>
    <w:rsid w:val="00515A85"/>
    <w:rsid w:val="00537A3D"/>
    <w:rsid w:val="00545F24"/>
    <w:rsid w:val="0055581F"/>
    <w:rsid w:val="0056229A"/>
    <w:rsid w:val="00570154"/>
    <w:rsid w:val="00570B5A"/>
    <w:rsid w:val="00587422"/>
    <w:rsid w:val="005A2B11"/>
    <w:rsid w:val="005B1A4A"/>
    <w:rsid w:val="005B7B75"/>
    <w:rsid w:val="005C6967"/>
    <w:rsid w:val="005D22D9"/>
    <w:rsid w:val="005E3562"/>
    <w:rsid w:val="005F7DE0"/>
    <w:rsid w:val="0060584E"/>
    <w:rsid w:val="0062614D"/>
    <w:rsid w:val="00640346"/>
    <w:rsid w:val="0064766E"/>
    <w:rsid w:val="00660385"/>
    <w:rsid w:val="00662E65"/>
    <w:rsid w:val="0066665A"/>
    <w:rsid w:val="00677E56"/>
    <w:rsid w:val="006915CF"/>
    <w:rsid w:val="00692227"/>
    <w:rsid w:val="00692DD8"/>
    <w:rsid w:val="006E6583"/>
    <w:rsid w:val="006F0CE9"/>
    <w:rsid w:val="006F7E8C"/>
    <w:rsid w:val="007202A8"/>
    <w:rsid w:val="007229A9"/>
    <w:rsid w:val="00730A6D"/>
    <w:rsid w:val="0073736A"/>
    <w:rsid w:val="007761E2"/>
    <w:rsid w:val="007B029A"/>
    <w:rsid w:val="007B251E"/>
    <w:rsid w:val="007D04C0"/>
    <w:rsid w:val="007D33AA"/>
    <w:rsid w:val="007D3577"/>
    <w:rsid w:val="007F7BCF"/>
    <w:rsid w:val="008030EC"/>
    <w:rsid w:val="008066FF"/>
    <w:rsid w:val="00811D6D"/>
    <w:rsid w:val="00815595"/>
    <w:rsid w:val="00817E8E"/>
    <w:rsid w:val="00841C3A"/>
    <w:rsid w:val="00844776"/>
    <w:rsid w:val="008850D9"/>
    <w:rsid w:val="008A4578"/>
    <w:rsid w:val="008C03C3"/>
    <w:rsid w:val="008D3909"/>
    <w:rsid w:val="008D6ECA"/>
    <w:rsid w:val="008D7F66"/>
    <w:rsid w:val="008F588A"/>
    <w:rsid w:val="00902D2D"/>
    <w:rsid w:val="00905D48"/>
    <w:rsid w:val="00911B50"/>
    <w:rsid w:val="00915804"/>
    <w:rsid w:val="00957285"/>
    <w:rsid w:val="009573AF"/>
    <w:rsid w:val="009725E6"/>
    <w:rsid w:val="00977D7B"/>
    <w:rsid w:val="00987181"/>
    <w:rsid w:val="009963ED"/>
    <w:rsid w:val="009C460D"/>
    <w:rsid w:val="009D4063"/>
    <w:rsid w:val="009D6BF6"/>
    <w:rsid w:val="009F1F51"/>
    <w:rsid w:val="00A33467"/>
    <w:rsid w:val="00A41BD3"/>
    <w:rsid w:val="00A449C2"/>
    <w:rsid w:val="00A571EC"/>
    <w:rsid w:val="00A65EA3"/>
    <w:rsid w:val="00A72F47"/>
    <w:rsid w:val="00A7322F"/>
    <w:rsid w:val="00A8400D"/>
    <w:rsid w:val="00A912C2"/>
    <w:rsid w:val="00AA3D6F"/>
    <w:rsid w:val="00AB2ECA"/>
    <w:rsid w:val="00AB55AE"/>
    <w:rsid w:val="00AB6F7D"/>
    <w:rsid w:val="00AC1FAE"/>
    <w:rsid w:val="00AC7878"/>
    <w:rsid w:val="00AD493E"/>
    <w:rsid w:val="00AD7AA7"/>
    <w:rsid w:val="00AE30B5"/>
    <w:rsid w:val="00AE5755"/>
    <w:rsid w:val="00B06055"/>
    <w:rsid w:val="00B13E45"/>
    <w:rsid w:val="00B40AD8"/>
    <w:rsid w:val="00B44D8A"/>
    <w:rsid w:val="00B461BC"/>
    <w:rsid w:val="00B53B7F"/>
    <w:rsid w:val="00B73AC8"/>
    <w:rsid w:val="00B747A7"/>
    <w:rsid w:val="00B76D94"/>
    <w:rsid w:val="00BA2BBF"/>
    <w:rsid w:val="00BC559C"/>
    <w:rsid w:val="00C17112"/>
    <w:rsid w:val="00C24267"/>
    <w:rsid w:val="00C62C54"/>
    <w:rsid w:val="00C642DF"/>
    <w:rsid w:val="00C7158F"/>
    <w:rsid w:val="00CA12A0"/>
    <w:rsid w:val="00CA5D42"/>
    <w:rsid w:val="00CB002A"/>
    <w:rsid w:val="00CB40E1"/>
    <w:rsid w:val="00CF6DB6"/>
    <w:rsid w:val="00CF7D9A"/>
    <w:rsid w:val="00D134CA"/>
    <w:rsid w:val="00D51D64"/>
    <w:rsid w:val="00D52D5F"/>
    <w:rsid w:val="00D949A3"/>
    <w:rsid w:val="00D965A7"/>
    <w:rsid w:val="00DA1C8A"/>
    <w:rsid w:val="00DA3B55"/>
    <w:rsid w:val="00DB44F0"/>
    <w:rsid w:val="00DD109E"/>
    <w:rsid w:val="00DD3E18"/>
    <w:rsid w:val="00E12103"/>
    <w:rsid w:val="00E15AAE"/>
    <w:rsid w:val="00E21184"/>
    <w:rsid w:val="00E40B8B"/>
    <w:rsid w:val="00E5742E"/>
    <w:rsid w:val="00E70400"/>
    <w:rsid w:val="00E741A2"/>
    <w:rsid w:val="00EA265F"/>
    <w:rsid w:val="00EA5685"/>
    <w:rsid w:val="00EC7179"/>
    <w:rsid w:val="00ED43FF"/>
    <w:rsid w:val="00EE2124"/>
    <w:rsid w:val="00EE6600"/>
    <w:rsid w:val="00EF1D6A"/>
    <w:rsid w:val="00EF2E51"/>
    <w:rsid w:val="00F21865"/>
    <w:rsid w:val="00F31E24"/>
    <w:rsid w:val="00F4535C"/>
    <w:rsid w:val="00F52474"/>
    <w:rsid w:val="00F5529D"/>
    <w:rsid w:val="00F5669E"/>
    <w:rsid w:val="00F75D33"/>
    <w:rsid w:val="00F81CAF"/>
    <w:rsid w:val="00F954CF"/>
    <w:rsid w:val="00F97DFF"/>
    <w:rsid w:val="00FC6579"/>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1F5941"/>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6F7E8C"/>
    <w:rPr>
      <w:rFonts w:eastAsia="Times New Roman" w:cs="Times New Roman"/>
      <w:spacing w:val="0"/>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6F7E8C"/>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Bullet4">
    <w:name w:val="Bullet 4"/>
    <w:basedOn w:val="Normal"/>
    <w:qFormat/>
    <w:rsid w:val="00677E56"/>
    <w:pPr>
      <w:spacing w:before="120" w:after="0" w:line="240" w:lineRule="auto"/>
      <w:ind w:left="1135" w:hanging="284"/>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AB2ECA"/>
    <w:rPr>
      <w:sz w:val="16"/>
      <w:szCs w:val="16"/>
    </w:rPr>
  </w:style>
  <w:style w:type="paragraph" w:styleId="CommentText">
    <w:name w:val="annotation text"/>
    <w:basedOn w:val="Normal"/>
    <w:link w:val="CommentTextChar"/>
    <w:uiPriority w:val="99"/>
    <w:semiHidden/>
    <w:unhideWhenUsed/>
    <w:rsid w:val="00AB2ECA"/>
    <w:pPr>
      <w:spacing w:line="240" w:lineRule="auto"/>
    </w:pPr>
    <w:rPr>
      <w:sz w:val="20"/>
      <w:szCs w:val="20"/>
    </w:rPr>
  </w:style>
  <w:style w:type="character" w:customStyle="1" w:styleId="CommentTextChar">
    <w:name w:val="Comment Text Char"/>
    <w:basedOn w:val="DefaultParagraphFont"/>
    <w:link w:val="CommentText"/>
    <w:uiPriority w:val="99"/>
    <w:semiHidden/>
    <w:rsid w:val="00AB2ECA"/>
    <w:rPr>
      <w:sz w:val="20"/>
      <w:szCs w:val="20"/>
    </w:rPr>
  </w:style>
  <w:style w:type="paragraph" w:styleId="CommentSubject">
    <w:name w:val="annotation subject"/>
    <w:basedOn w:val="CommentText"/>
    <w:next w:val="CommentText"/>
    <w:link w:val="CommentSubjectChar"/>
    <w:uiPriority w:val="99"/>
    <w:semiHidden/>
    <w:unhideWhenUsed/>
    <w:rsid w:val="00AB2ECA"/>
    <w:rPr>
      <w:b/>
      <w:bCs/>
    </w:rPr>
  </w:style>
  <w:style w:type="character" w:customStyle="1" w:styleId="CommentSubjectChar">
    <w:name w:val="Comment Subject Char"/>
    <w:basedOn w:val="CommentTextChar"/>
    <w:link w:val="CommentSubject"/>
    <w:uiPriority w:val="99"/>
    <w:semiHidden/>
    <w:rsid w:val="00AB2ECA"/>
    <w:rPr>
      <w:b/>
      <w:bCs/>
      <w:sz w:val="20"/>
      <w:szCs w:val="20"/>
    </w:rPr>
  </w:style>
  <w:style w:type="table" w:customStyle="1" w:styleId="TableGrid1">
    <w:name w:val="Table Grid1"/>
    <w:basedOn w:val="TableNormal"/>
    <w:next w:val="TableGrid"/>
    <w:rsid w:val="002D0604"/>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character" w:styleId="FollowedHyperlink">
    <w:name w:val="FollowedHyperlink"/>
    <w:basedOn w:val="DefaultParagraphFont"/>
    <w:uiPriority w:val="99"/>
    <w:semiHidden/>
    <w:unhideWhenUsed/>
    <w:rsid w:val="00262A55"/>
    <w:rPr>
      <w:color w:val="800080" w:themeColor="followedHyperlink"/>
      <w:u w:val="single"/>
    </w:rPr>
  </w:style>
  <w:style w:type="paragraph" w:styleId="Revision">
    <w:name w:val="Revision"/>
    <w:hidden/>
    <w:uiPriority w:val="99"/>
    <w:semiHidden/>
    <w:rsid w:val="00AD7A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1F5941"/>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6F7E8C"/>
    <w:rPr>
      <w:rFonts w:eastAsia="Times New Roman" w:cs="Times New Roman"/>
      <w:spacing w:val="0"/>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6F7E8C"/>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Bullet4">
    <w:name w:val="Bullet 4"/>
    <w:basedOn w:val="Normal"/>
    <w:qFormat/>
    <w:rsid w:val="00677E56"/>
    <w:pPr>
      <w:spacing w:before="120" w:after="0" w:line="240" w:lineRule="auto"/>
      <w:ind w:left="1135" w:hanging="284"/>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AB2ECA"/>
    <w:rPr>
      <w:sz w:val="16"/>
      <w:szCs w:val="16"/>
    </w:rPr>
  </w:style>
  <w:style w:type="paragraph" w:styleId="CommentText">
    <w:name w:val="annotation text"/>
    <w:basedOn w:val="Normal"/>
    <w:link w:val="CommentTextChar"/>
    <w:uiPriority w:val="99"/>
    <w:semiHidden/>
    <w:unhideWhenUsed/>
    <w:rsid w:val="00AB2ECA"/>
    <w:pPr>
      <w:spacing w:line="240" w:lineRule="auto"/>
    </w:pPr>
    <w:rPr>
      <w:sz w:val="20"/>
      <w:szCs w:val="20"/>
    </w:rPr>
  </w:style>
  <w:style w:type="character" w:customStyle="1" w:styleId="CommentTextChar">
    <w:name w:val="Comment Text Char"/>
    <w:basedOn w:val="DefaultParagraphFont"/>
    <w:link w:val="CommentText"/>
    <w:uiPriority w:val="99"/>
    <w:semiHidden/>
    <w:rsid w:val="00AB2ECA"/>
    <w:rPr>
      <w:sz w:val="20"/>
      <w:szCs w:val="20"/>
    </w:rPr>
  </w:style>
  <w:style w:type="paragraph" w:styleId="CommentSubject">
    <w:name w:val="annotation subject"/>
    <w:basedOn w:val="CommentText"/>
    <w:next w:val="CommentText"/>
    <w:link w:val="CommentSubjectChar"/>
    <w:uiPriority w:val="99"/>
    <w:semiHidden/>
    <w:unhideWhenUsed/>
    <w:rsid w:val="00AB2ECA"/>
    <w:rPr>
      <w:b/>
      <w:bCs/>
    </w:rPr>
  </w:style>
  <w:style w:type="character" w:customStyle="1" w:styleId="CommentSubjectChar">
    <w:name w:val="Comment Subject Char"/>
    <w:basedOn w:val="CommentTextChar"/>
    <w:link w:val="CommentSubject"/>
    <w:uiPriority w:val="99"/>
    <w:semiHidden/>
    <w:rsid w:val="00AB2ECA"/>
    <w:rPr>
      <w:b/>
      <w:bCs/>
      <w:sz w:val="20"/>
      <w:szCs w:val="20"/>
    </w:rPr>
  </w:style>
  <w:style w:type="table" w:customStyle="1" w:styleId="TableGrid1">
    <w:name w:val="Table Grid1"/>
    <w:basedOn w:val="TableNormal"/>
    <w:next w:val="TableGrid"/>
    <w:rsid w:val="002D0604"/>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character" w:styleId="FollowedHyperlink">
    <w:name w:val="FollowedHyperlink"/>
    <w:basedOn w:val="DefaultParagraphFont"/>
    <w:uiPriority w:val="99"/>
    <w:semiHidden/>
    <w:unhideWhenUsed/>
    <w:rsid w:val="00262A55"/>
    <w:rPr>
      <w:color w:val="800080" w:themeColor="followedHyperlink"/>
      <w:u w:val="single"/>
    </w:rPr>
  </w:style>
  <w:style w:type="paragraph" w:styleId="Revision">
    <w:name w:val="Revision"/>
    <w:hidden/>
    <w:uiPriority w:val="99"/>
    <w:semiHidden/>
    <w:rsid w:val="00AD7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sites/greens.org.au/files/20160622%20Biosecurity%20initiative.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C34D655-27BA-4375-9441-A6411BCA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146</TotalTime>
  <Pages>10</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PBO - GRN052 - A National Biosecurity Authority - 29 June 2016</vt:lpstr>
    </vt:vector>
  </TitlesOfParts>
  <Company>Parliament of Australia</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GRN052 - A National Biosecurity Authority - 29 June 2016</dc:title>
  <dc:creator>Parliamentary Budget Office</dc:creator>
  <cp:lastModifiedBy>Milligan, Louise (PBO)</cp:lastModifiedBy>
  <cp:revision>46</cp:revision>
  <cp:lastPrinted>2016-06-29T08:58:00Z</cp:lastPrinted>
  <dcterms:created xsi:type="dcterms:W3CDTF">2016-06-28T05:19:00Z</dcterms:created>
  <dcterms:modified xsi:type="dcterms:W3CDTF">2016-06-29T12:33:00Z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