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DE71F8" w:rsidP="00372AEB">
      <w:pPr>
        <w:pStyle w:val="Lettertext"/>
        <w:spacing w:before="1560"/>
      </w:pPr>
      <w:bookmarkStart w:id="0" w:name="_GoBack"/>
      <w:bookmarkEnd w:id="0"/>
      <w:r w:rsidRPr="00DE71F8">
        <w:t xml:space="preserve">Senator </w:t>
      </w:r>
      <w:r w:rsidR="00902C69">
        <w:t>Richard Di Natale</w:t>
      </w:r>
    </w:p>
    <w:p w:rsidR="001D364A" w:rsidRDefault="00902C69" w:rsidP="001D364A">
      <w:pPr>
        <w:pStyle w:val="Lettertext"/>
        <w:spacing w:before="0"/>
      </w:pPr>
      <w:r>
        <w:t xml:space="preserve">Leader of the </w:t>
      </w:r>
      <w:r w:rsidR="001D364A">
        <w:t>Australian Greens</w:t>
      </w:r>
    </w:p>
    <w:p w:rsidR="00040DCE" w:rsidRPr="00002D5D" w:rsidRDefault="005C6967" w:rsidP="00372AEB">
      <w:pPr>
        <w:pStyle w:val="Lettertext"/>
        <w:spacing w:before="0"/>
      </w:pPr>
      <w:r>
        <w:t>Parliament House</w:t>
      </w:r>
    </w:p>
    <w:p w:rsidR="00040DCE" w:rsidRPr="00002D5D" w:rsidRDefault="005C6967" w:rsidP="00372AEB">
      <w:pPr>
        <w:pStyle w:val="Lettertext"/>
        <w:spacing w:before="0"/>
      </w:pPr>
      <w:r>
        <w:t>CANBERRA  ACT  2600</w:t>
      </w:r>
    </w:p>
    <w:p w:rsidR="00040DCE" w:rsidRPr="00002D5D" w:rsidRDefault="00040DCE" w:rsidP="00372AEB">
      <w:pPr>
        <w:pStyle w:val="Lettertext"/>
        <w:spacing w:before="480"/>
      </w:pPr>
      <w:r w:rsidRPr="00002D5D">
        <w:t xml:space="preserve">Dear </w:t>
      </w:r>
      <w:r w:rsidR="001D364A" w:rsidRPr="001D364A">
        <w:t xml:space="preserve">Senator </w:t>
      </w:r>
      <w:r w:rsidR="00902C69">
        <w:t>Di Natale</w:t>
      </w:r>
    </w:p>
    <w:p w:rsidR="00040DCE" w:rsidRPr="00002D5D" w:rsidRDefault="00040DCE" w:rsidP="00372AEB">
      <w:pPr>
        <w:pStyle w:val="Lettertext"/>
      </w:pPr>
      <w:r w:rsidRPr="00002D5D">
        <w:t xml:space="preserve">Please find attached a response to your costing request, </w:t>
      </w:r>
      <w:r w:rsidR="001D364A" w:rsidRPr="001D364A">
        <w:rPr>
          <w:i/>
        </w:rPr>
        <w:t xml:space="preserve">More </w:t>
      </w:r>
      <w:r w:rsidR="001D364A">
        <w:rPr>
          <w:i/>
        </w:rPr>
        <w:t>F</w:t>
      </w:r>
      <w:r w:rsidR="001D364A" w:rsidRPr="001D364A">
        <w:rPr>
          <w:i/>
        </w:rPr>
        <w:t xml:space="preserve">unding for </w:t>
      </w:r>
      <w:r w:rsidR="001D364A">
        <w:rPr>
          <w:i/>
        </w:rPr>
        <w:t>M</w:t>
      </w:r>
      <w:r w:rsidR="001D364A" w:rsidRPr="001D364A">
        <w:rPr>
          <w:i/>
        </w:rPr>
        <w:t xml:space="preserve">ental </w:t>
      </w:r>
      <w:r w:rsidR="001D364A">
        <w:rPr>
          <w:i/>
        </w:rPr>
        <w:t>H</w:t>
      </w:r>
      <w:r w:rsidR="001D364A" w:rsidRPr="001D364A">
        <w:rPr>
          <w:i/>
        </w:rPr>
        <w:t>ealth</w:t>
      </w:r>
      <w:r w:rsidRPr="00002D5D">
        <w:t xml:space="preserve"> (letter of </w:t>
      </w:r>
      <w:r w:rsidR="00342AE0" w:rsidRPr="00342AE0">
        <w:t>29 June</w:t>
      </w:r>
      <w:r w:rsidRPr="00002D5D">
        <w:t xml:space="preserve"> 2016).</w:t>
      </w:r>
    </w:p>
    <w:p w:rsidR="00040DCE" w:rsidRPr="00002D5D" w:rsidRDefault="00040DCE" w:rsidP="00372AEB">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372AEB">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372AEB">
      <w:pPr>
        <w:pStyle w:val="Lettertext"/>
      </w:pPr>
      <w:r w:rsidRPr="00002D5D">
        <w:t>Yours sincerely</w:t>
      </w:r>
    </w:p>
    <w:p w:rsidR="00040DCE" w:rsidRPr="00002D5D" w:rsidRDefault="00DA1C8A" w:rsidP="00372AEB">
      <w:pPr>
        <w:pStyle w:val="Lettertext"/>
        <w:spacing w:before="960"/>
      </w:pPr>
      <w:r w:rsidRPr="00002D5D">
        <w:t>Phil Bowen</w:t>
      </w:r>
    </w:p>
    <w:p w:rsidR="00096F3A" w:rsidRPr="00002D5D" w:rsidRDefault="0059491B" w:rsidP="0059491B">
      <w:pPr>
        <w:pStyle w:val="Lettertext"/>
        <w:spacing w:before="120"/>
      </w:pPr>
      <w:r>
        <w:t xml:space="preserve">29 </w:t>
      </w:r>
      <w:r w:rsidR="00342AE0">
        <w:t>June</w:t>
      </w:r>
      <w:r w:rsidR="00040DCE" w:rsidRPr="00002D5D">
        <w:t xml:space="preserv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RPr="00AE1EBF"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AE1EBF" w:rsidRDefault="004D5525" w:rsidP="00AE1EBF">
            <w:pPr>
              <w:pStyle w:val="BodyText"/>
              <w:ind w:left="57" w:right="57"/>
              <w:rPr>
                <w:sz w:val="22"/>
              </w:rPr>
            </w:pPr>
            <w:r w:rsidRPr="00AE1EBF">
              <w:rPr>
                <w:sz w:val="22"/>
              </w:rPr>
              <w:t>Name of proposal:</w:t>
            </w:r>
          </w:p>
        </w:tc>
        <w:tc>
          <w:tcPr>
            <w:tcW w:w="5335" w:type="dxa"/>
          </w:tcPr>
          <w:p w:rsidR="004D5525" w:rsidRPr="00AE1EBF" w:rsidRDefault="001234E1" w:rsidP="00AE1EBF">
            <w:pPr>
              <w:pStyle w:val="BodyText"/>
              <w:ind w:left="57"/>
              <w:rPr>
                <w:sz w:val="22"/>
              </w:rPr>
            </w:pPr>
            <w:r w:rsidRPr="00AE1EBF">
              <w:rPr>
                <w:sz w:val="22"/>
              </w:rPr>
              <w:t>More Funding for Mental Health</w:t>
            </w:r>
          </w:p>
        </w:tc>
      </w:tr>
      <w:tr w:rsidR="001234E1" w:rsidRPr="00AE1EBF" w:rsidTr="00D52D5F">
        <w:tc>
          <w:tcPr>
            <w:tcW w:w="3005" w:type="dxa"/>
          </w:tcPr>
          <w:p w:rsidR="001234E1" w:rsidRPr="00AE1EBF" w:rsidRDefault="001234E1" w:rsidP="00AE1EBF">
            <w:pPr>
              <w:pStyle w:val="BodyText"/>
              <w:ind w:left="57" w:right="57"/>
            </w:pPr>
            <w:r w:rsidRPr="00AE1EBF">
              <w:t>Summary of proposal:</w:t>
            </w:r>
          </w:p>
        </w:tc>
        <w:tc>
          <w:tcPr>
            <w:tcW w:w="5335" w:type="dxa"/>
          </w:tcPr>
          <w:p w:rsidR="001234E1" w:rsidRPr="00AE1EBF" w:rsidRDefault="001234E1" w:rsidP="00AE1EBF">
            <w:pPr>
              <w:ind w:left="57"/>
            </w:pPr>
            <w:r w:rsidRPr="00AE1EBF">
              <w:t>The proposal contains a number of components:</w:t>
            </w:r>
          </w:p>
          <w:p w:rsidR="001234E1" w:rsidRPr="00AE1EBF" w:rsidRDefault="001234E1" w:rsidP="00AE1EBF">
            <w:pPr>
              <w:ind w:left="57"/>
              <w:rPr>
                <w:u w:val="single"/>
              </w:rPr>
            </w:pPr>
            <w:r w:rsidRPr="00AE1EBF">
              <w:rPr>
                <w:u w:val="single"/>
              </w:rPr>
              <w:t>Component 1: National Institute for Mental Health Research</w:t>
            </w:r>
          </w:p>
          <w:p w:rsidR="001234E1" w:rsidRPr="00AE1EBF" w:rsidRDefault="00EC5DD5" w:rsidP="00AE1EBF">
            <w:pPr>
              <w:ind w:left="57"/>
            </w:pPr>
            <w:r w:rsidRPr="00AE1EBF">
              <w:t>This component would provide $37.5 million per year to establish a National Institute for Mental Health</w:t>
            </w:r>
            <w:r w:rsidR="001234E1" w:rsidRPr="00AE1EBF">
              <w:t>.</w:t>
            </w:r>
          </w:p>
          <w:p w:rsidR="001234E1" w:rsidRPr="00AE1EBF" w:rsidRDefault="001234E1" w:rsidP="00AE1EBF">
            <w:pPr>
              <w:ind w:left="57"/>
              <w:rPr>
                <w:u w:val="single"/>
              </w:rPr>
            </w:pPr>
            <w:r w:rsidRPr="00AE1EBF">
              <w:rPr>
                <w:u w:val="single"/>
              </w:rPr>
              <w:t>Component 2: National Suicide Prevention Campaign</w:t>
            </w:r>
          </w:p>
          <w:p w:rsidR="001234E1" w:rsidRPr="00AE1EBF" w:rsidRDefault="00EC5DD5" w:rsidP="00AE1EBF">
            <w:pPr>
              <w:ind w:left="57"/>
            </w:pPr>
            <w:r w:rsidRPr="00AE1EBF">
              <w:t>This component would provide $9.6 million per year to establish a National Suicide Prevention Campaign and improve the collection of data</w:t>
            </w:r>
            <w:r w:rsidR="001234E1" w:rsidRPr="00AE1EBF">
              <w:t>.</w:t>
            </w:r>
          </w:p>
          <w:p w:rsidR="001234E1" w:rsidRPr="00AE1EBF" w:rsidRDefault="001234E1" w:rsidP="00AE1EBF">
            <w:pPr>
              <w:ind w:left="57"/>
              <w:rPr>
                <w:u w:val="single"/>
              </w:rPr>
            </w:pPr>
            <w:r w:rsidRPr="00AE1EBF">
              <w:rPr>
                <w:u w:val="single"/>
              </w:rPr>
              <w:t>Component 3: Rural mental health workforce plan</w:t>
            </w:r>
          </w:p>
          <w:p w:rsidR="001234E1" w:rsidRPr="00AE1EBF" w:rsidRDefault="001234E1" w:rsidP="00AE1EBF">
            <w:pPr>
              <w:ind w:left="57"/>
            </w:pPr>
            <w:r w:rsidRPr="00AE1EBF">
              <w:t>This component would provide:</w:t>
            </w:r>
          </w:p>
          <w:p w:rsidR="001234E1" w:rsidRPr="00AE1EBF" w:rsidRDefault="00EC5DD5" w:rsidP="00AE1EBF">
            <w:pPr>
              <w:pStyle w:val="Bullet1"/>
              <w:numPr>
                <w:ilvl w:val="0"/>
                <w:numId w:val="19"/>
              </w:numPr>
              <w:tabs>
                <w:tab w:val="num" w:pos="454"/>
              </w:tabs>
              <w:ind w:left="341" w:hanging="284"/>
            </w:pPr>
            <w:r w:rsidRPr="00AE1EBF">
              <w:t>$35 million per year to develop and implement a rural mental health workforce plan incorporating investment in hiring incentives, education, research and training</w:t>
            </w:r>
          </w:p>
          <w:p w:rsidR="001234E1" w:rsidRPr="00AE1EBF" w:rsidRDefault="00EC5DD5" w:rsidP="00AE1EBF">
            <w:pPr>
              <w:pStyle w:val="Bullet1"/>
              <w:numPr>
                <w:ilvl w:val="0"/>
                <w:numId w:val="19"/>
              </w:numPr>
              <w:tabs>
                <w:tab w:val="num" w:pos="454"/>
              </w:tabs>
              <w:ind w:left="341" w:hanging="284"/>
            </w:pPr>
            <w:r w:rsidRPr="00AE1EBF">
              <w:t>$35 million per year for stepped prevention and recovery facilities and services, including step-up and step-down accommodation and short term residential care</w:t>
            </w:r>
            <w:r w:rsidR="001234E1" w:rsidRPr="00AE1EBF">
              <w:t>.</w:t>
            </w:r>
          </w:p>
          <w:p w:rsidR="001234E1" w:rsidRPr="00AE1EBF" w:rsidRDefault="001234E1" w:rsidP="00AE1EBF">
            <w:pPr>
              <w:ind w:left="57"/>
              <w:rPr>
                <w:u w:val="single"/>
              </w:rPr>
            </w:pPr>
            <w:r w:rsidRPr="00AE1EBF">
              <w:rPr>
                <w:u w:val="single"/>
              </w:rPr>
              <w:t>Component 4: Primary Health Networks</w:t>
            </w:r>
          </w:p>
          <w:p w:rsidR="001234E1" w:rsidRPr="00AE1EBF" w:rsidRDefault="00EC5DD5" w:rsidP="00AE1EBF">
            <w:pPr>
              <w:ind w:left="57"/>
            </w:pPr>
            <w:r w:rsidRPr="00AE1EBF">
              <w:t xml:space="preserve">This component would provide additional funding of $100 million per year for the Primary Health Network </w:t>
            </w:r>
            <w:r w:rsidR="00540F79" w:rsidRPr="00AE1EBF">
              <w:t xml:space="preserve">(PHN) </w:t>
            </w:r>
            <w:r w:rsidRPr="00AE1EBF">
              <w:t>mental health flexible fund</w:t>
            </w:r>
            <w:r w:rsidR="001234E1" w:rsidRPr="00AE1EBF">
              <w:t>.</w:t>
            </w:r>
          </w:p>
          <w:p w:rsidR="001234E1" w:rsidRPr="00AE1EBF" w:rsidRDefault="001234E1" w:rsidP="00AE1EBF">
            <w:pPr>
              <w:ind w:left="57"/>
              <w:rPr>
                <w:u w:val="single"/>
              </w:rPr>
            </w:pPr>
            <w:r w:rsidRPr="00AE1EBF">
              <w:rPr>
                <w:u w:val="single"/>
              </w:rPr>
              <w:t>Component 5: National Mental Health Consumers and Carers</w:t>
            </w:r>
          </w:p>
          <w:p w:rsidR="001B1570" w:rsidRPr="00AE1EBF" w:rsidRDefault="00EC5DD5" w:rsidP="00AE1EBF">
            <w:pPr>
              <w:pStyle w:val="Bullet1"/>
              <w:ind w:left="57"/>
            </w:pPr>
            <w:r w:rsidRPr="00AE1EBF">
              <w:t>This component would provide $6 million for the National Mental Health Consumer and Carer forum, the National Register, mental health consumer and carer representatives</w:t>
            </w:r>
            <w:r w:rsidR="001234E1" w:rsidRPr="00AE1EBF">
              <w:t>.</w:t>
            </w:r>
          </w:p>
          <w:p w:rsidR="001B1570" w:rsidRPr="00AE1EBF" w:rsidRDefault="001B1570" w:rsidP="00AE1EBF">
            <w:pPr>
              <w:ind w:left="57"/>
              <w:rPr>
                <w:u w:val="single"/>
              </w:rPr>
            </w:pPr>
            <w:r w:rsidRPr="00AE1EBF">
              <w:rPr>
                <w:u w:val="single"/>
              </w:rPr>
              <w:t>Component 6: Insurance Discrimination</w:t>
            </w:r>
          </w:p>
          <w:p w:rsidR="001B1570" w:rsidRPr="00AE1EBF" w:rsidRDefault="001B1570" w:rsidP="00AE1EBF">
            <w:pPr>
              <w:ind w:left="57"/>
            </w:pPr>
            <w:r w:rsidRPr="00AE1EBF">
              <w:t xml:space="preserve">This component would provide $0.5 million to research and develop a plan to end insurance discrimination for </w:t>
            </w:r>
            <w:r w:rsidRPr="00AE1EBF">
              <w:lastRenderedPageBreak/>
              <w:t>those with a mental illness over the period 2016-17 and 2017-18.</w:t>
            </w:r>
          </w:p>
          <w:p w:rsidR="001234E1" w:rsidRPr="00AE1EBF" w:rsidRDefault="001234E1" w:rsidP="00AE1EBF">
            <w:pPr>
              <w:ind w:left="57"/>
              <w:rPr>
                <w:u w:val="single"/>
              </w:rPr>
            </w:pPr>
            <w:r w:rsidRPr="00AE1EBF">
              <w:rPr>
                <w:u w:val="single"/>
              </w:rPr>
              <w:t xml:space="preserve">Component </w:t>
            </w:r>
            <w:r w:rsidR="001B1570" w:rsidRPr="00AE1EBF">
              <w:rPr>
                <w:u w:val="single"/>
              </w:rPr>
              <w:t>7</w:t>
            </w:r>
            <w:r w:rsidRPr="00AE1EBF">
              <w:rPr>
                <w:u w:val="single"/>
              </w:rPr>
              <w:t>: Mental Health Nurse Program</w:t>
            </w:r>
          </w:p>
          <w:p w:rsidR="001234E1" w:rsidRPr="00AE1EBF" w:rsidRDefault="001234E1" w:rsidP="00AE1EBF">
            <w:pPr>
              <w:ind w:left="57"/>
            </w:pPr>
            <w:r w:rsidRPr="00AE1EBF">
              <w:t>This component would:</w:t>
            </w:r>
          </w:p>
          <w:p w:rsidR="001234E1" w:rsidRPr="00AE1EBF" w:rsidRDefault="00FD1A35" w:rsidP="00AE1EBF">
            <w:pPr>
              <w:pStyle w:val="Bullet1"/>
              <w:numPr>
                <w:ilvl w:val="0"/>
                <w:numId w:val="19"/>
              </w:numPr>
              <w:tabs>
                <w:tab w:val="num" w:pos="454"/>
              </w:tabs>
              <w:ind w:left="57" w:hanging="284"/>
            </w:pPr>
            <w:r w:rsidRPr="00AE1EBF">
              <w:t xml:space="preserve">provide additional funding of $70 million per year to the Mental Health Nurse Incentive Program </w:t>
            </w:r>
            <w:r w:rsidR="00924DFF" w:rsidRPr="00AE1EBF">
              <w:t>(MHNIP).</w:t>
            </w:r>
          </w:p>
          <w:p w:rsidR="001234E1" w:rsidRPr="00AE1EBF" w:rsidRDefault="007A09DF" w:rsidP="00AE1EBF">
            <w:pPr>
              <w:pStyle w:val="Bullet1"/>
              <w:numPr>
                <w:ilvl w:val="0"/>
                <w:numId w:val="19"/>
              </w:numPr>
              <w:tabs>
                <w:tab w:val="num" w:pos="454"/>
              </w:tabs>
              <w:ind w:left="57" w:hanging="284"/>
            </w:pPr>
            <w:r w:rsidRPr="00AE1EBF">
              <w:t>ensure that although the MHNIP funding would be managed by the PHNs, it would be kept quarantined from the flexible funding pool until 2021</w:t>
            </w:r>
            <w:r w:rsidR="001234E1" w:rsidRPr="00AE1EBF">
              <w:t>.</w:t>
            </w:r>
          </w:p>
          <w:p w:rsidR="001234E1" w:rsidRPr="00AE1EBF" w:rsidRDefault="001234E1" w:rsidP="00AE1EBF">
            <w:pPr>
              <w:ind w:left="57"/>
              <w:rPr>
                <w:u w:val="single"/>
              </w:rPr>
            </w:pPr>
            <w:r w:rsidRPr="00AE1EBF">
              <w:rPr>
                <w:u w:val="single"/>
              </w:rPr>
              <w:t>Component 8: Children of Parents with a Mental Illness</w:t>
            </w:r>
          </w:p>
          <w:p w:rsidR="001234E1" w:rsidRPr="00AE1EBF" w:rsidRDefault="001B1570" w:rsidP="00AE1EBF">
            <w:pPr>
              <w:ind w:left="57"/>
            </w:pPr>
            <w:r w:rsidRPr="00AE1EBF">
              <w:t>This component would restore full funding to ‘Children of Parents with a Mental Illness’ at the same rate as prior to the withdrawal of federal funding</w:t>
            </w:r>
            <w:r w:rsidR="001234E1" w:rsidRPr="00AE1EBF">
              <w:t>.</w:t>
            </w:r>
          </w:p>
          <w:p w:rsidR="001234E1" w:rsidRPr="00AE1EBF" w:rsidRDefault="001234E1" w:rsidP="00AE1EBF">
            <w:pPr>
              <w:ind w:left="57"/>
              <w:rPr>
                <w:u w:val="single"/>
              </w:rPr>
            </w:pPr>
            <w:r w:rsidRPr="00AE1EBF">
              <w:rPr>
                <w:u w:val="single"/>
              </w:rPr>
              <w:t>Component 9: Mind Matters and KidsMatter</w:t>
            </w:r>
          </w:p>
          <w:p w:rsidR="001234E1" w:rsidRPr="00AE1EBF" w:rsidRDefault="001B1570" w:rsidP="00AE1EBF">
            <w:pPr>
              <w:ind w:left="57"/>
            </w:pPr>
            <w:r w:rsidRPr="00AE1EBF">
              <w:t>This component would increase funding for the Mind Matters and Kids Matter programs by 50 per cent</w:t>
            </w:r>
            <w:r w:rsidR="001234E1" w:rsidRPr="00AE1EBF">
              <w:t>.</w:t>
            </w:r>
          </w:p>
          <w:p w:rsidR="001234E1" w:rsidRPr="00AE1EBF" w:rsidRDefault="001234E1" w:rsidP="00AE1EBF">
            <w:pPr>
              <w:ind w:left="57"/>
              <w:rPr>
                <w:u w:val="single"/>
              </w:rPr>
            </w:pPr>
            <w:r w:rsidRPr="00AE1EBF">
              <w:rPr>
                <w:u w:val="single"/>
              </w:rPr>
              <w:t>Component 10: Better Access Initiative</w:t>
            </w:r>
          </w:p>
          <w:p w:rsidR="001234E1" w:rsidRPr="00AE1EBF" w:rsidRDefault="001B1570" w:rsidP="00AE1EBF">
            <w:pPr>
              <w:ind w:left="57"/>
              <w:rPr>
                <w:rFonts w:eastAsia="Times New Roman"/>
                <w:lang w:eastAsia="en-AU"/>
              </w:rPr>
            </w:pPr>
            <w:r w:rsidRPr="00AE1EBF">
              <w:rPr>
                <w:rFonts w:eastAsia="Times New Roman"/>
                <w:lang w:eastAsia="en-AU"/>
              </w:rPr>
              <w:t>This component would reintroduce additional sessions in exceptional circumstances to the Better Access Initiative</w:t>
            </w:r>
            <w:r w:rsidR="001234E1" w:rsidRPr="00AE1EBF">
              <w:rPr>
                <w:rFonts w:eastAsia="Times New Roman"/>
                <w:lang w:eastAsia="en-AU"/>
              </w:rPr>
              <w:t>.</w:t>
            </w:r>
          </w:p>
          <w:p w:rsidR="001B1570" w:rsidRPr="00AE1EBF" w:rsidRDefault="001B1570" w:rsidP="00AE1EBF">
            <w:pPr>
              <w:ind w:left="57"/>
              <w:rPr>
                <w:u w:val="single"/>
              </w:rPr>
            </w:pPr>
            <w:r w:rsidRPr="00AE1EBF">
              <w:rPr>
                <w:u w:val="single"/>
              </w:rPr>
              <w:t>Component 11: Targeted anti-stigma campaigns</w:t>
            </w:r>
          </w:p>
          <w:p w:rsidR="001B1570" w:rsidRPr="00AE1EBF" w:rsidRDefault="001B1570" w:rsidP="00AE1EBF">
            <w:pPr>
              <w:ind w:left="57"/>
              <w:rPr>
                <w:lang w:eastAsia="en-AU"/>
              </w:rPr>
            </w:pPr>
            <w:r w:rsidRPr="00AE1EBF">
              <w:rPr>
                <w:lang w:eastAsia="en-AU"/>
              </w:rPr>
              <w:t>This component would provide $10m per year for targeted mental illness anti-stigma campaigns</w:t>
            </w:r>
          </w:p>
          <w:p w:rsidR="001234E1" w:rsidRPr="00AE1EBF" w:rsidRDefault="001234E1" w:rsidP="00AE1EBF">
            <w:pPr>
              <w:ind w:left="57"/>
            </w:pPr>
            <w:r w:rsidRPr="00AE1EBF">
              <w:rPr>
                <w:rFonts w:eastAsia="Times New Roman"/>
                <w:lang w:eastAsia="en-AU"/>
              </w:rPr>
              <w:t>The proposal would have effect from 1 September 2016.  For the capped funding components of the request, departmental costs would be met from within the cap.</w:t>
            </w:r>
          </w:p>
        </w:tc>
      </w:tr>
      <w:tr w:rsidR="001234E1" w:rsidRPr="00AE1EBF" w:rsidTr="00D52D5F">
        <w:tc>
          <w:tcPr>
            <w:tcW w:w="3005" w:type="dxa"/>
          </w:tcPr>
          <w:p w:rsidR="001234E1" w:rsidRPr="00AE1EBF" w:rsidRDefault="001234E1" w:rsidP="00AE1EBF">
            <w:pPr>
              <w:pStyle w:val="BodyText"/>
              <w:ind w:left="57" w:right="57"/>
            </w:pPr>
            <w:r w:rsidRPr="00AE1EBF">
              <w:lastRenderedPageBreak/>
              <w:t>Person/party requesting costing:</w:t>
            </w:r>
          </w:p>
        </w:tc>
        <w:tc>
          <w:tcPr>
            <w:tcW w:w="5335" w:type="dxa"/>
          </w:tcPr>
          <w:p w:rsidR="001234E1" w:rsidRPr="00AE1EBF" w:rsidRDefault="001B1570" w:rsidP="00AE1EBF">
            <w:pPr>
              <w:spacing w:before="120" w:after="120"/>
              <w:ind w:left="57"/>
            </w:pPr>
            <w:r w:rsidRPr="00AE1EBF">
              <w:t xml:space="preserve">Senator </w:t>
            </w:r>
            <w:r w:rsidR="00BC315A" w:rsidRPr="00AE1EBF">
              <w:t>Richard Di Natale</w:t>
            </w:r>
            <w:r w:rsidR="001234E1" w:rsidRPr="00AE1EBF">
              <w:t>, Australian Greens</w:t>
            </w:r>
          </w:p>
        </w:tc>
      </w:tr>
      <w:tr w:rsidR="001234E1" w:rsidRPr="00AE1EBF" w:rsidTr="00060F22">
        <w:tc>
          <w:tcPr>
            <w:tcW w:w="3005" w:type="dxa"/>
          </w:tcPr>
          <w:p w:rsidR="001234E1" w:rsidRPr="00AE1EBF" w:rsidRDefault="001234E1" w:rsidP="00AE1EBF">
            <w:pPr>
              <w:pStyle w:val="BodyText"/>
              <w:ind w:left="57" w:right="57"/>
            </w:pPr>
            <w:r w:rsidRPr="00AE1EBF">
              <w:t>Date of public release of policy:</w:t>
            </w:r>
          </w:p>
        </w:tc>
        <w:tc>
          <w:tcPr>
            <w:tcW w:w="5335" w:type="dxa"/>
          </w:tcPr>
          <w:p w:rsidR="001234E1" w:rsidRPr="00AE1EBF" w:rsidRDefault="00540F79" w:rsidP="00AE1EBF">
            <w:pPr>
              <w:pStyle w:val="BodyText"/>
              <w:ind w:left="57"/>
            </w:pPr>
            <w:r w:rsidRPr="00AE1EBF">
              <w:t>23 May 2016</w:t>
            </w:r>
          </w:p>
          <w:p w:rsidR="001B1570" w:rsidRPr="00AE1EBF" w:rsidRDefault="00C71820" w:rsidP="00AE1EBF">
            <w:pPr>
              <w:pStyle w:val="BodyText"/>
              <w:ind w:left="57"/>
            </w:pPr>
            <w:hyperlink r:id="rId13" w:history="1">
              <w:r w:rsidR="001B1570" w:rsidRPr="00AE1EBF">
                <w:rPr>
                  <w:rStyle w:val="Hyperlink"/>
                </w:rPr>
                <w:t>http://greens.org.au/mental-health</w:t>
              </w:r>
            </w:hyperlink>
          </w:p>
        </w:tc>
      </w:tr>
      <w:tr w:rsidR="001234E1" w:rsidRPr="00AE1EBF" w:rsidTr="00D52D5F">
        <w:tc>
          <w:tcPr>
            <w:tcW w:w="3005" w:type="dxa"/>
          </w:tcPr>
          <w:p w:rsidR="001234E1" w:rsidRPr="00AE1EBF" w:rsidRDefault="001234E1" w:rsidP="00AE1EBF">
            <w:pPr>
              <w:pStyle w:val="BodyText"/>
              <w:ind w:left="57" w:right="57"/>
            </w:pPr>
            <w:r w:rsidRPr="00AE1EBF">
              <w:t>Date costing request received:</w:t>
            </w:r>
          </w:p>
        </w:tc>
        <w:tc>
          <w:tcPr>
            <w:tcW w:w="5335" w:type="dxa"/>
          </w:tcPr>
          <w:p w:rsidR="001234E1" w:rsidRPr="00AE1EBF" w:rsidRDefault="001B1570" w:rsidP="00AE1EBF">
            <w:pPr>
              <w:pStyle w:val="BodyText"/>
              <w:ind w:left="57"/>
            </w:pPr>
            <w:r w:rsidRPr="00AE1EBF">
              <w:t>29 June 2016</w:t>
            </w:r>
          </w:p>
        </w:tc>
      </w:tr>
      <w:tr w:rsidR="001234E1" w:rsidRPr="00AE1EBF" w:rsidTr="00D52D5F">
        <w:tc>
          <w:tcPr>
            <w:tcW w:w="3005" w:type="dxa"/>
          </w:tcPr>
          <w:p w:rsidR="001234E1" w:rsidRPr="00AE1EBF" w:rsidRDefault="001234E1" w:rsidP="00AE1EBF">
            <w:pPr>
              <w:pStyle w:val="BodyText"/>
              <w:ind w:left="57" w:right="57"/>
            </w:pPr>
            <w:r w:rsidRPr="00AE1EBF">
              <w:t>Date costing completed</w:t>
            </w:r>
            <w:r w:rsidR="00AE1EBF" w:rsidRPr="00AE1EBF">
              <w:t>:</w:t>
            </w:r>
          </w:p>
        </w:tc>
        <w:tc>
          <w:tcPr>
            <w:tcW w:w="5335" w:type="dxa"/>
          </w:tcPr>
          <w:p w:rsidR="001234E1" w:rsidRPr="00AE1EBF" w:rsidRDefault="001B1570" w:rsidP="00AE1EBF">
            <w:pPr>
              <w:pStyle w:val="BodyText"/>
              <w:ind w:left="57"/>
            </w:pPr>
            <w:r w:rsidRPr="00AE1EBF">
              <w:t>29 June 2016</w:t>
            </w:r>
          </w:p>
        </w:tc>
      </w:tr>
      <w:tr w:rsidR="001234E1" w:rsidRPr="00AE1EBF" w:rsidTr="00D52D5F">
        <w:tc>
          <w:tcPr>
            <w:tcW w:w="3005" w:type="dxa"/>
          </w:tcPr>
          <w:p w:rsidR="001234E1" w:rsidRPr="00AE1EBF" w:rsidRDefault="001234E1" w:rsidP="00AE1EBF">
            <w:pPr>
              <w:pStyle w:val="BodyText"/>
              <w:ind w:left="57" w:right="57"/>
            </w:pPr>
            <w:r w:rsidRPr="00AE1EBF">
              <w:t>Expiry date for the costing:</w:t>
            </w:r>
          </w:p>
        </w:tc>
        <w:tc>
          <w:tcPr>
            <w:tcW w:w="5335" w:type="dxa"/>
          </w:tcPr>
          <w:p w:rsidR="001234E1" w:rsidRPr="00AE1EBF" w:rsidRDefault="001234E1" w:rsidP="00AE1EBF">
            <w:pPr>
              <w:pStyle w:val="BodyText"/>
              <w:ind w:left="57"/>
            </w:pPr>
            <w:r w:rsidRPr="00AE1EBF">
              <w:t>Release of the next economic and fiscal outlook report</w:t>
            </w:r>
          </w:p>
        </w:tc>
      </w:tr>
    </w:tbl>
    <w:p w:rsidR="0055581F" w:rsidRPr="00AE1EBF" w:rsidRDefault="008030EC" w:rsidP="00FC6579">
      <w:pPr>
        <w:pStyle w:val="Heading2"/>
        <w:rPr>
          <w:sz w:val="22"/>
          <w:szCs w:val="22"/>
        </w:rPr>
      </w:pPr>
      <w:r w:rsidRPr="00AE1EBF">
        <w:rPr>
          <w:sz w:val="22"/>
          <w:szCs w:val="22"/>
        </w:rPr>
        <w:lastRenderedPageBreak/>
        <w:t>Costing overview</w:t>
      </w:r>
    </w:p>
    <w:p w:rsidR="001234E1" w:rsidRPr="00AE1EBF" w:rsidRDefault="001234E1" w:rsidP="001234E1">
      <w:pPr>
        <w:keepLines/>
      </w:pPr>
      <w:r w:rsidRPr="00AE1EBF">
        <w:t xml:space="preserve">This proposal would be expected to decrease </w:t>
      </w:r>
      <w:r w:rsidR="004F24DD" w:rsidRPr="00AE1EBF">
        <w:t>the fiscal balance by $1,452.8</w:t>
      </w:r>
      <w:r w:rsidRPr="00AE1EBF">
        <w:t> million and the underlying cash balance by $1,4</w:t>
      </w:r>
      <w:r w:rsidR="004F24DD" w:rsidRPr="00AE1EBF">
        <w:t>49.</w:t>
      </w:r>
      <w:r w:rsidR="00540F79" w:rsidRPr="00AE1EBF">
        <w:t>9 </w:t>
      </w:r>
      <w:r w:rsidRPr="00AE1EBF">
        <w:t>million over the 2016-17 Budget forward estimates period.  In fiscal balance terms, this reflects an increase i</w:t>
      </w:r>
      <w:r w:rsidR="004F24DD" w:rsidRPr="00AE1EBF">
        <w:t>n administered expenditure of $1,376.5</w:t>
      </w:r>
      <w:r w:rsidRPr="00AE1EBF">
        <w:t> million and departmenta</w:t>
      </w:r>
      <w:r w:rsidR="004F24DD" w:rsidRPr="00AE1EBF">
        <w:t>l expenditure of $76.3</w:t>
      </w:r>
      <w:r w:rsidRPr="00AE1EBF">
        <w:t> million.</w:t>
      </w:r>
    </w:p>
    <w:p w:rsidR="001234E1" w:rsidRPr="00AE1EBF" w:rsidRDefault="001234E1" w:rsidP="001234E1">
      <w:pPr>
        <w:keepLines/>
      </w:pPr>
      <w:r w:rsidRPr="00AE1EBF">
        <w:t xml:space="preserve">This proposal would have an ongoing impact beyond the 2016-17 Budget forward estimates period.  </w:t>
      </w:r>
      <w:r w:rsidR="007D6008" w:rsidRPr="00AE1EBF">
        <w:t>Detailed financial implications are provided</w:t>
      </w:r>
      <w:r w:rsidRPr="00AE1EBF">
        <w:t xml:space="preserve"> at </w:t>
      </w:r>
      <w:r w:rsidRPr="00AE1EBF">
        <w:rPr>
          <w:u w:val="single"/>
        </w:rPr>
        <w:t>Attachment A</w:t>
      </w:r>
      <w:r w:rsidRPr="00AE1EBF">
        <w:t>.</w:t>
      </w:r>
    </w:p>
    <w:p w:rsidR="001234E1" w:rsidRPr="00AE1EBF" w:rsidRDefault="001234E1" w:rsidP="001234E1">
      <w:r w:rsidRPr="00AE1EBF">
        <w:t xml:space="preserve">The proposal has a different impact on the </w:t>
      </w:r>
      <w:r w:rsidR="00540F79" w:rsidRPr="00AE1EBF">
        <w:t xml:space="preserve">fiscal and </w:t>
      </w:r>
      <w:r w:rsidRPr="00AE1EBF">
        <w:t>underlying cash balances due to a lag between when services are provided and when payments are made under a range of programs.</w:t>
      </w:r>
    </w:p>
    <w:p w:rsidR="00FE46A4" w:rsidRPr="00AE1EBF" w:rsidRDefault="001234E1" w:rsidP="001234E1">
      <w:pPr>
        <w:keepLines/>
      </w:pPr>
      <w:r w:rsidRPr="00AE1EBF">
        <w:t>This costing is considered to be of low reliability due to uncertainty of the expected uptake of non</w:t>
      </w:r>
      <w:r w:rsidRPr="00AE1EBF">
        <w:noBreakHyphen/>
        <w:t>capped components.</w:t>
      </w:r>
    </w:p>
    <w:p w:rsidR="008D3909" w:rsidRPr="00AE1EBF" w:rsidRDefault="00FE46A4" w:rsidP="001234E1">
      <w:pPr>
        <w:keepLines/>
      </w:pPr>
      <w:r w:rsidRPr="00AE1EBF">
        <w:t>Components 1 to 7 and Component 11 provide capped funding amounts.  The capped components of this</w:t>
      </w:r>
      <w:r w:rsidR="007D6008" w:rsidRPr="00AE1EBF">
        <w:t xml:space="preserve"> costing are considered to be of high reliability as the amount of funding is fixed.  However, no analysis has been undertaken to determine the adequacy of the prescribed funding amounts to achieve the objective of the proposal.</w:t>
      </w:r>
    </w:p>
    <w:p w:rsidR="005E3562" w:rsidRPr="00AE1EBF" w:rsidRDefault="005E3562" w:rsidP="00FC6579">
      <w:pPr>
        <w:pStyle w:val="Captionheading"/>
      </w:pPr>
      <w:r w:rsidRPr="00AE1EBF">
        <w:t xml:space="preserve">Table </w:t>
      </w:r>
      <w:r w:rsidR="001A02D1" w:rsidRPr="00AE1EBF">
        <w:t>1</w:t>
      </w:r>
      <w:r w:rsidRPr="00AE1EBF">
        <w:t>: Financial implications (outturn prices)</w:t>
      </w:r>
      <w:r w:rsidRPr="00AE1EBF">
        <w:rPr>
          <w:vertAlign w:val="superscript"/>
        </w:rPr>
        <w:t>(a)</w:t>
      </w:r>
      <w:r w:rsidR="00497BED" w:rsidRPr="00AE1EBF">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0D75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CF7D9A">
            <w:pPr>
              <w:pStyle w:val="TableText"/>
              <w:keepNext/>
              <w:keepLines/>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8D1DBD"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8D1DBD">
              <w:rPr>
                <w:rFonts w:ascii="Calibri" w:hAnsi="Calibri"/>
                <w:b/>
                <w:szCs w:val="20"/>
              </w:rPr>
              <w:t>Total</w:t>
            </w:r>
          </w:p>
        </w:tc>
      </w:tr>
      <w:tr w:rsidR="004F24DD" w:rsidRPr="00B73AC8" w:rsidTr="000D7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4F24DD" w:rsidRPr="00B73AC8" w:rsidRDefault="004F24DD" w:rsidP="00CF7D9A">
            <w:pPr>
              <w:pStyle w:val="TableTextCentred"/>
              <w:keepNext/>
              <w:keepLines/>
              <w:jc w:val="left"/>
              <w:rPr>
                <w:szCs w:val="20"/>
              </w:rPr>
            </w:pPr>
            <w:r w:rsidRPr="00B73AC8">
              <w:rPr>
                <w:szCs w:val="20"/>
              </w:rPr>
              <w:t>Fiscal balance</w:t>
            </w:r>
          </w:p>
        </w:tc>
        <w:tc>
          <w:tcPr>
            <w:tcW w:w="682" w:type="pct"/>
          </w:tcPr>
          <w:p w:rsidR="004F24DD" w:rsidRPr="004F24DD" w:rsidRDefault="004F24DD" w:rsidP="004F24DD">
            <w:pPr>
              <w:pStyle w:val="TableTextRight"/>
              <w:cnfStyle w:val="000000100000" w:firstRow="0" w:lastRow="0" w:firstColumn="0" w:lastColumn="0" w:oddVBand="0" w:evenVBand="0" w:oddHBand="1" w:evenHBand="0" w:firstRowFirstColumn="0" w:firstRowLastColumn="0" w:lastRowFirstColumn="0" w:lastRowLastColumn="0"/>
              <w:rPr>
                <w:i w:val="0"/>
                <w:sz w:val="24"/>
                <w:szCs w:val="24"/>
              </w:rPr>
            </w:pPr>
            <w:r w:rsidRPr="004F24DD">
              <w:rPr>
                <w:i w:val="0"/>
              </w:rPr>
              <w:t xml:space="preserve">-361.3 </w:t>
            </w:r>
          </w:p>
        </w:tc>
        <w:tc>
          <w:tcPr>
            <w:tcW w:w="682" w:type="pct"/>
          </w:tcPr>
          <w:p w:rsidR="004F24DD" w:rsidRPr="004F24DD" w:rsidRDefault="004F24DD" w:rsidP="004F24DD">
            <w:pPr>
              <w:pStyle w:val="TableTextRight"/>
              <w:cnfStyle w:val="000000100000" w:firstRow="0" w:lastRow="0" w:firstColumn="0" w:lastColumn="0" w:oddVBand="0" w:evenVBand="0" w:oddHBand="1" w:evenHBand="0" w:firstRowFirstColumn="0" w:firstRowLastColumn="0" w:lastRowFirstColumn="0" w:lastRowLastColumn="0"/>
              <w:rPr>
                <w:i w:val="0"/>
                <w:sz w:val="24"/>
                <w:szCs w:val="24"/>
              </w:rPr>
            </w:pPr>
            <w:r w:rsidRPr="004F24DD">
              <w:rPr>
                <w:i w:val="0"/>
              </w:rPr>
              <w:t xml:space="preserve">-362.6 </w:t>
            </w:r>
          </w:p>
        </w:tc>
        <w:tc>
          <w:tcPr>
            <w:tcW w:w="682" w:type="pct"/>
          </w:tcPr>
          <w:p w:rsidR="004F24DD" w:rsidRPr="004F24DD" w:rsidRDefault="004F24DD" w:rsidP="004F24DD">
            <w:pPr>
              <w:pStyle w:val="TableTextRight"/>
              <w:cnfStyle w:val="000000100000" w:firstRow="0" w:lastRow="0" w:firstColumn="0" w:lastColumn="0" w:oddVBand="0" w:evenVBand="0" w:oddHBand="1" w:evenHBand="0" w:firstRowFirstColumn="0" w:firstRowLastColumn="0" w:lastRowFirstColumn="0" w:lastRowLastColumn="0"/>
              <w:rPr>
                <w:i w:val="0"/>
                <w:sz w:val="24"/>
                <w:szCs w:val="24"/>
              </w:rPr>
            </w:pPr>
            <w:r w:rsidRPr="004F24DD">
              <w:rPr>
                <w:i w:val="0"/>
              </w:rPr>
              <w:t xml:space="preserve">-363.7 </w:t>
            </w:r>
          </w:p>
        </w:tc>
        <w:tc>
          <w:tcPr>
            <w:tcW w:w="682" w:type="pct"/>
          </w:tcPr>
          <w:p w:rsidR="004F24DD" w:rsidRPr="004F24DD" w:rsidRDefault="004F24DD" w:rsidP="004F24DD">
            <w:pPr>
              <w:pStyle w:val="TableTextRight"/>
              <w:cnfStyle w:val="000000100000" w:firstRow="0" w:lastRow="0" w:firstColumn="0" w:lastColumn="0" w:oddVBand="0" w:evenVBand="0" w:oddHBand="1" w:evenHBand="0" w:firstRowFirstColumn="0" w:firstRowLastColumn="0" w:lastRowFirstColumn="0" w:lastRowLastColumn="0"/>
              <w:rPr>
                <w:i w:val="0"/>
                <w:sz w:val="24"/>
                <w:szCs w:val="24"/>
              </w:rPr>
            </w:pPr>
            <w:r w:rsidRPr="004F24DD">
              <w:rPr>
                <w:i w:val="0"/>
              </w:rPr>
              <w:t>-365.</w:t>
            </w:r>
            <w:r w:rsidR="00DC563A">
              <w:rPr>
                <w:i w:val="0"/>
              </w:rPr>
              <w:t>2</w:t>
            </w:r>
            <w:r w:rsidRPr="004F24DD">
              <w:rPr>
                <w:i w:val="0"/>
              </w:rPr>
              <w:t xml:space="preserve"> </w:t>
            </w:r>
          </w:p>
        </w:tc>
        <w:tc>
          <w:tcPr>
            <w:tcW w:w="681" w:type="pct"/>
          </w:tcPr>
          <w:p w:rsidR="004F24DD" w:rsidRPr="008D1DBD" w:rsidRDefault="004F24DD" w:rsidP="004F24DD">
            <w:pPr>
              <w:pStyle w:val="TableTextRight"/>
              <w:cnfStyle w:val="000000100000" w:firstRow="0" w:lastRow="0" w:firstColumn="0" w:lastColumn="0" w:oddVBand="0" w:evenVBand="0" w:oddHBand="1" w:evenHBand="0" w:firstRowFirstColumn="0" w:firstRowLastColumn="0" w:lastRowFirstColumn="0" w:lastRowLastColumn="0"/>
              <w:rPr>
                <w:b/>
                <w:i w:val="0"/>
                <w:sz w:val="24"/>
                <w:szCs w:val="24"/>
              </w:rPr>
            </w:pPr>
            <w:r w:rsidRPr="008D1DBD">
              <w:rPr>
                <w:b/>
                <w:i w:val="0"/>
              </w:rPr>
              <w:t xml:space="preserve">-1,452.8 </w:t>
            </w:r>
          </w:p>
        </w:tc>
      </w:tr>
      <w:tr w:rsidR="004F24DD" w:rsidRPr="00B73AC8" w:rsidTr="000D7564">
        <w:tc>
          <w:tcPr>
            <w:cnfStyle w:val="001000000000" w:firstRow="0" w:lastRow="0" w:firstColumn="1" w:lastColumn="0" w:oddVBand="0" w:evenVBand="0" w:oddHBand="0" w:evenHBand="0" w:firstRowFirstColumn="0" w:firstRowLastColumn="0" w:lastRowFirstColumn="0" w:lastRowLastColumn="0"/>
            <w:tcW w:w="1591" w:type="pct"/>
          </w:tcPr>
          <w:p w:rsidR="004F24DD" w:rsidRPr="00B73AC8" w:rsidRDefault="004F24DD" w:rsidP="00CF7D9A">
            <w:pPr>
              <w:pStyle w:val="TableTextCentred"/>
              <w:keepNext/>
              <w:keepLines/>
              <w:jc w:val="left"/>
              <w:rPr>
                <w:szCs w:val="20"/>
              </w:rPr>
            </w:pPr>
            <w:r w:rsidRPr="00B73AC8">
              <w:rPr>
                <w:szCs w:val="20"/>
              </w:rPr>
              <w:t>Underlying cash balance</w:t>
            </w:r>
          </w:p>
        </w:tc>
        <w:tc>
          <w:tcPr>
            <w:tcW w:w="682" w:type="pct"/>
          </w:tcPr>
          <w:p w:rsidR="004F24DD" w:rsidRPr="004F24DD" w:rsidRDefault="004F24DD" w:rsidP="004F24DD">
            <w:pPr>
              <w:pStyle w:val="TableTextRight"/>
              <w:cnfStyle w:val="000000000000" w:firstRow="0" w:lastRow="0" w:firstColumn="0" w:lastColumn="0" w:oddVBand="0" w:evenVBand="0" w:oddHBand="0" w:evenHBand="0" w:firstRowFirstColumn="0" w:firstRowLastColumn="0" w:lastRowFirstColumn="0" w:lastRowLastColumn="0"/>
              <w:rPr>
                <w:i w:val="0"/>
                <w:sz w:val="24"/>
                <w:szCs w:val="24"/>
              </w:rPr>
            </w:pPr>
            <w:r w:rsidRPr="004F24DD">
              <w:rPr>
                <w:i w:val="0"/>
              </w:rPr>
              <w:t xml:space="preserve">-360.6 </w:t>
            </w:r>
          </w:p>
        </w:tc>
        <w:tc>
          <w:tcPr>
            <w:tcW w:w="682" w:type="pct"/>
          </w:tcPr>
          <w:p w:rsidR="004F24DD" w:rsidRPr="004F24DD" w:rsidRDefault="004F24DD" w:rsidP="004F24DD">
            <w:pPr>
              <w:pStyle w:val="TableTextRight"/>
              <w:cnfStyle w:val="000000000000" w:firstRow="0" w:lastRow="0" w:firstColumn="0" w:lastColumn="0" w:oddVBand="0" w:evenVBand="0" w:oddHBand="0" w:evenHBand="0" w:firstRowFirstColumn="0" w:firstRowLastColumn="0" w:lastRowFirstColumn="0" w:lastRowLastColumn="0"/>
              <w:rPr>
                <w:i w:val="0"/>
                <w:sz w:val="24"/>
                <w:szCs w:val="24"/>
              </w:rPr>
            </w:pPr>
            <w:r w:rsidRPr="004F24DD">
              <w:rPr>
                <w:i w:val="0"/>
              </w:rPr>
              <w:t xml:space="preserve">-361.9 </w:t>
            </w:r>
          </w:p>
        </w:tc>
        <w:tc>
          <w:tcPr>
            <w:tcW w:w="682" w:type="pct"/>
          </w:tcPr>
          <w:p w:rsidR="004F24DD" w:rsidRPr="004F24DD" w:rsidRDefault="004F24DD" w:rsidP="004F24DD">
            <w:pPr>
              <w:pStyle w:val="TableTextRight"/>
              <w:cnfStyle w:val="000000000000" w:firstRow="0" w:lastRow="0" w:firstColumn="0" w:lastColumn="0" w:oddVBand="0" w:evenVBand="0" w:oddHBand="0" w:evenHBand="0" w:firstRowFirstColumn="0" w:firstRowLastColumn="0" w:lastRowFirstColumn="0" w:lastRowLastColumn="0"/>
              <w:rPr>
                <w:i w:val="0"/>
                <w:sz w:val="24"/>
                <w:szCs w:val="24"/>
              </w:rPr>
            </w:pPr>
            <w:r w:rsidRPr="004F24DD">
              <w:rPr>
                <w:i w:val="0"/>
              </w:rPr>
              <w:t xml:space="preserve">-363.0 </w:t>
            </w:r>
          </w:p>
        </w:tc>
        <w:tc>
          <w:tcPr>
            <w:tcW w:w="682" w:type="pct"/>
          </w:tcPr>
          <w:p w:rsidR="004F24DD" w:rsidRPr="004F24DD" w:rsidRDefault="004F24DD" w:rsidP="004F24DD">
            <w:pPr>
              <w:pStyle w:val="TableTextRight"/>
              <w:cnfStyle w:val="000000000000" w:firstRow="0" w:lastRow="0" w:firstColumn="0" w:lastColumn="0" w:oddVBand="0" w:evenVBand="0" w:oddHBand="0" w:evenHBand="0" w:firstRowFirstColumn="0" w:firstRowLastColumn="0" w:lastRowFirstColumn="0" w:lastRowLastColumn="0"/>
              <w:rPr>
                <w:i w:val="0"/>
                <w:sz w:val="24"/>
                <w:szCs w:val="24"/>
              </w:rPr>
            </w:pPr>
            <w:r w:rsidRPr="004F24DD">
              <w:rPr>
                <w:i w:val="0"/>
              </w:rPr>
              <w:t xml:space="preserve">-364.4 </w:t>
            </w:r>
          </w:p>
        </w:tc>
        <w:tc>
          <w:tcPr>
            <w:tcW w:w="681" w:type="pct"/>
          </w:tcPr>
          <w:p w:rsidR="004F24DD" w:rsidRPr="008D1DBD" w:rsidRDefault="004F24DD" w:rsidP="004F24DD">
            <w:pPr>
              <w:pStyle w:val="TableTextRight"/>
              <w:cnfStyle w:val="000000000000" w:firstRow="0" w:lastRow="0" w:firstColumn="0" w:lastColumn="0" w:oddVBand="0" w:evenVBand="0" w:oddHBand="0" w:evenHBand="0" w:firstRowFirstColumn="0" w:firstRowLastColumn="0" w:lastRowFirstColumn="0" w:lastRowLastColumn="0"/>
              <w:rPr>
                <w:b/>
                <w:i w:val="0"/>
                <w:sz w:val="24"/>
                <w:szCs w:val="24"/>
              </w:rPr>
            </w:pPr>
            <w:r w:rsidRPr="008D1DBD">
              <w:rPr>
                <w:b/>
                <w:i w:val="0"/>
              </w:rPr>
              <w:t xml:space="preserve">-1,449.9 </w:t>
            </w:r>
          </w:p>
        </w:tc>
      </w:tr>
    </w:tbl>
    <w:p w:rsidR="00924DFF" w:rsidRDefault="00924DFF" w:rsidP="00924DFF">
      <w:pPr>
        <w:pStyle w:val="Footnotes"/>
        <w:keepNext/>
        <w:keepLines/>
        <w:numPr>
          <w:ilvl w:val="0"/>
          <w:numId w:val="7"/>
        </w:numPr>
        <w:ind w:left="284" w:hanging="284"/>
      </w:pPr>
      <w:r w:rsidRPr="001D274A">
        <w:t xml:space="preserve">A negative number </w:t>
      </w:r>
      <w:r>
        <w:t>indicates a</w:t>
      </w:r>
      <w:r w:rsidRPr="00916D5F">
        <w:t xml:space="preserve"> </w:t>
      </w:r>
      <w:r>
        <w:t>de</w:t>
      </w:r>
      <w:r w:rsidRPr="00916D5F">
        <w:t>crease in the relevant budget balance</w:t>
      </w:r>
      <w:r>
        <w:t>.</w:t>
      </w:r>
    </w:p>
    <w:p w:rsidR="00924DFF" w:rsidRPr="001D274A" w:rsidRDefault="00924DFF" w:rsidP="00924DFF">
      <w:pPr>
        <w:pStyle w:val="Footnotes"/>
        <w:keepNext/>
        <w:keepLines/>
        <w:numPr>
          <w:ilvl w:val="0"/>
          <w:numId w:val="7"/>
        </w:numPr>
        <w:ind w:left="284" w:hanging="284"/>
      </w:pPr>
      <w:r w:rsidRPr="00AE0901">
        <w:t>Figures may not sum to totals due to rounding</w:t>
      </w:r>
      <w:r w:rsidRPr="001D274A">
        <w:t>.</w:t>
      </w:r>
    </w:p>
    <w:p w:rsidR="008D3909" w:rsidRPr="00FC6579" w:rsidRDefault="005E3562" w:rsidP="00E40B8B">
      <w:pPr>
        <w:pStyle w:val="Heading2"/>
      </w:pPr>
      <w:r w:rsidRPr="00FC6579">
        <w:t>Key assumptions</w:t>
      </w:r>
    </w:p>
    <w:p w:rsidR="005E3562" w:rsidRPr="00002D5D" w:rsidRDefault="001234E1" w:rsidP="00B5390E">
      <w:r>
        <w:t>In costing this proposal it has been assumed that</w:t>
      </w:r>
      <w:r w:rsidR="00540F79">
        <w:t xml:space="preserve"> </w:t>
      </w:r>
      <w:r>
        <w:t>there would be a full year effect of the proposal in 2016-17 despite commencing on 1</w:t>
      </w:r>
      <w:r w:rsidR="001F0B1D">
        <w:t> </w:t>
      </w:r>
      <w:r>
        <w:t>September 2016.</w:t>
      </w:r>
    </w:p>
    <w:p w:rsidR="005E3562" w:rsidRPr="00FC6579" w:rsidRDefault="005E3562" w:rsidP="00E40B8B">
      <w:pPr>
        <w:pStyle w:val="Heading2"/>
      </w:pPr>
      <w:r w:rsidRPr="00FC6579">
        <w:t>Methodology</w:t>
      </w:r>
    </w:p>
    <w:p w:rsidR="001234E1" w:rsidRDefault="00BC315A" w:rsidP="001234E1">
      <w:r>
        <w:t>D</w:t>
      </w:r>
      <w:r w:rsidR="001234E1">
        <w:t>epartmental expenditure estimates are accommodated within the capped funding amounts as specified in the request.  These estimates are based on similar sized programs and estimates account for the net effect of indexation parameters and the efficiency dividend, in accordance with the Department of Finance’s costing practices.</w:t>
      </w:r>
    </w:p>
    <w:p w:rsidR="001234E1" w:rsidRDefault="001234E1" w:rsidP="001234E1">
      <w:r w:rsidRPr="00807934">
        <w:t>Administered</w:t>
      </w:r>
      <w:r>
        <w:t xml:space="preserve"> expenditure estimates for the funding for each component are the remainder of the capped funding amounts after allowing for estimated departmental expenditure.  </w:t>
      </w:r>
    </w:p>
    <w:p w:rsidR="001234E1" w:rsidRPr="00864894" w:rsidRDefault="001F0B1D" w:rsidP="001234E1">
      <w:r>
        <w:t>For Component 7</w:t>
      </w:r>
      <w:r w:rsidR="001234E1">
        <w:t xml:space="preserve">, the Department of Health advised that funding for the </w:t>
      </w:r>
      <w:r w:rsidR="001234E1" w:rsidRPr="00864894">
        <w:t xml:space="preserve">MHNIP </w:t>
      </w:r>
      <w:r w:rsidR="001234E1">
        <w:t>was not incorporated into the flexible funding pool for mental health over the 2016-17 Budget forward estimates period.</w:t>
      </w:r>
    </w:p>
    <w:p w:rsidR="001234E1" w:rsidRDefault="001234E1" w:rsidP="001234E1">
      <w:r>
        <w:lastRenderedPageBreak/>
        <w:t>Components 8 and 9 are based on costing models provided by the Department of Health.</w:t>
      </w:r>
    </w:p>
    <w:p w:rsidR="005E3562" w:rsidRPr="00002D5D" w:rsidRDefault="001234E1" w:rsidP="001234E1">
      <w:r>
        <w:t>Component 10 is costed based on the unit price and expected number of services under the Better Access Initiative from the 2011-12 Budget.  The unit price and expected number of services have been projected using the relevant Department of Finance indexation and efficiency dividend parameters.</w:t>
      </w:r>
    </w:p>
    <w:p w:rsidR="005E3562" w:rsidRPr="00FC6579" w:rsidRDefault="005E3562" w:rsidP="00E40B8B">
      <w:pPr>
        <w:pStyle w:val="Heading2"/>
      </w:pPr>
      <w:r w:rsidRPr="00FC6579">
        <w:t>Data sources</w:t>
      </w:r>
    </w:p>
    <w:p w:rsidR="001234E1" w:rsidRDefault="001234E1" w:rsidP="001234E1">
      <w:r>
        <w:t>The Department of Health provided costing models and materials related to:</w:t>
      </w:r>
    </w:p>
    <w:p w:rsidR="001234E1" w:rsidRPr="00CE49EB" w:rsidRDefault="001234E1" w:rsidP="00CE49EB">
      <w:pPr>
        <w:pStyle w:val="Bullet1"/>
      </w:pPr>
      <w:r w:rsidRPr="00CE49EB">
        <w:t>the KidsMatter program</w:t>
      </w:r>
    </w:p>
    <w:p w:rsidR="001234E1" w:rsidRPr="00CE49EB" w:rsidRDefault="001234E1" w:rsidP="00CE49EB">
      <w:pPr>
        <w:pStyle w:val="Bullet1"/>
      </w:pPr>
      <w:r w:rsidRPr="00CE49EB">
        <w:t>the Mind Matters program</w:t>
      </w:r>
    </w:p>
    <w:p w:rsidR="001234E1" w:rsidRPr="00CE49EB" w:rsidRDefault="001234E1" w:rsidP="00CE49EB">
      <w:pPr>
        <w:pStyle w:val="Bullet1"/>
      </w:pPr>
      <w:r w:rsidRPr="00CE49EB">
        <w:t>the Children of Parents with a Mental Illness program</w:t>
      </w:r>
    </w:p>
    <w:p w:rsidR="001234E1" w:rsidRPr="00CE49EB" w:rsidRDefault="001234E1" w:rsidP="00CE49EB">
      <w:pPr>
        <w:pStyle w:val="Bullet1"/>
      </w:pPr>
      <w:r w:rsidRPr="00CE49EB">
        <w:t>the Better Access Initiative</w:t>
      </w:r>
    </w:p>
    <w:p w:rsidR="001234E1" w:rsidRPr="00CE49EB" w:rsidRDefault="001234E1" w:rsidP="00CE49EB">
      <w:pPr>
        <w:pStyle w:val="Bullet1"/>
      </w:pPr>
      <w:r w:rsidRPr="00CE49EB">
        <w:t>the Mental Health Nurse Incentive Program.</w:t>
      </w:r>
    </w:p>
    <w:p w:rsidR="00CA5D42" w:rsidRPr="00FC6579" w:rsidRDefault="001234E1" w:rsidP="001234E1">
      <w:pPr>
        <w:rPr>
          <w:highlight w:val="yellow"/>
        </w:rPr>
        <w:sectPr w:rsidR="00CA5D42" w:rsidRPr="00FC6579" w:rsidSect="00002D5D">
          <w:headerReference w:type="first" r:id="rId14"/>
          <w:footerReference w:type="first" r:id="rId15"/>
          <w:pgSz w:w="11906" w:h="16838"/>
          <w:pgMar w:top="1361" w:right="1797" w:bottom="1474" w:left="1797" w:header="709" w:footer="709" w:gutter="0"/>
          <w:cols w:space="708"/>
          <w:titlePg/>
          <w:docGrid w:linePitch="360"/>
        </w:sectPr>
      </w:pPr>
      <w:r>
        <w:t>The Department of Finance provided indexation and efficiency dividend parameters as at the 2016</w:t>
      </w:r>
      <w:r>
        <w:noBreakHyphen/>
      </w:r>
      <w:r w:rsidRPr="00323E47">
        <w:t>1</w:t>
      </w:r>
      <w:r>
        <w:t>7 Budget.</w:t>
      </w:r>
    </w:p>
    <w:p w:rsidR="00AB5A53" w:rsidRPr="00AB5A53" w:rsidRDefault="00AB5A53" w:rsidP="00AB5A53">
      <w:pPr>
        <w:keepNext/>
        <w:keepLines/>
        <w:numPr>
          <w:ilvl w:val="0"/>
          <w:numId w:val="1"/>
        </w:numPr>
        <w:tabs>
          <w:tab w:val="right" w:pos="1418"/>
          <w:tab w:val="right" w:pos="1701"/>
          <w:tab w:val="right" w:pos="1985"/>
        </w:tabs>
        <w:spacing w:before="480" w:after="340" w:line="240" w:lineRule="auto"/>
        <w:outlineLvl w:val="0"/>
        <w:rPr>
          <w:rFonts w:ascii="Georgia" w:hAnsi="Georgia"/>
          <w:bCs/>
          <w:color w:val="2B3B5F"/>
          <w:spacing w:val="-6"/>
          <w:kern w:val="32"/>
          <w:sz w:val="32"/>
          <w:szCs w:val="32"/>
        </w:rPr>
      </w:pPr>
      <w:r w:rsidRPr="00AB5A53">
        <w:rPr>
          <w:rFonts w:ascii="Georgia" w:hAnsi="Georgia"/>
          <w:bCs/>
          <w:color w:val="2B3B5F"/>
          <w:spacing w:val="-6"/>
          <w:kern w:val="32"/>
          <w:sz w:val="32"/>
          <w:szCs w:val="32"/>
        </w:rPr>
        <w:lastRenderedPageBreak/>
        <w:t>Attachment A:</w:t>
      </w:r>
      <w:r w:rsidR="00A53D75">
        <w:rPr>
          <w:rFonts w:ascii="Georgia" w:hAnsi="Georgia"/>
          <w:bCs/>
          <w:color w:val="2B3B5F"/>
          <w:spacing w:val="-6"/>
          <w:kern w:val="32"/>
          <w:sz w:val="32"/>
          <w:szCs w:val="32"/>
        </w:rPr>
        <w:t xml:space="preserve"> More Funding for Mental Health</w:t>
      </w:r>
      <w:r w:rsidRPr="00AB5A53">
        <w:rPr>
          <w:rFonts w:ascii="Georgia" w:hAnsi="Georgia"/>
          <w:bCs/>
          <w:color w:val="2B3B5F"/>
          <w:spacing w:val="-6"/>
          <w:kern w:val="32"/>
          <w:sz w:val="32"/>
          <w:szCs w:val="32"/>
        </w:rPr>
        <w:t>—financial implications</w:t>
      </w:r>
    </w:p>
    <w:p w:rsidR="00DA3B55" w:rsidRDefault="001821DB" w:rsidP="00F21865">
      <w:pPr>
        <w:pStyle w:val="Captionheading"/>
      </w:pPr>
      <w:r w:rsidRPr="001821DB">
        <w:t xml:space="preserve">Table A1: </w:t>
      </w:r>
      <w:r w:rsidR="00617B23" w:rsidRPr="00617B23">
        <w:t>Co</w:t>
      </w:r>
      <w:r w:rsidR="005C354E">
        <w:t>mbined impact of all components</w:t>
      </w:r>
      <w:r w:rsidR="00617B23" w:rsidRPr="00617B23">
        <w:t>—</w:t>
      </w:r>
      <w:r w:rsidRPr="001821DB">
        <w:t xml:space="preserve">Financial </w:t>
      </w:r>
      <w:r w:rsidR="00A53D75">
        <w:t>implications</w:t>
      </w:r>
      <w:r w:rsidRPr="00617B23">
        <w:rPr>
          <w:vertAlign w:val="superscript"/>
        </w:rPr>
        <w:t>(a)(b)</w:t>
      </w:r>
    </w:p>
    <w:tbl>
      <w:tblPr>
        <w:tblStyle w:val="TableGrid"/>
        <w:tblW w:w="5000" w:type="pct"/>
        <w:tblLook w:val="0680" w:firstRow="0" w:lastRow="0" w:firstColumn="1" w:lastColumn="0" w:noHBand="1" w:noVBand="1"/>
      </w:tblPr>
      <w:tblGrid>
        <w:gridCol w:w="2318"/>
        <w:gridCol w:w="1162"/>
        <w:gridCol w:w="1162"/>
        <w:gridCol w:w="1162"/>
        <w:gridCol w:w="1162"/>
        <w:gridCol w:w="1357"/>
      </w:tblGrid>
      <w:tr w:rsidR="00BD5073" w:rsidRPr="00B31810" w:rsidTr="000F11DB">
        <w:trPr>
          <w:cantSplit/>
          <w:tblHeader/>
        </w:trPr>
        <w:tc>
          <w:tcPr>
            <w:cnfStyle w:val="001000000000" w:firstRow="0" w:lastRow="0" w:firstColumn="1" w:lastColumn="0" w:oddVBand="0" w:evenVBand="0" w:oddHBand="0" w:evenHBand="0" w:firstRowFirstColumn="0" w:firstRowLastColumn="0" w:lastRowFirstColumn="0" w:lastRowLastColumn="0"/>
            <w:tcW w:w="1393" w:type="pct"/>
            <w:shd w:val="clear" w:color="auto" w:fill="D7DDE9"/>
          </w:tcPr>
          <w:p w:rsidR="00BD5073" w:rsidRPr="004213F0" w:rsidRDefault="00BD5073" w:rsidP="00CE49EB">
            <w:pPr>
              <w:spacing w:before="70" w:after="70" w:line="240" w:lineRule="auto"/>
              <w:ind w:left="57" w:right="57"/>
              <w:rPr>
                <w:szCs w:val="20"/>
              </w:rPr>
            </w:pPr>
            <w:r w:rsidRPr="004213F0">
              <w:rPr>
                <w:szCs w:val="20"/>
              </w:rPr>
              <w:t>($m)</w:t>
            </w:r>
          </w:p>
        </w:tc>
        <w:tc>
          <w:tcPr>
            <w:tcW w:w="698" w:type="pct"/>
            <w:shd w:val="clear" w:color="auto" w:fill="D7DDE9"/>
          </w:tcPr>
          <w:p w:rsidR="00BD5073" w:rsidRPr="004213F0"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4213F0">
              <w:rPr>
                <w:szCs w:val="20"/>
              </w:rPr>
              <w:t>2016–17</w:t>
            </w:r>
          </w:p>
        </w:tc>
        <w:tc>
          <w:tcPr>
            <w:tcW w:w="698" w:type="pct"/>
            <w:shd w:val="clear" w:color="auto" w:fill="D7DDE9"/>
          </w:tcPr>
          <w:p w:rsidR="00BD5073" w:rsidRPr="004213F0"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4213F0">
              <w:rPr>
                <w:szCs w:val="20"/>
              </w:rPr>
              <w:t>2017–18</w:t>
            </w:r>
          </w:p>
        </w:tc>
        <w:tc>
          <w:tcPr>
            <w:tcW w:w="698" w:type="pct"/>
            <w:shd w:val="clear" w:color="auto" w:fill="D7DDE9"/>
          </w:tcPr>
          <w:p w:rsidR="00BD5073" w:rsidRPr="004213F0"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4213F0">
              <w:rPr>
                <w:szCs w:val="20"/>
              </w:rPr>
              <w:t>2018–19</w:t>
            </w:r>
          </w:p>
        </w:tc>
        <w:tc>
          <w:tcPr>
            <w:tcW w:w="698" w:type="pct"/>
            <w:shd w:val="clear" w:color="auto" w:fill="D7DDE9"/>
          </w:tcPr>
          <w:p w:rsidR="00BD5073" w:rsidRPr="004213F0"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4213F0">
              <w:rPr>
                <w:szCs w:val="20"/>
              </w:rPr>
              <w:t>2019–20</w:t>
            </w:r>
          </w:p>
        </w:tc>
        <w:tc>
          <w:tcPr>
            <w:tcW w:w="815" w:type="pct"/>
            <w:shd w:val="clear" w:color="auto" w:fill="D7DDE9"/>
          </w:tcPr>
          <w:p w:rsidR="00BD5073" w:rsidRPr="004213F0"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b/>
                <w:szCs w:val="20"/>
              </w:rPr>
            </w:pPr>
            <w:r w:rsidRPr="004213F0">
              <w:rPr>
                <w:b/>
                <w:szCs w:val="20"/>
              </w:rPr>
              <w:t xml:space="preserve">Total to </w:t>
            </w:r>
            <w:r w:rsidR="000F11DB">
              <w:rPr>
                <w:b/>
                <w:szCs w:val="20"/>
              </w:rPr>
              <w:t>2019</w:t>
            </w:r>
            <w:r w:rsidR="000F11DB">
              <w:rPr>
                <w:b/>
                <w:szCs w:val="20"/>
              </w:rPr>
              <w:noBreakHyphen/>
            </w:r>
            <w:r w:rsidRPr="004213F0">
              <w:rPr>
                <w:b/>
                <w:szCs w:val="20"/>
              </w:rPr>
              <w:t>20</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BD5073" w:rsidRPr="004213F0" w:rsidRDefault="00BD5073" w:rsidP="00CE49EB">
            <w:pPr>
              <w:pStyle w:val="TableTextRight"/>
              <w:jc w:val="left"/>
              <w:rPr>
                <w:b/>
                <w:i w:val="0"/>
                <w:szCs w:val="20"/>
              </w:rPr>
            </w:pPr>
            <w:r w:rsidRPr="004213F0">
              <w:rPr>
                <w:b/>
                <w:i w:val="0"/>
                <w:szCs w:val="20"/>
              </w:rPr>
              <w:t>Fiscal balance</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1393" w:type="pct"/>
          </w:tcPr>
          <w:p w:rsidR="00BD5073" w:rsidRPr="004213F0" w:rsidRDefault="00BD5073" w:rsidP="00CE49EB">
            <w:pPr>
              <w:spacing w:before="70" w:after="70" w:line="240" w:lineRule="auto"/>
              <w:ind w:left="57" w:right="57"/>
              <w:rPr>
                <w:szCs w:val="20"/>
              </w:rPr>
            </w:pPr>
            <w:r w:rsidRPr="004213F0">
              <w:rPr>
                <w:szCs w:val="20"/>
              </w:rPr>
              <w:t>Administered</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-342.0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-343.4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-344.8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-346.2 </w:t>
            </w:r>
          </w:p>
        </w:tc>
        <w:tc>
          <w:tcPr>
            <w:tcW w:w="815"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-1,376.5 </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1393" w:type="pct"/>
          </w:tcPr>
          <w:p w:rsidR="00BD5073" w:rsidRPr="004213F0" w:rsidRDefault="00BD5073" w:rsidP="00CE49EB">
            <w:pPr>
              <w:spacing w:before="70" w:after="70" w:line="240" w:lineRule="auto"/>
              <w:ind w:left="57" w:right="57"/>
              <w:rPr>
                <w:szCs w:val="20"/>
              </w:rPr>
            </w:pPr>
            <w:r w:rsidRPr="004213F0">
              <w:rPr>
                <w:szCs w:val="20"/>
              </w:rPr>
              <w:t>Departmental</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-19.3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-19.2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-18.9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-18.9 </w:t>
            </w:r>
          </w:p>
        </w:tc>
        <w:tc>
          <w:tcPr>
            <w:tcW w:w="815"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-76.3 </w:t>
            </w:r>
          </w:p>
        </w:tc>
      </w:tr>
      <w:tr w:rsidR="00BD5073" w:rsidRPr="00AB55AE" w:rsidTr="000F11DB">
        <w:trPr>
          <w:cantSplit/>
        </w:trPr>
        <w:tc>
          <w:tcPr>
            <w:cnfStyle w:val="001000000000" w:firstRow="0" w:lastRow="0" w:firstColumn="1" w:lastColumn="0" w:oddVBand="0" w:evenVBand="0" w:oddHBand="0" w:evenHBand="0" w:firstRowFirstColumn="0" w:firstRowLastColumn="0" w:lastRowFirstColumn="0" w:lastRowLastColumn="0"/>
            <w:tcW w:w="1393" w:type="pct"/>
            <w:shd w:val="clear" w:color="auto" w:fill="D7DDE9"/>
          </w:tcPr>
          <w:p w:rsidR="00BD5073" w:rsidRPr="004213F0" w:rsidRDefault="00BD5073" w:rsidP="00CE49EB">
            <w:pPr>
              <w:spacing w:before="70" w:after="70" w:line="240" w:lineRule="auto"/>
              <w:ind w:left="57" w:right="57"/>
              <w:rPr>
                <w:b/>
                <w:szCs w:val="20"/>
              </w:rPr>
            </w:pPr>
            <w:r w:rsidRPr="004213F0">
              <w:rPr>
                <w:b/>
                <w:szCs w:val="20"/>
              </w:rPr>
              <w:t>Total</w:t>
            </w:r>
          </w:p>
        </w:tc>
        <w:tc>
          <w:tcPr>
            <w:tcW w:w="698"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-361.3 </w:t>
            </w:r>
          </w:p>
        </w:tc>
        <w:tc>
          <w:tcPr>
            <w:tcW w:w="698"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-362.6 </w:t>
            </w:r>
          </w:p>
        </w:tc>
        <w:tc>
          <w:tcPr>
            <w:tcW w:w="698"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-363.7 </w:t>
            </w:r>
          </w:p>
        </w:tc>
        <w:tc>
          <w:tcPr>
            <w:tcW w:w="698"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-365.2 </w:t>
            </w:r>
          </w:p>
        </w:tc>
        <w:tc>
          <w:tcPr>
            <w:tcW w:w="815"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-1,452.8 </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BD5073" w:rsidRPr="004213F0" w:rsidRDefault="00BD5073" w:rsidP="00CE49EB">
            <w:pPr>
              <w:pStyle w:val="TableTextRight"/>
              <w:jc w:val="left"/>
              <w:rPr>
                <w:b/>
                <w:i w:val="0"/>
                <w:szCs w:val="20"/>
              </w:rPr>
            </w:pPr>
            <w:r w:rsidRPr="004213F0">
              <w:rPr>
                <w:b/>
                <w:i w:val="0"/>
                <w:szCs w:val="20"/>
              </w:rPr>
              <w:t>Underlying cash balance</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1393" w:type="pct"/>
          </w:tcPr>
          <w:p w:rsidR="00BD5073" w:rsidRPr="004213F0" w:rsidRDefault="00BD5073" w:rsidP="00CE49EB">
            <w:pPr>
              <w:spacing w:before="70" w:after="70" w:line="240" w:lineRule="auto"/>
              <w:ind w:left="57" w:right="57"/>
              <w:rPr>
                <w:szCs w:val="20"/>
              </w:rPr>
            </w:pPr>
            <w:r w:rsidRPr="004213F0">
              <w:rPr>
                <w:szCs w:val="20"/>
              </w:rPr>
              <w:t>Administered</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-341.3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-342.7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-344.1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-345.5 </w:t>
            </w:r>
          </w:p>
        </w:tc>
        <w:tc>
          <w:tcPr>
            <w:tcW w:w="815"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-1,373.6 </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1393" w:type="pct"/>
          </w:tcPr>
          <w:p w:rsidR="00BD5073" w:rsidRPr="004213F0" w:rsidRDefault="00BD5073" w:rsidP="00CE49EB">
            <w:pPr>
              <w:spacing w:before="70" w:after="70" w:line="240" w:lineRule="auto"/>
              <w:ind w:left="57" w:right="57"/>
              <w:rPr>
                <w:szCs w:val="20"/>
              </w:rPr>
            </w:pPr>
            <w:r w:rsidRPr="004213F0">
              <w:rPr>
                <w:szCs w:val="20"/>
              </w:rPr>
              <w:t>Departmental</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-19.3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-19.2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-18.9 </w:t>
            </w:r>
          </w:p>
        </w:tc>
        <w:tc>
          <w:tcPr>
            <w:tcW w:w="698" w:type="pct"/>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4213F0">
              <w:rPr>
                <w:szCs w:val="20"/>
              </w:rPr>
              <w:t xml:space="preserve">-18.9 </w:t>
            </w:r>
          </w:p>
        </w:tc>
        <w:tc>
          <w:tcPr>
            <w:tcW w:w="815"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-76.3 </w:t>
            </w:r>
          </w:p>
        </w:tc>
      </w:tr>
      <w:tr w:rsidR="00BD5073" w:rsidRPr="00AB55AE" w:rsidTr="000F11DB">
        <w:trPr>
          <w:cantSplit/>
        </w:trPr>
        <w:tc>
          <w:tcPr>
            <w:cnfStyle w:val="001000000000" w:firstRow="0" w:lastRow="0" w:firstColumn="1" w:lastColumn="0" w:oddVBand="0" w:evenVBand="0" w:oddHBand="0" w:evenHBand="0" w:firstRowFirstColumn="0" w:firstRowLastColumn="0" w:lastRowFirstColumn="0" w:lastRowLastColumn="0"/>
            <w:tcW w:w="1393" w:type="pct"/>
            <w:shd w:val="clear" w:color="auto" w:fill="D7DDE9"/>
          </w:tcPr>
          <w:p w:rsidR="00BD5073" w:rsidRPr="004213F0" w:rsidRDefault="00BD5073" w:rsidP="00CE49EB">
            <w:pPr>
              <w:spacing w:before="70" w:after="70" w:line="240" w:lineRule="auto"/>
              <w:ind w:left="57" w:right="57"/>
              <w:rPr>
                <w:b/>
                <w:szCs w:val="20"/>
              </w:rPr>
            </w:pPr>
            <w:r w:rsidRPr="004213F0">
              <w:rPr>
                <w:b/>
                <w:szCs w:val="20"/>
              </w:rPr>
              <w:t>Total</w:t>
            </w:r>
          </w:p>
        </w:tc>
        <w:tc>
          <w:tcPr>
            <w:tcW w:w="698"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-360.6 </w:t>
            </w:r>
          </w:p>
        </w:tc>
        <w:tc>
          <w:tcPr>
            <w:tcW w:w="698"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-361.9 </w:t>
            </w:r>
          </w:p>
        </w:tc>
        <w:tc>
          <w:tcPr>
            <w:tcW w:w="698"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-363.0 </w:t>
            </w:r>
          </w:p>
        </w:tc>
        <w:tc>
          <w:tcPr>
            <w:tcW w:w="698"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-364.4 </w:t>
            </w:r>
          </w:p>
        </w:tc>
        <w:tc>
          <w:tcPr>
            <w:tcW w:w="815" w:type="pct"/>
            <w:shd w:val="clear" w:color="auto" w:fill="D7DDE9"/>
          </w:tcPr>
          <w:p w:rsidR="00BD5073" w:rsidRPr="004213F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4213F0">
              <w:rPr>
                <w:b/>
                <w:i w:val="0"/>
                <w:szCs w:val="20"/>
              </w:rPr>
              <w:t xml:space="preserve">-1,449.9 </w:t>
            </w:r>
          </w:p>
        </w:tc>
      </w:tr>
    </w:tbl>
    <w:p w:rsidR="005B7B75" w:rsidRPr="00FC6579" w:rsidRDefault="000654BE" w:rsidP="00531264">
      <w:pPr>
        <w:pStyle w:val="Footnotes"/>
        <w:numPr>
          <w:ilvl w:val="0"/>
          <w:numId w:val="16"/>
        </w:numPr>
        <w:ind w:left="284" w:hanging="284"/>
      </w:pPr>
      <w:r w:rsidRPr="00DB3B7E">
        <w:t xml:space="preserve">A </w:t>
      </w:r>
      <w:r w:rsidRPr="00B77A9E">
        <w:t>negative number indicates a decrease in revenue or an increase in expenses or net capital investment in accrual and cash terms</w:t>
      </w:r>
      <w:r w:rsidR="00F75DF8">
        <w:t>.</w:t>
      </w:r>
    </w:p>
    <w:p w:rsidR="00CE49EB" w:rsidRDefault="001F7D6A" w:rsidP="00CE49EB">
      <w:pPr>
        <w:pStyle w:val="Footnotes"/>
        <w:ind w:left="284" w:hanging="284"/>
      </w:pPr>
      <w:r>
        <w:t>Figures may not sum to totals due to rounding.</w:t>
      </w:r>
    </w:p>
    <w:p w:rsidR="005C354E" w:rsidRPr="005C354E" w:rsidRDefault="00617B23" w:rsidP="005C354E">
      <w:pPr>
        <w:pStyle w:val="Captionheading"/>
      </w:pPr>
      <w:r w:rsidRPr="00617B23">
        <w:t>Table A2:</w:t>
      </w:r>
      <w:r>
        <w:t xml:space="preserve"> Component 1:</w:t>
      </w:r>
      <w:r w:rsidRPr="00617B23">
        <w:t xml:space="preserve"> National Institute for </w:t>
      </w:r>
      <w:r>
        <w:t>Mental Illness Research</w:t>
      </w:r>
      <w:r w:rsidR="005C354E" w:rsidRPr="005C354E">
        <w:t>—Financial implications</w:t>
      </w:r>
      <w:r w:rsidR="005C354E" w:rsidRPr="005C354E">
        <w:rPr>
          <w:vertAlign w:val="superscript"/>
        </w:rPr>
        <w:t>(a)(b)</w:t>
      </w:r>
    </w:p>
    <w:tbl>
      <w:tblPr>
        <w:tblStyle w:val="TableGrid"/>
        <w:tblW w:w="5000" w:type="pct"/>
        <w:tblLook w:val="0680" w:firstRow="0" w:lastRow="0" w:firstColumn="1" w:lastColumn="0" w:noHBand="1" w:noVBand="1"/>
      </w:tblPr>
      <w:tblGrid>
        <w:gridCol w:w="2376"/>
        <w:gridCol w:w="1190"/>
        <w:gridCol w:w="1190"/>
        <w:gridCol w:w="1190"/>
        <w:gridCol w:w="1190"/>
        <w:gridCol w:w="1187"/>
      </w:tblGrid>
      <w:tr w:rsidR="00BD5073" w:rsidRPr="00B31810" w:rsidTr="000F11DB">
        <w:trPr>
          <w:cantSplit/>
          <w:tblHeader/>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BD5073" w:rsidRPr="00DC50E3" w:rsidRDefault="00BD5073" w:rsidP="00CE49EB">
            <w:pPr>
              <w:spacing w:before="70" w:after="70" w:line="240" w:lineRule="auto"/>
              <w:ind w:left="57" w:right="57"/>
              <w:rPr>
                <w:szCs w:val="20"/>
              </w:rPr>
            </w:pPr>
            <w:r w:rsidRPr="00DC50E3">
              <w:rPr>
                <w:szCs w:val="20"/>
              </w:rPr>
              <w:t>($m)</w:t>
            </w:r>
          </w:p>
        </w:tc>
        <w:tc>
          <w:tcPr>
            <w:tcW w:w="715" w:type="pct"/>
            <w:shd w:val="clear" w:color="auto" w:fill="D7DDE9"/>
          </w:tcPr>
          <w:p w:rsidR="00BD5073" w:rsidRPr="00DC50E3"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DC50E3">
              <w:rPr>
                <w:szCs w:val="20"/>
              </w:rPr>
              <w:t>2016–17</w:t>
            </w:r>
          </w:p>
        </w:tc>
        <w:tc>
          <w:tcPr>
            <w:tcW w:w="715" w:type="pct"/>
            <w:shd w:val="clear" w:color="auto" w:fill="D7DDE9"/>
          </w:tcPr>
          <w:p w:rsidR="00BD5073" w:rsidRPr="00DC50E3"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DC50E3">
              <w:rPr>
                <w:szCs w:val="20"/>
              </w:rPr>
              <w:t>2017–18</w:t>
            </w:r>
          </w:p>
        </w:tc>
        <w:tc>
          <w:tcPr>
            <w:tcW w:w="715" w:type="pct"/>
            <w:shd w:val="clear" w:color="auto" w:fill="D7DDE9"/>
          </w:tcPr>
          <w:p w:rsidR="00BD5073" w:rsidRPr="00DC50E3"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DC50E3">
              <w:rPr>
                <w:szCs w:val="20"/>
              </w:rPr>
              <w:t>2018–19</w:t>
            </w:r>
          </w:p>
        </w:tc>
        <w:tc>
          <w:tcPr>
            <w:tcW w:w="715" w:type="pct"/>
            <w:shd w:val="clear" w:color="auto" w:fill="D7DDE9"/>
          </w:tcPr>
          <w:p w:rsidR="00BD5073" w:rsidRPr="00DC50E3"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szCs w:val="20"/>
              </w:rPr>
            </w:pPr>
            <w:r w:rsidRPr="00DC50E3">
              <w:rPr>
                <w:szCs w:val="20"/>
              </w:rPr>
              <w:t>2019–20</w:t>
            </w:r>
          </w:p>
        </w:tc>
        <w:tc>
          <w:tcPr>
            <w:tcW w:w="715" w:type="pct"/>
            <w:shd w:val="clear" w:color="auto" w:fill="D7DDE9"/>
          </w:tcPr>
          <w:p w:rsidR="00BD5073" w:rsidRPr="00DC50E3" w:rsidRDefault="00BD5073" w:rsidP="00CE49EB">
            <w:pPr>
              <w:pStyle w:val="TableHeadingCentred"/>
              <w:keepNext w:val="0"/>
              <w:keepLines w:val="0"/>
              <w:cnfStyle w:val="000000000000" w:firstRow="0" w:lastRow="0" w:firstColumn="0" w:lastColumn="0" w:oddVBand="0" w:evenVBand="0" w:oddHBand="0" w:evenHBand="0" w:firstRowFirstColumn="0" w:firstRowLastColumn="0" w:lastRowFirstColumn="0" w:lastRowLastColumn="0"/>
              <w:rPr>
                <w:b/>
                <w:szCs w:val="20"/>
              </w:rPr>
            </w:pPr>
            <w:r w:rsidRPr="00DC50E3">
              <w:rPr>
                <w:b/>
                <w:szCs w:val="20"/>
              </w:rPr>
              <w:t>Total to 2019–20</w:t>
            </w:r>
          </w:p>
        </w:tc>
      </w:tr>
      <w:tr w:rsidR="00BD5073" w:rsidRPr="00DC50E3" w:rsidTr="000F11DB">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7DDE9"/>
          </w:tcPr>
          <w:p w:rsidR="00BD5073" w:rsidRPr="00DC50E3" w:rsidRDefault="00BD5073" w:rsidP="00CE49EB">
            <w:pPr>
              <w:pStyle w:val="TableHeadingCentred"/>
              <w:keepNext w:val="0"/>
              <w:keepLines w:val="0"/>
              <w:jc w:val="left"/>
              <w:rPr>
                <w:b/>
                <w:szCs w:val="20"/>
              </w:rPr>
            </w:pPr>
            <w:r w:rsidRPr="00C604C8">
              <w:rPr>
                <w:b/>
                <w:szCs w:val="20"/>
              </w:rPr>
              <w:t>Impact on fiscal and underlying cash balances</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BD5073" w:rsidRPr="00DC50E3" w:rsidRDefault="00BD5073" w:rsidP="00CE49EB">
            <w:pPr>
              <w:spacing w:before="70" w:after="70" w:line="240" w:lineRule="auto"/>
              <w:ind w:left="57" w:right="57"/>
              <w:rPr>
                <w:szCs w:val="20"/>
              </w:rPr>
            </w:pPr>
            <w:r w:rsidRPr="00DC50E3">
              <w:rPr>
                <w:szCs w:val="20"/>
              </w:rPr>
              <w:t>Administered</w:t>
            </w:r>
          </w:p>
        </w:tc>
        <w:tc>
          <w:tcPr>
            <w:tcW w:w="715" w:type="pct"/>
          </w:tcPr>
          <w:p w:rsidR="00BD5073" w:rsidRPr="00DC50E3"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-36.4 </w:t>
            </w:r>
          </w:p>
        </w:tc>
        <w:tc>
          <w:tcPr>
            <w:tcW w:w="715" w:type="pct"/>
          </w:tcPr>
          <w:p w:rsidR="00BD5073" w:rsidRPr="00DC50E3"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-36.4 </w:t>
            </w:r>
          </w:p>
        </w:tc>
        <w:tc>
          <w:tcPr>
            <w:tcW w:w="715" w:type="pct"/>
          </w:tcPr>
          <w:p w:rsidR="00BD5073" w:rsidRPr="00DC50E3"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-36.4 </w:t>
            </w:r>
          </w:p>
        </w:tc>
        <w:tc>
          <w:tcPr>
            <w:tcW w:w="715" w:type="pct"/>
          </w:tcPr>
          <w:p w:rsidR="00BD5073" w:rsidRPr="00DC50E3"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-36.4 </w:t>
            </w:r>
          </w:p>
        </w:tc>
        <w:tc>
          <w:tcPr>
            <w:tcW w:w="715"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-145.7 </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BD5073" w:rsidRPr="00DC50E3" w:rsidRDefault="00BD5073" w:rsidP="00CE49EB">
            <w:pPr>
              <w:spacing w:before="70" w:after="70" w:line="240" w:lineRule="auto"/>
              <w:ind w:left="57" w:right="57"/>
              <w:rPr>
                <w:szCs w:val="20"/>
              </w:rPr>
            </w:pPr>
            <w:r w:rsidRPr="00DC50E3">
              <w:rPr>
                <w:szCs w:val="20"/>
              </w:rPr>
              <w:t>Departmental</w:t>
            </w:r>
          </w:p>
        </w:tc>
        <w:tc>
          <w:tcPr>
            <w:tcW w:w="715" w:type="pct"/>
          </w:tcPr>
          <w:p w:rsidR="00BD5073" w:rsidRPr="00DC50E3"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-1.1 </w:t>
            </w:r>
          </w:p>
        </w:tc>
        <w:tc>
          <w:tcPr>
            <w:tcW w:w="715" w:type="pct"/>
          </w:tcPr>
          <w:p w:rsidR="00BD5073" w:rsidRPr="00DC50E3"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-1.1 </w:t>
            </w:r>
          </w:p>
        </w:tc>
        <w:tc>
          <w:tcPr>
            <w:tcW w:w="715" w:type="pct"/>
          </w:tcPr>
          <w:p w:rsidR="00BD5073" w:rsidRPr="00DC50E3"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-1.1 </w:t>
            </w:r>
          </w:p>
        </w:tc>
        <w:tc>
          <w:tcPr>
            <w:tcW w:w="715" w:type="pct"/>
          </w:tcPr>
          <w:p w:rsidR="00BD5073" w:rsidRPr="00DC50E3"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-1.1 </w:t>
            </w:r>
          </w:p>
        </w:tc>
        <w:tc>
          <w:tcPr>
            <w:tcW w:w="715"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-4.3 </w:t>
            </w:r>
          </w:p>
        </w:tc>
      </w:tr>
      <w:tr w:rsidR="00BD5073" w:rsidRPr="00AB55AE"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BD5073" w:rsidRPr="00DC50E3" w:rsidRDefault="00BD5073" w:rsidP="00CE49EB">
            <w:pPr>
              <w:spacing w:before="70" w:after="70" w:line="240" w:lineRule="auto"/>
              <w:ind w:left="57" w:right="57"/>
              <w:rPr>
                <w:b/>
                <w:szCs w:val="20"/>
              </w:rPr>
            </w:pPr>
            <w:r w:rsidRPr="00DC50E3">
              <w:rPr>
                <w:b/>
                <w:szCs w:val="20"/>
              </w:rPr>
              <w:t>Total</w:t>
            </w:r>
          </w:p>
        </w:tc>
        <w:tc>
          <w:tcPr>
            <w:tcW w:w="715"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-37.5 </w:t>
            </w:r>
          </w:p>
        </w:tc>
        <w:tc>
          <w:tcPr>
            <w:tcW w:w="715"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-37.5 </w:t>
            </w:r>
          </w:p>
        </w:tc>
        <w:tc>
          <w:tcPr>
            <w:tcW w:w="715"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-37.5 </w:t>
            </w:r>
          </w:p>
        </w:tc>
        <w:tc>
          <w:tcPr>
            <w:tcW w:w="715"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-37.5 </w:t>
            </w:r>
          </w:p>
        </w:tc>
        <w:tc>
          <w:tcPr>
            <w:tcW w:w="715"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-150.0 </w:t>
            </w:r>
          </w:p>
        </w:tc>
      </w:tr>
    </w:tbl>
    <w:p w:rsidR="00617B23" w:rsidRPr="00617B23" w:rsidRDefault="000654BE" w:rsidP="00617B23">
      <w:pPr>
        <w:pStyle w:val="Footnotes"/>
        <w:numPr>
          <w:ilvl w:val="0"/>
          <w:numId w:val="23"/>
        </w:numPr>
        <w:ind w:left="284" w:hanging="284"/>
      </w:pPr>
      <w:r w:rsidRPr="000654BE">
        <w:t>A negative number indicates a decrease in revenue or an increase in expenses or net capital investment in accrual and cash terms</w:t>
      </w:r>
      <w:r w:rsidR="00617B23" w:rsidRPr="00617B23">
        <w:t>.</w:t>
      </w:r>
      <w:r w:rsidR="0034622F">
        <w:t xml:space="preserve"> </w:t>
      </w:r>
      <w:r w:rsidR="0034622F" w:rsidRPr="0034622F">
        <w:t>The impacts on fiscal and underlying cash balances are equal.</w:t>
      </w:r>
    </w:p>
    <w:p w:rsidR="00617B23" w:rsidRDefault="00617B23" w:rsidP="00EF403D">
      <w:pPr>
        <w:pStyle w:val="Footnotes"/>
        <w:ind w:left="284" w:hanging="284"/>
      </w:pPr>
      <w:r w:rsidRPr="00617B23">
        <w:t>Figures may not sum to totals due to rounding.</w:t>
      </w:r>
    </w:p>
    <w:p w:rsidR="0034622F" w:rsidRDefault="0034622F" w:rsidP="004E6290">
      <w:pPr>
        <w:pStyle w:val="Captionheading"/>
        <w:keepLines/>
      </w:pPr>
      <w:r w:rsidRPr="00617B23">
        <w:lastRenderedPageBreak/>
        <w:t>Table A</w:t>
      </w:r>
      <w:r>
        <w:t>3</w:t>
      </w:r>
      <w:r w:rsidRPr="00617B23">
        <w:t>:</w:t>
      </w:r>
      <w:r>
        <w:t xml:space="preserve"> </w:t>
      </w:r>
      <w:r w:rsidRPr="0034622F">
        <w:t>Component 2</w:t>
      </w:r>
      <w:r w:rsidR="00CD17C5">
        <w:t>:</w:t>
      </w:r>
      <w:r w:rsidRPr="0034622F">
        <w:t xml:space="preserve"> National Suicide Prevention Campaign</w:t>
      </w:r>
      <w:r w:rsidR="005C354E" w:rsidRPr="005C354E">
        <w:t>—Financial implications</w:t>
      </w:r>
      <w:r w:rsidR="005C354E" w:rsidRPr="005C354E">
        <w:rPr>
          <w:vertAlign w:val="superscript"/>
        </w:rPr>
        <w:t>(a)(b)</w:t>
      </w:r>
    </w:p>
    <w:tbl>
      <w:tblPr>
        <w:tblStyle w:val="TableGrid"/>
        <w:tblW w:w="5000" w:type="pct"/>
        <w:tblLook w:val="0680" w:firstRow="0" w:lastRow="0" w:firstColumn="1" w:lastColumn="0" w:noHBand="1" w:noVBand="1"/>
      </w:tblPr>
      <w:tblGrid>
        <w:gridCol w:w="2376"/>
        <w:gridCol w:w="1190"/>
        <w:gridCol w:w="1190"/>
        <w:gridCol w:w="1190"/>
        <w:gridCol w:w="1190"/>
        <w:gridCol w:w="1187"/>
      </w:tblGrid>
      <w:tr w:rsidR="00BD5073" w:rsidRPr="00B31810" w:rsidTr="000F11DB">
        <w:trPr>
          <w:cantSplit/>
          <w:tblHeader/>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BD5073" w:rsidRPr="00DC50E3" w:rsidRDefault="00BD5073" w:rsidP="004E6290">
            <w:pPr>
              <w:keepNext/>
              <w:keepLines/>
              <w:spacing w:before="70" w:after="70" w:line="240" w:lineRule="auto"/>
              <w:ind w:left="57" w:right="57"/>
              <w:rPr>
                <w:szCs w:val="20"/>
              </w:rPr>
            </w:pPr>
            <w:r w:rsidRPr="00DC50E3">
              <w:rPr>
                <w:szCs w:val="20"/>
              </w:rPr>
              <w:t>($m)</w:t>
            </w:r>
          </w:p>
        </w:tc>
        <w:tc>
          <w:tcPr>
            <w:tcW w:w="715" w:type="pct"/>
            <w:shd w:val="clear" w:color="auto" w:fill="D7DDE9"/>
          </w:tcPr>
          <w:p w:rsidR="00BD5073" w:rsidRPr="00DC50E3" w:rsidRDefault="00BD5073" w:rsidP="004E6290">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DC50E3">
              <w:rPr>
                <w:szCs w:val="20"/>
              </w:rPr>
              <w:t>2016–17</w:t>
            </w:r>
          </w:p>
        </w:tc>
        <w:tc>
          <w:tcPr>
            <w:tcW w:w="715" w:type="pct"/>
            <w:shd w:val="clear" w:color="auto" w:fill="D7DDE9"/>
          </w:tcPr>
          <w:p w:rsidR="00BD5073" w:rsidRPr="00DC50E3" w:rsidRDefault="00BD5073" w:rsidP="004E6290">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DC50E3">
              <w:rPr>
                <w:szCs w:val="20"/>
              </w:rPr>
              <w:t>2017–18</w:t>
            </w:r>
          </w:p>
        </w:tc>
        <w:tc>
          <w:tcPr>
            <w:tcW w:w="715" w:type="pct"/>
            <w:shd w:val="clear" w:color="auto" w:fill="D7DDE9"/>
          </w:tcPr>
          <w:p w:rsidR="00BD5073" w:rsidRPr="00DC50E3" w:rsidRDefault="00BD5073" w:rsidP="004E6290">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DC50E3">
              <w:rPr>
                <w:szCs w:val="20"/>
              </w:rPr>
              <w:t>2018–19</w:t>
            </w:r>
          </w:p>
        </w:tc>
        <w:tc>
          <w:tcPr>
            <w:tcW w:w="715" w:type="pct"/>
            <w:shd w:val="clear" w:color="auto" w:fill="D7DDE9"/>
          </w:tcPr>
          <w:p w:rsidR="00BD5073" w:rsidRPr="00DC50E3" w:rsidRDefault="00BD5073" w:rsidP="004E6290">
            <w:pPr>
              <w:pStyle w:val="TableHeadingCentred"/>
              <w:cnfStyle w:val="000000000000" w:firstRow="0" w:lastRow="0" w:firstColumn="0" w:lastColumn="0" w:oddVBand="0" w:evenVBand="0" w:oddHBand="0" w:evenHBand="0" w:firstRowFirstColumn="0" w:firstRowLastColumn="0" w:lastRowFirstColumn="0" w:lastRowLastColumn="0"/>
              <w:rPr>
                <w:szCs w:val="20"/>
              </w:rPr>
            </w:pPr>
            <w:r w:rsidRPr="00DC50E3">
              <w:rPr>
                <w:szCs w:val="20"/>
              </w:rPr>
              <w:t>2019–20</w:t>
            </w:r>
          </w:p>
        </w:tc>
        <w:tc>
          <w:tcPr>
            <w:tcW w:w="715" w:type="pct"/>
            <w:shd w:val="clear" w:color="auto" w:fill="D7DDE9"/>
          </w:tcPr>
          <w:p w:rsidR="00BD5073" w:rsidRPr="00DC50E3" w:rsidRDefault="00BD5073" w:rsidP="004E6290">
            <w:pPr>
              <w:pStyle w:val="TableHeadingCentred"/>
              <w:cnfStyle w:val="000000000000" w:firstRow="0" w:lastRow="0" w:firstColumn="0" w:lastColumn="0" w:oddVBand="0" w:evenVBand="0" w:oddHBand="0" w:evenHBand="0" w:firstRowFirstColumn="0" w:firstRowLastColumn="0" w:lastRowFirstColumn="0" w:lastRowLastColumn="0"/>
              <w:rPr>
                <w:b/>
                <w:szCs w:val="20"/>
              </w:rPr>
            </w:pPr>
            <w:r w:rsidRPr="00DC50E3">
              <w:rPr>
                <w:b/>
                <w:szCs w:val="20"/>
              </w:rPr>
              <w:t>Total to 2019–20</w:t>
            </w:r>
          </w:p>
        </w:tc>
      </w:tr>
      <w:tr w:rsidR="00BD5073" w:rsidRPr="00DC50E3" w:rsidTr="000F11DB">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7DDE9"/>
          </w:tcPr>
          <w:p w:rsidR="00BD5073" w:rsidRPr="00DC50E3" w:rsidRDefault="00BD5073" w:rsidP="004E6290">
            <w:pPr>
              <w:pStyle w:val="TableHeadingCentred"/>
              <w:jc w:val="left"/>
              <w:rPr>
                <w:b/>
                <w:szCs w:val="20"/>
              </w:rPr>
            </w:pPr>
            <w:r w:rsidRPr="00C604C8">
              <w:rPr>
                <w:b/>
                <w:szCs w:val="20"/>
              </w:rPr>
              <w:t>Impact on fiscal and underlying cash balances</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BD5073" w:rsidRPr="00DC50E3" w:rsidRDefault="00BD5073" w:rsidP="004E6290">
            <w:pPr>
              <w:keepNext/>
              <w:keepLines/>
              <w:spacing w:before="70" w:after="70" w:line="240" w:lineRule="auto"/>
              <w:ind w:left="57" w:right="57"/>
              <w:rPr>
                <w:szCs w:val="20"/>
              </w:rPr>
            </w:pPr>
            <w:r w:rsidRPr="00DC50E3">
              <w:rPr>
                <w:szCs w:val="20"/>
              </w:rPr>
              <w:t>Administered</w:t>
            </w:r>
          </w:p>
        </w:tc>
        <w:tc>
          <w:tcPr>
            <w:tcW w:w="715" w:type="pct"/>
          </w:tcPr>
          <w:p w:rsidR="00BD5073" w:rsidRPr="00DC50E3"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-9.1 </w:t>
            </w:r>
          </w:p>
        </w:tc>
        <w:tc>
          <w:tcPr>
            <w:tcW w:w="715" w:type="pct"/>
          </w:tcPr>
          <w:p w:rsidR="00BD5073" w:rsidRPr="00DC50E3"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-9.1 </w:t>
            </w:r>
          </w:p>
        </w:tc>
        <w:tc>
          <w:tcPr>
            <w:tcW w:w="715" w:type="pct"/>
          </w:tcPr>
          <w:p w:rsidR="00BD5073" w:rsidRPr="00DC50E3"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-9.1 </w:t>
            </w:r>
          </w:p>
        </w:tc>
        <w:tc>
          <w:tcPr>
            <w:tcW w:w="715" w:type="pct"/>
          </w:tcPr>
          <w:p w:rsidR="00BD5073" w:rsidRPr="00DC50E3"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-9.1 </w:t>
            </w:r>
          </w:p>
        </w:tc>
        <w:tc>
          <w:tcPr>
            <w:tcW w:w="715" w:type="pct"/>
          </w:tcPr>
          <w:p w:rsidR="00BD5073" w:rsidRPr="00E20F20"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-36.4 </w:t>
            </w:r>
          </w:p>
        </w:tc>
      </w:tr>
      <w:tr w:rsidR="00BD5073"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BD5073" w:rsidRPr="00DC50E3" w:rsidRDefault="00BD5073" w:rsidP="004E6290">
            <w:pPr>
              <w:keepNext/>
              <w:keepLines/>
              <w:spacing w:before="70" w:after="70" w:line="240" w:lineRule="auto"/>
              <w:ind w:left="57" w:right="57"/>
              <w:rPr>
                <w:szCs w:val="20"/>
              </w:rPr>
            </w:pPr>
            <w:r w:rsidRPr="00DC50E3">
              <w:rPr>
                <w:szCs w:val="20"/>
              </w:rPr>
              <w:t>Departmental</w:t>
            </w:r>
          </w:p>
        </w:tc>
        <w:tc>
          <w:tcPr>
            <w:tcW w:w="715" w:type="pct"/>
          </w:tcPr>
          <w:p w:rsidR="00BD5073" w:rsidRPr="00DC50E3"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-0.5 </w:t>
            </w:r>
          </w:p>
        </w:tc>
        <w:tc>
          <w:tcPr>
            <w:tcW w:w="715" w:type="pct"/>
          </w:tcPr>
          <w:p w:rsidR="00BD5073" w:rsidRPr="00DC50E3"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-0.5 </w:t>
            </w:r>
          </w:p>
        </w:tc>
        <w:tc>
          <w:tcPr>
            <w:tcW w:w="715" w:type="pct"/>
          </w:tcPr>
          <w:p w:rsidR="00BD5073" w:rsidRPr="00DC50E3"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-0.5 </w:t>
            </w:r>
          </w:p>
        </w:tc>
        <w:tc>
          <w:tcPr>
            <w:tcW w:w="715" w:type="pct"/>
          </w:tcPr>
          <w:p w:rsidR="00BD5073" w:rsidRPr="00DC50E3"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DC50E3">
              <w:rPr>
                <w:szCs w:val="20"/>
              </w:rPr>
              <w:t xml:space="preserve">-0.5 </w:t>
            </w:r>
          </w:p>
        </w:tc>
        <w:tc>
          <w:tcPr>
            <w:tcW w:w="715" w:type="pct"/>
          </w:tcPr>
          <w:p w:rsidR="00BD5073" w:rsidRPr="00E20F20"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-1.9 </w:t>
            </w:r>
          </w:p>
        </w:tc>
      </w:tr>
      <w:tr w:rsidR="00BD5073" w:rsidRPr="00AB55AE"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BD5073" w:rsidRPr="00DC50E3" w:rsidRDefault="00BD5073" w:rsidP="004E6290">
            <w:pPr>
              <w:keepNext/>
              <w:keepLines/>
              <w:spacing w:before="70" w:after="70" w:line="240" w:lineRule="auto"/>
              <w:ind w:left="57" w:right="57"/>
              <w:rPr>
                <w:b/>
                <w:szCs w:val="20"/>
              </w:rPr>
            </w:pPr>
            <w:r w:rsidRPr="00DC50E3">
              <w:rPr>
                <w:b/>
                <w:szCs w:val="20"/>
              </w:rPr>
              <w:t>Total</w:t>
            </w:r>
          </w:p>
        </w:tc>
        <w:tc>
          <w:tcPr>
            <w:tcW w:w="715" w:type="pct"/>
            <w:shd w:val="clear" w:color="auto" w:fill="D7DDE9"/>
          </w:tcPr>
          <w:p w:rsidR="00BD5073" w:rsidRPr="00793B8A"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-9.6 </w:t>
            </w:r>
          </w:p>
        </w:tc>
        <w:tc>
          <w:tcPr>
            <w:tcW w:w="715" w:type="pct"/>
            <w:shd w:val="clear" w:color="auto" w:fill="D7DDE9"/>
          </w:tcPr>
          <w:p w:rsidR="00BD5073" w:rsidRPr="00793B8A"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-9.6 </w:t>
            </w:r>
          </w:p>
        </w:tc>
        <w:tc>
          <w:tcPr>
            <w:tcW w:w="715" w:type="pct"/>
            <w:shd w:val="clear" w:color="auto" w:fill="D7DDE9"/>
          </w:tcPr>
          <w:p w:rsidR="00BD5073" w:rsidRPr="00793B8A"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-9.6 </w:t>
            </w:r>
          </w:p>
        </w:tc>
        <w:tc>
          <w:tcPr>
            <w:tcW w:w="715" w:type="pct"/>
            <w:shd w:val="clear" w:color="auto" w:fill="D7DDE9"/>
          </w:tcPr>
          <w:p w:rsidR="00BD5073" w:rsidRPr="00793B8A"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-9.6 </w:t>
            </w:r>
          </w:p>
        </w:tc>
        <w:tc>
          <w:tcPr>
            <w:tcW w:w="715" w:type="pct"/>
            <w:shd w:val="clear" w:color="auto" w:fill="D7DDE9"/>
          </w:tcPr>
          <w:p w:rsidR="00BD5073" w:rsidRPr="00793B8A" w:rsidRDefault="00BD5073"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-38.3 </w:t>
            </w:r>
          </w:p>
        </w:tc>
      </w:tr>
    </w:tbl>
    <w:p w:rsidR="00CD17C5" w:rsidRPr="00617B23" w:rsidRDefault="000654BE" w:rsidP="004E6290">
      <w:pPr>
        <w:pStyle w:val="Footnotes"/>
        <w:keepNext/>
        <w:keepLines/>
        <w:numPr>
          <w:ilvl w:val="0"/>
          <w:numId w:val="27"/>
        </w:numPr>
        <w:ind w:left="284" w:hanging="284"/>
      </w:pPr>
      <w:r w:rsidRPr="000654BE">
        <w:t>A negative number indicates a decrease in revenue or an increase in expenses or net capital investment in accrual and cash terms</w:t>
      </w:r>
      <w:r w:rsidR="00CD17C5" w:rsidRPr="00617B23">
        <w:t>.</w:t>
      </w:r>
      <w:r w:rsidR="00CD17C5">
        <w:t xml:space="preserve"> </w:t>
      </w:r>
      <w:r w:rsidR="00CD17C5" w:rsidRPr="0034622F">
        <w:t>The impacts on fiscal and underlying cash balances are equal.</w:t>
      </w:r>
    </w:p>
    <w:p w:rsidR="00CD17C5" w:rsidRPr="00617B23" w:rsidRDefault="00CD17C5" w:rsidP="00724B43">
      <w:pPr>
        <w:pStyle w:val="Footnotes"/>
        <w:ind w:left="284" w:hanging="284"/>
      </w:pPr>
      <w:r w:rsidRPr="00617B23">
        <w:t>Figures may not sum to totals due to rounding.</w:t>
      </w:r>
    </w:p>
    <w:p w:rsidR="00B8186E" w:rsidRPr="00B8186E" w:rsidRDefault="00CD17C5" w:rsidP="00B8186E">
      <w:pPr>
        <w:keepNext/>
        <w:spacing w:before="340"/>
        <w:rPr>
          <w:b/>
          <w:bCs/>
          <w:color w:val="1F497D" w:themeColor="text2"/>
          <w:spacing w:val="-4"/>
        </w:rPr>
      </w:pPr>
      <w:r w:rsidRPr="00CD17C5">
        <w:rPr>
          <w:b/>
          <w:bCs/>
          <w:color w:val="1F497D" w:themeColor="text2"/>
          <w:spacing w:val="-4"/>
        </w:rPr>
        <w:t>Table A</w:t>
      </w:r>
      <w:r>
        <w:rPr>
          <w:b/>
          <w:bCs/>
          <w:color w:val="1F497D" w:themeColor="text2"/>
          <w:spacing w:val="-4"/>
        </w:rPr>
        <w:t>4</w:t>
      </w:r>
      <w:r w:rsidRPr="00CD17C5">
        <w:rPr>
          <w:b/>
          <w:bCs/>
          <w:color w:val="1F497D" w:themeColor="text2"/>
          <w:spacing w:val="-4"/>
        </w:rPr>
        <w:t xml:space="preserve">: Component </w:t>
      </w:r>
      <w:r w:rsidR="00724B43">
        <w:rPr>
          <w:b/>
          <w:bCs/>
          <w:color w:val="1F497D" w:themeColor="text2"/>
          <w:spacing w:val="-4"/>
        </w:rPr>
        <w:t>3</w:t>
      </w:r>
      <w:r w:rsidRPr="00CD17C5">
        <w:rPr>
          <w:b/>
          <w:bCs/>
          <w:color w:val="1F497D" w:themeColor="text2"/>
          <w:spacing w:val="-4"/>
        </w:rPr>
        <w:t>: Rur</w:t>
      </w:r>
      <w:r w:rsidR="005C354E">
        <w:rPr>
          <w:b/>
          <w:bCs/>
          <w:color w:val="1F497D" w:themeColor="text2"/>
          <w:spacing w:val="-4"/>
        </w:rPr>
        <w:t>al mental health workforce plan</w:t>
      </w:r>
      <w:r w:rsidR="005C354E" w:rsidRPr="005C354E">
        <w:rPr>
          <w:b/>
          <w:bCs/>
          <w:color w:val="1F497D" w:themeColor="text2"/>
          <w:spacing w:val="-4"/>
        </w:rPr>
        <w:t>—Financial implications</w:t>
      </w:r>
      <w:r w:rsidR="005C354E" w:rsidRPr="005C354E">
        <w:rPr>
          <w:b/>
          <w:bCs/>
          <w:color w:val="1F497D" w:themeColor="text2"/>
          <w:spacing w:val="-4"/>
          <w:vertAlign w:val="superscript"/>
        </w:rPr>
        <w:t>(a)(b)</w:t>
      </w:r>
    </w:p>
    <w:tbl>
      <w:tblPr>
        <w:tblStyle w:val="TableGrid1"/>
        <w:tblW w:w="5000" w:type="pct"/>
        <w:tblLook w:val="0680" w:firstRow="0" w:lastRow="0" w:firstColumn="1" w:lastColumn="0" w:noHBand="1" w:noVBand="1"/>
      </w:tblPr>
      <w:tblGrid>
        <w:gridCol w:w="3709"/>
        <w:gridCol w:w="922"/>
        <w:gridCol w:w="922"/>
        <w:gridCol w:w="922"/>
        <w:gridCol w:w="922"/>
        <w:gridCol w:w="926"/>
      </w:tblGrid>
      <w:tr w:rsidR="00BD5073" w:rsidRPr="00B8186E" w:rsidTr="000F11DB">
        <w:trPr>
          <w:cantSplit/>
          <w:tblHeader/>
        </w:trPr>
        <w:tc>
          <w:tcPr>
            <w:cnfStyle w:val="001000000000" w:firstRow="0" w:lastRow="0" w:firstColumn="1" w:lastColumn="0" w:oddVBand="0" w:evenVBand="0" w:oddHBand="0" w:evenHBand="0" w:firstRowFirstColumn="0" w:firstRowLastColumn="0" w:lastRowFirstColumn="0" w:lastRowLastColumn="0"/>
            <w:tcW w:w="2228" w:type="pct"/>
            <w:shd w:val="clear" w:color="auto" w:fill="D7DDE9"/>
          </w:tcPr>
          <w:p w:rsidR="00BD5073" w:rsidRPr="00793B8A" w:rsidRDefault="00BD5073" w:rsidP="00CE49EB">
            <w:pPr>
              <w:spacing w:before="70" w:after="70" w:line="240" w:lineRule="auto"/>
              <w:ind w:left="57" w:right="57"/>
              <w:rPr>
                <w:rFonts w:asciiTheme="minorHAnsi" w:eastAsiaTheme="minorHAnsi" w:hAnsiTheme="minorHAnsi" w:cstheme="minorBidi"/>
                <w:szCs w:val="20"/>
                <w:lang w:eastAsia="en-US"/>
              </w:rPr>
            </w:pPr>
            <w:r w:rsidRPr="00793B8A">
              <w:rPr>
                <w:rFonts w:asciiTheme="minorHAnsi" w:eastAsiaTheme="minorHAnsi" w:hAnsiTheme="minorHAnsi" w:cstheme="minorBidi"/>
                <w:szCs w:val="20"/>
                <w:lang w:eastAsia="en-US"/>
              </w:rPr>
              <w:t>($m)</w:t>
            </w:r>
          </w:p>
        </w:tc>
        <w:tc>
          <w:tcPr>
            <w:tcW w:w="554" w:type="pct"/>
            <w:shd w:val="clear" w:color="auto" w:fill="D7DDE9"/>
          </w:tcPr>
          <w:p w:rsidR="00BD5073" w:rsidRPr="00793B8A" w:rsidRDefault="00BD5073"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2016–17</w:t>
            </w:r>
          </w:p>
        </w:tc>
        <w:tc>
          <w:tcPr>
            <w:tcW w:w="554" w:type="pct"/>
            <w:shd w:val="clear" w:color="auto" w:fill="D7DDE9"/>
          </w:tcPr>
          <w:p w:rsidR="00BD5073" w:rsidRPr="00793B8A" w:rsidRDefault="00BD5073"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2017–18</w:t>
            </w:r>
          </w:p>
        </w:tc>
        <w:tc>
          <w:tcPr>
            <w:tcW w:w="554" w:type="pct"/>
            <w:shd w:val="clear" w:color="auto" w:fill="D7DDE9"/>
          </w:tcPr>
          <w:p w:rsidR="00BD5073" w:rsidRPr="00793B8A" w:rsidRDefault="00BD5073"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2018–19</w:t>
            </w:r>
          </w:p>
        </w:tc>
        <w:tc>
          <w:tcPr>
            <w:tcW w:w="554" w:type="pct"/>
            <w:shd w:val="clear" w:color="auto" w:fill="D7DDE9"/>
          </w:tcPr>
          <w:p w:rsidR="00BD5073" w:rsidRPr="00793B8A" w:rsidRDefault="00BD5073"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2019–20</w:t>
            </w:r>
          </w:p>
        </w:tc>
        <w:tc>
          <w:tcPr>
            <w:tcW w:w="556" w:type="pct"/>
            <w:shd w:val="clear" w:color="auto" w:fill="D7DDE9"/>
          </w:tcPr>
          <w:p w:rsidR="00BD5073" w:rsidRPr="00793B8A" w:rsidRDefault="00BD5073"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793B8A">
              <w:rPr>
                <w:b/>
                <w:szCs w:val="20"/>
              </w:rPr>
              <w:t>Total to 2019–20</w:t>
            </w:r>
          </w:p>
        </w:tc>
      </w:tr>
      <w:tr w:rsidR="00BD5073" w:rsidRPr="00793B8A" w:rsidTr="000F11DB">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7DDE9"/>
          </w:tcPr>
          <w:p w:rsidR="00BD5073" w:rsidRPr="00793B8A" w:rsidRDefault="00BD5073" w:rsidP="00CE49EB">
            <w:pPr>
              <w:spacing w:before="70" w:after="70" w:line="240" w:lineRule="auto"/>
              <w:ind w:left="57" w:right="57"/>
              <w:rPr>
                <w:b/>
                <w:szCs w:val="20"/>
              </w:rPr>
            </w:pPr>
            <w:r w:rsidRPr="00C604C8">
              <w:rPr>
                <w:b/>
                <w:szCs w:val="20"/>
              </w:rPr>
              <w:t>Impact on fiscal and underlying cash balances</w:t>
            </w:r>
          </w:p>
        </w:tc>
      </w:tr>
      <w:tr w:rsidR="00BD5073" w:rsidRPr="00B8186E" w:rsidTr="000F11D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BD5073" w:rsidRPr="00793B8A" w:rsidRDefault="00BD5073" w:rsidP="00CE49EB">
            <w:pPr>
              <w:spacing w:before="70" w:after="70" w:line="240" w:lineRule="auto"/>
              <w:ind w:left="57" w:right="57"/>
              <w:rPr>
                <w:rFonts w:asciiTheme="minorHAnsi" w:eastAsiaTheme="minorHAnsi" w:hAnsiTheme="minorHAnsi"/>
                <w:b/>
                <w:szCs w:val="20"/>
                <w:lang w:eastAsia="en-US"/>
              </w:rPr>
            </w:pPr>
            <w:r w:rsidRPr="00793B8A">
              <w:rPr>
                <w:rFonts w:asciiTheme="minorHAnsi" w:eastAsiaTheme="minorHAnsi" w:hAnsiTheme="minorHAnsi"/>
                <w:b/>
                <w:szCs w:val="20"/>
                <w:lang w:eastAsia="en-US"/>
              </w:rPr>
              <w:t>Administered</w:t>
            </w:r>
          </w:p>
        </w:tc>
      </w:tr>
      <w:tr w:rsidR="00BD5073" w:rsidRPr="00B8186E" w:rsidTr="000F11DB">
        <w:trPr>
          <w:cantSplit/>
        </w:trPr>
        <w:tc>
          <w:tcPr>
            <w:cnfStyle w:val="001000000000" w:firstRow="0" w:lastRow="0" w:firstColumn="1" w:lastColumn="0" w:oddVBand="0" w:evenVBand="0" w:oddHBand="0" w:evenHBand="0" w:firstRowFirstColumn="0" w:firstRowLastColumn="0" w:lastRowFirstColumn="0" w:lastRowLastColumn="0"/>
            <w:tcW w:w="2228" w:type="pct"/>
          </w:tcPr>
          <w:p w:rsidR="00BD5073" w:rsidRPr="00793B8A" w:rsidRDefault="00BD5073" w:rsidP="00CE49EB">
            <w:pPr>
              <w:spacing w:before="70" w:after="70" w:line="240" w:lineRule="auto"/>
              <w:ind w:left="57" w:right="57"/>
              <w:rPr>
                <w:rFonts w:asciiTheme="minorHAnsi" w:eastAsiaTheme="minorHAnsi" w:hAnsiTheme="minorHAnsi" w:cstheme="minorBidi"/>
                <w:szCs w:val="20"/>
                <w:lang w:eastAsia="en-US"/>
              </w:rPr>
            </w:pPr>
            <w:r w:rsidRPr="00793B8A">
              <w:rPr>
                <w:rFonts w:asciiTheme="minorHAnsi" w:eastAsiaTheme="minorHAnsi" w:hAnsiTheme="minorHAnsi" w:cstheme="minorBidi"/>
                <w:szCs w:val="20"/>
                <w:lang w:eastAsia="en-US"/>
              </w:rPr>
              <w:t>Investment in education, research and training</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-34.0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-34.0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-34.0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-34.0 </w:t>
            </w:r>
          </w:p>
        </w:tc>
        <w:tc>
          <w:tcPr>
            <w:tcW w:w="556"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-135.9 </w:t>
            </w:r>
          </w:p>
        </w:tc>
      </w:tr>
      <w:tr w:rsidR="00BD5073" w:rsidRPr="00B8186E" w:rsidTr="000F11DB">
        <w:trPr>
          <w:cantSplit/>
        </w:trPr>
        <w:tc>
          <w:tcPr>
            <w:cnfStyle w:val="001000000000" w:firstRow="0" w:lastRow="0" w:firstColumn="1" w:lastColumn="0" w:oddVBand="0" w:evenVBand="0" w:oddHBand="0" w:evenHBand="0" w:firstRowFirstColumn="0" w:firstRowLastColumn="0" w:lastRowFirstColumn="0" w:lastRowLastColumn="0"/>
            <w:tcW w:w="2228" w:type="pct"/>
          </w:tcPr>
          <w:p w:rsidR="00BD5073" w:rsidRPr="00793B8A" w:rsidRDefault="00BD5073" w:rsidP="00CE49EB">
            <w:pPr>
              <w:spacing w:before="70" w:after="70" w:line="240" w:lineRule="auto"/>
              <w:ind w:left="57" w:right="57"/>
              <w:rPr>
                <w:rFonts w:asciiTheme="minorHAnsi" w:eastAsiaTheme="minorHAnsi" w:hAnsiTheme="minorHAnsi" w:cstheme="minorBidi"/>
                <w:szCs w:val="20"/>
                <w:lang w:eastAsia="en-US"/>
              </w:rPr>
            </w:pPr>
            <w:r w:rsidRPr="00793B8A">
              <w:rPr>
                <w:rFonts w:asciiTheme="minorHAnsi" w:eastAsiaTheme="minorHAnsi" w:hAnsiTheme="minorHAnsi" w:cstheme="minorBidi"/>
                <w:szCs w:val="20"/>
                <w:lang w:eastAsia="en-US"/>
              </w:rPr>
              <w:t>Prevention and recovery facilities</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-34.0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-34.0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-34.0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-34.0 </w:t>
            </w:r>
          </w:p>
        </w:tc>
        <w:tc>
          <w:tcPr>
            <w:tcW w:w="556"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-135.9 </w:t>
            </w:r>
          </w:p>
        </w:tc>
      </w:tr>
      <w:tr w:rsidR="00BD5073" w:rsidRPr="00B8186E" w:rsidTr="000F11DB">
        <w:trPr>
          <w:cantSplit/>
        </w:trPr>
        <w:tc>
          <w:tcPr>
            <w:cnfStyle w:val="001000000000" w:firstRow="0" w:lastRow="0" w:firstColumn="1" w:lastColumn="0" w:oddVBand="0" w:evenVBand="0" w:oddHBand="0" w:evenHBand="0" w:firstRowFirstColumn="0" w:firstRowLastColumn="0" w:lastRowFirstColumn="0" w:lastRowLastColumn="0"/>
            <w:tcW w:w="2228" w:type="pct"/>
          </w:tcPr>
          <w:p w:rsidR="00BD5073" w:rsidRPr="00793B8A" w:rsidRDefault="00BD5073" w:rsidP="00CE49EB">
            <w:pPr>
              <w:spacing w:before="70" w:after="70" w:line="240" w:lineRule="auto"/>
              <w:ind w:left="57" w:right="57"/>
              <w:rPr>
                <w:rFonts w:asciiTheme="minorHAnsi" w:eastAsiaTheme="minorHAnsi" w:hAnsiTheme="minorHAnsi" w:cstheme="minorBidi"/>
                <w:b/>
                <w:szCs w:val="20"/>
                <w:lang w:eastAsia="en-US"/>
              </w:rPr>
            </w:pPr>
            <w:r w:rsidRPr="00793B8A">
              <w:rPr>
                <w:rFonts w:asciiTheme="minorHAnsi" w:eastAsiaTheme="minorHAnsi" w:hAnsiTheme="minorHAnsi" w:cstheme="minorBidi"/>
                <w:b/>
                <w:szCs w:val="20"/>
                <w:lang w:eastAsia="en-US"/>
              </w:rPr>
              <w:t>Total</w:t>
            </w:r>
            <w:r>
              <w:rPr>
                <w:rFonts w:asciiTheme="minorHAnsi" w:eastAsiaTheme="minorHAnsi" w:hAnsiTheme="minorHAnsi" w:cstheme="minorBidi"/>
                <w:b/>
                <w:szCs w:val="20"/>
                <w:lang w:eastAsia="en-US"/>
              </w:rPr>
              <w:t xml:space="preserve"> - a</w:t>
            </w:r>
            <w:r w:rsidRPr="00793B8A">
              <w:rPr>
                <w:rFonts w:asciiTheme="minorHAnsi" w:eastAsiaTheme="minorHAnsi" w:hAnsiTheme="minorHAnsi" w:cstheme="minorBidi"/>
                <w:b/>
                <w:szCs w:val="20"/>
                <w:lang w:eastAsia="en-US"/>
              </w:rPr>
              <w:t>dministered</w:t>
            </w:r>
          </w:p>
        </w:tc>
        <w:tc>
          <w:tcPr>
            <w:tcW w:w="554"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-67.9 </w:t>
            </w:r>
          </w:p>
        </w:tc>
        <w:tc>
          <w:tcPr>
            <w:tcW w:w="554"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-67.9 </w:t>
            </w:r>
          </w:p>
        </w:tc>
        <w:tc>
          <w:tcPr>
            <w:tcW w:w="554"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-68.0 </w:t>
            </w:r>
          </w:p>
        </w:tc>
        <w:tc>
          <w:tcPr>
            <w:tcW w:w="554"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-68.0 </w:t>
            </w:r>
          </w:p>
        </w:tc>
        <w:tc>
          <w:tcPr>
            <w:tcW w:w="556"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-271.8 </w:t>
            </w:r>
          </w:p>
        </w:tc>
      </w:tr>
      <w:tr w:rsidR="00BD5073" w:rsidRPr="00B8186E" w:rsidTr="000F11D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BD5073" w:rsidRPr="00793B8A" w:rsidRDefault="00BD5073" w:rsidP="00CE49EB">
            <w:pPr>
              <w:spacing w:before="70" w:after="70" w:line="240" w:lineRule="auto"/>
              <w:ind w:left="57" w:right="57"/>
              <w:rPr>
                <w:rFonts w:asciiTheme="minorHAnsi" w:eastAsiaTheme="minorHAnsi" w:hAnsiTheme="minorHAnsi"/>
                <w:b/>
                <w:szCs w:val="20"/>
                <w:lang w:eastAsia="en-US"/>
              </w:rPr>
            </w:pPr>
            <w:r w:rsidRPr="00793B8A">
              <w:rPr>
                <w:rFonts w:asciiTheme="minorHAnsi" w:eastAsiaTheme="minorHAnsi" w:hAnsiTheme="minorHAnsi"/>
                <w:b/>
                <w:szCs w:val="20"/>
                <w:lang w:eastAsia="en-US"/>
              </w:rPr>
              <w:t>Departmental</w:t>
            </w:r>
          </w:p>
        </w:tc>
      </w:tr>
      <w:tr w:rsidR="00BD5073" w:rsidRPr="00B8186E" w:rsidTr="000F11DB">
        <w:trPr>
          <w:cantSplit/>
        </w:trPr>
        <w:tc>
          <w:tcPr>
            <w:cnfStyle w:val="001000000000" w:firstRow="0" w:lastRow="0" w:firstColumn="1" w:lastColumn="0" w:oddVBand="0" w:evenVBand="0" w:oddHBand="0" w:evenHBand="0" w:firstRowFirstColumn="0" w:firstRowLastColumn="0" w:lastRowFirstColumn="0" w:lastRowLastColumn="0"/>
            <w:tcW w:w="2228" w:type="pct"/>
          </w:tcPr>
          <w:p w:rsidR="00BD5073" w:rsidRPr="00793B8A" w:rsidRDefault="00BD5073" w:rsidP="00CE49EB">
            <w:pPr>
              <w:spacing w:before="70" w:after="70" w:line="240" w:lineRule="auto"/>
              <w:ind w:left="57" w:right="57"/>
              <w:rPr>
                <w:rFonts w:asciiTheme="minorHAnsi" w:eastAsiaTheme="minorHAnsi" w:hAnsiTheme="minorHAnsi" w:cstheme="minorBidi"/>
                <w:szCs w:val="20"/>
                <w:lang w:eastAsia="en-US"/>
              </w:rPr>
            </w:pPr>
            <w:r w:rsidRPr="00793B8A">
              <w:rPr>
                <w:rFonts w:asciiTheme="minorHAnsi" w:eastAsiaTheme="minorHAnsi" w:hAnsiTheme="minorHAnsi" w:cstheme="minorBidi"/>
                <w:szCs w:val="20"/>
                <w:lang w:eastAsia="en-US"/>
              </w:rPr>
              <w:t>Investment in education, research and training</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-1.0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-1.0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-1.0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-1.0 </w:t>
            </w:r>
          </w:p>
        </w:tc>
        <w:tc>
          <w:tcPr>
            <w:tcW w:w="556"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-4.1 </w:t>
            </w:r>
          </w:p>
        </w:tc>
      </w:tr>
      <w:tr w:rsidR="00BD5073" w:rsidRPr="00B8186E" w:rsidTr="000F11DB">
        <w:trPr>
          <w:cantSplit/>
        </w:trPr>
        <w:tc>
          <w:tcPr>
            <w:cnfStyle w:val="001000000000" w:firstRow="0" w:lastRow="0" w:firstColumn="1" w:lastColumn="0" w:oddVBand="0" w:evenVBand="0" w:oddHBand="0" w:evenHBand="0" w:firstRowFirstColumn="0" w:firstRowLastColumn="0" w:lastRowFirstColumn="0" w:lastRowLastColumn="0"/>
            <w:tcW w:w="2228" w:type="pct"/>
          </w:tcPr>
          <w:p w:rsidR="00BD5073" w:rsidRPr="00793B8A" w:rsidRDefault="00BD5073" w:rsidP="00CE49EB">
            <w:pPr>
              <w:spacing w:before="70" w:after="70" w:line="240" w:lineRule="auto"/>
              <w:ind w:left="57" w:right="57"/>
              <w:rPr>
                <w:rFonts w:asciiTheme="minorHAnsi" w:eastAsiaTheme="minorHAnsi" w:hAnsiTheme="minorHAnsi" w:cstheme="minorBidi"/>
                <w:szCs w:val="20"/>
                <w:lang w:eastAsia="en-US"/>
              </w:rPr>
            </w:pPr>
            <w:r w:rsidRPr="00793B8A">
              <w:rPr>
                <w:rFonts w:asciiTheme="minorHAnsi" w:eastAsiaTheme="minorHAnsi" w:hAnsiTheme="minorHAnsi" w:cstheme="minorBidi"/>
                <w:szCs w:val="20"/>
                <w:lang w:eastAsia="en-US"/>
              </w:rPr>
              <w:t>Prevention and recovery facilities</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-1.0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-1.0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-1.0 </w:t>
            </w:r>
          </w:p>
        </w:tc>
        <w:tc>
          <w:tcPr>
            <w:tcW w:w="554" w:type="pct"/>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93B8A">
              <w:rPr>
                <w:szCs w:val="20"/>
              </w:rPr>
              <w:t xml:space="preserve">-1.0 </w:t>
            </w:r>
          </w:p>
        </w:tc>
        <w:tc>
          <w:tcPr>
            <w:tcW w:w="556" w:type="pct"/>
          </w:tcPr>
          <w:p w:rsidR="00BD5073" w:rsidRPr="00E20F20"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-4.1 </w:t>
            </w:r>
          </w:p>
        </w:tc>
      </w:tr>
      <w:tr w:rsidR="00BD5073" w:rsidRPr="00B8186E" w:rsidTr="000F11DB">
        <w:trPr>
          <w:cantSplit/>
        </w:trPr>
        <w:tc>
          <w:tcPr>
            <w:cnfStyle w:val="001000000000" w:firstRow="0" w:lastRow="0" w:firstColumn="1" w:lastColumn="0" w:oddVBand="0" w:evenVBand="0" w:oddHBand="0" w:evenHBand="0" w:firstRowFirstColumn="0" w:firstRowLastColumn="0" w:lastRowFirstColumn="0" w:lastRowLastColumn="0"/>
            <w:tcW w:w="2228" w:type="pct"/>
          </w:tcPr>
          <w:p w:rsidR="00BD5073" w:rsidRPr="00793B8A" w:rsidRDefault="00BD5073" w:rsidP="00CE49EB">
            <w:pPr>
              <w:spacing w:before="70" w:after="70" w:line="240" w:lineRule="auto"/>
              <w:ind w:left="57" w:right="57"/>
              <w:rPr>
                <w:rFonts w:asciiTheme="minorHAnsi" w:eastAsiaTheme="minorHAnsi" w:hAnsiTheme="minorHAnsi" w:cstheme="minorBidi"/>
                <w:b/>
                <w:szCs w:val="20"/>
                <w:lang w:eastAsia="en-US"/>
              </w:rPr>
            </w:pPr>
            <w:r w:rsidRPr="00793B8A">
              <w:rPr>
                <w:rFonts w:asciiTheme="minorHAnsi" w:eastAsiaTheme="minorHAnsi" w:hAnsiTheme="minorHAnsi" w:cstheme="minorBidi"/>
                <w:b/>
                <w:szCs w:val="20"/>
                <w:lang w:eastAsia="en-US"/>
              </w:rPr>
              <w:t xml:space="preserve">Total - </w:t>
            </w:r>
            <w:r>
              <w:rPr>
                <w:rFonts w:asciiTheme="minorHAnsi" w:eastAsiaTheme="minorHAnsi" w:hAnsiTheme="minorHAnsi" w:cstheme="minorBidi"/>
                <w:b/>
                <w:szCs w:val="20"/>
                <w:lang w:eastAsia="en-US"/>
              </w:rPr>
              <w:t>d</w:t>
            </w:r>
            <w:r w:rsidRPr="00793B8A">
              <w:rPr>
                <w:rFonts w:asciiTheme="minorHAnsi" w:eastAsiaTheme="minorHAnsi" w:hAnsiTheme="minorHAnsi" w:cstheme="minorBidi"/>
                <w:b/>
                <w:szCs w:val="20"/>
                <w:lang w:eastAsia="en-US"/>
              </w:rPr>
              <w:t>epartmental</w:t>
            </w:r>
          </w:p>
        </w:tc>
        <w:tc>
          <w:tcPr>
            <w:tcW w:w="554"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-2.1 </w:t>
            </w:r>
          </w:p>
        </w:tc>
        <w:tc>
          <w:tcPr>
            <w:tcW w:w="554"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-2.1 </w:t>
            </w:r>
          </w:p>
        </w:tc>
        <w:tc>
          <w:tcPr>
            <w:tcW w:w="554"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-2.0 </w:t>
            </w:r>
          </w:p>
        </w:tc>
        <w:tc>
          <w:tcPr>
            <w:tcW w:w="554"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-2.0 </w:t>
            </w:r>
          </w:p>
        </w:tc>
        <w:tc>
          <w:tcPr>
            <w:tcW w:w="556" w:type="pct"/>
          </w:tcPr>
          <w:p w:rsidR="00BD5073" w:rsidRPr="007530EE"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7530EE">
              <w:rPr>
                <w:b/>
                <w:szCs w:val="20"/>
              </w:rPr>
              <w:t xml:space="preserve">-8.2 </w:t>
            </w:r>
          </w:p>
        </w:tc>
      </w:tr>
      <w:tr w:rsidR="00BD5073" w:rsidRPr="00B8186E" w:rsidTr="000F11DB">
        <w:trPr>
          <w:cantSplit/>
        </w:trPr>
        <w:tc>
          <w:tcPr>
            <w:cnfStyle w:val="001000000000" w:firstRow="0" w:lastRow="0" w:firstColumn="1" w:lastColumn="0" w:oddVBand="0" w:evenVBand="0" w:oddHBand="0" w:evenHBand="0" w:firstRowFirstColumn="0" w:firstRowLastColumn="0" w:lastRowFirstColumn="0" w:lastRowLastColumn="0"/>
            <w:tcW w:w="2228" w:type="pct"/>
            <w:shd w:val="clear" w:color="auto" w:fill="D7DDE9"/>
          </w:tcPr>
          <w:p w:rsidR="00BD5073" w:rsidRPr="00793B8A" w:rsidRDefault="00BD5073" w:rsidP="00CE49EB">
            <w:pPr>
              <w:spacing w:before="70" w:after="70" w:line="240" w:lineRule="auto"/>
              <w:ind w:left="57" w:right="57"/>
              <w:rPr>
                <w:b/>
                <w:szCs w:val="20"/>
              </w:rPr>
            </w:pPr>
            <w:r w:rsidRPr="00793B8A">
              <w:rPr>
                <w:b/>
                <w:szCs w:val="20"/>
              </w:rPr>
              <w:t>Total</w:t>
            </w:r>
          </w:p>
        </w:tc>
        <w:tc>
          <w:tcPr>
            <w:tcW w:w="554"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-70.0 </w:t>
            </w:r>
          </w:p>
        </w:tc>
        <w:tc>
          <w:tcPr>
            <w:tcW w:w="554"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-70.0 </w:t>
            </w:r>
          </w:p>
        </w:tc>
        <w:tc>
          <w:tcPr>
            <w:tcW w:w="554"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-70.0 </w:t>
            </w:r>
          </w:p>
        </w:tc>
        <w:tc>
          <w:tcPr>
            <w:tcW w:w="554"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-70.0 </w:t>
            </w:r>
          </w:p>
        </w:tc>
        <w:tc>
          <w:tcPr>
            <w:tcW w:w="556" w:type="pct"/>
            <w:shd w:val="clear" w:color="auto" w:fill="D7DDE9"/>
          </w:tcPr>
          <w:p w:rsidR="00BD5073" w:rsidRPr="00793B8A" w:rsidRDefault="00BD5073"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793B8A">
              <w:rPr>
                <w:b/>
                <w:i w:val="0"/>
                <w:szCs w:val="20"/>
              </w:rPr>
              <w:t xml:space="preserve">-280.0 </w:t>
            </w:r>
          </w:p>
        </w:tc>
      </w:tr>
    </w:tbl>
    <w:p w:rsidR="00724B43" w:rsidRPr="00724B43" w:rsidRDefault="000654BE" w:rsidP="00531264">
      <w:pPr>
        <w:pStyle w:val="Footnotes"/>
        <w:numPr>
          <w:ilvl w:val="0"/>
          <w:numId w:val="28"/>
        </w:numPr>
        <w:ind w:left="284" w:hanging="284"/>
      </w:pPr>
      <w:r w:rsidRPr="000654BE">
        <w:t>A negative number indicates a decrease in revenue or an increase in expenses or net capital investment in accrual and cash terms</w:t>
      </w:r>
      <w:r w:rsidR="00B8186E" w:rsidRPr="00724B43">
        <w:t>.</w:t>
      </w:r>
      <w:r w:rsidR="00531264">
        <w:t xml:space="preserve"> </w:t>
      </w:r>
      <w:r w:rsidR="00531264" w:rsidRPr="00531264">
        <w:t>The impacts on fiscal and underlying cash balances are equal</w:t>
      </w:r>
      <w:r w:rsidR="00531264">
        <w:t>.</w:t>
      </w:r>
    </w:p>
    <w:p w:rsidR="00B8186E" w:rsidRPr="00B8186E" w:rsidRDefault="00B8186E" w:rsidP="00724B43">
      <w:pPr>
        <w:numPr>
          <w:ilvl w:val="0"/>
          <w:numId w:val="7"/>
        </w:numPr>
        <w:spacing w:before="113" w:after="0" w:line="260" w:lineRule="atLeast"/>
        <w:ind w:left="284" w:hanging="284"/>
        <w:rPr>
          <w:sz w:val="20"/>
          <w:szCs w:val="20"/>
        </w:rPr>
      </w:pPr>
      <w:r w:rsidRPr="00B8186E">
        <w:rPr>
          <w:sz w:val="20"/>
          <w:szCs w:val="20"/>
        </w:rPr>
        <w:t>Figures may not sum to totals due to rounding.</w:t>
      </w:r>
    </w:p>
    <w:p w:rsidR="00531264" w:rsidRPr="00531264" w:rsidRDefault="00531264" w:rsidP="004E6290">
      <w:pPr>
        <w:keepNext/>
        <w:keepLines/>
        <w:spacing w:before="340"/>
        <w:rPr>
          <w:b/>
          <w:bCs/>
          <w:color w:val="1F497D" w:themeColor="text2"/>
          <w:spacing w:val="-4"/>
        </w:rPr>
      </w:pPr>
      <w:r w:rsidRPr="00531264">
        <w:rPr>
          <w:b/>
          <w:bCs/>
          <w:color w:val="1F497D" w:themeColor="text2"/>
          <w:spacing w:val="-4"/>
        </w:rPr>
        <w:lastRenderedPageBreak/>
        <w:t>Table A</w:t>
      </w:r>
      <w:r>
        <w:rPr>
          <w:b/>
          <w:bCs/>
          <w:color w:val="1F497D" w:themeColor="text2"/>
          <w:spacing w:val="-4"/>
        </w:rPr>
        <w:t>5</w:t>
      </w:r>
      <w:r w:rsidRPr="00531264">
        <w:rPr>
          <w:b/>
          <w:bCs/>
          <w:color w:val="1F497D" w:themeColor="text2"/>
          <w:spacing w:val="-4"/>
        </w:rPr>
        <w:t xml:space="preserve">: Component </w:t>
      </w:r>
      <w:r>
        <w:rPr>
          <w:b/>
          <w:bCs/>
          <w:color w:val="1F497D" w:themeColor="text2"/>
          <w:spacing w:val="-4"/>
        </w:rPr>
        <w:t>4</w:t>
      </w:r>
      <w:r w:rsidRPr="00531264">
        <w:rPr>
          <w:b/>
          <w:bCs/>
          <w:color w:val="1F497D" w:themeColor="text2"/>
          <w:spacing w:val="-4"/>
        </w:rPr>
        <w:t>: Primary Health Networks</w:t>
      </w:r>
      <w:r w:rsidR="005C354E" w:rsidRPr="005C354E">
        <w:rPr>
          <w:b/>
          <w:bCs/>
          <w:color w:val="1F497D" w:themeColor="text2"/>
          <w:spacing w:val="-4"/>
        </w:rPr>
        <w:t>—Financial implications</w:t>
      </w:r>
      <w:r w:rsidR="005C354E" w:rsidRPr="005C354E">
        <w:rPr>
          <w:b/>
          <w:bCs/>
          <w:color w:val="1F497D" w:themeColor="text2"/>
          <w:spacing w:val="-4"/>
          <w:vertAlign w:val="superscript"/>
        </w:rPr>
        <w:t>(a)(b)</w:t>
      </w:r>
    </w:p>
    <w:tbl>
      <w:tblPr>
        <w:tblStyle w:val="TableGrid2"/>
        <w:tblW w:w="5000" w:type="pct"/>
        <w:tblLook w:val="0680" w:firstRow="0" w:lastRow="0" w:firstColumn="1" w:lastColumn="0" w:noHBand="1" w:noVBand="1"/>
      </w:tblPr>
      <w:tblGrid>
        <w:gridCol w:w="2376"/>
        <w:gridCol w:w="1190"/>
        <w:gridCol w:w="1190"/>
        <w:gridCol w:w="1190"/>
        <w:gridCol w:w="1190"/>
        <w:gridCol w:w="1187"/>
      </w:tblGrid>
      <w:tr w:rsidR="00CE0528" w:rsidRPr="00531264" w:rsidTr="000F11DB">
        <w:trPr>
          <w:cantSplit/>
          <w:tblHeader/>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4A69C8" w:rsidRDefault="00CE0528" w:rsidP="004E6290">
            <w:pPr>
              <w:keepNext/>
              <w:keepLines/>
              <w:spacing w:before="70" w:after="70" w:line="240" w:lineRule="auto"/>
              <w:ind w:left="57" w:right="57"/>
              <w:rPr>
                <w:rFonts w:asciiTheme="minorHAnsi" w:eastAsiaTheme="minorHAnsi" w:hAnsiTheme="minorHAnsi" w:cstheme="minorBidi"/>
                <w:szCs w:val="20"/>
                <w:lang w:eastAsia="en-US"/>
              </w:rPr>
            </w:pPr>
            <w:r w:rsidRPr="004A69C8">
              <w:rPr>
                <w:rFonts w:asciiTheme="minorHAnsi" w:eastAsiaTheme="minorHAnsi" w:hAnsiTheme="minorHAnsi" w:cstheme="minorBidi"/>
                <w:szCs w:val="20"/>
                <w:lang w:eastAsia="en-US"/>
              </w:rPr>
              <w:t>($m)</w:t>
            </w:r>
          </w:p>
        </w:tc>
        <w:tc>
          <w:tcPr>
            <w:tcW w:w="715" w:type="pct"/>
            <w:shd w:val="clear" w:color="auto" w:fill="D7DDE9"/>
          </w:tcPr>
          <w:p w:rsidR="00CE0528" w:rsidRPr="004A69C8" w:rsidRDefault="00CE0528" w:rsidP="004E6290">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4A69C8">
              <w:rPr>
                <w:szCs w:val="20"/>
              </w:rPr>
              <w:t>2016–17</w:t>
            </w:r>
          </w:p>
        </w:tc>
        <w:tc>
          <w:tcPr>
            <w:tcW w:w="715" w:type="pct"/>
            <w:shd w:val="clear" w:color="auto" w:fill="D7DDE9"/>
          </w:tcPr>
          <w:p w:rsidR="00CE0528" w:rsidRPr="004A69C8" w:rsidRDefault="00CE0528" w:rsidP="004E6290">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4A69C8">
              <w:rPr>
                <w:szCs w:val="20"/>
              </w:rPr>
              <w:t>2017–18</w:t>
            </w:r>
          </w:p>
        </w:tc>
        <w:tc>
          <w:tcPr>
            <w:tcW w:w="715" w:type="pct"/>
            <w:shd w:val="clear" w:color="auto" w:fill="D7DDE9"/>
          </w:tcPr>
          <w:p w:rsidR="00CE0528" w:rsidRPr="004A69C8" w:rsidRDefault="00CE0528" w:rsidP="004E6290">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4A69C8">
              <w:rPr>
                <w:szCs w:val="20"/>
              </w:rPr>
              <w:t>2018–19</w:t>
            </w:r>
          </w:p>
        </w:tc>
        <w:tc>
          <w:tcPr>
            <w:tcW w:w="715" w:type="pct"/>
            <w:shd w:val="clear" w:color="auto" w:fill="D7DDE9"/>
          </w:tcPr>
          <w:p w:rsidR="00CE0528" w:rsidRPr="004A69C8" w:rsidRDefault="00CE0528" w:rsidP="004E6290">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4A69C8">
              <w:rPr>
                <w:szCs w:val="20"/>
              </w:rPr>
              <w:t>2019–20</w:t>
            </w:r>
          </w:p>
        </w:tc>
        <w:tc>
          <w:tcPr>
            <w:tcW w:w="715" w:type="pct"/>
            <w:shd w:val="clear" w:color="auto" w:fill="D7DDE9"/>
          </w:tcPr>
          <w:p w:rsidR="00CE0528" w:rsidRPr="004A69C8" w:rsidRDefault="00CE0528" w:rsidP="004E6290">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4A69C8">
              <w:rPr>
                <w:b/>
                <w:szCs w:val="20"/>
              </w:rPr>
              <w:t>Total to 2019–20</w:t>
            </w:r>
          </w:p>
        </w:tc>
      </w:tr>
      <w:tr w:rsidR="00CE0528" w:rsidRPr="004A69C8" w:rsidTr="000F11DB">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7DDE9"/>
          </w:tcPr>
          <w:p w:rsidR="00CE0528" w:rsidRPr="004A69C8" w:rsidRDefault="00CE0528" w:rsidP="004E6290">
            <w:pPr>
              <w:keepNext/>
              <w:keepLines/>
              <w:spacing w:before="70" w:after="70" w:line="240" w:lineRule="auto"/>
              <w:ind w:left="57" w:right="57"/>
              <w:rPr>
                <w:b/>
                <w:szCs w:val="20"/>
              </w:rPr>
            </w:pPr>
            <w:r w:rsidRPr="00183861">
              <w:rPr>
                <w:b/>
                <w:szCs w:val="20"/>
              </w:rPr>
              <w:t>Impact on fiscal and underlying cash balances</w:t>
            </w:r>
          </w:p>
        </w:tc>
      </w:tr>
      <w:tr w:rsidR="00CE0528" w:rsidRPr="00531264"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4A69C8" w:rsidRDefault="00CE0528" w:rsidP="004E6290">
            <w:pPr>
              <w:keepNext/>
              <w:keepLines/>
              <w:spacing w:before="70" w:after="70" w:line="240" w:lineRule="auto"/>
              <w:ind w:left="57" w:right="57"/>
              <w:rPr>
                <w:rFonts w:asciiTheme="minorHAnsi" w:eastAsiaTheme="minorHAnsi" w:hAnsiTheme="minorHAnsi" w:cstheme="minorBidi"/>
                <w:szCs w:val="20"/>
                <w:lang w:eastAsia="en-US"/>
              </w:rPr>
            </w:pPr>
            <w:r w:rsidRPr="004A69C8">
              <w:rPr>
                <w:rFonts w:asciiTheme="minorHAnsi" w:eastAsiaTheme="minorHAnsi" w:hAnsiTheme="minorHAnsi" w:cstheme="minorBidi"/>
                <w:szCs w:val="20"/>
                <w:lang w:eastAsia="en-US"/>
              </w:rPr>
              <w:t>Administered</w:t>
            </w:r>
          </w:p>
        </w:tc>
        <w:tc>
          <w:tcPr>
            <w:tcW w:w="715" w:type="pct"/>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4A69C8">
              <w:rPr>
                <w:szCs w:val="20"/>
              </w:rPr>
              <w:t xml:space="preserve">-97.5 </w:t>
            </w:r>
          </w:p>
        </w:tc>
        <w:tc>
          <w:tcPr>
            <w:tcW w:w="715" w:type="pct"/>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4A69C8">
              <w:rPr>
                <w:szCs w:val="20"/>
              </w:rPr>
              <w:t xml:space="preserve">-97.5 </w:t>
            </w:r>
          </w:p>
        </w:tc>
        <w:tc>
          <w:tcPr>
            <w:tcW w:w="715" w:type="pct"/>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4A69C8">
              <w:rPr>
                <w:szCs w:val="20"/>
              </w:rPr>
              <w:t xml:space="preserve">-97.5 </w:t>
            </w:r>
          </w:p>
        </w:tc>
        <w:tc>
          <w:tcPr>
            <w:tcW w:w="715" w:type="pct"/>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4A69C8">
              <w:rPr>
                <w:szCs w:val="20"/>
              </w:rPr>
              <w:t xml:space="preserve">-97.5 </w:t>
            </w:r>
          </w:p>
        </w:tc>
        <w:tc>
          <w:tcPr>
            <w:tcW w:w="715" w:type="pct"/>
          </w:tcPr>
          <w:p w:rsidR="00CE0528" w:rsidRPr="00E20F20"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-390.0 </w:t>
            </w:r>
          </w:p>
        </w:tc>
      </w:tr>
      <w:tr w:rsidR="00CE0528" w:rsidRPr="00531264"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4A69C8" w:rsidRDefault="00CE0528" w:rsidP="004E6290">
            <w:pPr>
              <w:keepNext/>
              <w:keepLines/>
              <w:spacing w:before="70" w:after="70" w:line="240" w:lineRule="auto"/>
              <w:ind w:left="57" w:right="57"/>
              <w:rPr>
                <w:rFonts w:asciiTheme="minorHAnsi" w:eastAsiaTheme="minorHAnsi" w:hAnsiTheme="minorHAnsi" w:cstheme="minorBidi"/>
                <w:szCs w:val="20"/>
                <w:lang w:eastAsia="en-US"/>
              </w:rPr>
            </w:pPr>
            <w:r w:rsidRPr="004A69C8">
              <w:rPr>
                <w:rFonts w:asciiTheme="minorHAnsi" w:eastAsiaTheme="minorHAnsi" w:hAnsiTheme="minorHAnsi" w:cstheme="minorBidi"/>
                <w:szCs w:val="20"/>
                <w:lang w:eastAsia="en-US"/>
              </w:rPr>
              <w:t>Departmental</w:t>
            </w:r>
          </w:p>
        </w:tc>
        <w:tc>
          <w:tcPr>
            <w:tcW w:w="715" w:type="pct"/>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4A69C8">
              <w:rPr>
                <w:szCs w:val="20"/>
              </w:rPr>
              <w:t xml:space="preserve">-2.5 </w:t>
            </w:r>
          </w:p>
        </w:tc>
        <w:tc>
          <w:tcPr>
            <w:tcW w:w="715" w:type="pct"/>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4A69C8">
              <w:rPr>
                <w:szCs w:val="20"/>
              </w:rPr>
              <w:t xml:space="preserve">-2.5 </w:t>
            </w:r>
          </w:p>
        </w:tc>
        <w:tc>
          <w:tcPr>
            <w:tcW w:w="715" w:type="pct"/>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4A69C8">
              <w:rPr>
                <w:szCs w:val="20"/>
              </w:rPr>
              <w:t xml:space="preserve">-2.5 </w:t>
            </w:r>
          </w:p>
        </w:tc>
        <w:tc>
          <w:tcPr>
            <w:tcW w:w="715" w:type="pct"/>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4A69C8">
              <w:rPr>
                <w:szCs w:val="20"/>
              </w:rPr>
              <w:t xml:space="preserve">-2.5 </w:t>
            </w:r>
          </w:p>
        </w:tc>
        <w:tc>
          <w:tcPr>
            <w:tcW w:w="715" w:type="pct"/>
          </w:tcPr>
          <w:p w:rsidR="00CE0528" w:rsidRPr="00E20F20"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-10.0 </w:t>
            </w:r>
          </w:p>
        </w:tc>
      </w:tr>
      <w:tr w:rsidR="00CE0528" w:rsidRPr="00531264"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4A69C8" w:rsidRDefault="00CE0528" w:rsidP="004E6290">
            <w:pPr>
              <w:keepNext/>
              <w:keepLines/>
              <w:spacing w:before="70" w:after="70" w:line="240" w:lineRule="auto"/>
              <w:ind w:left="57" w:right="57"/>
              <w:rPr>
                <w:rFonts w:asciiTheme="minorHAnsi" w:eastAsiaTheme="minorHAnsi" w:hAnsiTheme="minorHAnsi" w:cstheme="minorBidi"/>
                <w:b/>
                <w:szCs w:val="20"/>
                <w:lang w:eastAsia="en-US"/>
              </w:rPr>
            </w:pPr>
            <w:r w:rsidRPr="004A69C8">
              <w:rPr>
                <w:rFonts w:asciiTheme="minorHAnsi" w:eastAsiaTheme="minorHAnsi" w:hAnsiTheme="minorHAnsi" w:cstheme="minorBidi"/>
                <w:b/>
                <w:szCs w:val="20"/>
                <w:lang w:eastAsia="en-US"/>
              </w:rPr>
              <w:t>Total</w:t>
            </w:r>
          </w:p>
        </w:tc>
        <w:tc>
          <w:tcPr>
            <w:tcW w:w="715" w:type="pct"/>
            <w:shd w:val="clear" w:color="auto" w:fill="D7DDE9"/>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4A69C8">
              <w:rPr>
                <w:b/>
                <w:i w:val="0"/>
                <w:szCs w:val="20"/>
              </w:rPr>
              <w:t xml:space="preserve">-100.0 </w:t>
            </w:r>
          </w:p>
        </w:tc>
        <w:tc>
          <w:tcPr>
            <w:tcW w:w="715" w:type="pct"/>
            <w:shd w:val="clear" w:color="auto" w:fill="D7DDE9"/>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4A69C8">
              <w:rPr>
                <w:b/>
                <w:i w:val="0"/>
                <w:szCs w:val="20"/>
              </w:rPr>
              <w:t xml:space="preserve">-100.0 </w:t>
            </w:r>
          </w:p>
        </w:tc>
        <w:tc>
          <w:tcPr>
            <w:tcW w:w="715" w:type="pct"/>
            <w:shd w:val="clear" w:color="auto" w:fill="D7DDE9"/>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4A69C8">
              <w:rPr>
                <w:b/>
                <w:i w:val="0"/>
                <w:szCs w:val="20"/>
              </w:rPr>
              <w:t xml:space="preserve">-100.0 </w:t>
            </w:r>
          </w:p>
        </w:tc>
        <w:tc>
          <w:tcPr>
            <w:tcW w:w="715" w:type="pct"/>
            <w:shd w:val="clear" w:color="auto" w:fill="D7DDE9"/>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4A69C8">
              <w:rPr>
                <w:b/>
                <w:i w:val="0"/>
                <w:szCs w:val="20"/>
              </w:rPr>
              <w:t xml:space="preserve">-100.0 </w:t>
            </w:r>
          </w:p>
        </w:tc>
        <w:tc>
          <w:tcPr>
            <w:tcW w:w="715" w:type="pct"/>
            <w:shd w:val="clear" w:color="auto" w:fill="D7DDE9"/>
          </w:tcPr>
          <w:p w:rsidR="00CE0528" w:rsidRPr="004A69C8" w:rsidRDefault="00CE0528" w:rsidP="004E6290">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4A69C8">
              <w:rPr>
                <w:b/>
                <w:i w:val="0"/>
                <w:szCs w:val="20"/>
              </w:rPr>
              <w:t xml:space="preserve">-400.0 </w:t>
            </w:r>
          </w:p>
        </w:tc>
      </w:tr>
    </w:tbl>
    <w:p w:rsidR="00531264" w:rsidRPr="00724B43" w:rsidRDefault="000654BE" w:rsidP="00531264">
      <w:pPr>
        <w:pStyle w:val="Footnotes"/>
        <w:numPr>
          <w:ilvl w:val="0"/>
          <w:numId w:val="29"/>
        </w:numPr>
        <w:ind w:left="284" w:hanging="284"/>
      </w:pPr>
      <w:r w:rsidRPr="000654BE">
        <w:t>A negative number indicates a decrease in revenue or an increase in expenses or net capital investment in accrual and cash terms</w:t>
      </w:r>
      <w:r w:rsidR="00531264" w:rsidRPr="00724B43">
        <w:t>.</w:t>
      </w:r>
      <w:r w:rsidR="00531264" w:rsidRPr="00531264">
        <w:rPr>
          <w:sz w:val="22"/>
          <w:szCs w:val="22"/>
        </w:rPr>
        <w:t xml:space="preserve"> </w:t>
      </w:r>
      <w:r w:rsidR="00CD17C5" w:rsidRPr="00531264">
        <w:t>The impacts on fiscal and underlying cash balances are equal</w:t>
      </w:r>
      <w:r w:rsidR="00531264">
        <w:t>.</w:t>
      </w:r>
    </w:p>
    <w:p w:rsidR="00531264" w:rsidRDefault="00531264" w:rsidP="00531264">
      <w:pPr>
        <w:numPr>
          <w:ilvl w:val="0"/>
          <w:numId w:val="7"/>
        </w:numPr>
        <w:spacing w:before="113" w:after="0" w:line="260" w:lineRule="atLeast"/>
        <w:ind w:left="284" w:hanging="284"/>
        <w:rPr>
          <w:sz w:val="20"/>
          <w:szCs w:val="20"/>
        </w:rPr>
      </w:pPr>
      <w:r w:rsidRPr="00B8186E">
        <w:rPr>
          <w:sz w:val="20"/>
          <w:szCs w:val="20"/>
        </w:rPr>
        <w:t>Figures may not sum to totals due to rounding.</w:t>
      </w:r>
    </w:p>
    <w:p w:rsidR="00BE3134" w:rsidRPr="00B8186E" w:rsidRDefault="00BE3134" w:rsidP="00BE3134">
      <w:pPr>
        <w:keepNext/>
        <w:spacing w:before="340"/>
        <w:rPr>
          <w:b/>
          <w:bCs/>
          <w:color w:val="1F497D" w:themeColor="text2"/>
          <w:spacing w:val="-4"/>
        </w:rPr>
      </w:pPr>
      <w:r w:rsidRPr="00BE3134">
        <w:rPr>
          <w:b/>
          <w:bCs/>
          <w:color w:val="1F497D" w:themeColor="text2"/>
          <w:spacing w:val="-4"/>
        </w:rPr>
        <w:t>Table A</w:t>
      </w:r>
      <w:r>
        <w:rPr>
          <w:b/>
          <w:bCs/>
          <w:color w:val="1F497D" w:themeColor="text2"/>
          <w:spacing w:val="-4"/>
        </w:rPr>
        <w:t>6</w:t>
      </w:r>
      <w:r w:rsidRPr="00BE3134">
        <w:rPr>
          <w:b/>
          <w:bCs/>
          <w:color w:val="1F497D" w:themeColor="text2"/>
          <w:spacing w:val="-4"/>
        </w:rPr>
        <w:t xml:space="preserve">: Component </w:t>
      </w:r>
      <w:r>
        <w:rPr>
          <w:b/>
          <w:bCs/>
          <w:color w:val="1F497D" w:themeColor="text2"/>
          <w:spacing w:val="-4"/>
        </w:rPr>
        <w:t>5</w:t>
      </w:r>
      <w:r w:rsidRPr="00BE3134">
        <w:rPr>
          <w:b/>
          <w:bCs/>
          <w:color w:val="1F497D" w:themeColor="text2"/>
          <w:spacing w:val="-4"/>
        </w:rPr>
        <w:t>: National Mental Health Consumers and Carers</w:t>
      </w:r>
      <w:r w:rsidR="005C354E" w:rsidRPr="005C354E">
        <w:rPr>
          <w:b/>
          <w:bCs/>
          <w:color w:val="1F497D" w:themeColor="text2"/>
          <w:spacing w:val="-4"/>
        </w:rPr>
        <w:t>—Financial implications</w:t>
      </w:r>
      <w:r w:rsidR="005C354E" w:rsidRPr="005C354E">
        <w:rPr>
          <w:b/>
          <w:bCs/>
          <w:color w:val="1F497D" w:themeColor="text2"/>
          <w:spacing w:val="-4"/>
          <w:vertAlign w:val="superscript"/>
        </w:rPr>
        <w:t>(a)(b)</w:t>
      </w:r>
    </w:p>
    <w:tbl>
      <w:tblPr>
        <w:tblStyle w:val="TableGrid2"/>
        <w:tblW w:w="5000" w:type="pct"/>
        <w:tblLook w:val="0680" w:firstRow="0" w:lastRow="0" w:firstColumn="1" w:lastColumn="0" w:noHBand="1" w:noVBand="1"/>
      </w:tblPr>
      <w:tblGrid>
        <w:gridCol w:w="2376"/>
        <w:gridCol w:w="1190"/>
        <w:gridCol w:w="1190"/>
        <w:gridCol w:w="1190"/>
        <w:gridCol w:w="1190"/>
        <w:gridCol w:w="1187"/>
      </w:tblGrid>
      <w:tr w:rsidR="00CE0528" w:rsidRPr="00531264" w:rsidTr="000F11DB">
        <w:trPr>
          <w:cantSplit/>
          <w:tblHeader/>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2751CC" w:rsidRDefault="00CE0528" w:rsidP="00CE49EB">
            <w:pPr>
              <w:spacing w:before="70" w:after="70" w:line="240" w:lineRule="auto"/>
              <w:ind w:left="57" w:right="57"/>
              <w:rPr>
                <w:rFonts w:asciiTheme="minorHAnsi" w:eastAsiaTheme="minorHAnsi" w:hAnsiTheme="minorHAnsi" w:cstheme="minorBidi"/>
                <w:szCs w:val="20"/>
                <w:lang w:eastAsia="en-US"/>
              </w:rPr>
            </w:pPr>
            <w:r w:rsidRPr="002751CC">
              <w:rPr>
                <w:rFonts w:asciiTheme="minorHAnsi" w:eastAsiaTheme="minorHAnsi" w:hAnsiTheme="minorHAnsi" w:cstheme="minorBidi"/>
                <w:szCs w:val="20"/>
                <w:lang w:eastAsia="en-US"/>
              </w:rPr>
              <w:t>($m)</w:t>
            </w:r>
          </w:p>
        </w:tc>
        <w:tc>
          <w:tcPr>
            <w:tcW w:w="715" w:type="pct"/>
            <w:shd w:val="clear" w:color="auto" w:fill="D7DDE9"/>
          </w:tcPr>
          <w:p w:rsidR="00CE0528" w:rsidRPr="002751CC"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2016–17</w:t>
            </w:r>
          </w:p>
        </w:tc>
        <w:tc>
          <w:tcPr>
            <w:tcW w:w="715" w:type="pct"/>
            <w:shd w:val="clear" w:color="auto" w:fill="D7DDE9"/>
          </w:tcPr>
          <w:p w:rsidR="00CE0528" w:rsidRPr="002751CC"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2017–18</w:t>
            </w:r>
          </w:p>
        </w:tc>
        <w:tc>
          <w:tcPr>
            <w:tcW w:w="715" w:type="pct"/>
            <w:shd w:val="clear" w:color="auto" w:fill="D7DDE9"/>
          </w:tcPr>
          <w:p w:rsidR="00CE0528" w:rsidRPr="002751CC"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2018–19</w:t>
            </w:r>
          </w:p>
        </w:tc>
        <w:tc>
          <w:tcPr>
            <w:tcW w:w="715" w:type="pct"/>
            <w:shd w:val="clear" w:color="auto" w:fill="D7DDE9"/>
          </w:tcPr>
          <w:p w:rsidR="00CE0528" w:rsidRPr="002751CC"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2019–20</w:t>
            </w:r>
          </w:p>
        </w:tc>
        <w:tc>
          <w:tcPr>
            <w:tcW w:w="715" w:type="pct"/>
            <w:shd w:val="clear" w:color="auto" w:fill="D7DDE9"/>
          </w:tcPr>
          <w:p w:rsidR="00CE0528" w:rsidRPr="002751CC"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2751CC">
              <w:rPr>
                <w:b/>
                <w:szCs w:val="20"/>
              </w:rPr>
              <w:t>Total to 2019–20</w:t>
            </w:r>
          </w:p>
        </w:tc>
      </w:tr>
      <w:tr w:rsidR="00CE0528" w:rsidRPr="004A69C8" w:rsidTr="000F11DB">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7DDE9"/>
          </w:tcPr>
          <w:p w:rsidR="00CE0528" w:rsidRPr="004A69C8" w:rsidRDefault="00CE0528" w:rsidP="00CE49EB">
            <w:pPr>
              <w:spacing w:before="70" w:after="70" w:line="240" w:lineRule="auto"/>
              <w:ind w:left="57" w:right="57"/>
              <w:rPr>
                <w:b/>
                <w:szCs w:val="20"/>
              </w:rPr>
            </w:pPr>
            <w:r w:rsidRPr="00183861">
              <w:rPr>
                <w:b/>
                <w:szCs w:val="20"/>
              </w:rPr>
              <w:t>Impact on fiscal and underlying cash balances</w:t>
            </w:r>
          </w:p>
        </w:tc>
      </w:tr>
      <w:tr w:rsidR="00CE0528" w:rsidRPr="00531264"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2751CC" w:rsidRDefault="00CE0528" w:rsidP="00CE49EB">
            <w:pPr>
              <w:spacing w:before="70" w:after="70" w:line="240" w:lineRule="auto"/>
              <w:ind w:left="57" w:right="57"/>
              <w:rPr>
                <w:rFonts w:asciiTheme="minorHAnsi" w:eastAsiaTheme="minorHAnsi" w:hAnsiTheme="minorHAnsi" w:cstheme="minorBidi"/>
                <w:szCs w:val="20"/>
                <w:lang w:eastAsia="en-US"/>
              </w:rPr>
            </w:pPr>
            <w:r w:rsidRPr="002751CC">
              <w:rPr>
                <w:rFonts w:asciiTheme="minorHAnsi" w:eastAsiaTheme="minorHAnsi" w:hAnsiTheme="minorHAnsi" w:cstheme="minorBidi"/>
                <w:szCs w:val="20"/>
                <w:lang w:eastAsia="en-US"/>
              </w:rPr>
              <w:t>Administered</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-1.2 </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-1.2 </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-1.2 </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-1.2 </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751CC">
              <w:rPr>
                <w:b/>
                <w:szCs w:val="20"/>
              </w:rPr>
              <w:t xml:space="preserve">-4.9 </w:t>
            </w:r>
          </w:p>
        </w:tc>
      </w:tr>
      <w:tr w:rsidR="00CE0528" w:rsidRPr="00531264"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2751CC" w:rsidRDefault="00CE0528" w:rsidP="00CE49EB">
            <w:pPr>
              <w:spacing w:before="70" w:after="70" w:line="240" w:lineRule="auto"/>
              <w:ind w:left="57" w:right="57"/>
              <w:rPr>
                <w:rFonts w:asciiTheme="minorHAnsi" w:eastAsiaTheme="minorHAnsi" w:hAnsiTheme="minorHAnsi" w:cstheme="minorBidi"/>
                <w:szCs w:val="20"/>
                <w:lang w:eastAsia="en-US"/>
              </w:rPr>
            </w:pPr>
            <w:r w:rsidRPr="002751CC">
              <w:rPr>
                <w:rFonts w:asciiTheme="minorHAnsi" w:eastAsiaTheme="minorHAnsi" w:hAnsiTheme="minorHAnsi" w:cstheme="minorBidi"/>
                <w:szCs w:val="20"/>
                <w:lang w:eastAsia="en-US"/>
              </w:rPr>
              <w:t>Departmental</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-0.3 </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-0.3 </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-0.3 </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-0.3 </w:t>
            </w:r>
          </w:p>
        </w:tc>
        <w:tc>
          <w:tcPr>
            <w:tcW w:w="715" w:type="pct"/>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2751CC">
              <w:rPr>
                <w:b/>
                <w:szCs w:val="20"/>
              </w:rPr>
              <w:t xml:space="preserve">-1.1 </w:t>
            </w:r>
          </w:p>
        </w:tc>
      </w:tr>
      <w:tr w:rsidR="00CE0528" w:rsidRPr="00531264"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2751CC" w:rsidRDefault="00CE0528" w:rsidP="00CE49EB">
            <w:pPr>
              <w:spacing w:before="70" w:after="70" w:line="240" w:lineRule="auto"/>
              <w:ind w:left="57" w:right="57"/>
              <w:rPr>
                <w:rFonts w:asciiTheme="minorHAnsi" w:eastAsiaTheme="minorHAnsi" w:hAnsiTheme="minorHAnsi" w:cstheme="minorBidi"/>
                <w:b/>
                <w:szCs w:val="20"/>
                <w:lang w:eastAsia="en-US"/>
              </w:rPr>
            </w:pPr>
            <w:r w:rsidRPr="002751CC">
              <w:rPr>
                <w:rFonts w:asciiTheme="minorHAnsi" w:eastAsiaTheme="minorHAnsi" w:hAnsiTheme="minorHAnsi" w:cstheme="minorBidi"/>
                <w:b/>
                <w:szCs w:val="20"/>
                <w:lang w:eastAsia="en-US"/>
              </w:rPr>
              <w:t>Total</w:t>
            </w:r>
          </w:p>
        </w:tc>
        <w:tc>
          <w:tcPr>
            <w:tcW w:w="715" w:type="pct"/>
            <w:shd w:val="clear" w:color="auto" w:fill="D7DDE9"/>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-1.5 </w:t>
            </w:r>
          </w:p>
        </w:tc>
        <w:tc>
          <w:tcPr>
            <w:tcW w:w="715" w:type="pct"/>
            <w:shd w:val="clear" w:color="auto" w:fill="D7DDE9"/>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-1.5 </w:t>
            </w:r>
          </w:p>
        </w:tc>
        <w:tc>
          <w:tcPr>
            <w:tcW w:w="715" w:type="pct"/>
            <w:shd w:val="clear" w:color="auto" w:fill="D7DDE9"/>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-1.5 </w:t>
            </w:r>
          </w:p>
        </w:tc>
        <w:tc>
          <w:tcPr>
            <w:tcW w:w="715" w:type="pct"/>
            <w:shd w:val="clear" w:color="auto" w:fill="D7DDE9"/>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-1.5 </w:t>
            </w:r>
          </w:p>
        </w:tc>
        <w:tc>
          <w:tcPr>
            <w:tcW w:w="715" w:type="pct"/>
            <w:shd w:val="clear" w:color="auto" w:fill="D7DDE9"/>
          </w:tcPr>
          <w:p w:rsidR="00CE0528" w:rsidRPr="002751CC"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-6.0 </w:t>
            </w:r>
          </w:p>
        </w:tc>
      </w:tr>
    </w:tbl>
    <w:p w:rsidR="00BE3134" w:rsidRPr="00BE3134" w:rsidRDefault="000654BE" w:rsidP="00BE3134">
      <w:pPr>
        <w:pStyle w:val="Footnotes"/>
        <w:numPr>
          <w:ilvl w:val="0"/>
          <w:numId w:val="30"/>
        </w:numPr>
        <w:ind w:left="284" w:hanging="284"/>
      </w:pPr>
      <w:r w:rsidRPr="000654BE">
        <w:t>A negative number indicates a decrease in revenue or an increase in expenses or net capital investment in accrual and cash terms</w:t>
      </w:r>
      <w:r w:rsidR="00BE3134" w:rsidRPr="00BE3134">
        <w:t>. The impacts on fiscal and underlying cash balances are equal.</w:t>
      </w:r>
    </w:p>
    <w:p w:rsidR="00EC5054" w:rsidRPr="00EC5054" w:rsidRDefault="00EC5054" w:rsidP="00EC5054">
      <w:pPr>
        <w:numPr>
          <w:ilvl w:val="0"/>
          <w:numId w:val="7"/>
        </w:numPr>
        <w:spacing w:before="113" w:after="0" w:line="260" w:lineRule="atLeast"/>
        <w:ind w:left="284" w:hanging="284"/>
        <w:rPr>
          <w:sz w:val="20"/>
          <w:szCs w:val="20"/>
        </w:rPr>
      </w:pPr>
      <w:r w:rsidRPr="00EC5054">
        <w:rPr>
          <w:sz w:val="20"/>
          <w:szCs w:val="20"/>
        </w:rPr>
        <w:t>Figures may not sum to total due to rounding.</w:t>
      </w:r>
    </w:p>
    <w:p w:rsidR="00EC5054" w:rsidRDefault="00EC5054" w:rsidP="00EC5054">
      <w:pPr>
        <w:numPr>
          <w:ilvl w:val="0"/>
          <w:numId w:val="41"/>
        </w:numPr>
        <w:spacing w:before="113" w:after="0" w:line="260" w:lineRule="atLeast"/>
        <w:ind w:left="284" w:hanging="284"/>
        <w:rPr>
          <w:sz w:val="20"/>
          <w:szCs w:val="20"/>
        </w:rPr>
      </w:pPr>
      <w:r w:rsidRPr="00EC5054">
        <w:rPr>
          <w:sz w:val="20"/>
          <w:szCs w:val="20"/>
        </w:rPr>
        <w:t>Indicates nil.</w:t>
      </w:r>
    </w:p>
    <w:p w:rsidR="00A53D75" w:rsidRPr="00B8186E" w:rsidRDefault="00A53D75" w:rsidP="00CE49EB">
      <w:pPr>
        <w:keepNext/>
        <w:keepLines/>
        <w:spacing w:before="340"/>
        <w:rPr>
          <w:b/>
          <w:bCs/>
          <w:color w:val="1F497D" w:themeColor="text2"/>
          <w:spacing w:val="-4"/>
        </w:rPr>
      </w:pPr>
      <w:r w:rsidRPr="00BE3134">
        <w:rPr>
          <w:b/>
          <w:bCs/>
          <w:color w:val="1F497D" w:themeColor="text2"/>
          <w:spacing w:val="-4"/>
        </w:rPr>
        <w:t>Table A</w:t>
      </w:r>
      <w:r>
        <w:rPr>
          <w:b/>
          <w:bCs/>
          <w:color w:val="1F497D" w:themeColor="text2"/>
          <w:spacing w:val="-4"/>
        </w:rPr>
        <w:t>7</w:t>
      </w:r>
      <w:r w:rsidRPr="00BE3134">
        <w:rPr>
          <w:b/>
          <w:bCs/>
          <w:color w:val="1F497D" w:themeColor="text2"/>
          <w:spacing w:val="-4"/>
        </w:rPr>
        <w:t xml:space="preserve">: Component </w:t>
      </w:r>
      <w:r>
        <w:rPr>
          <w:b/>
          <w:bCs/>
          <w:color w:val="1F497D" w:themeColor="text2"/>
          <w:spacing w:val="-4"/>
        </w:rPr>
        <w:t>6</w:t>
      </w:r>
      <w:r w:rsidRPr="00BE3134">
        <w:rPr>
          <w:b/>
          <w:bCs/>
          <w:color w:val="1F497D" w:themeColor="text2"/>
          <w:spacing w:val="-4"/>
        </w:rPr>
        <w:t xml:space="preserve">: </w:t>
      </w:r>
      <w:r w:rsidRPr="00A53D75">
        <w:rPr>
          <w:b/>
          <w:bCs/>
          <w:color w:val="1F497D" w:themeColor="text2"/>
          <w:spacing w:val="-4"/>
        </w:rPr>
        <w:t>Insurance Discrimination</w:t>
      </w:r>
      <w:r w:rsidR="005C354E" w:rsidRPr="005C354E">
        <w:rPr>
          <w:b/>
          <w:bCs/>
          <w:color w:val="1F497D" w:themeColor="text2"/>
          <w:spacing w:val="-4"/>
        </w:rPr>
        <w:t>—Financial implications</w:t>
      </w:r>
      <w:r w:rsidR="005C354E" w:rsidRPr="005C354E">
        <w:rPr>
          <w:b/>
          <w:bCs/>
          <w:color w:val="1F497D" w:themeColor="text2"/>
          <w:spacing w:val="-4"/>
          <w:vertAlign w:val="superscript"/>
        </w:rPr>
        <w:t>(a)(b)</w:t>
      </w:r>
    </w:p>
    <w:tbl>
      <w:tblPr>
        <w:tblStyle w:val="TableGrid2"/>
        <w:tblW w:w="5000" w:type="pct"/>
        <w:tblLook w:val="0680" w:firstRow="0" w:lastRow="0" w:firstColumn="1" w:lastColumn="0" w:noHBand="1" w:noVBand="1"/>
      </w:tblPr>
      <w:tblGrid>
        <w:gridCol w:w="2376"/>
        <w:gridCol w:w="1190"/>
        <w:gridCol w:w="1190"/>
        <w:gridCol w:w="1190"/>
        <w:gridCol w:w="1190"/>
        <w:gridCol w:w="1187"/>
      </w:tblGrid>
      <w:tr w:rsidR="00CE0528" w:rsidRPr="00531264" w:rsidTr="000F11DB">
        <w:trPr>
          <w:cantSplit/>
          <w:tblHeader/>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2751CC" w:rsidRDefault="00CE0528" w:rsidP="00CE49EB">
            <w:pPr>
              <w:keepNext/>
              <w:keepLines/>
              <w:spacing w:before="70" w:after="70" w:line="240" w:lineRule="auto"/>
              <w:ind w:left="57" w:right="57"/>
              <w:rPr>
                <w:rFonts w:asciiTheme="minorHAnsi" w:eastAsiaTheme="minorHAnsi" w:hAnsiTheme="minorHAnsi" w:cstheme="minorBidi"/>
                <w:szCs w:val="20"/>
                <w:lang w:eastAsia="en-US"/>
              </w:rPr>
            </w:pPr>
            <w:r w:rsidRPr="002751CC">
              <w:rPr>
                <w:rFonts w:asciiTheme="minorHAnsi" w:eastAsiaTheme="minorHAnsi" w:hAnsiTheme="minorHAnsi" w:cstheme="minorBidi"/>
                <w:szCs w:val="20"/>
                <w:lang w:eastAsia="en-US"/>
              </w:rPr>
              <w:t>($m)</w:t>
            </w:r>
          </w:p>
        </w:tc>
        <w:tc>
          <w:tcPr>
            <w:tcW w:w="715" w:type="pct"/>
            <w:shd w:val="clear" w:color="auto" w:fill="D7DDE9"/>
          </w:tcPr>
          <w:p w:rsidR="00CE0528" w:rsidRPr="002751CC"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2016–17</w:t>
            </w:r>
          </w:p>
        </w:tc>
        <w:tc>
          <w:tcPr>
            <w:tcW w:w="715" w:type="pct"/>
            <w:shd w:val="clear" w:color="auto" w:fill="D7DDE9"/>
          </w:tcPr>
          <w:p w:rsidR="00CE0528" w:rsidRPr="002751CC"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2017–18</w:t>
            </w:r>
          </w:p>
        </w:tc>
        <w:tc>
          <w:tcPr>
            <w:tcW w:w="715" w:type="pct"/>
            <w:shd w:val="clear" w:color="auto" w:fill="D7DDE9"/>
          </w:tcPr>
          <w:p w:rsidR="00CE0528" w:rsidRPr="002751CC"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2018–19</w:t>
            </w:r>
          </w:p>
        </w:tc>
        <w:tc>
          <w:tcPr>
            <w:tcW w:w="715" w:type="pct"/>
            <w:shd w:val="clear" w:color="auto" w:fill="D7DDE9"/>
          </w:tcPr>
          <w:p w:rsidR="00CE0528" w:rsidRPr="002751CC"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2751CC">
              <w:rPr>
                <w:szCs w:val="20"/>
              </w:rPr>
              <w:t>2019–20</w:t>
            </w:r>
          </w:p>
        </w:tc>
        <w:tc>
          <w:tcPr>
            <w:tcW w:w="715" w:type="pct"/>
            <w:shd w:val="clear" w:color="auto" w:fill="D7DDE9"/>
          </w:tcPr>
          <w:p w:rsidR="00CE0528" w:rsidRPr="002751CC"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2751CC">
              <w:rPr>
                <w:b/>
                <w:szCs w:val="20"/>
              </w:rPr>
              <w:t>Total to 2019–20</w:t>
            </w:r>
          </w:p>
        </w:tc>
      </w:tr>
      <w:tr w:rsidR="00CE0528" w:rsidRPr="004A69C8" w:rsidTr="000F11DB">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7DDE9"/>
          </w:tcPr>
          <w:p w:rsidR="00CE0528" w:rsidRPr="004A69C8" w:rsidRDefault="00CE0528" w:rsidP="00CE49EB">
            <w:pPr>
              <w:keepNext/>
              <w:keepLines/>
              <w:spacing w:before="70" w:after="70" w:line="240" w:lineRule="auto"/>
              <w:ind w:left="57" w:right="57"/>
              <w:rPr>
                <w:b/>
                <w:szCs w:val="20"/>
              </w:rPr>
            </w:pPr>
            <w:r w:rsidRPr="00183861">
              <w:rPr>
                <w:b/>
                <w:szCs w:val="20"/>
              </w:rPr>
              <w:t>Impact on fiscal and underlying cash balances</w:t>
            </w:r>
          </w:p>
        </w:tc>
      </w:tr>
      <w:tr w:rsidR="00CE0528" w:rsidRPr="00531264"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2751CC" w:rsidRDefault="00CE0528" w:rsidP="00CE49EB">
            <w:pPr>
              <w:keepNext/>
              <w:keepLines/>
              <w:spacing w:before="70" w:after="70" w:line="240" w:lineRule="auto"/>
              <w:ind w:left="57" w:right="57"/>
              <w:rPr>
                <w:rFonts w:asciiTheme="minorHAnsi" w:eastAsiaTheme="minorHAnsi" w:hAnsiTheme="minorHAnsi" w:cstheme="minorBidi"/>
                <w:szCs w:val="20"/>
                <w:lang w:eastAsia="en-US"/>
              </w:rPr>
            </w:pPr>
            <w:r w:rsidRPr="002751CC">
              <w:rPr>
                <w:rFonts w:asciiTheme="minorHAnsi" w:eastAsiaTheme="minorHAnsi" w:hAnsiTheme="minorHAnsi" w:cstheme="minorBidi"/>
                <w:szCs w:val="20"/>
                <w:lang w:eastAsia="en-US"/>
              </w:rPr>
              <w:t>Administered</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 - </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 - </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 - </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 - </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szCs w:val="20"/>
              </w:rPr>
            </w:pPr>
            <w:r w:rsidRPr="002751CC">
              <w:rPr>
                <w:b/>
                <w:szCs w:val="20"/>
              </w:rPr>
              <w:t xml:space="preserve"> - </w:t>
            </w:r>
          </w:p>
        </w:tc>
      </w:tr>
      <w:tr w:rsidR="00CE0528" w:rsidRPr="00531264"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2751CC" w:rsidRDefault="00CE0528" w:rsidP="00CE49EB">
            <w:pPr>
              <w:keepNext/>
              <w:keepLines/>
              <w:spacing w:before="70" w:after="70" w:line="240" w:lineRule="auto"/>
              <w:ind w:left="57" w:right="57"/>
              <w:rPr>
                <w:rFonts w:asciiTheme="minorHAnsi" w:eastAsiaTheme="minorHAnsi" w:hAnsiTheme="minorHAnsi" w:cstheme="minorBidi"/>
                <w:szCs w:val="20"/>
                <w:lang w:eastAsia="en-US"/>
              </w:rPr>
            </w:pPr>
            <w:r w:rsidRPr="002751CC">
              <w:rPr>
                <w:rFonts w:asciiTheme="minorHAnsi" w:eastAsiaTheme="minorHAnsi" w:hAnsiTheme="minorHAnsi" w:cstheme="minorBidi"/>
                <w:szCs w:val="20"/>
                <w:lang w:eastAsia="en-US"/>
              </w:rPr>
              <w:t>Departmental</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-0.3 </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-0.3 </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 - </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2751CC">
              <w:rPr>
                <w:szCs w:val="20"/>
              </w:rPr>
              <w:t xml:space="preserve"> - </w:t>
            </w:r>
          </w:p>
        </w:tc>
        <w:tc>
          <w:tcPr>
            <w:tcW w:w="715" w:type="pct"/>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szCs w:val="20"/>
              </w:rPr>
            </w:pPr>
            <w:r w:rsidRPr="002751CC">
              <w:rPr>
                <w:b/>
                <w:szCs w:val="20"/>
              </w:rPr>
              <w:t xml:space="preserve">-0.5 </w:t>
            </w:r>
          </w:p>
        </w:tc>
      </w:tr>
      <w:tr w:rsidR="00CE0528" w:rsidRPr="00531264"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2751CC" w:rsidRDefault="00CE0528" w:rsidP="00CE49EB">
            <w:pPr>
              <w:keepNext/>
              <w:keepLines/>
              <w:spacing w:before="70" w:after="70" w:line="240" w:lineRule="auto"/>
              <w:ind w:left="57" w:right="57"/>
              <w:rPr>
                <w:rFonts w:asciiTheme="minorHAnsi" w:eastAsiaTheme="minorHAnsi" w:hAnsiTheme="minorHAnsi" w:cstheme="minorBidi"/>
                <w:b/>
                <w:szCs w:val="20"/>
                <w:lang w:eastAsia="en-US"/>
              </w:rPr>
            </w:pPr>
            <w:r w:rsidRPr="002751CC">
              <w:rPr>
                <w:rFonts w:asciiTheme="minorHAnsi" w:eastAsiaTheme="minorHAnsi" w:hAnsiTheme="minorHAnsi" w:cstheme="minorBidi"/>
                <w:b/>
                <w:szCs w:val="20"/>
                <w:lang w:eastAsia="en-US"/>
              </w:rPr>
              <w:t>Total</w:t>
            </w:r>
          </w:p>
        </w:tc>
        <w:tc>
          <w:tcPr>
            <w:tcW w:w="715" w:type="pct"/>
            <w:shd w:val="clear" w:color="auto" w:fill="D7DDE9"/>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-0.3 </w:t>
            </w:r>
          </w:p>
        </w:tc>
        <w:tc>
          <w:tcPr>
            <w:tcW w:w="715" w:type="pct"/>
            <w:shd w:val="clear" w:color="auto" w:fill="D7DDE9"/>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-0.3 </w:t>
            </w:r>
          </w:p>
        </w:tc>
        <w:tc>
          <w:tcPr>
            <w:tcW w:w="715" w:type="pct"/>
            <w:shd w:val="clear" w:color="auto" w:fill="D7DDE9"/>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 - </w:t>
            </w:r>
          </w:p>
        </w:tc>
        <w:tc>
          <w:tcPr>
            <w:tcW w:w="715" w:type="pct"/>
            <w:shd w:val="clear" w:color="auto" w:fill="D7DDE9"/>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 - </w:t>
            </w:r>
          </w:p>
        </w:tc>
        <w:tc>
          <w:tcPr>
            <w:tcW w:w="715" w:type="pct"/>
            <w:shd w:val="clear" w:color="auto" w:fill="D7DDE9"/>
          </w:tcPr>
          <w:p w:rsidR="00CE0528" w:rsidRPr="002751CC"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2751CC">
              <w:rPr>
                <w:b/>
                <w:i w:val="0"/>
                <w:szCs w:val="20"/>
              </w:rPr>
              <w:t xml:space="preserve">-0.5 </w:t>
            </w:r>
          </w:p>
        </w:tc>
      </w:tr>
    </w:tbl>
    <w:p w:rsidR="00A53D75" w:rsidRPr="00BE3134" w:rsidRDefault="000654BE" w:rsidP="00CE49EB">
      <w:pPr>
        <w:pStyle w:val="Footnotes"/>
        <w:keepNext/>
        <w:keepLines/>
        <w:numPr>
          <w:ilvl w:val="0"/>
          <w:numId w:val="39"/>
        </w:numPr>
        <w:ind w:left="284" w:hanging="284"/>
      </w:pPr>
      <w:r w:rsidRPr="000654BE">
        <w:t>A negative number indicates a decrease in revenue or an increase in expenses or net capital investment in accrual and cash terms</w:t>
      </w:r>
      <w:r w:rsidR="00A53D75" w:rsidRPr="00BE3134">
        <w:t>. The impacts on fiscal and underlying cash balances are equal.</w:t>
      </w:r>
    </w:p>
    <w:p w:rsidR="00EC5054" w:rsidRPr="00EC5054" w:rsidRDefault="00EC5054" w:rsidP="00CE49EB">
      <w:pPr>
        <w:keepNext/>
        <w:keepLines/>
        <w:numPr>
          <w:ilvl w:val="0"/>
          <w:numId w:val="7"/>
        </w:numPr>
        <w:spacing w:before="113" w:after="0" w:line="260" w:lineRule="atLeast"/>
        <w:ind w:left="284" w:hanging="284"/>
        <w:rPr>
          <w:sz w:val="20"/>
          <w:szCs w:val="20"/>
        </w:rPr>
      </w:pPr>
      <w:r w:rsidRPr="00EC5054">
        <w:rPr>
          <w:sz w:val="20"/>
          <w:szCs w:val="20"/>
        </w:rPr>
        <w:t>Figures may not sum to total due to rounding.</w:t>
      </w:r>
    </w:p>
    <w:p w:rsidR="00EC5054" w:rsidRDefault="00EC5054" w:rsidP="00EC5054">
      <w:pPr>
        <w:numPr>
          <w:ilvl w:val="0"/>
          <w:numId w:val="41"/>
        </w:numPr>
        <w:spacing w:before="113" w:after="0" w:line="260" w:lineRule="atLeast"/>
        <w:ind w:left="284" w:hanging="284"/>
        <w:rPr>
          <w:sz w:val="20"/>
          <w:szCs w:val="20"/>
        </w:rPr>
      </w:pPr>
      <w:r w:rsidRPr="00EC5054">
        <w:rPr>
          <w:sz w:val="20"/>
          <w:szCs w:val="20"/>
        </w:rPr>
        <w:t>Indicates nil.</w:t>
      </w:r>
    </w:p>
    <w:p w:rsidR="00215FDC" w:rsidRPr="00215FDC" w:rsidRDefault="00215FDC" w:rsidP="00215FDC">
      <w:pPr>
        <w:keepNext/>
        <w:spacing w:before="340"/>
        <w:rPr>
          <w:b/>
          <w:bCs/>
          <w:color w:val="1F497D" w:themeColor="text2"/>
          <w:spacing w:val="-4"/>
        </w:rPr>
      </w:pPr>
      <w:r w:rsidRPr="00215FDC">
        <w:rPr>
          <w:b/>
          <w:bCs/>
          <w:color w:val="1F497D" w:themeColor="text2"/>
          <w:spacing w:val="-4"/>
        </w:rPr>
        <w:lastRenderedPageBreak/>
        <w:t>Table A</w:t>
      </w:r>
      <w:r w:rsidR="003A44FE">
        <w:rPr>
          <w:b/>
          <w:bCs/>
          <w:color w:val="1F497D" w:themeColor="text2"/>
          <w:spacing w:val="-4"/>
        </w:rPr>
        <w:t>8</w:t>
      </w:r>
      <w:r w:rsidRPr="00215FDC">
        <w:rPr>
          <w:b/>
          <w:bCs/>
          <w:color w:val="1F497D" w:themeColor="text2"/>
          <w:spacing w:val="-4"/>
        </w:rPr>
        <w:t xml:space="preserve">: Component </w:t>
      </w:r>
      <w:r w:rsidR="003A44FE">
        <w:rPr>
          <w:b/>
          <w:bCs/>
          <w:color w:val="1F497D" w:themeColor="text2"/>
          <w:spacing w:val="-4"/>
        </w:rPr>
        <w:t>7</w:t>
      </w:r>
      <w:r w:rsidRPr="00215FDC">
        <w:rPr>
          <w:b/>
          <w:bCs/>
          <w:color w:val="1F497D" w:themeColor="text2"/>
          <w:spacing w:val="-4"/>
        </w:rPr>
        <w:t>: Mental Health Nurse Program</w:t>
      </w:r>
      <w:r w:rsidR="005C354E" w:rsidRPr="005C354E">
        <w:rPr>
          <w:b/>
          <w:bCs/>
          <w:color w:val="1F497D" w:themeColor="text2"/>
          <w:spacing w:val="-4"/>
        </w:rPr>
        <w:t>—Financial implications</w:t>
      </w:r>
      <w:r w:rsidR="005C354E" w:rsidRPr="005C354E">
        <w:rPr>
          <w:b/>
          <w:bCs/>
          <w:color w:val="1F497D" w:themeColor="text2"/>
          <w:spacing w:val="-4"/>
          <w:vertAlign w:val="superscript"/>
        </w:rPr>
        <w:t>(a)(b)</w:t>
      </w:r>
    </w:p>
    <w:tbl>
      <w:tblPr>
        <w:tblStyle w:val="TableGrid3"/>
        <w:tblW w:w="5000" w:type="pct"/>
        <w:tblLook w:val="0680" w:firstRow="0" w:lastRow="0" w:firstColumn="1" w:lastColumn="0" w:noHBand="1" w:noVBand="1"/>
      </w:tblPr>
      <w:tblGrid>
        <w:gridCol w:w="2376"/>
        <w:gridCol w:w="1190"/>
        <w:gridCol w:w="1190"/>
        <w:gridCol w:w="1190"/>
        <w:gridCol w:w="1190"/>
        <w:gridCol w:w="1187"/>
      </w:tblGrid>
      <w:tr w:rsidR="00CE0528" w:rsidRPr="00215FDC" w:rsidTr="000F11DB">
        <w:trPr>
          <w:cantSplit/>
          <w:tblHeader/>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32634B" w:rsidRDefault="00CE0528" w:rsidP="00CE49EB">
            <w:pPr>
              <w:spacing w:before="70" w:after="70" w:line="240" w:lineRule="auto"/>
              <w:ind w:left="57" w:right="57"/>
              <w:rPr>
                <w:rFonts w:asciiTheme="minorHAnsi" w:eastAsiaTheme="minorHAnsi" w:hAnsiTheme="minorHAnsi" w:cstheme="minorBidi"/>
                <w:szCs w:val="20"/>
                <w:lang w:eastAsia="en-US"/>
              </w:rPr>
            </w:pPr>
            <w:r w:rsidRPr="0032634B">
              <w:rPr>
                <w:rFonts w:asciiTheme="minorHAnsi" w:eastAsiaTheme="minorHAnsi" w:hAnsiTheme="minorHAnsi" w:cstheme="minorBidi"/>
                <w:szCs w:val="20"/>
                <w:lang w:eastAsia="en-US"/>
              </w:rPr>
              <w:t>($m)</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2016–17</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2017–18</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2018–19</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2019–20</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2634B">
              <w:rPr>
                <w:b/>
                <w:szCs w:val="20"/>
              </w:rPr>
              <w:t>Total to 2019–20</w:t>
            </w:r>
          </w:p>
        </w:tc>
      </w:tr>
      <w:tr w:rsidR="00CE0528" w:rsidRPr="0032634B" w:rsidTr="000F11DB">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7DDE9"/>
          </w:tcPr>
          <w:p w:rsidR="00CE0528" w:rsidRPr="0032634B" w:rsidRDefault="00CE0528" w:rsidP="00CE49EB">
            <w:pPr>
              <w:spacing w:before="70" w:after="70" w:line="240" w:lineRule="auto"/>
              <w:ind w:left="57" w:right="57"/>
              <w:rPr>
                <w:b/>
                <w:szCs w:val="20"/>
              </w:rPr>
            </w:pPr>
            <w:r w:rsidRPr="00183861">
              <w:rPr>
                <w:b/>
                <w:szCs w:val="20"/>
              </w:rPr>
              <w:t>Impact on fiscal and underlying cash balances</w:t>
            </w:r>
          </w:p>
        </w:tc>
      </w:tr>
      <w:tr w:rsidR="00CE0528" w:rsidRPr="00215FDC"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32634B" w:rsidRDefault="00CE0528" w:rsidP="00CE49EB">
            <w:pPr>
              <w:spacing w:before="70" w:after="70" w:line="240" w:lineRule="auto"/>
              <w:ind w:left="57" w:right="57"/>
              <w:rPr>
                <w:rFonts w:asciiTheme="minorHAnsi" w:eastAsiaTheme="minorHAnsi" w:hAnsiTheme="minorHAnsi" w:cstheme="minorBidi"/>
                <w:szCs w:val="20"/>
                <w:lang w:eastAsia="en-US"/>
              </w:rPr>
            </w:pPr>
            <w:r w:rsidRPr="0032634B">
              <w:rPr>
                <w:rFonts w:asciiTheme="minorHAnsi" w:eastAsiaTheme="minorHAnsi" w:hAnsiTheme="minorHAnsi" w:cstheme="minorBidi"/>
                <w:szCs w:val="20"/>
                <w:lang w:eastAsia="en-US"/>
              </w:rPr>
              <w:t>Administered</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-68.0</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-68.0</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-68.0</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-68.0</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szCs w:val="20"/>
              </w:rPr>
            </w:pPr>
            <w:r w:rsidRPr="0032634B">
              <w:rPr>
                <w:b/>
                <w:bCs/>
                <w:szCs w:val="20"/>
              </w:rPr>
              <w:t>-271.9</w:t>
            </w:r>
          </w:p>
        </w:tc>
      </w:tr>
      <w:tr w:rsidR="00CE0528" w:rsidRPr="00215FDC"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32634B" w:rsidRDefault="00CE0528" w:rsidP="00CE49EB">
            <w:pPr>
              <w:spacing w:before="70" w:after="70" w:line="240" w:lineRule="auto"/>
              <w:ind w:left="57" w:right="57"/>
              <w:rPr>
                <w:rFonts w:asciiTheme="minorHAnsi" w:eastAsiaTheme="minorHAnsi" w:hAnsiTheme="minorHAnsi" w:cstheme="minorBidi"/>
                <w:szCs w:val="20"/>
                <w:lang w:eastAsia="en-US"/>
              </w:rPr>
            </w:pPr>
            <w:r w:rsidRPr="0032634B">
              <w:rPr>
                <w:rFonts w:asciiTheme="minorHAnsi" w:eastAsiaTheme="minorHAnsi" w:hAnsiTheme="minorHAnsi" w:cstheme="minorBidi"/>
                <w:szCs w:val="20"/>
                <w:lang w:eastAsia="en-US"/>
              </w:rPr>
              <w:t>Departmental</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szCs w:val="20"/>
              </w:rPr>
            </w:pPr>
            <w:r w:rsidRPr="0032634B">
              <w:rPr>
                <w:b/>
                <w:bCs/>
                <w:szCs w:val="20"/>
              </w:rPr>
              <w:t>-8.1</w:t>
            </w:r>
          </w:p>
        </w:tc>
      </w:tr>
      <w:tr w:rsidR="00CE0528" w:rsidRPr="00215FDC"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32634B" w:rsidRDefault="00CE0528" w:rsidP="00CE49EB">
            <w:pPr>
              <w:spacing w:before="70" w:after="70" w:line="240" w:lineRule="auto"/>
              <w:ind w:left="57" w:right="57"/>
              <w:rPr>
                <w:rFonts w:asciiTheme="minorHAnsi" w:eastAsiaTheme="minorHAnsi" w:hAnsiTheme="minorHAnsi" w:cstheme="minorBidi"/>
                <w:b/>
                <w:szCs w:val="20"/>
                <w:lang w:eastAsia="en-US"/>
              </w:rPr>
            </w:pPr>
            <w:r w:rsidRPr="0032634B">
              <w:rPr>
                <w:rFonts w:asciiTheme="minorHAnsi" w:eastAsiaTheme="minorHAnsi" w:hAnsiTheme="minorHAnsi" w:cstheme="minorBidi"/>
                <w:b/>
                <w:szCs w:val="20"/>
                <w:lang w:eastAsia="en-US"/>
              </w:rPr>
              <w:t>Total</w:t>
            </w:r>
          </w:p>
        </w:tc>
        <w:tc>
          <w:tcPr>
            <w:tcW w:w="715" w:type="pct"/>
            <w:shd w:val="clear" w:color="auto" w:fill="D7DDE9"/>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32634B">
              <w:rPr>
                <w:b/>
                <w:bCs/>
                <w:i w:val="0"/>
                <w:szCs w:val="20"/>
              </w:rPr>
              <w:t>-70.0</w:t>
            </w:r>
          </w:p>
        </w:tc>
        <w:tc>
          <w:tcPr>
            <w:tcW w:w="715" w:type="pct"/>
            <w:shd w:val="clear" w:color="auto" w:fill="D7DDE9"/>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32634B">
              <w:rPr>
                <w:b/>
                <w:bCs/>
                <w:i w:val="0"/>
                <w:szCs w:val="20"/>
              </w:rPr>
              <w:t>-70.0</w:t>
            </w:r>
          </w:p>
        </w:tc>
        <w:tc>
          <w:tcPr>
            <w:tcW w:w="715" w:type="pct"/>
            <w:shd w:val="clear" w:color="auto" w:fill="D7DDE9"/>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32634B">
              <w:rPr>
                <w:b/>
                <w:bCs/>
                <w:i w:val="0"/>
                <w:szCs w:val="20"/>
              </w:rPr>
              <w:t>-70.0</w:t>
            </w:r>
          </w:p>
        </w:tc>
        <w:tc>
          <w:tcPr>
            <w:tcW w:w="715" w:type="pct"/>
            <w:shd w:val="clear" w:color="auto" w:fill="D7DDE9"/>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32634B">
              <w:rPr>
                <w:b/>
                <w:bCs/>
                <w:i w:val="0"/>
                <w:szCs w:val="20"/>
              </w:rPr>
              <w:t>-70.0</w:t>
            </w:r>
          </w:p>
        </w:tc>
        <w:tc>
          <w:tcPr>
            <w:tcW w:w="715" w:type="pct"/>
            <w:shd w:val="clear" w:color="auto" w:fill="D7DDE9"/>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32634B">
              <w:rPr>
                <w:b/>
                <w:bCs/>
                <w:i w:val="0"/>
                <w:szCs w:val="20"/>
              </w:rPr>
              <w:t>-280.0</w:t>
            </w:r>
          </w:p>
        </w:tc>
      </w:tr>
    </w:tbl>
    <w:p w:rsidR="00215FDC" w:rsidRPr="00BE3134" w:rsidRDefault="000654BE" w:rsidP="00215FDC">
      <w:pPr>
        <w:pStyle w:val="Footnotes"/>
        <w:numPr>
          <w:ilvl w:val="0"/>
          <w:numId w:val="31"/>
        </w:numPr>
        <w:ind w:left="284" w:hanging="284"/>
      </w:pPr>
      <w:r w:rsidRPr="000654BE">
        <w:t>A negative number indicates a decrease in revenue or an increase in expenses or net capital investment in accrual and cash terms</w:t>
      </w:r>
      <w:r w:rsidR="00215FDC" w:rsidRPr="00BE3134">
        <w:t>. The impacts on fiscal and underlying cash balances are equal.</w:t>
      </w:r>
    </w:p>
    <w:p w:rsidR="00215FDC" w:rsidRPr="00EF403D" w:rsidRDefault="00215FDC" w:rsidP="00EF403D">
      <w:pPr>
        <w:pStyle w:val="Footnotes"/>
        <w:numPr>
          <w:ilvl w:val="0"/>
          <w:numId w:val="31"/>
        </w:numPr>
        <w:ind w:left="284" w:hanging="284"/>
      </w:pPr>
      <w:r w:rsidRPr="00215FDC">
        <w:t>Figures may not sum to totals due to rounding.</w:t>
      </w:r>
    </w:p>
    <w:p w:rsidR="00215FDC" w:rsidRPr="00215FDC" w:rsidRDefault="00215FDC" w:rsidP="00215FDC">
      <w:pPr>
        <w:keepNext/>
        <w:spacing w:before="340"/>
        <w:rPr>
          <w:b/>
          <w:bCs/>
          <w:color w:val="1F497D" w:themeColor="text2"/>
          <w:spacing w:val="-4"/>
        </w:rPr>
      </w:pPr>
      <w:r w:rsidRPr="00215FDC">
        <w:rPr>
          <w:b/>
          <w:bCs/>
          <w:color w:val="1F497D" w:themeColor="text2"/>
          <w:spacing w:val="-4"/>
        </w:rPr>
        <w:t>Table A</w:t>
      </w:r>
      <w:r w:rsidR="003A44FE">
        <w:rPr>
          <w:b/>
          <w:bCs/>
          <w:color w:val="1F497D" w:themeColor="text2"/>
          <w:spacing w:val="-4"/>
        </w:rPr>
        <w:t>9</w:t>
      </w:r>
      <w:r w:rsidRPr="00215FDC">
        <w:rPr>
          <w:b/>
          <w:bCs/>
          <w:color w:val="1F497D" w:themeColor="text2"/>
          <w:spacing w:val="-4"/>
        </w:rPr>
        <w:t xml:space="preserve">: Component </w:t>
      </w:r>
      <w:r w:rsidR="003A44FE">
        <w:rPr>
          <w:b/>
          <w:bCs/>
          <w:color w:val="1F497D" w:themeColor="text2"/>
          <w:spacing w:val="-4"/>
        </w:rPr>
        <w:t>8</w:t>
      </w:r>
      <w:r w:rsidRPr="00215FDC">
        <w:rPr>
          <w:b/>
          <w:bCs/>
          <w:color w:val="1F497D" w:themeColor="text2"/>
          <w:spacing w:val="-4"/>
        </w:rPr>
        <w:t xml:space="preserve">: </w:t>
      </w:r>
      <w:r w:rsidR="003A44FE" w:rsidRPr="003A44FE">
        <w:rPr>
          <w:b/>
          <w:bCs/>
          <w:color w:val="1F497D" w:themeColor="text2"/>
          <w:spacing w:val="-4"/>
        </w:rPr>
        <w:t>Children of Parents with a Mental Illness</w:t>
      </w:r>
      <w:r w:rsidR="005C354E" w:rsidRPr="005C354E">
        <w:rPr>
          <w:b/>
          <w:bCs/>
          <w:color w:val="1F497D" w:themeColor="text2"/>
          <w:spacing w:val="-4"/>
        </w:rPr>
        <w:t>—Financial implications</w:t>
      </w:r>
      <w:r w:rsidR="005C354E" w:rsidRPr="005C354E">
        <w:rPr>
          <w:b/>
          <w:bCs/>
          <w:color w:val="1F497D" w:themeColor="text2"/>
          <w:spacing w:val="-4"/>
          <w:vertAlign w:val="superscript"/>
        </w:rPr>
        <w:t>(a)(b)</w:t>
      </w:r>
    </w:p>
    <w:tbl>
      <w:tblPr>
        <w:tblStyle w:val="TableGrid3"/>
        <w:tblW w:w="5000" w:type="pct"/>
        <w:tblLook w:val="0680" w:firstRow="0" w:lastRow="0" w:firstColumn="1" w:lastColumn="0" w:noHBand="1" w:noVBand="1"/>
      </w:tblPr>
      <w:tblGrid>
        <w:gridCol w:w="2376"/>
        <w:gridCol w:w="1190"/>
        <w:gridCol w:w="1190"/>
        <w:gridCol w:w="1190"/>
        <w:gridCol w:w="1190"/>
        <w:gridCol w:w="1187"/>
      </w:tblGrid>
      <w:tr w:rsidR="00CE0528" w:rsidRPr="00215FDC" w:rsidTr="000F11DB">
        <w:trPr>
          <w:cantSplit/>
          <w:tblHeader/>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32634B" w:rsidRDefault="00CE0528" w:rsidP="00CE49EB">
            <w:pPr>
              <w:spacing w:before="70" w:after="70" w:line="240" w:lineRule="auto"/>
              <w:ind w:left="57" w:right="57"/>
              <w:rPr>
                <w:rFonts w:asciiTheme="minorHAnsi" w:eastAsiaTheme="minorHAnsi" w:hAnsiTheme="minorHAnsi" w:cstheme="minorBidi"/>
                <w:szCs w:val="20"/>
                <w:lang w:eastAsia="en-US"/>
              </w:rPr>
            </w:pPr>
            <w:r w:rsidRPr="0032634B">
              <w:rPr>
                <w:rFonts w:asciiTheme="minorHAnsi" w:eastAsiaTheme="minorHAnsi" w:hAnsiTheme="minorHAnsi" w:cstheme="minorBidi"/>
                <w:szCs w:val="20"/>
                <w:lang w:eastAsia="en-US"/>
              </w:rPr>
              <w:t>($m)</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2016–17</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2017–18</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2018–19</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2019–20</w:t>
            </w:r>
          </w:p>
        </w:tc>
        <w:tc>
          <w:tcPr>
            <w:tcW w:w="715" w:type="pct"/>
            <w:shd w:val="clear" w:color="auto" w:fill="D7DDE9"/>
          </w:tcPr>
          <w:p w:rsidR="00CE0528" w:rsidRPr="0032634B"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32634B">
              <w:rPr>
                <w:b/>
                <w:szCs w:val="20"/>
              </w:rPr>
              <w:t>Total to 2019–20</w:t>
            </w:r>
          </w:p>
        </w:tc>
      </w:tr>
      <w:tr w:rsidR="00CE0528" w:rsidRPr="0032634B" w:rsidTr="000F11DB">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7DDE9"/>
          </w:tcPr>
          <w:p w:rsidR="00CE0528" w:rsidRPr="0032634B" w:rsidRDefault="00CE0528" w:rsidP="00CE49EB">
            <w:pPr>
              <w:spacing w:before="70" w:after="70" w:line="240" w:lineRule="auto"/>
              <w:ind w:left="57" w:right="57"/>
              <w:rPr>
                <w:b/>
                <w:szCs w:val="20"/>
              </w:rPr>
            </w:pPr>
            <w:r w:rsidRPr="00183861">
              <w:rPr>
                <w:b/>
                <w:szCs w:val="20"/>
              </w:rPr>
              <w:t>Impact on fiscal and underlying cash balances</w:t>
            </w:r>
          </w:p>
        </w:tc>
      </w:tr>
      <w:tr w:rsidR="00CE0528" w:rsidRPr="00215FDC"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32634B" w:rsidRDefault="00CE0528" w:rsidP="00CE49EB">
            <w:pPr>
              <w:spacing w:before="70" w:after="70" w:line="240" w:lineRule="auto"/>
              <w:ind w:left="57" w:right="57"/>
              <w:rPr>
                <w:rFonts w:asciiTheme="minorHAnsi" w:eastAsiaTheme="minorHAnsi" w:hAnsiTheme="minorHAnsi" w:cstheme="minorBidi"/>
                <w:szCs w:val="20"/>
                <w:lang w:eastAsia="en-US"/>
              </w:rPr>
            </w:pPr>
            <w:r w:rsidRPr="0032634B">
              <w:rPr>
                <w:rFonts w:asciiTheme="minorHAnsi" w:eastAsiaTheme="minorHAnsi" w:hAnsiTheme="minorHAnsi" w:cstheme="minorBidi"/>
                <w:szCs w:val="20"/>
                <w:lang w:eastAsia="en-US"/>
              </w:rPr>
              <w:t>Administered</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 xml:space="preserve">-1.4 </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 xml:space="preserve">-1.4 </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 xml:space="preserve">-1.5 </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 xml:space="preserve">-1.5 </w:t>
            </w:r>
          </w:p>
        </w:tc>
        <w:tc>
          <w:tcPr>
            <w:tcW w:w="715" w:type="pct"/>
          </w:tcPr>
          <w:p w:rsidR="00CE0528" w:rsidRPr="00E20F20"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-5.8 </w:t>
            </w:r>
          </w:p>
        </w:tc>
      </w:tr>
      <w:tr w:rsidR="00CE0528" w:rsidRPr="00215FDC"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32634B" w:rsidRDefault="00CE0528" w:rsidP="00CE49EB">
            <w:pPr>
              <w:spacing w:before="70" w:after="70" w:line="240" w:lineRule="auto"/>
              <w:ind w:left="57" w:right="57"/>
              <w:rPr>
                <w:rFonts w:asciiTheme="minorHAnsi" w:eastAsiaTheme="minorHAnsi" w:hAnsiTheme="minorHAnsi" w:cstheme="minorBidi"/>
                <w:szCs w:val="20"/>
                <w:lang w:eastAsia="en-US"/>
              </w:rPr>
            </w:pPr>
            <w:r w:rsidRPr="0032634B">
              <w:rPr>
                <w:rFonts w:asciiTheme="minorHAnsi" w:eastAsiaTheme="minorHAnsi" w:hAnsiTheme="minorHAnsi" w:cstheme="minorBidi"/>
                <w:szCs w:val="20"/>
                <w:lang w:eastAsia="en-US"/>
              </w:rPr>
              <w:t>Departmental</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 xml:space="preserve">-0.1 </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 xml:space="preserve">-0.1 </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 xml:space="preserve">-0.1 </w:t>
            </w:r>
          </w:p>
        </w:tc>
        <w:tc>
          <w:tcPr>
            <w:tcW w:w="715" w:type="pct"/>
          </w:tcPr>
          <w:p w:rsidR="00CE0528" w:rsidRPr="0032634B"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32634B">
              <w:rPr>
                <w:szCs w:val="20"/>
              </w:rPr>
              <w:t xml:space="preserve">-0.1 </w:t>
            </w:r>
          </w:p>
        </w:tc>
        <w:tc>
          <w:tcPr>
            <w:tcW w:w="715" w:type="pct"/>
          </w:tcPr>
          <w:p w:rsidR="00CE0528" w:rsidRPr="00E20F20"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szCs w:val="20"/>
              </w:rPr>
            </w:pPr>
            <w:r w:rsidRPr="00E20F20">
              <w:rPr>
                <w:b/>
                <w:szCs w:val="20"/>
              </w:rPr>
              <w:t xml:space="preserve">-0.3 </w:t>
            </w:r>
          </w:p>
        </w:tc>
      </w:tr>
      <w:tr w:rsidR="00CE0528" w:rsidRPr="00215FDC"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32634B" w:rsidRDefault="00CE0528" w:rsidP="00CE49EB">
            <w:pPr>
              <w:spacing w:before="70" w:after="70" w:line="240" w:lineRule="auto"/>
              <w:ind w:left="57" w:right="57"/>
              <w:rPr>
                <w:rFonts w:asciiTheme="minorHAnsi" w:eastAsiaTheme="minorHAnsi" w:hAnsiTheme="minorHAnsi" w:cstheme="minorBidi"/>
                <w:b/>
                <w:szCs w:val="20"/>
                <w:lang w:eastAsia="en-US"/>
              </w:rPr>
            </w:pPr>
            <w:r w:rsidRPr="0032634B">
              <w:rPr>
                <w:rFonts w:asciiTheme="minorHAnsi" w:eastAsiaTheme="minorHAnsi" w:hAnsiTheme="minorHAnsi" w:cstheme="minorBidi"/>
                <w:b/>
                <w:szCs w:val="20"/>
                <w:lang w:eastAsia="en-US"/>
              </w:rPr>
              <w:t>Total</w:t>
            </w:r>
          </w:p>
        </w:tc>
        <w:tc>
          <w:tcPr>
            <w:tcW w:w="715" w:type="pct"/>
            <w:shd w:val="clear" w:color="auto" w:fill="D7DDE9"/>
          </w:tcPr>
          <w:p w:rsidR="00CE0528" w:rsidRPr="00E20F20"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E20F20">
              <w:rPr>
                <w:b/>
                <w:i w:val="0"/>
                <w:szCs w:val="20"/>
              </w:rPr>
              <w:t xml:space="preserve">-1.5 </w:t>
            </w:r>
          </w:p>
        </w:tc>
        <w:tc>
          <w:tcPr>
            <w:tcW w:w="715" w:type="pct"/>
            <w:shd w:val="clear" w:color="auto" w:fill="D7DDE9"/>
          </w:tcPr>
          <w:p w:rsidR="00CE0528" w:rsidRPr="00E20F20"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E20F20">
              <w:rPr>
                <w:b/>
                <w:i w:val="0"/>
                <w:szCs w:val="20"/>
              </w:rPr>
              <w:t xml:space="preserve">-1.5 </w:t>
            </w:r>
          </w:p>
        </w:tc>
        <w:tc>
          <w:tcPr>
            <w:tcW w:w="715" w:type="pct"/>
            <w:shd w:val="clear" w:color="auto" w:fill="D7DDE9"/>
          </w:tcPr>
          <w:p w:rsidR="00CE0528" w:rsidRPr="00E20F20"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E20F20">
              <w:rPr>
                <w:b/>
                <w:i w:val="0"/>
                <w:szCs w:val="20"/>
              </w:rPr>
              <w:t xml:space="preserve">-1.5 </w:t>
            </w:r>
          </w:p>
        </w:tc>
        <w:tc>
          <w:tcPr>
            <w:tcW w:w="715" w:type="pct"/>
            <w:shd w:val="clear" w:color="auto" w:fill="D7DDE9"/>
          </w:tcPr>
          <w:p w:rsidR="00CE0528" w:rsidRPr="00E20F20"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E20F20">
              <w:rPr>
                <w:b/>
                <w:i w:val="0"/>
                <w:szCs w:val="20"/>
              </w:rPr>
              <w:t xml:space="preserve">-1.6 </w:t>
            </w:r>
          </w:p>
        </w:tc>
        <w:tc>
          <w:tcPr>
            <w:tcW w:w="715" w:type="pct"/>
            <w:shd w:val="clear" w:color="auto" w:fill="D7DDE9"/>
          </w:tcPr>
          <w:p w:rsidR="00CE0528" w:rsidRPr="00E20F20"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i w:val="0"/>
                <w:szCs w:val="20"/>
              </w:rPr>
            </w:pPr>
            <w:r w:rsidRPr="00E20F20">
              <w:rPr>
                <w:b/>
                <w:i w:val="0"/>
                <w:szCs w:val="20"/>
              </w:rPr>
              <w:t xml:space="preserve">-6.1 </w:t>
            </w:r>
          </w:p>
        </w:tc>
      </w:tr>
    </w:tbl>
    <w:p w:rsidR="00215FDC" w:rsidRPr="00BE3134" w:rsidRDefault="000654BE" w:rsidP="00215FDC">
      <w:pPr>
        <w:pStyle w:val="Footnotes"/>
        <w:numPr>
          <w:ilvl w:val="0"/>
          <w:numId w:val="32"/>
        </w:numPr>
        <w:ind w:left="284" w:hanging="284"/>
      </w:pPr>
      <w:r w:rsidRPr="000654BE">
        <w:t>A negative number indicates a decrease in revenue or an increase in expenses or net capital investment in accrual and cash terms</w:t>
      </w:r>
      <w:r w:rsidR="00215FDC" w:rsidRPr="00BE3134">
        <w:t>. The impacts on fiscal and underlying cash balances are equal.</w:t>
      </w:r>
    </w:p>
    <w:p w:rsidR="00CE49EB" w:rsidRDefault="00215FDC" w:rsidP="0026003A">
      <w:pPr>
        <w:pStyle w:val="Footnotes"/>
        <w:numPr>
          <w:ilvl w:val="0"/>
          <w:numId w:val="7"/>
        </w:numPr>
        <w:ind w:left="284" w:hanging="284"/>
      </w:pPr>
      <w:r w:rsidRPr="00215FDC">
        <w:t>Figures may not sum to totals due to rounding.</w:t>
      </w:r>
    </w:p>
    <w:p w:rsidR="00C166DE" w:rsidRPr="00C166DE" w:rsidRDefault="00C166DE" w:rsidP="004E6290">
      <w:pPr>
        <w:keepNext/>
        <w:keepLines/>
        <w:widowControl w:val="0"/>
        <w:spacing w:before="340"/>
        <w:rPr>
          <w:b/>
          <w:bCs/>
          <w:color w:val="1F497D" w:themeColor="text2"/>
          <w:spacing w:val="-4"/>
        </w:rPr>
      </w:pPr>
      <w:r w:rsidRPr="00C166DE">
        <w:rPr>
          <w:b/>
          <w:bCs/>
          <w:color w:val="1F497D" w:themeColor="text2"/>
          <w:spacing w:val="-4"/>
        </w:rPr>
        <w:lastRenderedPageBreak/>
        <w:t>Table A</w:t>
      </w:r>
      <w:r>
        <w:rPr>
          <w:b/>
          <w:bCs/>
          <w:color w:val="1F497D" w:themeColor="text2"/>
          <w:spacing w:val="-4"/>
        </w:rPr>
        <w:t>10</w:t>
      </w:r>
      <w:r w:rsidRPr="00C166DE">
        <w:rPr>
          <w:b/>
          <w:bCs/>
          <w:color w:val="1F497D" w:themeColor="text2"/>
          <w:spacing w:val="-4"/>
        </w:rPr>
        <w:t xml:space="preserve">: Component </w:t>
      </w:r>
      <w:r>
        <w:rPr>
          <w:b/>
          <w:bCs/>
          <w:color w:val="1F497D" w:themeColor="text2"/>
          <w:spacing w:val="-4"/>
        </w:rPr>
        <w:t>9</w:t>
      </w:r>
      <w:r w:rsidRPr="00C166DE">
        <w:rPr>
          <w:b/>
          <w:bCs/>
          <w:color w:val="1F497D" w:themeColor="text2"/>
          <w:spacing w:val="-4"/>
        </w:rPr>
        <w:t xml:space="preserve">: Mind </w:t>
      </w:r>
      <w:r w:rsidR="003A44FE">
        <w:rPr>
          <w:b/>
          <w:bCs/>
          <w:color w:val="1F497D" w:themeColor="text2"/>
          <w:spacing w:val="-4"/>
        </w:rPr>
        <w:t>M</w:t>
      </w:r>
      <w:r w:rsidRPr="00C166DE">
        <w:rPr>
          <w:b/>
          <w:bCs/>
          <w:color w:val="1F497D" w:themeColor="text2"/>
          <w:spacing w:val="-4"/>
        </w:rPr>
        <w:t>atters and KidsMatter</w:t>
      </w:r>
      <w:r w:rsidR="005C354E" w:rsidRPr="005C354E">
        <w:rPr>
          <w:b/>
          <w:bCs/>
          <w:color w:val="1F497D" w:themeColor="text2"/>
          <w:spacing w:val="-4"/>
        </w:rPr>
        <w:t>—Financial implications</w:t>
      </w:r>
      <w:r w:rsidR="005C354E" w:rsidRPr="005C354E">
        <w:rPr>
          <w:b/>
          <w:bCs/>
          <w:color w:val="1F497D" w:themeColor="text2"/>
          <w:spacing w:val="-4"/>
          <w:vertAlign w:val="superscript"/>
        </w:rPr>
        <w:t>(a)(b)</w:t>
      </w:r>
    </w:p>
    <w:tbl>
      <w:tblPr>
        <w:tblStyle w:val="TableGrid111"/>
        <w:tblW w:w="5000" w:type="pct"/>
        <w:tblLook w:val="0680" w:firstRow="0" w:lastRow="0" w:firstColumn="1" w:lastColumn="0" w:noHBand="1" w:noVBand="1"/>
      </w:tblPr>
      <w:tblGrid>
        <w:gridCol w:w="2386"/>
        <w:gridCol w:w="1187"/>
        <w:gridCol w:w="1187"/>
        <w:gridCol w:w="1187"/>
        <w:gridCol w:w="1187"/>
        <w:gridCol w:w="1189"/>
      </w:tblGrid>
      <w:tr w:rsidR="00CE0528" w:rsidRPr="00C166DE" w:rsidTr="000F11DB">
        <w:trPr>
          <w:cantSplit/>
          <w:tblHeader/>
        </w:trPr>
        <w:tc>
          <w:tcPr>
            <w:cnfStyle w:val="001000000000" w:firstRow="0" w:lastRow="0" w:firstColumn="1" w:lastColumn="0" w:oddVBand="0" w:evenVBand="0" w:oddHBand="0" w:evenHBand="0" w:firstRowFirstColumn="0" w:firstRowLastColumn="0" w:lastRowFirstColumn="0" w:lastRowLastColumn="0"/>
            <w:tcW w:w="1434" w:type="pct"/>
            <w:shd w:val="clear" w:color="auto" w:fill="D7DDE9"/>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szCs w:val="20"/>
                <w:lang w:eastAsia="en-US"/>
              </w:rPr>
            </w:pPr>
            <w:r w:rsidRPr="009B016B">
              <w:rPr>
                <w:rFonts w:asciiTheme="minorHAnsi" w:eastAsiaTheme="minorHAnsi" w:hAnsiTheme="minorHAnsi" w:cstheme="minorBidi"/>
                <w:szCs w:val="20"/>
                <w:lang w:eastAsia="en-US"/>
              </w:rPr>
              <w:t>($m)</w:t>
            </w:r>
          </w:p>
        </w:tc>
        <w:tc>
          <w:tcPr>
            <w:tcW w:w="713" w:type="pct"/>
            <w:shd w:val="clear" w:color="auto" w:fill="D7DDE9"/>
          </w:tcPr>
          <w:p w:rsidR="00CE0528" w:rsidRPr="009B016B" w:rsidRDefault="00CE0528" w:rsidP="004E6290">
            <w:pPr>
              <w:keepNext/>
              <w:keepLines/>
              <w:widowControl w:val="0"/>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szCs w:val="20"/>
                <w:lang w:eastAsia="en-US"/>
              </w:rPr>
            </w:pPr>
            <w:r w:rsidRPr="009B016B">
              <w:rPr>
                <w:rFonts w:eastAsiaTheme="minorHAnsi" w:cstheme="minorBidi"/>
                <w:szCs w:val="20"/>
                <w:lang w:eastAsia="en-US"/>
              </w:rPr>
              <w:t>2016–17</w:t>
            </w:r>
          </w:p>
        </w:tc>
        <w:tc>
          <w:tcPr>
            <w:tcW w:w="713" w:type="pct"/>
            <w:shd w:val="clear" w:color="auto" w:fill="D7DDE9"/>
          </w:tcPr>
          <w:p w:rsidR="00CE0528" w:rsidRPr="009B016B" w:rsidRDefault="00CE0528" w:rsidP="004E6290">
            <w:pPr>
              <w:keepNext/>
              <w:keepLines/>
              <w:widowControl w:val="0"/>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szCs w:val="20"/>
                <w:lang w:eastAsia="en-US"/>
              </w:rPr>
            </w:pPr>
            <w:r w:rsidRPr="009B016B">
              <w:rPr>
                <w:rFonts w:eastAsiaTheme="minorHAnsi" w:cstheme="minorBidi"/>
                <w:szCs w:val="20"/>
                <w:lang w:eastAsia="en-US"/>
              </w:rPr>
              <w:t>2017–18</w:t>
            </w:r>
          </w:p>
        </w:tc>
        <w:tc>
          <w:tcPr>
            <w:tcW w:w="713" w:type="pct"/>
            <w:shd w:val="clear" w:color="auto" w:fill="D7DDE9"/>
          </w:tcPr>
          <w:p w:rsidR="00CE0528" w:rsidRPr="009B016B" w:rsidRDefault="00CE0528" w:rsidP="004E6290">
            <w:pPr>
              <w:keepNext/>
              <w:keepLines/>
              <w:widowControl w:val="0"/>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szCs w:val="20"/>
                <w:lang w:eastAsia="en-US"/>
              </w:rPr>
            </w:pPr>
            <w:r w:rsidRPr="009B016B">
              <w:rPr>
                <w:rFonts w:eastAsiaTheme="minorHAnsi" w:cstheme="minorBidi"/>
                <w:szCs w:val="20"/>
                <w:lang w:eastAsia="en-US"/>
              </w:rPr>
              <w:t>2018–19</w:t>
            </w:r>
          </w:p>
        </w:tc>
        <w:tc>
          <w:tcPr>
            <w:tcW w:w="713" w:type="pct"/>
            <w:shd w:val="clear" w:color="auto" w:fill="D7DDE9"/>
          </w:tcPr>
          <w:p w:rsidR="00CE0528" w:rsidRPr="009B016B" w:rsidRDefault="00CE0528" w:rsidP="004E6290">
            <w:pPr>
              <w:keepNext/>
              <w:keepLines/>
              <w:widowControl w:val="0"/>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szCs w:val="20"/>
                <w:lang w:eastAsia="en-US"/>
              </w:rPr>
            </w:pPr>
            <w:r w:rsidRPr="009B016B">
              <w:rPr>
                <w:rFonts w:eastAsiaTheme="minorHAnsi" w:cstheme="minorBidi"/>
                <w:szCs w:val="20"/>
                <w:lang w:eastAsia="en-US"/>
              </w:rPr>
              <w:t>2019–20</w:t>
            </w:r>
          </w:p>
        </w:tc>
        <w:tc>
          <w:tcPr>
            <w:tcW w:w="713" w:type="pct"/>
            <w:shd w:val="clear" w:color="auto" w:fill="D7DDE9"/>
          </w:tcPr>
          <w:p w:rsidR="00CE0528" w:rsidRPr="009B016B" w:rsidRDefault="00CE0528" w:rsidP="004E6290">
            <w:pPr>
              <w:keepNext/>
              <w:keepLines/>
              <w:widowControl w:val="0"/>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b/>
                <w:szCs w:val="20"/>
                <w:lang w:eastAsia="en-US"/>
              </w:rPr>
            </w:pPr>
            <w:r w:rsidRPr="009B016B">
              <w:rPr>
                <w:rFonts w:eastAsiaTheme="minorHAnsi" w:cstheme="minorBidi"/>
                <w:b/>
                <w:szCs w:val="20"/>
                <w:lang w:eastAsia="en-US"/>
              </w:rPr>
              <w:t>Total to 2019–20</w:t>
            </w:r>
          </w:p>
        </w:tc>
      </w:tr>
      <w:tr w:rsidR="00CE0528" w:rsidRPr="00C166DE" w:rsidTr="000F11DB">
        <w:trPr>
          <w:cantSplit/>
          <w:tblHead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7DDE9"/>
          </w:tcPr>
          <w:p w:rsidR="00CE0528" w:rsidRPr="009B016B" w:rsidRDefault="00CE0528" w:rsidP="004E6290">
            <w:pPr>
              <w:keepNext/>
              <w:keepLines/>
              <w:widowControl w:val="0"/>
              <w:spacing w:before="70" w:after="70" w:line="240" w:lineRule="auto"/>
              <w:ind w:left="57" w:right="57"/>
              <w:rPr>
                <w:rFonts w:eastAsiaTheme="minorHAnsi" w:cstheme="minorBidi"/>
                <w:b/>
                <w:szCs w:val="20"/>
                <w:lang w:eastAsia="en-US"/>
              </w:rPr>
            </w:pPr>
            <w:r w:rsidRPr="00D108CC">
              <w:rPr>
                <w:rFonts w:eastAsiaTheme="minorHAnsi" w:cstheme="minorBidi"/>
                <w:b/>
                <w:szCs w:val="20"/>
                <w:lang w:eastAsia="en-US"/>
              </w:rPr>
              <w:t>Impact on fiscal and underlying cash balances</w:t>
            </w:r>
          </w:p>
        </w:tc>
      </w:tr>
      <w:tr w:rsidR="00CE0528" w:rsidRPr="00C166DE" w:rsidTr="000F11D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b/>
                <w:szCs w:val="20"/>
                <w:lang w:eastAsia="en-US"/>
              </w:rPr>
            </w:pPr>
            <w:r w:rsidRPr="009B016B">
              <w:rPr>
                <w:rFonts w:asciiTheme="minorHAnsi" w:eastAsiaTheme="minorHAnsi" w:hAnsiTheme="minorHAnsi" w:cstheme="minorBidi"/>
                <w:b/>
                <w:szCs w:val="20"/>
                <w:lang w:eastAsia="en-US"/>
              </w:rPr>
              <w:t>Administered</w:t>
            </w:r>
          </w:p>
        </w:tc>
      </w:tr>
      <w:tr w:rsidR="00CE0528" w:rsidRPr="00C166DE" w:rsidTr="000F11DB">
        <w:trPr>
          <w:cantSplit/>
        </w:trPr>
        <w:tc>
          <w:tcPr>
            <w:cnfStyle w:val="001000000000" w:firstRow="0" w:lastRow="0" w:firstColumn="1" w:lastColumn="0" w:oddVBand="0" w:evenVBand="0" w:oddHBand="0" w:evenHBand="0" w:firstRowFirstColumn="0" w:firstRowLastColumn="0" w:lastRowFirstColumn="0" w:lastRowLastColumn="0"/>
            <w:tcW w:w="1434" w:type="pct"/>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szCs w:val="20"/>
                <w:lang w:eastAsia="en-US"/>
              </w:rPr>
            </w:pPr>
            <w:r w:rsidRPr="009B016B">
              <w:rPr>
                <w:rFonts w:asciiTheme="minorHAnsi" w:eastAsiaTheme="minorHAnsi" w:hAnsiTheme="minorHAnsi" w:cstheme="minorBidi"/>
                <w:szCs w:val="20"/>
                <w:lang w:eastAsia="en-US"/>
              </w:rPr>
              <w:t>Mind matters</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-6.1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-6.1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-6.1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-6.1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-24.5</w:t>
            </w:r>
          </w:p>
        </w:tc>
      </w:tr>
      <w:tr w:rsidR="00CE0528" w:rsidRPr="00C166DE" w:rsidTr="000F11DB">
        <w:trPr>
          <w:cantSplit/>
        </w:trPr>
        <w:tc>
          <w:tcPr>
            <w:cnfStyle w:val="001000000000" w:firstRow="0" w:lastRow="0" w:firstColumn="1" w:lastColumn="0" w:oddVBand="0" w:evenVBand="0" w:oddHBand="0" w:evenHBand="0" w:firstRowFirstColumn="0" w:firstRowLastColumn="0" w:lastRowFirstColumn="0" w:lastRowLastColumn="0"/>
            <w:tcW w:w="1434" w:type="pct"/>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szCs w:val="20"/>
                <w:lang w:eastAsia="en-US"/>
              </w:rPr>
            </w:pPr>
            <w:r w:rsidRPr="009B016B">
              <w:rPr>
                <w:rFonts w:asciiTheme="minorHAnsi" w:eastAsiaTheme="minorHAnsi" w:hAnsiTheme="minorHAnsi" w:cstheme="minorBidi"/>
                <w:szCs w:val="20"/>
                <w:lang w:eastAsia="en-US"/>
              </w:rPr>
              <w:t>KidsMatter</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-2.2</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-2.2</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-2.2</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-2.2</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-8.6</w:t>
            </w:r>
          </w:p>
        </w:tc>
      </w:tr>
      <w:tr w:rsidR="00CE0528" w:rsidRPr="00C166DE" w:rsidTr="000F11DB">
        <w:trPr>
          <w:cantSplit/>
        </w:trPr>
        <w:tc>
          <w:tcPr>
            <w:cnfStyle w:val="001000000000" w:firstRow="0" w:lastRow="0" w:firstColumn="1" w:lastColumn="0" w:oddVBand="0" w:evenVBand="0" w:oddHBand="0" w:evenHBand="0" w:firstRowFirstColumn="0" w:firstRowLastColumn="0" w:lastRowFirstColumn="0" w:lastRowLastColumn="0"/>
            <w:tcW w:w="1434" w:type="pct"/>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b/>
                <w:szCs w:val="20"/>
                <w:lang w:eastAsia="en-US"/>
              </w:rPr>
            </w:pPr>
            <w:r>
              <w:rPr>
                <w:rFonts w:asciiTheme="minorHAnsi" w:eastAsiaTheme="minorHAnsi" w:hAnsiTheme="minorHAnsi" w:cstheme="minorBidi"/>
                <w:b/>
                <w:szCs w:val="20"/>
                <w:lang w:eastAsia="en-US"/>
              </w:rPr>
              <w:t>Total - a</w:t>
            </w:r>
            <w:r w:rsidRPr="009B016B">
              <w:rPr>
                <w:rFonts w:asciiTheme="minorHAnsi" w:eastAsiaTheme="minorHAnsi" w:hAnsiTheme="minorHAnsi" w:cstheme="minorBidi"/>
                <w:b/>
                <w:szCs w:val="20"/>
                <w:lang w:eastAsia="en-US"/>
              </w:rPr>
              <w:t>dministered</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-8.3</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-8.3</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-8.3</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-8.3</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-33.1</w:t>
            </w:r>
          </w:p>
        </w:tc>
      </w:tr>
      <w:tr w:rsidR="00CE0528" w:rsidRPr="00C166DE" w:rsidTr="000F11D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b/>
                <w:szCs w:val="20"/>
                <w:lang w:eastAsia="en-US"/>
              </w:rPr>
            </w:pPr>
            <w:r w:rsidRPr="009B016B">
              <w:rPr>
                <w:rFonts w:asciiTheme="minorHAnsi" w:eastAsiaTheme="minorHAnsi" w:hAnsiTheme="minorHAnsi" w:cstheme="minorBidi"/>
                <w:b/>
                <w:szCs w:val="20"/>
                <w:lang w:eastAsia="en-US"/>
              </w:rPr>
              <w:t>Departmental</w:t>
            </w:r>
          </w:p>
        </w:tc>
      </w:tr>
      <w:tr w:rsidR="00CE0528" w:rsidRPr="00C166DE" w:rsidTr="000F11DB">
        <w:trPr>
          <w:cantSplit/>
        </w:trPr>
        <w:tc>
          <w:tcPr>
            <w:cnfStyle w:val="001000000000" w:firstRow="0" w:lastRow="0" w:firstColumn="1" w:lastColumn="0" w:oddVBand="0" w:evenVBand="0" w:oddHBand="0" w:evenHBand="0" w:firstRowFirstColumn="0" w:firstRowLastColumn="0" w:lastRowFirstColumn="0" w:lastRowLastColumn="0"/>
            <w:tcW w:w="1434" w:type="pct"/>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szCs w:val="20"/>
                <w:lang w:eastAsia="en-US"/>
              </w:rPr>
            </w:pPr>
            <w:r w:rsidRPr="009B016B">
              <w:rPr>
                <w:rFonts w:asciiTheme="minorHAnsi" w:eastAsiaTheme="minorHAnsi" w:hAnsiTheme="minorHAnsi" w:cstheme="minorBidi"/>
                <w:szCs w:val="20"/>
                <w:lang w:eastAsia="en-US"/>
              </w:rPr>
              <w:t>Mind matters</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-0.3</w:t>
            </w:r>
          </w:p>
        </w:tc>
      </w:tr>
      <w:tr w:rsidR="00CE0528" w:rsidRPr="00C166DE" w:rsidTr="000F11DB">
        <w:trPr>
          <w:cantSplit/>
        </w:trPr>
        <w:tc>
          <w:tcPr>
            <w:cnfStyle w:val="001000000000" w:firstRow="0" w:lastRow="0" w:firstColumn="1" w:lastColumn="0" w:oddVBand="0" w:evenVBand="0" w:oddHBand="0" w:evenHBand="0" w:firstRowFirstColumn="0" w:firstRowLastColumn="0" w:lastRowFirstColumn="0" w:lastRowLastColumn="0"/>
            <w:tcW w:w="1434" w:type="pct"/>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szCs w:val="20"/>
                <w:lang w:eastAsia="en-US"/>
              </w:rPr>
            </w:pPr>
            <w:r w:rsidRPr="009B016B">
              <w:rPr>
                <w:rFonts w:asciiTheme="minorHAnsi" w:eastAsiaTheme="minorHAnsi" w:hAnsiTheme="minorHAnsi" w:cstheme="minorBidi"/>
                <w:szCs w:val="20"/>
                <w:lang w:eastAsia="en-US"/>
              </w:rPr>
              <w:t>KidsMatter</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szCs w:val="20"/>
              </w:rPr>
            </w:pPr>
            <w:r w:rsidRPr="009B016B">
              <w:rPr>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-0.3</w:t>
            </w:r>
          </w:p>
        </w:tc>
      </w:tr>
      <w:tr w:rsidR="00CE0528" w:rsidRPr="00C166DE" w:rsidTr="000F11DB">
        <w:trPr>
          <w:cantSplit/>
        </w:trPr>
        <w:tc>
          <w:tcPr>
            <w:cnfStyle w:val="001000000000" w:firstRow="0" w:lastRow="0" w:firstColumn="1" w:lastColumn="0" w:oddVBand="0" w:evenVBand="0" w:oddHBand="0" w:evenHBand="0" w:firstRowFirstColumn="0" w:firstRowLastColumn="0" w:lastRowFirstColumn="0" w:lastRowLastColumn="0"/>
            <w:tcW w:w="1434" w:type="pct"/>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b/>
                <w:szCs w:val="20"/>
                <w:lang w:eastAsia="en-US"/>
              </w:rPr>
            </w:pPr>
            <w:r>
              <w:rPr>
                <w:rFonts w:asciiTheme="minorHAnsi" w:eastAsiaTheme="minorHAnsi" w:hAnsiTheme="minorHAnsi" w:cstheme="minorBidi"/>
                <w:b/>
                <w:szCs w:val="20"/>
                <w:lang w:eastAsia="en-US"/>
              </w:rPr>
              <w:t>Total - d</w:t>
            </w:r>
            <w:r w:rsidRPr="009B016B">
              <w:rPr>
                <w:rFonts w:asciiTheme="minorHAnsi" w:eastAsiaTheme="minorHAnsi" w:hAnsiTheme="minorHAnsi" w:cstheme="minorBidi"/>
                <w:b/>
                <w:szCs w:val="20"/>
                <w:lang w:eastAsia="en-US"/>
              </w:rPr>
              <w:t>epartmental</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-0.1</w:t>
            </w:r>
          </w:p>
        </w:tc>
        <w:tc>
          <w:tcPr>
            <w:tcW w:w="713" w:type="pct"/>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szCs w:val="20"/>
              </w:rPr>
            </w:pPr>
            <w:r w:rsidRPr="009B016B">
              <w:rPr>
                <w:b/>
                <w:bCs/>
                <w:szCs w:val="20"/>
              </w:rPr>
              <w:t>-0.5</w:t>
            </w:r>
          </w:p>
        </w:tc>
      </w:tr>
      <w:tr w:rsidR="00CE0528" w:rsidRPr="00C166DE" w:rsidTr="000F11DB">
        <w:trPr>
          <w:cantSplit/>
        </w:trPr>
        <w:tc>
          <w:tcPr>
            <w:cnfStyle w:val="001000000000" w:firstRow="0" w:lastRow="0" w:firstColumn="1" w:lastColumn="0" w:oddVBand="0" w:evenVBand="0" w:oddHBand="0" w:evenHBand="0" w:firstRowFirstColumn="0" w:firstRowLastColumn="0" w:lastRowFirstColumn="0" w:lastRowLastColumn="0"/>
            <w:tcW w:w="1434" w:type="pct"/>
            <w:shd w:val="clear" w:color="auto" w:fill="D7DDE9"/>
          </w:tcPr>
          <w:p w:rsidR="00CE0528" w:rsidRPr="009B016B" w:rsidRDefault="00CE0528" w:rsidP="004E6290">
            <w:pPr>
              <w:keepNext/>
              <w:keepLines/>
              <w:widowControl w:val="0"/>
              <w:spacing w:before="70" w:after="70" w:line="240" w:lineRule="auto"/>
              <w:ind w:left="57" w:right="57"/>
              <w:rPr>
                <w:rFonts w:asciiTheme="minorHAnsi" w:eastAsiaTheme="minorHAnsi" w:hAnsiTheme="minorHAnsi" w:cstheme="minorBidi"/>
                <w:b/>
                <w:szCs w:val="20"/>
                <w:lang w:eastAsia="en-US"/>
              </w:rPr>
            </w:pPr>
            <w:r w:rsidRPr="009B016B">
              <w:rPr>
                <w:rFonts w:asciiTheme="minorHAnsi" w:eastAsiaTheme="minorHAnsi" w:hAnsiTheme="minorHAnsi" w:cstheme="minorBidi"/>
                <w:b/>
                <w:szCs w:val="20"/>
                <w:lang w:eastAsia="en-US"/>
              </w:rPr>
              <w:t>Total</w:t>
            </w:r>
          </w:p>
        </w:tc>
        <w:tc>
          <w:tcPr>
            <w:tcW w:w="713" w:type="pct"/>
            <w:shd w:val="clear" w:color="auto" w:fill="D7DDE9"/>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i w:val="0"/>
                <w:szCs w:val="20"/>
              </w:rPr>
            </w:pPr>
            <w:r w:rsidRPr="009B016B">
              <w:rPr>
                <w:b/>
                <w:bCs/>
                <w:i w:val="0"/>
                <w:szCs w:val="20"/>
              </w:rPr>
              <w:t>-8.4</w:t>
            </w:r>
          </w:p>
        </w:tc>
        <w:tc>
          <w:tcPr>
            <w:tcW w:w="713" w:type="pct"/>
            <w:shd w:val="clear" w:color="auto" w:fill="D7DDE9"/>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i w:val="0"/>
                <w:szCs w:val="20"/>
              </w:rPr>
            </w:pPr>
            <w:r w:rsidRPr="009B016B">
              <w:rPr>
                <w:b/>
                <w:bCs/>
                <w:i w:val="0"/>
                <w:szCs w:val="20"/>
              </w:rPr>
              <w:t>-8.4</w:t>
            </w:r>
          </w:p>
        </w:tc>
        <w:tc>
          <w:tcPr>
            <w:tcW w:w="713" w:type="pct"/>
            <w:shd w:val="clear" w:color="auto" w:fill="D7DDE9"/>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i w:val="0"/>
                <w:szCs w:val="20"/>
              </w:rPr>
            </w:pPr>
            <w:r w:rsidRPr="009B016B">
              <w:rPr>
                <w:b/>
                <w:bCs/>
                <w:i w:val="0"/>
                <w:szCs w:val="20"/>
              </w:rPr>
              <w:t>-8.4</w:t>
            </w:r>
          </w:p>
        </w:tc>
        <w:tc>
          <w:tcPr>
            <w:tcW w:w="713" w:type="pct"/>
            <w:shd w:val="clear" w:color="auto" w:fill="D7DDE9"/>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i w:val="0"/>
                <w:szCs w:val="20"/>
              </w:rPr>
            </w:pPr>
            <w:r w:rsidRPr="009B016B">
              <w:rPr>
                <w:b/>
                <w:bCs/>
                <w:i w:val="0"/>
                <w:szCs w:val="20"/>
              </w:rPr>
              <w:t>-8.4</w:t>
            </w:r>
          </w:p>
        </w:tc>
        <w:tc>
          <w:tcPr>
            <w:tcW w:w="713" w:type="pct"/>
            <w:shd w:val="clear" w:color="auto" w:fill="D7DDE9"/>
          </w:tcPr>
          <w:p w:rsidR="00CE0528" w:rsidRPr="009B016B" w:rsidRDefault="00CE0528" w:rsidP="004E6290">
            <w:pPr>
              <w:pStyle w:val="TableTextRight"/>
              <w:keepNext/>
              <w:keepLines/>
              <w:widowControl w:val="0"/>
              <w:cnfStyle w:val="000000000000" w:firstRow="0" w:lastRow="0" w:firstColumn="0" w:lastColumn="0" w:oddVBand="0" w:evenVBand="0" w:oddHBand="0" w:evenHBand="0" w:firstRowFirstColumn="0" w:firstRowLastColumn="0" w:lastRowFirstColumn="0" w:lastRowLastColumn="0"/>
              <w:rPr>
                <w:b/>
                <w:bCs/>
                <w:i w:val="0"/>
                <w:szCs w:val="20"/>
              </w:rPr>
            </w:pPr>
            <w:r w:rsidRPr="009B016B">
              <w:rPr>
                <w:b/>
                <w:bCs/>
                <w:i w:val="0"/>
                <w:szCs w:val="20"/>
              </w:rPr>
              <w:t>-33.6</w:t>
            </w:r>
          </w:p>
        </w:tc>
      </w:tr>
    </w:tbl>
    <w:p w:rsidR="00C166DE" w:rsidRPr="00C166DE" w:rsidRDefault="000654BE" w:rsidP="00C166DE">
      <w:pPr>
        <w:pStyle w:val="Footnotes"/>
        <w:numPr>
          <w:ilvl w:val="0"/>
          <w:numId w:val="34"/>
        </w:numPr>
        <w:ind w:left="284" w:hanging="284"/>
      </w:pPr>
      <w:r w:rsidRPr="000654BE">
        <w:t>A negative number indicates a decrease in revenue or an increase in expenses or net capital investment in accrual and cash terms</w:t>
      </w:r>
      <w:r w:rsidR="00C166DE" w:rsidRPr="00C166DE">
        <w:t>. The impacts on fiscal and underlying cash balances are equal.</w:t>
      </w:r>
    </w:p>
    <w:p w:rsidR="00C166DE" w:rsidRPr="00C166DE" w:rsidRDefault="00C166DE" w:rsidP="00C166DE">
      <w:pPr>
        <w:numPr>
          <w:ilvl w:val="0"/>
          <w:numId w:val="7"/>
        </w:numPr>
        <w:spacing w:before="113" w:after="0" w:line="260" w:lineRule="atLeast"/>
        <w:ind w:left="284" w:hanging="284"/>
        <w:rPr>
          <w:sz w:val="20"/>
          <w:szCs w:val="20"/>
        </w:rPr>
      </w:pPr>
      <w:r w:rsidRPr="00C166DE">
        <w:rPr>
          <w:sz w:val="20"/>
          <w:szCs w:val="20"/>
        </w:rPr>
        <w:t>Figures may not sum to totals due to rounding.</w:t>
      </w:r>
    </w:p>
    <w:p w:rsidR="00BD56F0" w:rsidRPr="00BD56F0" w:rsidRDefault="00BD56F0" w:rsidP="00BD56F0">
      <w:pPr>
        <w:keepNext/>
        <w:spacing w:before="340"/>
        <w:rPr>
          <w:b/>
          <w:bCs/>
          <w:color w:val="1F497D" w:themeColor="text2"/>
          <w:spacing w:val="-4"/>
        </w:rPr>
      </w:pPr>
      <w:r w:rsidRPr="00BD56F0">
        <w:rPr>
          <w:b/>
          <w:bCs/>
          <w:color w:val="1F497D" w:themeColor="text2"/>
          <w:spacing w:val="-4"/>
        </w:rPr>
        <w:t>Table A1</w:t>
      </w:r>
      <w:r>
        <w:rPr>
          <w:b/>
          <w:bCs/>
          <w:color w:val="1F497D" w:themeColor="text2"/>
          <w:spacing w:val="-4"/>
        </w:rPr>
        <w:t>1</w:t>
      </w:r>
      <w:r w:rsidRPr="00BD56F0">
        <w:rPr>
          <w:b/>
          <w:bCs/>
          <w:color w:val="1F497D" w:themeColor="text2"/>
          <w:spacing w:val="-4"/>
        </w:rPr>
        <w:t>: Component 10</w:t>
      </w:r>
      <w:r>
        <w:rPr>
          <w:b/>
          <w:bCs/>
          <w:color w:val="1F497D" w:themeColor="text2"/>
          <w:spacing w:val="-4"/>
        </w:rPr>
        <w:t>:</w:t>
      </w:r>
      <w:r w:rsidRPr="00BD56F0">
        <w:rPr>
          <w:b/>
          <w:bCs/>
          <w:color w:val="1F497D" w:themeColor="text2"/>
          <w:spacing w:val="-4"/>
        </w:rPr>
        <w:t xml:space="preserve"> Better Access Initiative</w:t>
      </w:r>
      <w:r w:rsidR="005C354E" w:rsidRPr="005C354E">
        <w:rPr>
          <w:b/>
          <w:bCs/>
          <w:color w:val="1F497D" w:themeColor="text2"/>
          <w:spacing w:val="-4"/>
        </w:rPr>
        <w:t>—Financial implications</w:t>
      </w:r>
      <w:r w:rsidR="005C354E" w:rsidRPr="005C354E">
        <w:rPr>
          <w:b/>
          <w:bCs/>
          <w:color w:val="1F497D" w:themeColor="text2"/>
          <w:spacing w:val="-4"/>
          <w:vertAlign w:val="superscript"/>
        </w:rPr>
        <w:t>(a)(b)</w:t>
      </w:r>
    </w:p>
    <w:tbl>
      <w:tblPr>
        <w:tblStyle w:val="TableGrid4"/>
        <w:tblW w:w="5000" w:type="pct"/>
        <w:tblLook w:val="0680" w:firstRow="0" w:lastRow="0" w:firstColumn="1" w:lastColumn="0" w:noHBand="1" w:noVBand="1"/>
      </w:tblPr>
      <w:tblGrid>
        <w:gridCol w:w="2376"/>
        <w:gridCol w:w="1190"/>
        <w:gridCol w:w="1190"/>
        <w:gridCol w:w="1190"/>
        <w:gridCol w:w="1190"/>
        <w:gridCol w:w="1187"/>
      </w:tblGrid>
      <w:tr w:rsidR="00CE0528" w:rsidRPr="00BD56F0" w:rsidTr="000F11DB">
        <w:trPr>
          <w:cantSplit/>
          <w:tblHeader/>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7E13CE" w:rsidRDefault="00CE0528" w:rsidP="00CE49EB">
            <w:pPr>
              <w:spacing w:before="70" w:after="70" w:line="240" w:lineRule="auto"/>
              <w:ind w:left="57" w:right="57"/>
              <w:rPr>
                <w:rFonts w:asciiTheme="minorHAnsi" w:eastAsiaTheme="minorHAnsi" w:hAnsiTheme="minorHAnsi" w:cstheme="minorBidi"/>
                <w:szCs w:val="20"/>
                <w:lang w:eastAsia="en-US"/>
              </w:rPr>
            </w:pPr>
            <w:r w:rsidRPr="007E13CE">
              <w:rPr>
                <w:rFonts w:asciiTheme="minorHAnsi" w:eastAsiaTheme="minorHAnsi" w:hAnsiTheme="minorHAnsi" w:cstheme="minorBidi"/>
                <w:szCs w:val="20"/>
                <w:lang w:eastAsia="en-US"/>
              </w:rPr>
              <w:t>($m)</w:t>
            </w:r>
          </w:p>
        </w:tc>
        <w:tc>
          <w:tcPr>
            <w:tcW w:w="715" w:type="pct"/>
            <w:shd w:val="clear" w:color="auto" w:fill="D7DDE9"/>
          </w:tcPr>
          <w:p w:rsidR="00CE0528" w:rsidRPr="007E13CE"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2016–17</w:t>
            </w:r>
          </w:p>
        </w:tc>
        <w:tc>
          <w:tcPr>
            <w:tcW w:w="715" w:type="pct"/>
            <w:shd w:val="clear" w:color="auto" w:fill="D7DDE9"/>
          </w:tcPr>
          <w:p w:rsidR="00CE0528" w:rsidRPr="007E13CE"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2017–18</w:t>
            </w:r>
          </w:p>
        </w:tc>
        <w:tc>
          <w:tcPr>
            <w:tcW w:w="715" w:type="pct"/>
            <w:shd w:val="clear" w:color="auto" w:fill="D7DDE9"/>
          </w:tcPr>
          <w:p w:rsidR="00CE0528" w:rsidRPr="007E13CE"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2018–19</w:t>
            </w:r>
          </w:p>
        </w:tc>
        <w:tc>
          <w:tcPr>
            <w:tcW w:w="715" w:type="pct"/>
            <w:shd w:val="clear" w:color="auto" w:fill="D7DDE9"/>
          </w:tcPr>
          <w:p w:rsidR="00CE0528" w:rsidRPr="007E13CE"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2019–20</w:t>
            </w:r>
          </w:p>
        </w:tc>
        <w:tc>
          <w:tcPr>
            <w:tcW w:w="715" w:type="pct"/>
            <w:shd w:val="clear" w:color="auto" w:fill="D7DDE9"/>
          </w:tcPr>
          <w:p w:rsidR="00CE0528" w:rsidRPr="007E13CE" w:rsidRDefault="00CE0528" w:rsidP="00CE49EB">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szCs w:val="20"/>
              </w:rPr>
            </w:pPr>
            <w:r w:rsidRPr="007E13CE">
              <w:rPr>
                <w:b/>
                <w:szCs w:val="20"/>
              </w:rPr>
              <w:t>Total to 2019–20</w:t>
            </w:r>
          </w:p>
        </w:tc>
      </w:tr>
      <w:tr w:rsidR="00CE0528" w:rsidRPr="00BD56F0" w:rsidTr="000F11D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CE0528" w:rsidRPr="007E13CE" w:rsidRDefault="00CE0528" w:rsidP="00CE49EB">
            <w:pPr>
              <w:spacing w:before="70" w:after="70" w:line="240" w:lineRule="auto"/>
              <w:ind w:left="57" w:right="57"/>
              <w:rPr>
                <w:rFonts w:asciiTheme="minorHAnsi" w:eastAsiaTheme="minorHAnsi" w:hAnsiTheme="minorHAnsi"/>
                <w:b/>
                <w:szCs w:val="20"/>
                <w:lang w:eastAsia="en-US"/>
              </w:rPr>
            </w:pPr>
            <w:r w:rsidRPr="007E13CE">
              <w:rPr>
                <w:rFonts w:asciiTheme="minorHAnsi" w:eastAsiaTheme="minorHAnsi" w:hAnsiTheme="minorHAnsi"/>
                <w:b/>
                <w:szCs w:val="20"/>
                <w:lang w:eastAsia="en-US"/>
              </w:rPr>
              <w:t>Fiscal balance</w:t>
            </w:r>
          </w:p>
        </w:tc>
      </w:tr>
      <w:tr w:rsidR="00CE0528" w:rsidRPr="00BD56F0"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7E13CE" w:rsidRDefault="00CE0528" w:rsidP="00CE49EB">
            <w:pPr>
              <w:spacing w:before="70" w:after="70" w:line="240" w:lineRule="auto"/>
              <w:ind w:left="57" w:right="57"/>
              <w:rPr>
                <w:rFonts w:asciiTheme="minorHAnsi" w:eastAsiaTheme="minorHAnsi" w:hAnsiTheme="minorHAnsi" w:cstheme="minorBidi"/>
                <w:szCs w:val="20"/>
                <w:lang w:eastAsia="en-US"/>
              </w:rPr>
            </w:pPr>
            <w:r w:rsidRPr="007E13CE">
              <w:rPr>
                <w:rFonts w:asciiTheme="minorHAnsi" w:eastAsiaTheme="minorHAnsi" w:hAnsiTheme="minorHAnsi" w:cstheme="minorBidi"/>
                <w:szCs w:val="20"/>
                <w:lang w:eastAsia="en-US"/>
              </w:rPr>
              <w:t>Administered</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-52.2</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-53.5</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-54.9</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-56.2</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szCs w:val="20"/>
              </w:rPr>
            </w:pPr>
            <w:r w:rsidRPr="007E13CE">
              <w:rPr>
                <w:b/>
                <w:bCs/>
                <w:szCs w:val="20"/>
              </w:rPr>
              <w:t>-216.8</w:t>
            </w:r>
          </w:p>
        </w:tc>
      </w:tr>
      <w:tr w:rsidR="00CE0528" w:rsidRPr="00BD56F0"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7E13CE" w:rsidRDefault="00CE0528" w:rsidP="00CE49EB">
            <w:pPr>
              <w:spacing w:before="70" w:after="70" w:line="240" w:lineRule="auto"/>
              <w:ind w:left="57" w:right="57"/>
              <w:rPr>
                <w:rFonts w:asciiTheme="minorHAnsi" w:eastAsiaTheme="minorHAnsi" w:hAnsiTheme="minorHAnsi" w:cstheme="minorBidi"/>
                <w:szCs w:val="20"/>
                <w:lang w:eastAsia="en-US"/>
              </w:rPr>
            </w:pPr>
            <w:r w:rsidRPr="007E13CE">
              <w:rPr>
                <w:rFonts w:asciiTheme="minorHAnsi" w:eastAsiaTheme="minorHAnsi" w:hAnsiTheme="minorHAnsi" w:cstheme="minorBidi"/>
                <w:szCs w:val="20"/>
                <w:lang w:eastAsia="en-US"/>
              </w:rPr>
              <w:t>Departmental</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-0.4</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-0.4</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-0.4</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-0.4</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szCs w:val="20"/>
              </w:rPr>
            </w:pPr>
            <w:r w:rsidRPr="007E13CE">
              <w:rPr>
                <w:b/>
                <w:bCs/>
                <w:szCs w:val="20"/>
              </w:rPr>
              <w:t>-1.4</w:t>
            </w:r>
          </w:p>
        </w:tc>
      </w:tr>
      <w:tr w:rsidR="00CE0528" w:rsidRPr="00BD56F0"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7E13CE" w:rsidRDefault="00CE0528" w:rsidP="00CE49EB">
            <w:pPr>
              <w:spacing w:before="70" w:after="70" w:line="240" w:lineRule="auto"/>
              <w:ind w:left="57" w:right="57"/>
              <w:rPr>
                <w:rFonts w:asciiTheme="minorHAnsi" w:eastAsiaTheme="minorHAnsi" w:hAnsiTheme="minorHAnsi" w:cstheme="minorBidi"/>
                <w:b/>
                <w:szCs w:val="20"/>
                <w:lang w:eastAsia="en-US"/>
              </w:rPr>
            </w:pPr>
            <w:r w:rsidRPr="007E13CE">
              <w:rPr>
                <w:rFonts w:asciiTheme="minorHAnsi" w:eastAsiaTheme="minorHAnsi" w:hAnsiTheme="minorHAnsi" w:cstheme="minorBidi"/>
                <w:b/>
                <w:szCs w:val="20"/>
                <w:lang w:eastAsia="en-US"/>
              </w:rPr>
              <w:t>Total</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-52.6</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-53.9</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-55.2</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-56.6</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-218.3</w:t>
            </w:r>
          </w:p>
        </w:tc>
      </w:tr>
      <w:tr w:rsidR="00CE0528" w:rsidRPr="00BD56F0" w:rsidTr="000F11DB">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9ECF3"/>
          </w:tcPr>
          <w:p w:rsidR="00CE0528" w:rsidRPr="007E13CE" w:rsidRDefault="00CE0528" w:rsidP="00CE49EB">
            <w:pPr>
              <w:spacing w:before="70" w:after="70" w:line="240" w:lineRule="auto"/>
              <w:ind w:left="57" w:right="57"/>
              <w:rPr>
                <w:rFonts w:asciiTheme="minorHAnsi" w:eastAsiaTheme="minorHAnsi" w:hAnsiTheme="minorHAnsi"/>
                <w:b/>
                <w:szCs w:val="20"/>
                <w:lang w:eastAsia="en-US"/>
              </w:rPr>
            </w:pPr>
            <w:r w:rsidRPr="007E13CE">
              <w:rPr>
                <w:rFonts w:asciiTheme="minorHAnsi" w:eastAsiaTheme="minorHAnsi" w:hAnsiTheme="minorHAnsi"/>
                <w:b/>
                <w:szCs w:val="20"/>
                <w:lang w:eastAsia="en-US"/>
              </w:rPr>
              <w:t>Underlying cash balance</w:t>
            </w:r>
          </w:p>
        </w:tc>
      </w:tr>
      <w:tr w:rsidR="00CE0528" w:rsidRPr="00BD56F0"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7E13CE" w:rsidRDefault="00CE0528" w:rsidP="00CE49EB">
            <w:pPr>
              <w:spacing w:before="70" w:after="70" w:line="240" w:lineRule="auto"/>
              <w:ind w:left="57" w:right="57"/>
              <w:rPr>
                <w:rFonts w:asciiTheme="minorHAnsi" w:eastAsiaTheme="minorHAnsi" w:hAnsiTheme="minorHAnsi" w:cstheme="minorBidi"/>
                <w:szCs w:val="20"/>
                <w:lang w:eastAsia="en-US"/>
              </w:rPr>
            </w:pPr>
            <w:r w:rsidRPr="007E13CE">
              <w:rPr>
                <w:rFonts w:asciiTheme="minorHAnsi" w:eastAsiaTheme="minorHAnsi" w:hAnsiTheme="minorHAnsi" w:cstheme="minorBidi"/>
                <w:szCs w:val="20"/>
                <w:lang w:eastAsia="en-US"/>
              </w:rPr>
              <w:t>Administered</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-51.5</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-52.8</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-54.1</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-55.5</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szCs w:val="20"/>
              </w:rPr>
            </w:pPr>
            <w:r w:rsidRPr="007E13CE">
              <w:rPr>
                <w:b/>
                <w:bCs/>
                <w:szCs w:val="20"/>
              </w:rPr>
              <w:t>-213.9</w:t>
            </w:r>
          </w:p>
        </w:tc>
      </w:tr>
      <w:tr w:rsidR="00CE0528" w:rsidRPr="00BD56F0"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7E13CE" w:rsidRDefault="00CE0528" w:rsidP="00CE49EB">
            <w:pPr>
              <w:spacing w:before="70" w:after="70" w:line="240" w:lineRule="auto"/>
              <w:ind w:left="57" w:right="57"/>
              <w:rPr>
                <w:rFonts w:asciiTheme="minorHAnsi" w:eastAsiaTheme="minorHAnsi" w:hAnsiTheme="minorHAnsi" w:cstheme="minorBidi"/>
                <w:szCs w:val="20"/>
                <w:lang w:eastAsia="en-US"/>
              </w:rPr>
            </w:pPr>
            <w:r w:rsidRPr="007E13CE">
              <w:rPr>
                <w:rFonts w:asciiTheme="minorHAnsi" w:eastAsiaTheme="minorHAnsi" w:hAnsiTheme="minorHAnsi" w:cstheme="minorBidi"/>
                <w:szCs w:val="20"/>
                <w:lang w:eastAsia="en-US"/>
              </w:rPr>
              <w:t>Departmental</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-0.4</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-0.4</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-0.4</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szCs w:val="20"/>
              </w:rPr>
            </w:pPr>
            <w:r w:rsidRPr="007E13CE">
              <w:rPr>
                <w:szCs w:val="20"/>
              </w:rPr>
              <w:t>-0.4</w:t>
            </w:r>
          </w:p>
        </w:tc>
        <w:tc>
          <w:tcPr>
            <w:tcW w:w="715" w:type="pct"/>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szCs w:val="20"/>
              </w:rPr>
            </w:pPr>
            <w:r w:rsidRPr="007E13CE">
              <w:rPr>
                <w:b/>
                <w:bCs/>
                <w:szCs w:val="20"/>
              </w:rPr>
              <w:t>-1.4</w:t>
            </w:r>
          </w:p>
        </w:tc>
      </w:tr>
      <w:tr w:rsidR="00CE0528" w:rsidRPr="00BD56F0"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7E13CE" w:rsidRDefault="00CE0528" w:rsidP="00CE49EB">
            <w:pPr>
              <w:spacing w:before="70" w:after="70" w:line="240" w:lineRule="auto"/>
              <w:ind w:left="57" w:right="57"/>
              <w:rPr>
                <w:rFonts w:asciiTheme="minorHAnsi" w:eastAsiaTheme="minorHAnsi" w:hAnsiTheme="minorHAnsi" w:cstheme="minorBidi"/>
                <w:b/>
                <w:szCs w:val="20"/>
                <w:lang w:eastAsia="en-US"/>
              </w:rPr>
            </w:pPr>
            <w:r w:rsidRPr="007E13CE">
              <w:rPr>
                <w:rFonts w:asciiTheme="minorHAnsi" w:eastAsiaTheme="minorHAnsi" w:hAnsiTheme="minorHAnsi" w:cstheme="minorBidi"/>
                <w:b/>
                <w:szCs w:val="20"/>
                <w:lang w:eastAsia="en-US"/>
              </w:rPr>
              <w:t>Total</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-51.9</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-53.2</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-54.5</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-55.8</w:t>
            </w:r>
          </w:p>
        </w:tc>
        <w:tc>
          <w:tcPr>
            <w:tcW w:w="715" w:type="pct"/>
            <w:shd w:val="clear" w:color="auto" w:fill="D7DDE9"/>
          </w:tcPr>
          <w:p w:rsidR="00CE0528" w:rsidRPr="007E13CE" w:rsidRDefault="00CE0528" w:rsidP="00CE49EB">
            <w:pPr>
              <w:pStyle w:val="TableTextRight"/>
              <w:cnfStyle w:val="000000000000" w:firstRow="0" w:lastRow="0" w:firstColumn="0" w:lastColumn="0" w:oddVBand="0" w:evenVBand="0" w:oddHBand="0" w:evenHBand="0" w:firstRowFirstColumn="0" w:firstRowLastColumn="0" w:lastRowFirstColumn="0" w:lastRowLastColumn="0"/>
              <w:rPr>
                <w:b/>
                <w:bCs/>
                <w:i w:val="0"/>
                <w:szCs w:val="20"/>
              </w:rPr>
            </w:pPr>
            <w:r w:rsidRPr="007E13CE">
              <w:rPr>
                <w:b/>
                <w:bCs/>
                <w:i w:val="0"/>
                <w:szCs w:val="20"/>
              </w:rPr>
              <w:t>-215.4</w:t>
            </w:r>
          </w:p>
        </w:tc>
      </w:tr>
    </w:tbl>
    <w:p w:rsidR="00BD56F0" w:rsidRPr="00BD56F0" w:rsidRDefault="000654BE" w:rsidP="00BD56F0">
      <w:pPr>
        <w:pStyle w:val="Footnotes"/>
        <w:numPr>
          <w:ilvl w:val="0"/>
          <w:numId w:val="35"/>
        </w:numPr>
        <w:ind w:left="284" w:hanging="284"/>
      </w:pPr>
      <w:r w:rsidRPr="000654BE">
        <w:t>A negative number indicates a decrease in revenue or an increase in expenses or net capital investment in accrual and cash terms</w:t>
      </w:r>
      <w:r w:rsidR="00BD56F0" w:rsidRPr="00BD56F0">
        <w:t>.</w:t>
      </w:r>
    </w:p>
    <w:p w:rsidR="00C14ECE" w:rsidRPr="00C14ECE" w:rsidRDefault="00BD56F0" w:rsidP="00C14ECE">
      <w:pPr>
        <w:numPr>
          <w:ilvl w:val="0"/>
          <w:numId w:val="6"/>
        </w:numPr>
        <w:spacing w:before="113" w:after="0" w:line="260" w:lineRule="atLeast"/>
        <w:ind w:left="284" w:hanging="284"/>
        <w:rPr>
          <w:sz w:val="20"/>
          <w:szCs w:val="20"/>
        </w:rPr>
      </w:pPr>
      <w:r w:rsidRPr="00BD56F0">
        <w:rPr>
          <w:sz w:val="20"/>
          <w:szCs w:val="20"/>
        </w:rPr>
        <w:t>Figures may not sum to totals due to rounding.</w:t>
      </w:r>
    </w:p>
    <w:p w:rsidR="003A44FE" w:rsidRPr="00485044" w:rsidRDefault="003A44FE" w:rsidP="00CE49EB">
      <w:pPr>
        <w:keepNext/>
        <w:keepLines/>
        <w:spacing w:before="340"/>
        <w:rPr>
          <w:b/>
          <w:bCs/>
          <w:color w:val="1F497D" w:themeColor="text2"/>
          <w:spacing w:val="-4"/>
        </w:rPr>
      </w:pPr>
      <w:r w:rsidRPr="00485044">
        <w:rPr>
          <w:b/>
          <w:bCs/>
          <w:color w:val="1F497D" w:themeColor="text2"/>
          <w:spacing w:val="-4"/>
        </w:rPr>
        <w:lastRenderedPageBreak/>
        <w:t>Table A</w:t>
      </w:r>
      <w:r w:rsidR="00736664">
        <w:rPr>
          <w:b/>
          <w:bCs/>
          <w:color w:val="1F497D" w:themeColor="text2"/>
          <w:spacing w:val="-4"/>
        </w:rPr>
        <w:t>12</w:t>
      </w:r>
      <w:r w:rsidRPr="00485044">
        <w:rPr>
          <w:b/>
          <w:bCs/>
          <w:color w:val="1F497D" w:themeColor="text2"/>
          <w:spacing w:val="-4"/>
        </w:rPr>
        <w:t xml:space="preserve">: Component </w:t>
      </w:r>
      <w:r w:rsidR="00736664">
        <w:rPr>
          <w:b/>
          <w:bCs/>
          <w:color w:val="1F497D" w:themeColor="text2"/>
          <w:spacing w:val="-4"/>
        </w:rPr>
        <w:t>11</w:t>
      </w:r>
      <w:r w:rsidRPr="00485044">
        <w:rPr>
          <w:b/>
          <w:bCs/>
          <w:color w:val="1F497D" w:themeColor="text2"/>
          <w:spacing w:val="-4"/>
        </w:rPr>
        <w:t xml:space="preserve">: </w:t>
      </w:r>
      <w:r w:rsidR="00736664" w:rsidRPr="00736664">
        <w:rPr>
          <w:b/>
          <w:bCs/>
          <w:color w:val="1F497D" w:themeColor="text2"/>
          <w:spacing w:val="-4"/>
        </w:rPr>
        <w:t>Targeted anti-stigma campaigns</w:t>
      </w:r>
      <w:r w:rsidR="005C354E" w:rsidRPr="005C354E">
        <w:rPr>
          <w:b/>
          <w:bCs/>
          <w:color w:val="1F497D" w:themeColor="text2"/>
          <w:spacing w:val="-4"/>
        </w:rPr>
        <w:t>—Financial implications</w:t>
      </w:r>
      <w:r w:rsidR="005C354E" w:rsidRPr="005C354E">
        <w:rPr>
          <w:b/>
          <w:bCs/>
          <w:color w:val="1F497D" w:themeColor="text2"/>
          <w:spacing w:val="-4"/>
          <w:vertAlign w:val="superscript"/>
        </w:rPr>
        <w:t>(a)(b)</w:t>
      </w:r>
    </w:p>
    <w:tbl>
      <w:tblPr>
        <w:tblStyle w:val="TableGrid31"/>
        <w:tblW w:w="5000" w:type="pct"/>
        <w:tblLook w:val="0680" w:firstRow="0" w:lastRow="0" w:firstColumn="1" w:lastColumn="0" w:noHBand="1" w:noVBand="1"/>
      </w:tblPr>
      <w:tblGrid>
        <w:gridCol w:w="2376"/>
        <w:gridCol w:w="1190"/>
        <w:gridCol w:w="1190"/>
        <w:gridCol w:w="1190"/>
        <w:gridCol w:w="1190"/>
        <w:gridCol w:w="1187"/>
      </w:tblGrid>
      <w:tr w:rsidR="00CE0528" w:rsidRPr="00485044" w:rsidTr="000F11DB">
        <w:trPr>
          <w:cantSplit/>
          <w:tblHeader/>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7566FA" w:rsidRDefault="00CE0528" w:rsidP="00CE49EB">
            <w:pPr>
              <w:keepNext/>
              <w:keepLines/>
              <w:spacing w:before="70" w:after="70" w:line="240" w:lineRule="auto"/>
              <w:ind w:left="57" w:right="57"/>
              <w:rPr>
                <w:rFonts w:asciiTheme="minorHAnsi" w:eastAsiaTheme="minorHAnsi" w:hAnsiTheme="minorHAnsi" w:cstheme="minorBidi"/>
                <w:szCs w:val="20"/>
                <w:lang w:eastAsia="en-US"/>
              </w:rPr>
            </w:pPr>
            <w:r w:rsidRPr="007566FA">
              <w:rPr>
                <w:rFonts w:asciiTheme="minorHAnsi" w:eastAsiaTheme="minorHAnsi" w:hAnsiTheme="minorHAnsi" w:cstheme="minorBidi"/>
                <w:szCs w:val="20"/>
                <w:lang w:eastAsia="en-US"/>
              </w:rPr>
              <w:t>($m)</w:t>
            </w:r>
          </w:p>
        </w:tc>
        <w:tc>
          <w:tcPr>
            <w:tcW w:w="715" w:type="pct"/>
            <w:shd w:val="clear" w:color="auto" w:fill="D7DDE9"/>
          </w:tcPr>
          <w:p w:rsidR="00CE0528" w:rsidRPr="007566FA"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szCs w:val="20"/>
                <w:lang w:eastAsia="en-US"/>
              </w:rPr>
            </w:pPr>
            <w:r w:rsidRPr="007566FA">
              <w:rPr>
                <w:rFonts w:eastAsiaTheme="minorHAnsi" w:cstheme="minorBidi"/>
                <w:szCs w:val="20"/>
                <w:lang w:eastAsia="en-US"/>
              </w:rPr>
              <w:t>2016–17</w:t>
            </w:r>
          </w:p>
        </w:tc>
        <w:tc>
          <w:tcPr>
            <w:tcW w:w="715" w:type="pct"/>
            <w:shd w:val="clear" w:color="auto" w:fill="D7DDE9"/>
          </w:tcPr>
          <w:p w:rsidR="00CE0528" w:rsidRPr="007566FA"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szCs w:val="20"/>
                <w:lang w:eastAsia="en-US"/>
              </w:rPr>
            </w:pPr>
            <w:r w:rsidRPr="007566FA">
              <w:rPr>
                <w:rFonts w:eastAsiaTheme="minorHAnsi" w:cstheme="minorBidi"/>
                <w:szCs w:val="20"/>
                <w:lang w:eastAsia="en-US"/>
              </w:rPr>
              <w:t>2017–18</w:t>
            </w:r>
          </w:p>
        </w:tc>
        <w:tc>
          <w:tcPr>
            <w:tcW w:w="715" w:type="pct"/>
            <w:shd w:val="clear" w:color="auto" w:fill="D7DDE9"/>
          </w:tcPr>
          <w:p w:rsidR="00CE0528" w:rsidRPr="007566FA"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szCs w:val="20"/>
                <w:lang w:eastAsia="en-US"/>
              </w:rPr>
            </w:pPr>
            <w:r w:rsidRPr="007566FA">
              <w:rPr>
                <w:rFonts w:eastAsiaTheme="minorHAnsi" w:cstheme="minorBidi"/>
                <w:szCs w:val="20"/>
                <w:lang w:eastAsia="en-US"/>
              </w:rPr>
              <w:t>2018–19</w:t>
            </w:r>
          </w:p>
        </w:tc>
        <w:tc>
          <w:tcPr>
            <w:tcW w:w="715" w:type="pct"/>
            <w:shd w:val="clear" w:color="auto" w:fill="D7DDE9"/>
          </w:tcPr>
          <w:p w:rsidR="00CE0528" w:rsidRPr="007566FA"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szCs w:val="20"/>
                <w:lang w:eastAsia="en-US"/>
              </w:rPr>
            </w:pPr>
            <w:r w:rsidRPr="007566FA">
              <w:rPr>
                <w:rFonts w:eastAsiaTheme="minorHAnsi" w:cstheme="minorBidi"/>
                <w:szCs w:val="20"/>
                <w:lang w:eastAsia="en-US"/>
              </w:rPr>
              <w:t>2019–20</w:t>
            </w:r>
          </w:p>
        </w:tc>
        <w:tc>
          <w:tcPr>
            <w:tcW w:w="715" w:type="pct"/>
            <w:shd w:val="clear" w:color="auto" w:fill="D7DDE9"/>
          </w:tcPr>
          <w:p w:rsidR="00CE0528" w:rsidRPr="007566FA" w:rsidRDefault="00CE0528" w:rsidP="00CE49EB">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b/>
                <w:szCs w:val="20"/>
                <w:lang w:eastAsia="en-US"/>
              </w:rPr>
            </w:pPr>
            <w:r w:rsidRPr="007566FA">
              <w:rPr>
                <w:rFonts w:eastAsiaTheme="minorHAnsi" w:cstheme="minorBidi"/>
                <w:b/>
                <w:szCs w:val="20"/>
                <w:lang w:eastAsia="en-US"/>
              </w:rPr>
              <w:t>Total to 2019–20</w:t>
            </w:r>
          </w:p>
        </w:tc>
      </w:tr>
      <w:tr w:rsidR="00CE0528" w:rsidRPr="00485044" w:rsidTr="000F11DB">
        <w:trPr>
          <w:cantSplit/>
        </w:trPr>
        <w:tc>
          <w:tcPr>
            <w:cnfStyle w:val="001000000000" w:firstRow="0" w:lastRow="0" w:firstColumn="1" w:lastColumn="0" w:oddVBand="0" w:evenVBand="0" w:oddHBand="0" w:evenHBand="0" w:firstRowFirstColumn="0" w:firstRowLastColumn="0" w:lastRowFirstColumn="0" w:lastRowLastColumn="0"/>
            <w:tcW w:w="1427" w:type="pct"/>
          </w:tcPr>
          <w:p w:rsidR="00CE0528" w:rsidRPr="007566FA" w:rsidRDefault="00CE0528" w:rsidP="00CE49EB">
            <w:pPr>
              <w:keepNext/>
              <w:keepLines/>
              <w:spacing w:before="70" w:after="70" w:line="240" w:lineRule="auto"/>
              <w:ind w:left="57" w:right="57"/>
              <w:rPr>
                <w:rFonts w:asciiTheme="minorHAnsi" w:eastAsiaTheme="minorHAnsi" w:hAnsiTheme="minorHAnsi" w:cstheme="minorBidi"/>
                <w:szCs w:val="20"/>
                <w:lang w:eastAsia="en-US"/>
              </w:rPr>
            </w:pPr>
            <w:r w:rsidRPr="007566FA">
              <w:rPr>
                <w:rFonts w:asciiTheme="minorHAnsi" w:eastAsiaTheme="minorHAnsi" w:hAnsiTheme="minorHAnsi" w:cstheme="minorBidi"/>
                <w:szCs w:val="20"/>
                <w:lang w:eastAsia="en-US"/>
              </w:rPr>
              <w:t>Departmental</w:t>
            </w:r>
          </w:p>
        </w:tc>
        <w:tc>
          <w:tcPr>
            <w:tcW w:w="715" w:type="pct"/>
          </w:tcPr>
          <w:p w:rsidR="00CE0528" w:rsidRPr="007566FA" w:rsidRDefault="000F11DB"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Pr>
                <w:szCs w:val="20"/>
              </w:rPr>
              <w:t>-</w:t>
            </w:r>
            <w:r w:rsidR="00CE0528" w:rsidRPr="007566FA">
              <w:rPr>
                <w:szCs w:val="20"/>
              </w:rPr>
              <w:t xml:space="preserve">10.0 </w:t>
            </w:r>
          </w:p>
        </w:tc>
        <w:tc>
          <w:tcPr>
            <w:tcW w:w="715" w:type="pct"/>
          </w:tcPr>
          <w:p w:rsidR="00CE0528" w:rsidRPr="007566FA"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7566FA">
              <w:rPr>
                <w:szCs w:val="20"/>
              </w:rPr>
              <w:t xml:space="preserve"> </w:t>
            </w:r>
            <w:r w:rsidR="000F11DB">
              <w:rPr>
                <w:szCs w:val="20"/>
              </w:rPr>
              <w:t>-</w:t>
            </w:r>
            <w:r w:rsidRPr="007566FA">
              <w:rPr>
                <w:szCs w:val="20"/>
              </w:rPr>
              <w:t xml:space="preserve">10.0 </w:t>
            </w:r>
          </w:p>
        </w:tc>
        <w:tc>
          <w:tcPr>
            <w:tcW w:w="715" w:type="pct"/>
          </w:tcPr>
          <w:p w:rsidR="00CE0528" w:rsidRPr="007566FA"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7566FA">
              <w:rPr>
                <w:szCs w:val="20"/>
              </w:rPr>
              <w:t xml:space="preserve"> </w:t>
            </w:r>
            <w:r w:rsidR="000F11DB">
              <w:rPr>
                <w:szCs w:val="20"/>
              </w:rPr>
              <w:t>-</w:t>
            </w:r>
            <w:r w:rsidRPr="007566FA">
              <w:rPr>
                <w:szCs w:val="20"/>
              </w:rPr>
              <w:t xml:space="preserve">10.0 </w:t>
            </w:r>
          </w:p>
        </w:tc>
        <w:tc>
          <w:tcPr>
            <w:tcW w:w="715" w:type="pct"/>
          </w:tcPr>
          <w:p w:rsidR="00CE0528" w:rsidRPr="007566FA"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szCs w:val="20"/>
              </w:rPr>
            </w:pPr>
            <w:r w:rsidRPr="007566FA">
              <w:rPr>
                <w:szCs w:val="20"/>
              </w:rPr>
              <w:t xml:space="preserve"> </w:t>
            </w:r>
            <w:r w:rsidR="000F11DB">
              <w:rPr>
                <w:szCs w:val="20"/>
              </w:rPr>
              <w:t>-</w:t>
            </w:r>
            <w:r w:rsidRPr="007566FA">
              <w:rPr>
                <w:szCs w:val="20"/>
              </w:rPr>
              <w:t xml:space="preserve">10.0 </w:t>
            </w:r>
          </w:p>
        </w:tc>
        <w:tc>
          <w:tcPr>
            <w:tcW w:w="715" w:type="pct"/>
          </w:tcPr>
          <w:p w:rsidR="00CE0528" w:rsidRPr="007566FA"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szCs w:val="20"/>
              </w:rPr>
            </w:pPr>
            <w:r w:rsidRPr="007566FA">
              <w:rPr>
                <w:b/>
                <w:szCs w:val="20"/>
              </w:rPr>
              <w:t xml:space="preserve"> </w:t>
            </w:r>
            <w:r w:rsidR="000F11DB">
              <w:rPr>
                <w:b/>
                <w:szCs w:val="20"/>
              </w:rPr>
              <w:t>-</w:t>
            </w:r>
            <w:r w:rsidRPr="007566FA">
              <w:rPr>
                <w:b/>
                <w:szCs w:val="20"/>
              </w:rPr>
              <w:t xml:space="preserve">40.0 </w:t>
            </w:r>
          </w:p>
        </w:tc>
      </w:tr>
      <w:tr w:rsidR="00CE0528" w:rsidRPr="00485044" w:rsidTr="000F11DB">
        <w:trPr>
          <w:cantSplit/>
        </w:trPr>
        <w:tc>
          <w:tcPr>
            <w:cnfStyle w:val="001000000000" w:firstRow="0" w:lastRow="0" w:firstColumn="1" w:lastColumn="0" w:oddVBand="0" w:evenVBand="0" w:oddHBand="0" w:evenHBand="0" w:firstRowFirstColumn="0" w:firstRowLastColumn="0" w:lastRowFirstColumn="0" w:lastRowLastColumn="0"/>
            <w:tcW w:w="1427" w:type="pct"/>
            <w:shd w:val="clear" w:color="auto" w:fill="D7DDE9"/>
          </w:tcPr>
          <w:p w:rsidR="00CE0528" w:rsidRPr="007566FA" w:rsidRDefault="00CE0528" w:rsidP="00CE49EB">
            <w:pPr>
              <w:keepNext/>
              <w:keepLines/>
              <w:spacing w:before="70" w:after="70" w:line="240" w:lineRule="auto"/>
              <w:ind w:left="57" w:right="57"/>
              <w:rPr>
                <w:rFonts w:asciiTheme="minorHAnsi" w:eastAsiaTheme="minorHAnsi" w:hAnsiTheme="minorHAnsi" w:cstheme="minorBidi"/>
                <w:b/>
                <w:szCs w:val="20"/>
                <w:lang w:eastAsia="en-US"/>
              </w:rPr>
            </w:pPr>
            <w:r w:rsidRPr="007566FA">
              <w:rPr>
                <w:rFonts w:asciiTheme="minorHAnsi" w:eastAsiaTheme="minorHAnsi" w:hAnsiTheme="minorHAnsi" w:cstheme="minorBidi"/>
                <w:b/>
                <w:szCs w:val="20"/>
                <w:lang w:eastAsia="en-US"/>
              </w:rPr>
              <w:t>Total</w:t>
            </w:r>
          </w:p>
        </w:tc>
        <w:tc>
          <w:tcPr>
            <w:tcW w:w="715" w:type="pct"/>
            <w:shd w:val="clear" w:color="auto" w:fill="D7DDE9"/>
          </w:tcPr>
          <w:p w:rsidR="00CE0528" w:rsidRPr="007566FA" w:rsidRDefault="000F11DB"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Pr>
                <w:b/>
                <w:i w:val="0"/>
                <w:szCs w:val="20"/>
              </w:rPr>
              <w:t>-</w:t>
            </w:r>
            <w:r w:rsidR="00CE0528" w:rsidRPr="007566FA">
              <w:rPr>
                <w:b/>
                <w:i w:val="0"/>
                <w:szCs w:val="20"/>
              </w:rPr>
              <w:t xml:space="preserve">10.0 </w:t>
            </w:r>
          </w:p>
        </w:tc>
        <w:tc>
          <w:tcPr>
            <w:tcW w:w="715" w:type="pct"/>
            <w:shd w:val="clear" w:color="auto" w:fill="D7DDE9"/>
          </w:tcPr>
          <w:p w:rsidR="00CE0528" w:rsidRPr="007566FA"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7566FA">
              <w:rPr>
                <w:b/>
                <w:i w:val="0"/>
                <w:szCs w:val="20"/>
              </w:rPr>
              <w:t xml:space="preserve"> </w:t>
            </w:r>
            <w:r w:rsidR="000F11DB">
              <w:rPr>
                <w:b/>
                <w:i w:val="0"/>
                <w:szCs w:val="20"/>
              </w:rPr>
              <w:t>-</w:t>
            </w:r>
            <w:r w:rsidRPr="007566FA">
              <w:rPr>
                <w:b/>
                <w:i w:val="0"/>
                <w:szCs w:val="20"/>
              </w:rPr>
              <w:t xml:space="preserve">10.0 </w:t>
            </w:r>
          </w:p>
        </w:tc>
        <w:tc>
          <w:tcPr>
            <w:tcW w:w="715" w:type="pct"/>
            <w:shd w:val="clear" w:color="auto" w:fill="D7DDE9"/>
          </w:tcPr>
          <w:p w:rsidR="00CE0528" w:rsidRPr="007566FA"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7566FA">
              <w:rPr>
                <w:b/>
                <w:i w:val="0"/>
                <w:szCs w:val="20"/>
              </w:rPr>
              <w:t xml:space="preserve"> </w:t>
            </w:r>
            <w:r w:rsidR="000F11DB">
              <w:rPr>
                <w:b/>
                <w:i w:val="0"/>
                <w:szCs w:val="20"/>
              </w:rPr>
              <w:t>-</w:t>
            </w:r>
            <w:r w:rsidRPr="007566FA">
              <w:rPr>
                <w:b/>
                <w:i w:val="0"/>
                <w:szCs w:val="20"/>
              </w:rPr>
              <w:t xml:space="preserve">10.0 </w:t>
            </w:r>
          </w:p>
        </w:tc>
        <w:tc>
          <w:tcPr>
            <w:tcW w:w="715" w:type="pct"/>
            <w:shd w:val="clear" w:color="auto" w:fill="D7DDE9"/>
          </w:tcPr>
          <w:p w:rsidR="00CE0528" w:rsidRPr="007566FA"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7566FA">
              <w:rPr>
                <w:b/>
                <w:i w:val="0"/>
                <w:szCs w:val="20"/>
              </w:rPr>
              <w:t xml:space="preserve"> </w:t>
            </w:r>
            <w:r w:rsidR="000F11DB">
              <w:rPr>
                <w:b/>
                <w:i w:val="0"/>
                <w:szCs w:val="20"/>
              </w:rPr>
              <w:t>-</w:t>
            </w:r>
            <w:r w:rsidRPr="007566FA">
              <w:rPr>
                <w:b/>
                <w:i w:val="0"/>
                <w:szCs w:val="20"/>
              </w:rPr>
              <w:t xml:space="preserve">10.0 </w:t>
            </w:r>
          </w:p>
        </w:tc>
        <w:tc>
          <w:tcPr>
            <w:tcW w:w="715" w:type="pct"/>
            <w:shd w:val="clear" w:color="auto" w:fill="D7DDE9"/>
          </w:tcPr>
          <w:p w:rsidR="00CE0528" w:rsidRPr="007566FA" w:rsidRDefault="00CE0528" w:rsidP="00CE49EB">
            <w:pPr>
              <w:pStyle w:val="TableTextRight"/>
              <w:keepNext/>
              <w:keepLines/>
              <w:cnfStyle w:val="000000000000" w:firstRow="0" w:lastRow="0" w:firstColumn="0" w:lastColumn="0" w:oddVBand="0" w:evenVBand="0" w:oddHBand="0" w:evenHBand="0" w:firstRowFirstColumn="0" w:firstRowLastColumn="0" w:lastRowFirstColumn="0" w:lastRowLastColumn="0"/>
              <w:rPr>
                <w:b/>
                <w:i w:val="0"/>
                <w:szCs w:val="20"/>
              </w:rPr>
            </w:pPr>
            <w:r w:rsidRPr="007566FA">
              <w:rPr>
                <w:b/>
                <w:i w:val="0"/>
                <w:szCs w:val="20"/>
              </w:rPr>
              <w:t xml:space="preserve"> </w:t>
            </w:r>
            <w:r w:rsidR="000F11DB">
              <w:rPr>
                <w:b/>
                <w:i w:val="0"/>
                <w:szCs w:val="20"/>
              </w:rPr>
              <w:t>-</w:t>
            </w:r>
            <w:r w:rsidRPr="007566FA">
              <w:rPr>
                <w:b/>
                <w:i w:val="0"/>
                <w:szCs w:val="20"/>
              </w:rPr>
              <w:t xml:space="preserve">40.0 </w:t>
            </w:r>
          </w:p>
        </w:tc>
      </w:tr>
    </w:tbl>
    <w:p w:rsidR="003A44FE" w:rsidRPr="00485044" w:rsidRDefault="000654BE" w:rsidP="00CE49EB">
      <w:pPr>
        <w:pStyle w:val="Footnotes"/>
        <w:keepNext/>
        <w:keepLines/>
        <w:numPr>
          <w:ilvl w:val="0"/>
          <w:numId w:val="40"/>
        </w:numPr>
        <w:ind w:left="284" w:hanging="284"/>
      </w:pPr>
      <w:r w:rsidRPr="000654BE">
        <w:t>A negative number indicates a decrease in revenue or an increase in expenses or net capital investment in accrual and cash terms</w:t>
      </w:r>
      <w:r w:rsidR="003A44FE" w:rsidRPr="00485044">
        <w:t>. The impacts on fiscal and underlying cash balances are equal.</w:t>
      </w:r>
    </w:p>
    <w:p w:rsidR="003A44FE" w:rsidRPr="006E6CC9" w:rsidRDefault="00600130" w:rsidP="00CE49EB">
      <w:pPr>
        <w:keepNext/>
        <w:keepLines/>
        <w:numPr>
          <w:ilvl w:val="0"/>
          <w:numId w:val="7"/>
        </w:numPr>
        <w:spacing w:before="113" w:after="0" w:line="260" w:lineRule="atLeast"/>
        <w:ind w:left="284" w:hanging="284"/>
        <w:rPr>
          <w:sz w:val="20"/>
          <w:szCs w:val="20"/>
        </w:rPr>
      </w:pPr>
      <w:r w:rsidRPr="00EC5054">
        <w:rPr>
          <w:sz w:val="20"/>
          <w:szCs w:val="20"/>
        </w:rPr>
        <w:t>Figures may not sum to total due to rounding.</w:t>
      </w:r>
    </w:p>
    <w:sectPr w:rsidR="003A44FE" w:rsidRPr="006E6CC9" w:rsidSect="000F11DB">
      <w:headerReference w:type="first" r:id="rId16"/>
      <w:footerReference w:type="first" r:id="rId17"/>
      <w:pgSz w:w="11907" w:h="16839"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008" w:rsidRDefault="007D6008" w:rsidP="008F588A">
      <w:pPr>
        <w:spacing w:line="240" w:lineRule="auto"/>
      </w:pPr>
      <w:r>
        <w:separator/>
      </w:r>
    </w:p>
    <w:p w:rsidR="007D6008" w:rsidRDefault="007D6008"/>
  </w:endnote>
  <w:endnote w:type="continuationSeparator" w:id="0">
    <w:p w:rsidR="007D6008" w:rsidRDefault="007D6008" w:rsidP="008F588A">
      <w:pPr>
        <w:spacing w:line="240" w:lineRule="auto"/>
      </w:pPr>
      <w:r>
        <w:continuationSeparator/>
      </w:r>
    </w:p>
    <w:p w:rsidR="007D6008" w:rsidRDefault="007D6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08" w:rsidRPr="00C24267" w:rsidRDefault="007D6008"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71820">
      <w:rPr>
        <w:noProof/>
      </w:rPr>
      <w:t>4</w:t>
    </w:r>
    <w:r w:rsidRPr="00C24267">
      <w:fldChar w:fldCharType="end"/>
    </w:r>
    <w:r w:rsidRPr="00C24267">
      <w:t xml:space="preserve"> of </w:t>
    </w:r>
    <w:r w:rsidR="00C71820">
      <w:fldChar w:fldCharType="begin"/>
    </w:r>
    <w:r w:rsidR="00C71820">
      <w:instrText xml:space="preserve"> NUMPAGES  \* Arabic  \* MERGEFORMAT </w:instrText>
    </w:r>
    <w:r w:rsidR="00C71820">
      <w:fldChar w:fldCharType="separate"/>
    </w:r>
    <w:r w:rsidR="00C71820">
      <w:rPr>
        <w:noProof/>
      </w:rPr>
      <w:t>11</w:t>
    </w:r>
    <w:r w:rsidR="00C7182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08" w:rsidRPr="00C24267" w:rsidRDefault="007D6008" w:rsidP="00C24267">
    <w:pPr>
      <w:pStyle w:val="Letterfooter"/>
    </w:pPr>
    <w:r w:rsidRPr="00C24267">
      <w:t>Parliamentary Budget Office   PO Box 6010   Parliament House   Canberra ACT 2600</w:t>
    </w:r>
  </w:p>
  <w:p w:rsidR="007D6008" w:rsidRPr="00C24267" w:rsidRDefault="007D6008"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08" w:rsidRPr="00C24267" w:rsidRDefault="007D6008"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71820">
      <w:rPr>
        <w:noProof/>
      </w:rPr>
      <w:t>2</w:t>
    </w:r>
    <w:r w:rsidRPr="00C24267">
      <w:fldChar w:fldCharType="end"/>
    </w:r>
    <w:r w:rsidRPr="00C24267">
      <w:t xml:space="preserve"> of </w:t>
    </w:r>
    <w:r w:rsidR="00C71820">
      <w:fldChar w:fldCharType="begin"/>
    </w:r>
    <w:r w:rsidR="00C71820">
      <w:instrText xml:space="preserve"> NUMPAGES  \* Arabic  \* MERGEFORMAT </w:instrText>
    </w:r>
    <w:r w:rsidR="00C71820">
      <w:fldChar w:fldCharType="separate"/>
    </w:r>
    <w:r w:rsidR="00C71820">
      <w:rPr>
        <w:noProof/>
      </w:rPr>
      <w:t>11</w:t>
    </w:r>
    <w:r w:rsidR="00C71820">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08" w:rsidRPr="00C24267" w:rsidRDefault="007D6008"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71820">
      <w:rPr>
        <w:noProof/>
      </w:rPr>
      <w:t>6</w:t>
    </w:r>
    <w:r w:rsidRPr="00C24267">
      <w:fldChar w:fldCharType="end"/>
    </w:r>
    <w:r w:rsidRPr="00C24267">
      <w:t xml:space="preserve"> of </w:t>
    </w:r>
    <w:r w:rsidR="00C71820">
      <w:fldChar w:fldCharType="begin"/>
    </w:r>
    <w:r w:rsidR="00C71820">
      <w:instrText xml:space="preserve"> NUMPAGES  \* Arabic  \* MERGEFORMAT </w:instrText>
    </w:r>
    <w:r w:rsidR="00C71820">
      <w:fldChar w:fldCharType="separate"/>
    </w:r>
    <w:r w:rsidR="00C71820">
      <w:rPr>
        <w:noProof/>
      </w:rPr>
      <w:t>6</w:t>
    </w:r>
    <w:r w:rsidR="00C7182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008" w:rsidRDefault="007D6008" w:rsidP="008F588A">
      <w:pPr>
        <w:spacing w:line="240" w:lineRule="auto"/>
      </w:pPr>
      <w:r>
        <w:separator/>
      </w:r>
    </w:p>
    <w:p w:rsidR="007D6008" w:rsidRDefault="007D6008"/>
  </w:footnote>
  <w:footnote w:type="continuationSeparator" w:id="0">
    <w:p w:rsidR="007D6008" w:rsidRDefault="007D6008" w:rsidP="008F588A">
      <w:pPr>
        <w:spacing w:line="240" w:lineRule="auto"/>
      </w:pPr>
      <w:r>
        <w:continuationSeparator/>
      </w:r>
    </w:p>
    <w:p w:rsidR="007D6008" w:rsidRDefault="007D60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08" w:rsidRDefault="007D6008" w:rsidP="00CB40E1">
    <w:pPr>
      <w:pStyle w:val="Header"/>
    </w:pPr>
    <w:r>
      <w:rPr>
        <w:noProof/>
        <w:lang w:eastAsia="en-AU"/>
      </w:rPr>
      <w:drawing>
        <wp:inline distT="0" distB="0" distL="0" distR="0" wp14:anchorId="166CC723" wp14:editId="662056F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7D6008" w:rsidRPr="00DA1C8A" w:rsidRDefault="007D6008"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08" w:rsidRPr="00C17112" w:rsidRDefault="007D6008" w:rsidP="00C17112">
    <w:pPr>
      <w:pStyle w:val="Header"/>
    </w:pPr>
    <w:r>
      <w:rPr>
        <w:noProof/>
        <w:lang w:eastAsia="en-AU"/>
      </w:rPr>
      <w:drawing>
        <wp:inline distT="0" distB="0" distL="0" distR="0" wp14:anchorId="267E37E0" wp14:editId="53324086">
          <wp:extent cx="2696845" cy="5721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08" w:rsidRPr="00AE1EBF" w:rsidRDefault="007D6008" w:rsidP="00AE1E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3ED596E"/>
    <w:multiLevelType w:val="hybridMultilevel"/>
    <w:tmpl w:val="0F50E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8B37FE"/>
    <w:multiLevelType w:val="multilevel"/>
    <w:tmpl w:val="EB047CCE"/>
    <w:name w:val="Bullets"/>
    <w:lvl w:ilvl="0">
      <w:start w:val="1"/>
      <w:numFmt w:val="bullet"/>
      <w:lvlText w:val="•"/>
      <w:lvlJc w:val="left"/>
      <w:pPr>
        <w:tabs>
          <w:tab w:val="num" w:pos="454"/>
        </w:tabs>
        <w:ind w:left="454" w:hanging="454"/>
      </w:pPr>
      <w:rPr>
        <w:rFonts w:ascii="Calibri" w:hAnsi="Calibri" w:hint="default"/>
        <w:b w:val="0"/>
        <w:i w:val="0"/>
        <w:color w:val="auto"/>
        <w:position w:val="0"/>
        <w:sz w:val="22"/>
      </w:rPr>
    </w:lvl>
    <w:lvl w:ilvl="1">
      <w:start w:val="1"/>
      <w:numFmt w:val="bullet"/>
      <w:lvlText w:val="–"/>
      <w:lvlJc w:val="left"/>
      <w:pPr>
        <w:tabs>
          <w:tab w:val="num" w:pos="907"/>
        </w:tabs>
        <w:ind w:left="907" w:hanging="453"/>
      </w:pPr>
      <w:rPr>
        <w:rFonts w:ascii="Calibri" w:hAnsi="Calibri" w:hint="default"/>
        <w:b w:val="0"/>
        <w:i w:val="0"/>
        <w:color w:val="auto"/>
        <w:position w:val="0"/>
        <w:sz w:val="22"/>
      </w:rPr>
    </w:lvl>
    <w:lvl w:ilvl="2">
      <w:start w:val="1"/>
      <w:numFmt w:val="bullet"/>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5">
    <w:nsid w:val="10FE2103"/>
    <w:multiLevelType w:val="hybridMultilevel"/>
    <w:tmpl w:val="32C8B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8">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9">
    <w:nsid w:val="1F88609F"/>
    <w:multiLevelType w:val="multilevel"/>
    <w:tmpl w:val="00841FA8"/>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21C9627B"/>
    <w:multiLevelType w:val="hybridMultilevel"/>
    <w:tmpl w:val="B1F45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757FF0"/>
    <w:multiLevelType w:val="hybridMultilevel"/>
    <w:tmpl w:val="2468123C"/>
    <w:lvl w:ilvl="0" w:tplc="108634A0">
      <w:numFmt w:val="bullet"/>
      <w:lvlText w:val="-"/>
      <w:lvlJc w:val="left"/>
      <w:pPr>
        <w:ind w:left="473" w:hanging="360"/>
      </w:pPr>
      <w:rPr>
        <w:rFonts w:ascii="Calibri" w:eastAsia="Times New Roman" w:hAnsi="Calibri" w:cs="Times New Roman"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2">
    <w:nsid w:val="30E45E35"/>
    <w:multiLevelType w:val="hybridMultilevel"/>
    <w:tmpl w:val="60A06D20"/>
    <w:lvl w:ilvl="0" w:tplc="EE46B378">
      <w:start w:val="1"/>
      <w:numFmt w:val="lowerLetter"/>
      <w:pStyle w:val="Footnotes"/>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25D3D88"/>
    <w:multiLevelType w:val="hybridMultilevel"/>
    <w:tmpl w:val="B9547738"/>
    <w:lvl w:ilvl="0" w:tplc="83D4E73C">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666362"/>
    <w:multiLevelType w:val="hybridMultilevel"/>
    <w:tmpl w:val="543AAAEE"/>
    <w:lvl w:ilvl="0" w:tplc="84C2A14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5BBE596A"/>
    <w:multiLevelType w:val="hybridMultilevel"/>
    <w:tmpl w:val="EB06C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070E29"/>
    <w:multiLevelType w:val="hybridMultilevel"/>
    <w:tmpl w:val="65EA4040"/>
    <w:lvl w:ilvl="0" w:tplc="CA7A5E2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8">
    <w:nsid w:val="745C3AB2"/>
    <w:multiLevelType w:val="hybridMultilevel"/>
    <w:tmpl w:val="D0C46C42"/>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6"/>
  </w:num>
  <w:num w:numId="4">
    <w:abstractNumId w:val="7"/>
  </w:num>
  <w:num w:numId="5">
    <w:abstractNumId w:val="17"/>
  </w:num>
  <w:num w:numId="6">
    <w:abstractNumId w:val="12"/>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2"/>
  </w:num>
  <w:num w:numId="12">
    <w:abstractNumId w:val="0"/>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3"/>
  </w:num>
  <w:num w:numId="18">
    <w:abstractNumId w:val="18"/>
  </w:num>
  <w:num w:numId="19">
    <w:abstractNumId w:val="15"/>
  </w:num>
  <w:num w:numId="20">
    <w:abstractNumId w:val="5"/>
  </w:num>
  <w:num w:numId="21">
    <w:abstractNumId w:val="1"/>
  </w:num>
  <w:num w:numId="22">
    <w:abstractNumId w:val="14"/>
  </w:num>
  <w:num w:numId="23">
    <w:abstractNumId w:val="12"/>
    <w:lvlOverride w:ilvl="0">
      <w:startOverride w:val="1"/>
    </w:lvlOverride>
  </w:num>
  <w:num w:numId="24">
    <w:abstractNumId w:val="12"/>
    <w:lvlOverride w:ilvl="0">
      <w:startOverride w:val="1"/>
    </w:lvlOverride>
  </w:num>
  <w:num w:numId="25">
    <w:abstractNumId w:val="12"/>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9"/>
  </w:num>
  <w:num w:numId="37">
    <w:abstractNumId w:val="11"/>
  </w:num>
  <w:num w:numId="38">
    <w:abstractNumId w:val="10"/>
  </w:num>
  <w:num w:numId="39">
    <w:abstractNumId w:val="12"/>
    <w:lvlOverride w:ilvl="0">
      <w:startOverride w:val="1"/>
    </w:lvlOverride>
  </w:num>
  <w:num w:numId="40">
    <w:abstractNumId w:val="12"/>
    <w:lvlOverride w:ilvl="0">
      <w:startOverride w:val="1"/>
    </w:lvlOverride>
  </w:num>
  <w:num w:numId="41">
    <w:abstractNumId w:val="1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46"/>
    <w:rsid w:val="00002D5D"/>
    <w:rsid w:val="00015FB2"/>
    <w:rsid w:val="00024933"/>
    <w:rsid w:val="00040DCE"/>
    <w:rsid w:val="00060F22"/>
    <w:rsid w:val="000654BE"/>
    <w:rsid w:val="000700A8"/>
    <w:rsid w:val="00096F3A"/>
    <w:rsid w:val="000C1A75"/>
    <w:rsid w:val="000D7564"/>
    <w:rsid w:val="000F11DB"/>
    <w:rsid w:val="001234E1"/>
    <w:rsid w:val="001278D0"/>
    <w:rsid w:val="0014239B"/>
    <w:rsid w:val="001821DB"/>
    <w:rsid w:val="00183861"/>
    <w:rsid w:val="001A02D1"/>
    <w:rsid w:val="001B1570"/>
    <w:rsid w:val="001D364A"/>
    <w:rsid w:val="001F0B1D"/>
    <w:rsid w:val="001F7D6A"/>
    <w:rsid w:val="0020094B"/>
    <w:rsid w:val="0020767C"/>
    <w:rsid w:val="00215FDC"/>
    <w:rsid w:val="00220BE5"/>
    <w:rsid w:val="0023267C"/>
    <w:rsid w:val="002422A3"/>
    <w:rsid w:val="0026003A"/>
    <w:rsid w:val="002751CC"/>
    <w:rsid w:val="002F6770"/>
    <w:rsid w:val="00315E34"/>
    <w:rsid w:val="0032634B"/>
    <w:rsid w:val="00326DE2"/>
    <w:rsid w:val="00342AE0"/>
    <w:rsid w:val="0034622F"/>
    <w:rsid w:val="003701AC"/>
    <w:rsid w:val="00372AEB"/>
    <w:rsid w:val="003A44FE"/>
    <w:rsid w:val="003B474B"/>
    <w:rsid w:val="003D7744"/>
    <w:rsid w:val="003E4F5F"/>
    <w:rsid w:val="003F05F2"/>
    <w:rsid w:val="003F73CA"/>
    <w:rsid w:val="00410A2C"/>
    <w:rsid w:val="004213F0"/>
    <w:rsid w:val="0042381E"/>
    <w:rsid w:val="00440E32"/>
    <w:rsid w:val="00461597"/>
    <w:rsid w:val="00485044"/>
    <w:rsid w:val="00485374"/>
    <w:rsid w:val="00497BED"/>
    <w:rsid w:val="004A69C8"/>
    <w:rsid w:val="004C283B"/>
    <w:rsid w:val="004D13ED"/>
    <w:rsid w:val="004D5525"/>
    <w:rsid w:val="004E6290"/>
    <w:rsid w:val="004F24DD"/>
    <w:rsid w:val="005035DA"/>
    <w:rsid w:val="00507897"/>
    <w:rsid w:val="00515A85"/>
    <w:rsid w:val="00531264"/>
    <w:rsid w:val="00540F79"/>
    <w:rsid w:val="00545F24"/>
    <w:rsid w:val="0055581F"/>
    <w:rsid w:val="0056229A"/>
    <w:rsid w:val="00570154"/>
    <w:rsid w:val="00570B5A"/>
    <w:rsid w:val="00587422"/>
    <w:rsid w:val="0059491B"/>
    <w:rsid w:val="005B1A4A"/>
    <w:rsid w:val="005B7B75"/>
    <w:rsid w:val="005C354E"/>
    <w:rsid w:val="005C6967"/>
    <w:rsid w:val="005E3562"/>
    <w:rsid w:val="005F704B"/>
    <w:rsid w:val="005F7DE0"/>
    <w:rsid w:val="00600130"/>
    <w:rsid w:val="00617B23"/>
    <w:rsid w:val="00617CBC"/>
    <w:rsid w:val="00640346"/>
    <w:rsid w:val="00660385"/>
    <w:rsid w:val="00662E65"/>
    <w:rsid w:val="0066665A"/>
    <w:rsid w:val="00692DD8"/>
    <w:rsid w:val="006E6CC9"/>
    <w:rsid w:val="006F0CE9"/>
    <w:rsid w:val="007202A8"/>
    <w:rsid w:val="007229A9"/>
    <w:rsid w:val="007245E2"/>
    <w:rsid w:val="00724B43"/>
    <w:rsid w:val="00736664"/>
    <w:rsid w:val="007530EE"/>
    <w:rsid w:val="007566FA"/>
    <w:rsid w:val="00775179"/>
    <w:rsid w:val="00793B8A"/>
    <w:rsid w:val="007A09DF"/>
    <w:rsid w:val="007A622C"/>
    <w:rsid w:val="007B029A"/>
    <w:rsid w:val="007B2470"/>
    <w:rsid w:val="007D33AA"/>
    <w:rsid w:val="007D3577"/>
    <w:rsid w:val="007D6008"/>
    <w:rsid w:val="007D64CD"/>
    <w:rsid w:val="007E13CE"/>
    <w:rsid w:val="007F7BCF"/>
    <w:rsid w:val="008030EC"/>
    <w:rsid w:val="00811D6D"/>
    <w:rsid w:val="00817E8E"/>
    <w:rsid w:val="00841C3A"/>
    <w:rsid w:val="00844776"/>
    <w:rsid w:val="008850D9"/>
    <w:rsid w:val="008908AF"/>
    <w:rsid w:val="008A4578"/>
    <w:rsid w:val="008C03C3"/>
    <w:rsid w:val="008D1DBD"/>
    <w:rsid w:val="008D3909"/>
    <w:rsid w:val="008D6ECA"/>
    <w:rsid w:val="008F16AC"/>
    <w:rsid w:val="008F588A"/>
    <w:rsid w:val="008F7B51"/>
    <w:rsid w:val="00902C69"/>
    <w:rsid w:val="00902D2D"/>
    <w:rsid w:val="00906E97"/>
    <w:rsid w:val="009074EA"/>
    <w:rsid w:val="00915804"/>
    <w:rsid w:val="00924DFF"/>
    <w:rsid w:val="00957285"/>
    <w:rsid w:val="009573AF"/>
    <w:rsid w:val="00977D7B"/>
    <w:rsid w:val="009963ED"/>
    <w:rsid w:val="009A55A6"/>
    <w:rsid w:val="009B016B"/>
    <w:rsid w:val="009D4063"/>
    <w:rsid w:val="009E6C46"/>
    <w:rsid w:val="009E6ECB"/>
    <w:rsid w:val="00A2063B"/>
    <w:rsid w:val="00A41BD3"/>
    <w:rsid w:val="00A449C2"/>
    <w:rsid w:val="00A53D75"/>
    <w:rsid w:val="00A65EA3"/>
    <w:rsid w:val="00A7322F"/>
    <w:rsid w:val="00AA3D6F"/>
    <w:rsid w:val="00AB55AE"/>
    <w:rsid w:val="00AB5A53"/>
    <w:rsid w:val="00AB6F7D"/>
    <w:rsid w:val="00AC7878"/>
    <w:rsid w:val="00AD493E"/>
    <w:rsid w:val="00AD5692"/>
    <w:rsid w:val="00AE19C4"/>
    <w:rsid w:val="00AE1EBF"/>
    <w:rsid w:val="00AE30B5"/>
    <w:rsid w:val="00AE5755"/>
    <w:rsid w:val="00AF2D14"/>
    <w:rsid w:val="00B06055"/>
    <w:rsid w:val="00B44D8A"/>
    <w:rsid w:val="00B5390E"/>
    <w:rsid w:val="00B550E4"/>
    <w:rsid w:val="00B5571D"/>
    <w:rsid w:val="00B603B8"/>
    <w:rsid w:val="00B617AD"/>
    <w:rsid w:val="00B725E0"/>
    <w:rsid w:val="00B73608"/>
    <w:rsid w:val="00B73AC8"/>
    <w:rsid w:val="00B747A7"/>
    <w:rsid w:val="00B8186E"/>
    <w:rsid w:val="00BA2BBF"/>
    <w:rsid w:val="00BA605F"/>
    <w:rsid w:val="00BC315A"/>
    <w:rsid w:val="00BC559C"/>
    <w:rsid w:val="00BD5073"/>
    <w:rsid w:val="00BD56F0"/>
    <w:rsid w:val="00BE3134"/>
    <w:rsid w:val="00C14ECE"/>
    <w:rsid w:val="00C166DE"/>
    <w:rsid w:val="00C17112"/>
    <w:rsid w:val="00C24267"/>
    <w:rsid w:val="00C604C8"/>
    <w:rsid w:val="00C71820"/>
    <w:rsid w:val="00CA12A0"/>
    <w:rsid w:val="00CA5D42"/>
    <w:rsid w:val="00CA7201"/>
    <w:rsid w:val="00CB40E1"/>
    <w:rsid w:val="00CD17C5"/>
    <w:rsid w:val="00CE0528"/>
    <w:rsid w:val="00CE49EB"/>
    <w:rsid w:val="00CF6DB6"/>
    <w:rsid w:val="00CF7D9A"/>
    <w:rsid w:val="00D108CC"/>
    <w:rsid w:val="00D134CA"/>
    <w:rsid w:val="00D52D5F"/>
    <w:rsid w:val="00D625D9"/>
    <w:rsid w:val="00D747D2"/>
    <w:rsid w:val="00D805AE"/>
    <w:rsid w:val="00D82198"/>
    <w:rsid w:val="00D949A3"/>
    <w:rsid w:val="00DA1506"/>
    <w:rsid w:val="00DA1C8A"/>
    <w:rsid w:val="00DA3B55"/>
    <w:rsid w:val="00DB44F0"/>
    <w:rsid w:val="00DC50E3"/>
    <w:rsid w:val="00DC563A"/>
    <w:rsid w:val="00DD109E"/>
    <w:rsid w:val="00DD3E18"/>
    <w:rsid w:val="00DE71F8"/>
    <w:rsid w:val="00E12103"/>
    <w:rsid w:val="00E15AAE"/>
    <w:rsid w:val="00E20F20"/>
    <w:rsid w:val="00E21184"/>
    <w:rsid w:val="00E40B8B"/>
    <w:rsid w:val="00E5742E"/>
    <w:rsid w:val="00E770CE"/>
    <w:rsid w:val="00EA265F"/>
    <w:rsid w:val="00EA5685"/>
    <w:rsid w:val="00EC5054"/>
    <w:rsid w:val="00EC5DD5"/>
    <w:rsid w:val="00ED43FF"/>
    <w:rsid w:val="00EE6600"/>
    <w:rsid w:val="00EF1D6A"/>
    <w:rsid w:val="00EF2E51"/>
    <w:rsid w:val="00EF403D"/>
    <w:rsid w:val="00F17E71"/>
    <w:rsid w:val="00F21865"/>
    <w:rsid w:val="00F31E24"/>
    <w:rsid w:val="00F4535C"/>
    <w:rsid w:val="00F52474"/>
    <w:rsid w:val="00F5529D"/>
    <w:rsid w:val="00F5669E"/>
    <w:rsid w:val="00F75D33"/>
    <w:rsid w:val="00F75DF8"/>
    <w:rsid w:val="00F954CF"/>
    <w:rsid w:val="00F97DFF"/>
    <w:rsid w:val="00FC6579"/>
    <w:rsid w:val="00FD1A35"/>
    <w:rsid w:val="00FD3FB3"/>
    <w:rsid w:val="00FE1053"/>
    <w:rsid w:val="00FE46A4"/>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A53D75"/>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CE49EB"/>
    <w:pPr>
      <w:numPr>
        <w:numId w:val="42"/>
      </w:numPr>
      <w:ind w:left="454" w:hanging="454"/>
    </w:pPr>
    <w:rPr>
      <w:rFonts w:eastAsia="Times New Roman" w:cs="Times New Roman"/>
      <w:spacing w:val="0"/>
      <w:lang w:eastAsia="en-AU"/>
    </w:rPr>
  </w:style>
  <w:style w:type="paragraph" w:customStyle="1" w:styleId="Bullet2">
    <w:name w:val="Bullet 2"/>
    <w:basedOn w:val="ListBullet2"/>
    <w:link w:val="Bullet2Char"/>
    <w:qFormat/>
    <w:rsid w:val="008F16A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CE49EB"/>
    <w:rPr>
      <w:rFonts w:eastAsia="Times New Roman" w:cs="Times New Roman"/>
      <w:sz w:val="20"/>
      <w:lang w:eastAsia="en-AU"/>
    </w:rPr>
  </w:style>
  <w:style w:type="paragraph" w:customStyle="1" w:styleId="Bullet3">
    <w:name w:val="Bullet 3"/>
    <w:basedOn w:val="TableTextBullet3"/>
    <w:link w:val="Bullet3Char"/>
    <w:qFormat/>
    <w:rsid w:val="008F16AC"/>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F16A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8F16AC"/>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 w:type="table" w:customStyle="1" w:styleId="TableGrid1">
    <w:name w:val="Table Grid1"/>
    <w:basedOn w:val="TableNormal"/>
    <w:next w:val="TableGrid"/>
    <w:rsid w:val="00B8186E"/>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2">
    <w:name w:val="Table Grid2"/>
    <w:basedOn w:val="TableNormal"/>
    <w:next w:val="TableGrid"/>
    <w:rsid w:val="00531264"/>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11">
    <w:name w:val="Table Grid11"/>
    <w:basedOn w:val="TableNormal"/>
    <w:next w:val="TableGrid"/>
    <w:rsid w:val="00BE3134"/>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3">
    <w:name w:val="Table Grid3"/>
    <w:basedOn w:val="TableNormal"/>
    <w:next w:val="TableGrid"/>
    <w:rsid w:val="00215FDC"/>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31">
    <w:name w:val="Table Grid31"/>
    <w:basedOn w:val="TableNormal"/>
    <w:next w:val="TableGrid"/>
    <w:rsid w:val="00485044"/>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111">
    <w:name w:val="Table Grid111"/>
    <w:basedOn w:val="TableNormal"/>
    <w:next w:val="TableGrid"/>
    <w:rsid w:val="00C166DE"/>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4">
    <w:name w:val="Table Grid4"/>
    <w:basedOn w:val="TableNormal"/>
    <w:next w:val="TableGrid"/>
    <w:rsid w:val="00BD56F0"/>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character" w:styleId="FollowedHyperlink">
    <w:name w:val="FollowedHyperlink"/>
    <w:basedOn w:val="DefaultParagraphFont"/>
    <w:uiPriority w:val="99"/>
    <w:semiHidden/>
    <w:unhideWhenUsed/>
    <w:rsid w:val="00540F79"/>
    <w:rPr>
      <w:color w:val="800080" w:themeColor="followedHyperlink"/>
      <w:u w:val="single"/>
    </w:rPr>
  </w:style>
  <w:style w:type="character" w:styleId="CommentReference">
    <w:name w:val="annotation reference"/>
    <w:basedOn w:val="DefaultParagraphFont"/>
    <w:uiPriority w:val="99"/>
    <w:semiHidden/>
    <w:unhideWhenUsed/>
    <w:rsid w:val="007D6008"/>
    <w:rPr>
      <w:sz w:val="16"/>
      <w:szCs w:val="16"/>
    </w:rPr>
  </w:style>
  <w:style w:type="paragraph" w:styleId="CommentText">
    <w:name w:val="annotation text"/>
    <w:basedOn w:val="Normal"/>
    <w:link w:val="CommentTextChar"/>
    <w:uiPriority w:val="99"/>
    <w:semiHidden/>
    <w:unhideWhenUsed/>
    <w:rsid w:val="007D6008"/>
    <w:pPr>
      <w:spacing w:line="240" w:lineRule="auto"/>
    </w:pPr>
    <w:rPr>
      <w:sz w:val="20"/>
      <w:szCs w:val="20"/>
    </w:rPr>
  </w:style>
  <w:style w:type="character" w:customStyle="1" w:styleId="CommentTextChar">
    <w:name w:val="Comment Text Char"/>
    <w:basedOn w:val="DefaultParagraphFont"/>
    <w:link w:val="CommentText"/>
    <w:uiPriority w:val="99"/>
    <w:semiHidden/>
    <w:rsid w:val="007D6008"/>
    <w:rPr>
      <w:sz w:val="20"/>
      <w:szCs w:val="20"/>
    </w:rPr>
  </w:style>
  <w:style w:type="paragraph" w:styleId="CommentSubject">
    <w:name w:val="annotation subject"/>
    <w:basedOn w:val="CommentText"/>
    <w:next w:val="CommentText"/>
    <w:link w:val="CommentSubjectChar"/>
    <w:uiPriority w:val="99"/>
    <w:semiHidden/>
    <w:unhideWhenUsed/>
    <w:rsid w:val="007D6008"/>
    <w:rPr>
      <w:b/>
      <w:bCs/>
    </w:rPr>
  </w:style>
  <w:style w:type="character" w:customStyle="1" w:styleId="CommentSubjectChar">
    <w:name w:val="Comment Subject Char"/>
    <w:basedOn w:val="CommentTextChar"/>
    <w:link w:val="CommentSubject"/>
    <w:uiPriority w:val="99"/>
    <w:semiHidden/>
    <w:rsid w:val="007D60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A53D75"/>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CE49EB"/>
    <w:pPr>
      <w:numPr>
        <w:numId w:val="42"/>
      </w:numPr>
      <w:ind w:left="454" w:hanging="454"/>
    </w:pPr>
    <w:rPr>
      <w:rFonts w:eastAsia="Times New Roman" w:cs="Times New Roman"/>
      <w:spacing w:val="0"/>
      <w:lang w:eastAsia="en-AU"/>
    </w:rPr>
  </w:style>
  <w:style w:type="paragraph" w:customStyle="1" w:styleId="Bullet2">
    <w:name w:val="Bullet 2"/>
    <w:basedOn w:val="ListBullet2"/>
    <w:link w:val="Bullet2Char"/>
    <w:qFormat/>
    <w:rsid w:val="008F16A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CE49EB"/>
    <w:rPr>
      <w:rFonts w:eastAsia="Times New Roman" w:cs="Times New Roman"/>
      <w:sz w:val="20"/>
      <w:lang w:eastAsia="en-AU"/>
    </w:rPr>
  </w:style>
  <w:style w:type="paragraph" w:customStyle="1" w:styleId="Bullet3">
    <w:name w:val="Bullet 3"/>
    <w:basedOn w:val="TableTextBullet3"/>
    <w:link w:val="Bullet3Char"/>
    <w:qFormat/>
    <w:rsid w:val="008F16AC"/>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F16A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8F16AC"/>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 w:type="table" w:customStyle="1" w:styleId="TableGrid1">
    <w:name w:val="Table Grid1"/>
    <w:basedOn w:val="TableNormal"/>
    <w:next w:val="TableGrid"/>
    <w:rsid w:val="00B8186E"/>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2">
    <w:name w:val="Table Grid2"/>
    <w:basedOn w:val="TableNormal"/>
    <w:next w:val="TableGrid"/>
    <w:rsid w:val="00531264"/>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11">
    <w:name w:val="Table Grid11"/>
    <w:basedOn w:val="TableNormal"/>
    <w:next w:val="TableGrid"/>
    <w:rsid w:val="00BE3134"/>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3">
    <w:name w:val="Table Grid3"/>
    <w:basedOn w:val="TableNormal"/>
    <w:next w:val="TableGrid"/>
    <w:rsid w:val="00215FDC"/>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31">
    <w:name w:val="Table Grid31"/>
    <w:basedOn w:val="TableNormal"/>
    <w:next w:val="TableGrid"/>
    <w:rsid w:val="00485044"/>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111">
    <w:name w:val="Table Grid111"/>
    <w:basedOn w:val="TableNormal"/>
    <w:next w:val="TableGrid"/>
    <w:rsid w:val="00C166DE"/>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table" w:customStyle="1" w:styleId="TableGrid4">
    <w:name w:val="Table Grid4"/>
    <w:basedOn w:val="TableNormal"/>
    <w:next w:val="TableGrid"/>
    <w:rsid w:val="00BD56F0"/>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character" w:styleId="FollowedHyperlink">
    <w:name w:val="FollowedHyperlink"/>
    <w:basedOn w:val="DefaultParagraphFont"/>
    <w:uiPriority w:val="99"/>
    <w:semiHidden/>
    <w:unhideWhenUsed/>
    <w:rsid w:val="00540F79"/>
    <w:rPr>
      <w:color w:val="800080" w:themeColor="followedHyperlink"/>
      <w:u w:val="single"/>
    </w:rPr>
  </w:style>
  <w:style w:type="character" w:styleId="CommentReference">
    <w:name w:val="annotation reference"/>
    <w:basedOn w:val="DefaultParagraphFont"/>
    <w:uiPriority w:val="99"/>
    <w:semiHidden/>
    <w:unhideWhenUsed/>
    <w:rsid w:val="007D6008"/>
    <w:rPr>
      <w:sz w:val="16"/>
      <w:szCs w:val="16"/>
    </w:rPr>
  </w:style>
  <w:style w:type="paragraph" w:styleId="CommentText">
    <w:name w:val="annotation text"/>
    <w:basedOn w:val="Normal"/>
    <w:link w:val="CommentTextChar"/>
    <w:uiPriority w:val="99"/>
    <w:semiHidden/>
    <w:unhideWhenUsed/>
    <w:rsid w:val="007D6008"/>
    <w:pPr>
      <w:spacing w:line="240" w:lineRule="auto"/>
    </w:pPr>
    <w:rPr>
      <w:sz w:val="20"/>
      <w:szCs w:val="20"/>
    </w:rPr>
  </w:style>
  <w:style w:type="character" w:customStyle="1" w:styleId="CommentTextChar">
    <w:name w:val="Comment Text Char"/>
    <w:basedOn w:val="DefaultParagraphFont"/>
    <w:link w:val="CommentText"/>
    <w:uiPriority w:val="99"/>
    <w:semiHidden/>
    <w:rsid w:val="007D6008"/>
    <w:rPr>
      <w:sz w:val="20"/>
      <w:szCs w:val="20"/>
    </w:rPr>
  </w:style>
  <w:style w:type="paragraph" w:styleId="CommentSubject">
    <w:name w:val="annotation subject"/>
    <w:basedOn w:val="CommentText"/>
    <w:next w:val="CommentText"/>
    <w:link w:val="CommentSubjectChar"/>
    <w:uiPriority w:val="99"/>
    <w:semiHidden/>
    <w:unhideWhenUsed/>
    <w:rsid w:val="007D6008"/>
    <w:rPr>
      <w:b/>
      <w:bCs/>
    </w:rPr>
  </w:style>
  <w:style w:type="character" w:customStyle="1" w:styleId="CommentSubjectChar">
    <w:name w:val="Comment Subject Char"/>
    <w:basedOn w:val="CommentTextChar"/>
    <w:link w:val="CommentSubject"/>
    <w:uiPriority w:val="99"/>
    <w:semiHidden/>
    <w:rsid w:val="007D60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9769">
      <w:bodyDiv w:val="1"/>
      <w:marLeft w:val="0"/>
      <w:marRight w:val="0"/>
      <w:marTop w:val="0"/>
      <w:marBottom w:val="0"/>
      <w:divBdr>
        <w:top w:val="none" w:sz="0" w:space="0" w:color="auto"/>
        <w:left w:val="none" w:sz="0" w:space="0" w:color="auto"/>
        <w:bottom w:val="none" w:sz="0" w:space="0" w:color="auto"/>
        <w:right w:val="none" w:sz="0" w:space="0" w:color="auto"/>
      </w:divBdr>
    </w:div>
    <w:div w:id="13288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mental-healt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959336F-2DB4-4701-8FA0-B36D77D4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209</TotalTime>
  <Pages>11</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PBO - GRN048 - More Funding for Mental Health - 29 June 2016</vt:lpstr>
    </vt:vector>
  </TitlesOfParts>
  <Company>Parliament of Australia</Company>
  <LinksUpToDate>false</LinksUpToDate>
  <CharactersWithSpaces>13972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GRN048 - More Funding for Mental Health - 29 June 2016</dc:title>
  <dc:creator>Parliamentary Budget Office</dc:creator>
  <cp:lastModifiedBy>Milligan, Louise (PBO)</cp:lastModifiedBy>
  <cp:revision>98</cp:revision>
  <cp:lastPrinted>2016-06-29T11:23:00Z</cp:lastPrinted>
  <dcterms:created xsi:type="dcterms:W3CDTF">2016-06-27T03:06:00Z</dcterms:created>
  <dcterms:modified xsi:type="dcterms:W3CDTF">2016-06-29T12:59:00Z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