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F3618E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4343A3" w:rsidRDefault="004343A3" w:rsidP="004343A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343A3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4343A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4343A3" w:rsidRPr="004343A3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1C4CCD">
        <w:rPr>
          <w:i/>
        </w:rPr>
        <w:t>Ma</w:t>
      </w:r>
      <w:r w:rsidR="00A820A1">
        <w:rPr>
          <w:i/>
        </w:rPr>
        <w:t>naging</w:t>
      </w:r>
      <w:r w:rsidR="005B407E">
        <w:rPr>
          <w:i/>
        </w:rPr>
        <w:t xml:space="preserve"> Chronic D</w:t>
      </w:r>
      <w:r w:rsidR="00A820A1">
        <w:rPr>
          <w:i/>
        </w:rPr>
        <w:t>isease</w:t>
      </w:r>
      <w:r w:rsidRPr="00002D5D">
        <w:t xml:space="preserve"> (letter of </w:t>
      </w:r>
      <w:r w:rsidR="00EB5EDD">
        <w:t xml:space="preserve">28 </w:t>
      </w:r>
      <w:r w:rsidR="00AA7648">
        <w:t>June</w:t>
      </w:r>
      <w:r w:rsidRPr="00002D5D">
        <w:t xml:space="preserve"> 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If you have any queries about this costing, please</w:t>
      </w:r>
      <w:r w:rsidR="00F75D33">
        <w:t xml:space="preserve"> contact Colin </w:t>
      </w:r>
      <w:r w:rsidRPr="00002D5D">
        <w:t>Brown on (02)</w:t>
      </w:r>
      <w:r w:rsidR="00BE1444">
        <w:t> </w:t>
      </w:r>
      <w:r w:rsidRPr="00002D5D">
        <w:t>6277</w:t>
      </w:r>
      <w:r w:rsidR="00BE14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F3618E" w:rsidP="00F3618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4343A3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4D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4D5525" w:rsidRDefault="009460C3" w:rsidP="005B407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Managing </w:t>
            </w:r>
            <w:r w:rsidR="005B407E">
              <w:t>C</w:t>
            </w:r>
            <w:r>
              <w:t xml:space="preserve">hronic </w:t>
            </w:r>
            <w:r w:rsidR="005B407E">
              <w:t>D</w:t>
            </w:r>
            <w:r>
              <w:t>isease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9460C3" w:rsidRPr="00AD5857" w:rsidRDefault="009460C3" w:rsidP="009460C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857">
              <w:t>The proposal would</w:t>
            </w:r>
            <w:r>
              <w:t xml:space="preserve"> </w:t>
            </w:r>
            <w:r w:rsidRPr="00AD5857">
              <w:t>develop risk profiles, template management plans, funding recommendations and administrative and reporting systems to support a new chronic disease management system involving enrolment with general practitioner (GP) practices and payments to doctors for ongoing management and care.</w:t>
            </w:r>
          </w:p>
          <w:p w:rsidR="004D5525" w:rsidRDefault="009460C3" w:rsidP="00727FA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857">
              <w:t xml:space="preserve">The proposal would have effect from 1 </w:t>
            </w:r>
            <w:r w:rsidR="00727FA8" w:rsidRPr="00AD5857">
              <w:t>J</w:t>
            </w:r>
            <w:r w:rsidR="00727FA8">
              <w:t>uly</w:t>
            </w:r>
            <w:r w:rsidR="00727FA8" w:rsidRPr="00AD5857">
              <w:t xml:space="preserve"> </w:t>
            </w:r>
            <w:r w:rsidRPr="00AD5857">
              <w:t>2017.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AA7648" w:rsidP="004D552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648">
              <w:t>Senator Richard Di Natale, Australian Greens</w:t>
            </w:r>
          </w:p>
        </w:tc>
      </w:tr>
      <w:tr w:rsidR="00A94130" w:rsidTr="00212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A94130" w:rsidRDefault="00A94130" w:rsidP="00212A2B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A94130" w:rsidRDefault="000F5584" w:rsidP="00DC634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 May </w:t>
            </w:r>
            <w:r w:rsidR="00DC634C">
              <w:t>2016</w:t>
            </w:r>
          </w:p>
          <w:p w:rsidR="00203238" w:rsidRPr="00C17112" w:rsidRDefault="00C02E51" w:rsidP="00DC634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03238">
                <w:rPr>
                  <w:rStyle w:val="Hyperlink"/>
                </w:rPr>
                <w:t>http://greens.org.au/primary-care</w:t>
              </w:r>
            </w:hyperlink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Pr="00EB5EDD" w:rsidRDefault="004D5525" w:rsidP="004D5525">
            <w:pPr>
              <w:pStyle w:val="BodyText"/>
            </w:pPr>
            <w:r w:rsidRPr="00EB5EDD">
              <w:t>Date costing request received:</w:t>
            </w:r>
          </w:p>
        </w:tc>
        <w:tc>
          <w:tcPr>
            <w:tcW w:w="5335" w:type="dxa"/>
          </w:tcPr>
          <w:p w:rsidR="004D5525" w:rsidRPr="00EB5EDD" w:rsidRDefault="00EB5EDD" w:rsidP="004D552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584">
              <w:t xml:space="preserve">28 </w:t>
            </w:r>
            <w:r w:rsidR="00AA7648" w:rsidRPr="000F5584">
              <w:t>June 2016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Pr="00EB5EDD" w:rsidRDefault="004D5525" w:rsidP="004D5525">
            <w:pPr>
              <w:pStyle w:val="BodyText"/>
            </w:pPr>
            <w:r w:rsidRPr="00EB5EDD">
              <w:t>Date costing completed</w:t>
            </w:r>
            <w:r w:rsidR="00094E9D">
              <w:t>:</w:t>
            </w:r>
          </w:p>
        </w:tc>
        <w:tc>
          <w:tcPr>
            <w:tcW w:w="5335" w:type="dxa"/>
          </w:tcPr>
          <w:p w:rsidR="004D5525" w:rsidRPr="00EB5EDD" w:rsidRDefault="00727FA8" w:rsidP="00727FA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5584">
              <w:t>2</w:t>
            </w:r>
            <w:r>
              <w:t>9</w:t>
            </w:r>
            <w:r w:rsidRPr="000F5584">
              <w:t xml:space="preserve"> </w:t>
            </w:r>
            <w:r w:rsidR="00AA7648" w:rsidRPr="000F5584">
              <w:t>June 2016</w:t>
            </w:r>
          </w:p>
        </w:tc>
      </w:tr>
      <w:tr w:rsidR="001F3484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F3484" w:rsidRPr="00EB5EDD" w:rsidRDefault="001F3484" w:rsidP="004D5525">
            <w:pPr>
              <w:pStyle w:val="BodyText"/>
            </w:pPr>
            <w:r>
              <w:t>Additional information requested (including date):</w:t>
            </w:r>
          </w:p>
        </w:tc>
        <w:tc>
          <w:tcPr>
            <w:tcW w:w="5335" w:type="dxa"/>
          </w:tcPr>
          <w:p w:rsidR="001F3484" w:rsidRPr="000F5584" w:rsidDel="00727FA8" w:rsidRDefault="001F3484" w:rsidP="00727F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29 July 2016 the Parliamentary Budget Office sought clarification on the start date of this proposal. </w:t>
            </w:r>
          </w:p>
        </w:tc>
      </w:tr>
      <w:tr w:rsidR="001F3484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F3484" w:rsidRPr="00EB5EDD" w:rsidRDefault="001F3484" w:rsidP="004D5525">
            <w:pPr>
              <w:pStyle w:val="BodyText"/>
            </w:pPr>
            <w:r>
              <w:t>Additional information received (including date):</w:t>
            </w:r>
          </w:p>
        </w:tc>
        <w:tc>
          <w:tcPr>
            <w:tcW w:w="5335" w:type="dxa"/>
          </w:tcPr>
          <w:p w:rsidR="001F3484" w:rsidRPr="000F5584" w:rsidDel="00727FA8" w:rsidRDefault="001F3484" w:rsidP="00727FA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29 July 2016 the office of Senator Di Natale confirmed that this proposal would have effect from 1 July 201</w:t>
            </w:r>
            <w:r w:rsidR="00345FCC">
              <w:t>7</w:t>
            </w:r>
            <w:r>
              <w:t>.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A820A1" w:rsidP="00A820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4D5525" w:rsidRPr="00220BE5">
              <w:t xml:space="preserve">elease of </w:t>
            </w:r>
            <w:r w:rsidR="00220BE5">
              <w:t xml:space="preserve">the next economic and fiscal </w:t>
            </w:r>
            <w:r>
              <w:t>outlook report</w:t>
            </w:r>
          </w:p>
        </w:tc>
      </w:tr>
    </w:tbl>
    <w:p w:rsidR="0055581F" w:rsidRPr="00002D5D" w:rsidRDefault="008030EC" w:rsidP="00C43A47">
      <w:pPr>
        <w:pStyle w:val="Heading2"/>
      </w:pPr>
      <w:r w:rsidRPr="00002D5D">
        <w:lastRenderedPageBreak/>
        <w:t>Costing overview</w:t>
      </w:r>
    </w:p>
    <w:p w:rsidR="009460C3" w:rsidRDefault="009460C3" w:rsidP="00C43A47">
      <w:pPr>
        <w:keepNext/>
        <w:keepLines/>
      </w:pPr>
      <w:r>
        <w:t xml:space="preserve">This proposal would be expected to decrease the </w:t>
      </w:r>
      <w:r w:rsidR="00D11BA5">
        <w:t xml:space="preserve">fiscal </w:t>
      </w:r>
      <w:r>
        <w:t xml:space="preserve">and </w:t>
      </w:r>
      <w:r w:rsidR="00D11BA5">
        <w:t xml:space="preserve">underlying cash </w:t>
      </w:r>
      <w:r>
        <w:t>balances by $11.9 million over the 2016-17 Budget forward estimates period.  Th</w:t>
      </w:r>
      <w:r w:rsidR="009E2358">
        <w:t>is</w:t>
      </w:r>
      <w:r>
        <w:t xml:space="preserve"> entirely </w:t>
      </w:r>
      <w:r w:rsidR="009E2358">
        <w:t xml:space="preserve">reflects </w:t>
      </w:r>
      <w:r>
        <w:t>an increase in departmental expenses.</w:t>
      </w:r>
    </w:p>
    <w:p w:rsidR="009460C3" w:rsidRDefault="009460C3" w:rsidP="005B407E">
      <w:pPr>
        <w:keepLines/>
      </w:pPr>
      <w:r>
        <w:t xml:space="preserve">The proposal would not have financial </w:t>
      </w:r>
      <w:r w:rsidR="00A45E5F">
        <w:t xml:space="preserve">implications </w:t>
      </w:r>
      <w:r>
        <w:t xml:space="preserve">beyond the 2016-17 Budget forward estimates period as the program </w:t>
      </w:r>
      <w:r w:rsidR="00A45E5F">
        <w:t xml:space="preserve">would </w:t>
      </w:r>
      <w:r>
        <w:t>terminate in 2018-19.</w:t>
      </w:r>
      <w:r w:rsidR="009E2358">
        <w:t xml:space="preserve">  The funding represents a one</w:t>
      </w:r>
      <w:r w:rsidR="009E2358">
        <w:noBreakHyphen/>
        <w:t xml:space="preserve">off expense </w:t>
      </w:r>
      <w:r w:rsidR="00AD3B97">
        <w:t xml:space="preserve">to develop a framework </w:t>
      </w:r>
      <w:r w:rsidR="00345FCC">
        <w:t>to support the</w:t>
      </w:r>
      <w:r w:rsidR="00AD3B97">
        <w:t xml:space="preserve"> implementation of an ongoing scheme for the management of chronic disease</w:t>
      </w:r>
      <w:r w:rsidR="00D17AD5">
        <w:rPr>
          <w:rStyle w:val="FootnoteReference"/>
        </w:rPr>
        <w:footnoteReference w:id="1"/>
      </w:r>
      <w:r w:rsidR="00180BFF">
        <w:t>.</w:t>
      </w:r>
    </w:p>
    <w:p w:rsidR="008D3909" w:rsidRPr="00002D5D" w:rsidRDefault="009460C3" w:rsidP="009460C3">
      <w:pPr>
        <w:rPr>
          <w:highlight w:val="yellow"/>
        </w:rPr>
      </w:pPr>
      <w:r>
        <w:t xml:space="preserve">The costing is considered to be of low reliability due to the uncertainty of the scope of the </w:t>
      </w:r>
      <w:r w:rsidR="00F85731">
        <w:t xml:space="preserve">proposed </w:t>
      </w:r>
      <w:r>
        <w:t>program.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A53ABF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02396F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3E6F8C" w:rsidRDefault="00CA5D42" w:rsidP="0002396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3E6F8C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3E6F8C" w:rsidRDefault="00CA5D42" w:rsidP="0002396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3E6F8C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3E6F8C" w:rsidRDefault="00CA5D42" w:rsidP="0002396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3E6F8C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3E6F8C" w:rsidRDefault="00CA5D42" w:rsidP="0002396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3E6F8C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B73AC8" w:rsidRDefault="00CA5D42" w:rsidP="0002396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9460C3" w:rsidRPr="00B73AC8" w:rsidTr="0094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9460C3" w:rsidRPr="00B73AC8" w:rsidRDefault="009460C3" w:rsidP="0002396F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9460C3" w:rsidRPr="009460C3" w:rsidRDefault="009460C3" w:rsidP="0002396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0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vAlign w:val="center"/>
          </w:tcPr>
          <w:p w:rsidR="009460C3" w:rsidRPr="009460C3" w:rsidRDefault="009460C3" w:rsidP="0002396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0C3">
              <w:rPr>
                <w:sz w:val="20"/>
                <w:szCs w:val="20"/>
              </w:rPr>
              <w:t xml:space="preserve">-5.9 </w:t>
            </w:r>
          </w:p>
        </w:tc>
        <w:tc>
          <w:tcPr>
            <w:tcW w:w="682" w:type="pct"/>
            <w:vAlign w:val="center"/>
          </w:tcPr>
          <w:p w:rsidR="009460C3" w:rsidRPr="009460C3" w:rsidRDefault="009460C3" w:rsidP="0002396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0C3">
              <w:rPr>
                <w:sz w:val="20"/>
                <w:szCs w:val="20"/>
              </w:rPr>
              <w:t>-</w:t>
            </w:r>
            <w:r w:rsidR="00727FA8">
              <w:rPr>
                <w:sz w:val="20"/>
                <w:szCs w:val="20"/>
              </w:rPr>
              <w:t>5</w:t>
            </w:r>
            <w:r w:rsidRPr="009460C3">
              <w:rPr>
                <w:sz w:val="20"/>
                <w:szCs w:val="20"/>
              </w:rPr>
              <w:t>.</w:t>
            </w:r>
            <w:r w:rsidR="00727FA8">
              <w:rPr>
                <w:sz w:val="20"/>
                <w:szCs w:val="20"/>
              </w:rPr>
              <w:t>9</w:t>
            </w:r>
            <w:r w:rsidR="00727FA8" w:rsidRPr="00946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9460C3" w:rsidRPr="009460C3" w:rsidRDefault="009460C3" w:rsidP="0002396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0C3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681" w:type="pct"/>
            <w:vAlign w:val="center"/>
          </w:tcPr>
          <w:p w:rsidR="009460C3" w:rsidRPr="003E6F8C" w:rsidRDefault="009460C3" w:rsidP="0002396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E6F8C">
              <w:rPr>
                <w:b/>
                <w:sz w:val="20"/>
                <w:szCs w:val="20"/>
              </w:rPr>
              <w:t xml:space="preserve">-11.9 </w:t>
            </w:r>
          </w:p>
        </w:tc>
      </w:tr>
      <w:tr w:rsidR="009460C3" w:rsidRPr="00B73AC8" w:rsidTr="0094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9460C3" w:rsidRPr="00B73AC8" w:rsidRDefault="009460C3" w:rsidP="0002396F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9460C3" w:rsidRPr="009460C3" w:rsidRDefault="009460C3" w:rsidP="0002396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0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vAlign w:val="center"/>
          </w:tcPr>
          <w:p w:rsidR="009460C3" w:rsidRPr="009460C3" w:rsidRDefault="009460C3" w:rsidP="0002396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0C3">
              <w:rPr>
                <w:sz w:val="20"/>
                <w:szCs w:val="20"/>
              </w:rPr>
              <w:t xml:space="preserve">-5.9 </w:t>
            </w:r>
          </w:p>
        </w:tc>
        <w:tc>
          <w:tcPr>
            <w:tcW w:w="682" w:type="pct"/>
            <w:vAlign w:val="center"/>
          </w:tcPr>
          <w:p w:rsidR="009460C3" w:rsidRPr="009460C3" w:rsidRDefault="009460C3" w:rsidP="0002396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0C3">
              <w:rPr>
                <w:sz w:val="20"/>
                <w:szCs w:val="20"/>
              </w:rPr>
              <w:t>-</w:t>
            </w:r>
            <w:r w:rsidR="00727FA8">
              <w:rPr>
                <w:sz w:val="20"/>
                <w:szCs w:val="20"/>
              </w:rPr>
              <w:t>5</w:t>
            </w:r>
            <w:r w:rsidRPr="009460C3">
              <w:rPr>
                <w:sz w:val="20"/>
                <w:szCs w:val="20"/>
              </w:rPr>
              <w:t>.</w:t>
            </w:r>
            <w:r w:rsidR="00727FA8">
              <w:rPr>
                <w:sz w:val="20"/>
                <w:szCs w:val="20"/>
              </w:rPr>
              <w:t>9</w:t>
            </w:r>
            <w:r w:rsidR="00727FA8" w:rsidRPr="00946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9460C3" w:rsidRPr="009460C3" w:rsidRDefault="009460C3" w:rsidP="0002396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0C3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681" w:type="pct"/>
            <w:vAlign w:val="center"/>
          </w:tcPr>
          <w:p w:rsidR="009460C3" w:rsidRPr="003E6F8C" w:rsidRDefault="009460C3" w:rsidP="0002396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E6F8C">
              <w:rPr>
                <w:b/>
                <w:sz w:val="20"/>
                <w:szCs w:val="20"/>
              </w:rPr>
              <w:t xml:space="preserve">-11.9 </w:t>
            </w:r>
          </w:p>
        </w:tc>
      </w:tr>
    </w:tbl>
    <w:p w:rsidR="00A53ABF" w:rsidRPr="00A53ABF" w:rsidRDefault="00A53ABF" w:rsidP="001F1A3D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A53ABF">
        <w:rPr>
          <w:lang w:eastAsia="en-AU"/>
        </w:rPr>
        <w:t>A positive number represents an increase in the relevant budget balance, a negative number represents a decrease</w:t>
      </w:r>
      <w:r>
        <w:rPr>
          <w:sz w:val="24"/>
          <w:szCs w:val="24"/>
          <w:lang w:eastAsia="en-AU"/>
        </w:rPr>
        <w:t>.</w:t>
      </w:r>
    </w:p>
    <w:p w:rsidR="009D4063" w:rsidRDefault="00A53ABF" w:rsidP="001F1A3D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rPr>
          <w:lang w:eastAsia="en-AU"/>
        </w:rPr>
        <w:t>Figures may not sum to totals due to rounding</w:t>
      </w:r>
      <w:r>
        <w:t>.</w:t>
      </w:r>
      <w:r w:rsidR="00DB4EB9" w:rsidRPr="00DB4EB9">
        <w:t xml:space="preserve"> </w:t>
      </w:r>
    </w:p>
    <w:p w:rsidR="00A53ABF" w:rsidRDefault="00A53ABF" w:rsidP="001F1A3D">
      <w:pPr>
        <w:pStyle w:val="Footnotes"/>
        <w:keepNext/>
        <w:keepLines/>
        <w:numPr>
          <w:ilvl w:val="0"/>
          <w:numId w:val="22"/>
        </w:numPr>
        <w:ind w:left="284" w:hanging="284"/>
      </w:pPr>
      <w:r>
        <w:t>Indicates nil.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AF54BA" w:rsidRPr="005D784E" w:rsidRDefault="009E2358" w:rsidP="00AF54BA">
      <w:r>
        <w:t>I</w:t>
      </w:r>
      <w:r w:rsidR="00AF54BA">
        <w:t xml:space="preserve">t </w:t>
      </w:r>
      <w:r>
        <w:t>was</w:t>
      </w:r>
      <w:r w:rsidR="00D22321">
        <w:t xml:space="preserve"> </w:t>
      </w:r>
      <w:r w:rsidR="00AF54BA">
        <w:t xml:space="preserve">assumed that the </w:t>
      </w:r>
      <w:r>
        <w:t xml:space="preserve">proposal </w:t>
      </w:r>
      <w:r w:rsidR="00AF54BA">
        <w:t>would take two years to complete.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5E3562" w:rsidRPr="00002D5D" w:rsidRDefault="00AF54BA" w:rsidP="00DB4EB9">
      <w:pPr>
        <w:keepNext/>
        <w:keepLines/>
      </w:pPr>
      <w:r w:rsidRPr="00AF54BA">
        <w:t>The departmental expen</w:t>
      </w:r>
      <w:r w:rsidR="009E2358">
        <w:t>ses</w:t>
      </w:r>
      <w:r w:rsidRPr="00AF54BA">
        <w:t xml:space="preserve"> </w:t>
      </w:r>
      <w:r w:rsidR="009E2358">
        <w:t>associated with this proposal were calculated</w:t>
      </w:r>
      <w:r w:rsidRPr="00AF54BA">
        <w:t xml:space="preserve"> based on expected additional administrative activities required to implement the specified functions.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DB4EB9" w:rsidRDefault="00AF54BA" w:rsidP="00C43A47">
      <w:r>
        <w:t>The Department of Finance provided indexation and efficiency dividend parameters</w:t>
      </w:r>
      <w:r w:rsidRPr="00323E47">
        <w:t>.</w:t>
      </w:r>
    </w:p>
    <w:sectPr w:rsidR="00DB4EB9" w:rsidSect="007236F9">
      <w:headerReference w:type="first" r:id="rId14"/>
      <w:footerReference w:type="first" r:id="rId15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A3" w:rsidRDefault="004343A3" w:rsidP="008F588A">
      <w:pPr>
        <w:spacing w:line="240" w:lineRule="auto"/>
      </w:pPr>
      <w:r>
        <w:separator/>
      </w:r>
    </w:p>
    <w:p w:rsidR="004343A3" w:rsidRDefault="004343A3"/>
  </w:endnote>
  <w:endnote w:type="continuationSeparator" w:id="0">
    <w:p w:rsidR="004343A3" w:rsidRDefault="004343A3" w:rsidP="008F588A">
      <w:pPr>
        <w:spacing w:line="240" w:lineRule="auto"/>
      </w:pPr>
      <w:r>
        <w:continuationSeparator/>
      </w:r>
    </w:p>
    <w:p w:rsidR="004343A3" w:rsidRDefault="00434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02E51">
      <w:rPr>
        <w:noProof/>
      </w:rPr>
      <w:t>3</w:t>
    </w:r>
    <w:r w:rsidRPr="00C24267">
      <w:fldChar w:fldCharType="end"/>
    </w:r>
    <w:r w:rsidRPr="00C24267">
      <w:t xml:space="preserve"> of </w:t>
    </w:r>
    <w:r w:rsidR="00C02E51">
      <w:fldChar w:fldCharType="begin"/>
    </w:r>
    <w:r w:rsidR="00C02E51">
      <w:instrText xml:space="preserve"> NUMPAGES  \* Arabic  \* MERGEFORMAT </w:instrText>
    </w:r>
    <w:r w:rsidR="00C02E51">
      <w:fldChar w:fldCharType="separate"/>
    </w:r>
    <w:r w:rsidR="00C02E51">
      <w:rPr>
        <w:noProof/>
      </w:rPr>
      <w:t>3</w:t>
    </w:r>
    <w:r w:rsidR="00C02E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Letterfooter"/>
    </w:pPr>
    <w:r w:rsidRPr="00C24267">
      <w:t>Parliamentary Budget Office   PO Box 6010   Parliament House   Canberra ACT 2600</w:t>
    </w:r>
  </w:p>
  <w:p w:rsidR="001278D0" w:rsidRPr="00C24267" w:rsidRDefault="001278D0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02E51">
      <w:rPr>
        <w:noProof/>
      </w:rPr>
      <w:t>2</w:t>
    </w:r>
    <w:r w:rsidRPr="00C24267">
      <w:fldChar w:fldCharType="end"/>
    </w:r>
    <w:r w:rsidRPr="00C24267">
      <w:t xml:space="preserve"> of </w:t>
    </w:r>
    <w:r w:rsidR="00C02E51">
      <w:fldChar w:fldCharType="begin"/>
    </w:r>
    <w:r w:rsidR="00C02E51">
      <w:instrText xml:space="preserve"> NUMPAGES  \* Arabic  \* MERGEFORMAT </w:instrText>
    </w:r>
    <w:r w:rsidR="00C02E51">
      <w:fldChar w:fldCharType="separate"/>
    </w:r>
    <w:r w:rsidR="00C02E51">
      <w:rPr>
        <w:noProof/>
      </w:rPr>
      <w:t>3</w:t>
    </w:r>
    <w:r w:rsidR="00C02E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A3" w:rsidRDefault="004343A3" w:rsidP="00C43A47">
      <w:pPr>
        <w:spacing w:line="240" w:lineRule="auto"/>
      </w:pPr>
      <w:r>
        <w:separator/>
      </w:r>
    </w:p>
  </w:footnote>
  <w:footnote w:type="continuationSeparator" w:id="0">
    <w:p w:rsidR="004343A3" w:rsidRDefault="004343A3" w:rsidP="008F588A">
      <w:pPr>
        <w:spacing w:line="240" w:lineRule="auto"/>
      </w:pPr>
      <w:r>
        <w:continuationSeparator/>
      </w:r>
    </w:p>
    <w:p w:rsidR="004343A3" w:rsidRDefault="004343A3"/>
  </w:footnote>
  <w:footnote w:id="1">
    <w:p w:rsidR="00D17AD5" w:rsidRPr="00D17AD5" w:rsidRDefault="00D17AD5">
      <w:pPr>
        <w:pStyle w:val="FootnoteText"/>
      </w:pPr>
      <w:r w:rsidRPr="005B407E">
        <w:rPr>
          <w:rStyle w:val="FootnoteReference"/>
        </w:rPr>
        <w:footnoteRef/>
      </w:r>
      <w:r w:rsidRPr="005B407E">
        <w:t xml:space="preserve"> </w:t>
      </w:r>
      <w:r w:rsidRPr="005B407E">
        <w:rPr>
          <w:sz w:val="22"/>
          <w:szCs w:val="22"/>
        </w:rPr>
        <w:t>The financial impact of the proposed ongoing scheme has been costed by the PBO in the following two caretaker period costings: GRN</w:t>
      </w:r>
      <w:r w:rsidR="00345FCC" w:rsidRPr="005B407E">
        <w:rPr>
          <w:sz w:val="22"/>
          <w:szCs w:val="22"/>
        </w:rPr>
        <w:t>046</w:t>
      </w:r>
      <w:r w:rsidRPr="005B407E">
        <w:rPr>
          <w:sz w:val="22"/>
          <w:szCs w:val="22"/>
        </w:rPr>
        <w:t xml:space="preserve"> </w:t>
      </w:r>
      <w:r w:rsidRPr="005B407E">
        <w:rPr>
          <w:i/>
          <w:sz w:val="22"/>
          <w:szCs w:val="22"/>
        </w:rPr>
        <w:t>Implementing Primary Health Care</w:t>
      </w:r>
      <w:r w:rsidRPr="005B407E">
        <w:rPr>
          <w:sz w:val="22"/>
          <w:szCs w:val="22"/>
        </w:rPr>
        <w:t>, and GRN</w:t>
      </w:r>
      <w:r w:rsidR="00345FCC" w:rsidRPr="005B407E">
        <w:rPr>
          <w:sz w:val="22"/>
          <w:szCs w:val="22"/>
        </w:rPr>
        <w:t>047</w:t>
      </w:r>
      <w:r w:rsidRPr="005B407E">
        <w:rPr>
          <w:sz w:val="22"/>
          <w:szCs w:val="22"/>
        </w:rPr>
        <w:t xml:space="preserve"> </w:t>
      </w:r>
      <w:r w:rsidRPr="005B407E">
        <w:rPr>
          <w:i/>
          <w:sz w:val="22"/>
          <w:szCs w:val="22"/>
        </w:rPr>
        <w:t>Primary Health Networks – Funding</w:t>
      </w:r>
      <w:r w:rsidRPr="005B407E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Default="001278D0" w:rsidP="00CB40E1">
    <w:pPr>
      <w:pStyle w:val="Header"/>
    </w:pPr>
    <w:r>
      <w:rPr>
        <w:noProof/>
        <w:lang w:eastAsia="en-AU"/>
      </w:rPr>
      <w:drawing>
        <wp:inline distT="0" distB="0" distL="0" distR="0" wp14:anchorId="485E82CE" wp14:editId="6CCCEAA8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8D0" w:rsidRPr="00DA1C8A" w:rsidRDefault="001278D0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9D" w:rsidRPr="00D42B9D" w:rsidRDefault="00D42B9D" w:rsidP="00D42B9D">
    <w:pPr>
      <w:pStyle w:val="Header"/>
      <w:spacing w:before="0" w:after="0"/>
      <w:rPr>
        <w:b/>
        <w:sz w:val="28"/>
        <w:szCs w:val="28"/>
      </w:rPr>
    </w:pPr>
    <w:r>
      <w:rPr>
        <w:noProof/>
        <w:lang w:eastAsia="en-AU"/>
      </w:rPr>
      <w:drawing>
        <wp:inline distT="0" distB="0" distL="0" distR="0" wp14:anchorId="6FA7C49E" wp14:editId="122ED085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7F6219E"/>
    <w:multiLevelType w:val="hybridMultilevel"/>
    <w:tmpl w:val="57B42CF8"/>
    <w:lvl w:ilvl="0" w:tplc="8B7EC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5">
    <w:nsid w:val="102169C1"/>
    <w:multiLevelType w:val="hybridMultilevel"/>
    <w:tmpl w:val="C2A4ABBE"/>
    <w:lvl w:ilvl="0" w:tplc="B9D247A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55557C"/>
    <w:multiLevelType w:val="hybridMultilevel"/>
    <w:tmpl w:val="6DA852A6"/>
    <w:lvl w:ilvl="0" w:tplc="593A7C5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B305E"/>
    <w:multiLevelType w:val="hybridMultilevel"/>
    <w:tmpl w:val="4080D336"/>
    <w:lvl w:ilvl="0" w:tplc="B9D247A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532EDD"/>
    <w:multiLevelType w:val="hybridMultilevel"/>
    <w:tmpl w:val="99480E42"/>
    <w:lvl w:ilvl="0" w:tplc="B9D247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27F9B"/>
    <w:multiLevelType w:val="hybridMultilevel"/>
    <w:tmpl w:val="8254502A"/>
    <w:lvl w:ilvl="0" w:tplc="B9D247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E32F1"/>
    <w:multiLevelType w:val="hybridMultilevel"/>
    <w:tmpl w:val="2EC0FAA6"/>
    <w:lvl w:ilvl="0" w:tplc="B9D247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6">
    <w:nsid w:val="745C3AB2"/>
    <w:multiLevelType w:val="hybridMultilevel"/>
    <w:tmpl w:val="97E83386"/>
    <w:lvl w:ilvl="0" w:tplc="B9D247A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F075C0"/>
    <w:multiLevelType w:val="hybridMultilevel"/>
    <w:tmpl w:val="4F60650C"/>
    <w:lvl w:ilvl="0" w:tplc="B3CC064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11"/>
  </w:num>
  <w:num w:numId="18">
    <w:abstractNumId w:val="13"/>
  </w:num>
  <w:num w:numId="19">
    <w:abstractNumId w:val="12"/>
  </w:num>
  <w:num w:numId="20">
    <w:abstractNumId w:val="1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3"/>
    <w:rsid w:val="00002D5D"/>
    <w:rsid w:val="0002396F"/>
    <w:rsid w:val="00040DCE"/>
    <w:rsid w:val="00054AC6"/>
    <w:rsid w:val="00094E9D"/>
    <w:rsid w:val="00096F3A"/>
    <w:rsid w:val="000A2A0B"/>
    <w:rsid w:val="000C1A75"/>
    <w:rsid w:val="000F5584"/>
    <w:rsid w:val="001278D0"/>
    <w:rsid w:val="0014239B"/>
    <w:rsid w:val="00180BFF"/>
    <w:rsid w:val="001A02D1"/>
    <w:rsid w:val="001C4CCD"/>
    <w:rsid w:val="001F1A3D"/>
    <w:rsid w:val="001F3484"/>
    <w:rsid w:val="00201947"/>
    <w:rsid w:val="00203238"/>
    <w:rsid w:val="00220BE5"/>
    <w:rsid w:val="002422A3"/>
    <w:rsid w:val="00292992"/>
    <w:rsid w:val="00315E34"/>
    <w:rsid w:val="00326DE2"/>
    <w:rsid w:val="00345FCC"/>
    <w:rsid w:val="003824EF"/>
    <w:rsid w:val="003B03C9"/>
    <w:rsid w:val="003B3282"/>
    <w:rsid w:val="003E6F8C"/>
    <w:rsid w:val="003F73CA"/>
    <w:rsid w:val="004343A3"/>
    <w:rsid w:val="00440E32"/>
    <w:rsid w:val="00442723"/>
    <w:rsid w:val="00461597"/>
    <w:rsid w:val="00473E36"/>
    <w:rsid w:val="004C283B"/>
    <w:rsid w:val="004C3D46"/>
    <w:rsid w:val="004D13ED"/>
    <w:rsid w:val="004D5525"/>
    <w:rsid w:val="004E22C5"/>
    <w:rsid w:val="005035DA"/>
    <w:rsid w:val="00507897"/>
    <w:rsid w:val="00515A85"/>
    <w:rsid w:val="00545F24"/>
    <w:rsid w:val="0055581F"/>
    <w:rsid w:val="0056229A"/>
    <w:rsid w:val="00570154"/>
    <w:rsid w:val="00570B5A"/>
    <w:rsid w:val="005B328B"/>
    <w:rsid w:val="005B407E"/>
    <w:rsid w:val="005C6967"/>
    <w:rsid w:val="005E3562"/>
    <w:rsid w:val="005F7DE0"/>
    <w:rsid w:val="00640346"/>
    <w:rsid w:val="00660385"/>
    <w:rsid w:val="00662E65"/>
    <w:rsid w:val="0066665A"/>
    <w:rsid w:val="00692DD8"/>
    <w:rsid w:val="006C017C"/>
    <w:rsid w:val="006C6F63"/>
    <w:rsid w:val="006F0CE9"/>
    <w:rsid w:val="00705DCF"/>
    <w:rsid w:val="007202A8"/>
    <w:rsid w:val="007236F9"/>
    <w:rsid w:val="00727FA8"/>
    <w:rsid w:val="007B029A"/>
    <w:rsid w:val="007D33AA"/>
    <w:rsid w:val="007F7BCF"/>
    <w:rsid w:val="008030EC"/>
    <w:rsid w:val="00811D6D"/>
    <w:rsid w:val="008352D5"/>
    <w:rsid w:val="008377BA"/>
    <w:rsid w:val="00844776"/>
    <w:rsid w:val="008850D9"/>
    <w:rsid w:val="008A4578"/>
    <w:rsid w:val="008C03C3"/>
    <w:rsid w:val="008D3909"/>
    <w:rsid w:val="008F588A"/>
    <w:rsid w:val="00902D2D"/>
    <w:rsid w:val="00915804"/>
    <w:rsid w:val="00933150"/>
    <w:rsid w:val="009460C3"/>
    <w:rsid w:val="00957285"/>
    <w:rsid w:val="009573AF"/>
    <w:rsid w:val="009963ED"/>
    <w:rsid w:val="009D4063"/>
    <w:rsid w:val="009E2358"/>
    <w:rsid w:val="009E2426"/>
    <w:rsid w:val="009E595D"/>
    <w:rsid w:val="00A41BD3"/>
    <w:rsid w:val="00A449C2"/>
    <w:rsid w:val="00A45E5F"/>
    <w:rsid w:val="00A53ABF"/>
    <w:rsid w:val="00A820A1"/>
    <w:rsid w:val="00A94130"/>
    <w:rsid w:val="00AA3D6F"/>
    <w:rsid w:val="00AA7648"/>
    <w:rsid w:val="00AB6F7D"/>
    <w:rsid w:val="00AC7878"/>
    <w:rsid w:val="00AD3B97"/>
    <w:rsid w:val="00AD493E"/>
    <w:rsid w:val="00AF514C"/>
    <w:rsid w:val="00AF54BA"/>
    <w:rsid w:val="00B06055"/>
    <w:rsid w:val="00B44D8A"/>
    <w:rsid w:val="00B73AC8"/>
    <w:rsid w:val="00B747A7"/>
    <w:rsid w:val="00BB3488"/>
    <w:rsid w:val="00BC559C"/>
    <w:rsid w:val="00BD43AF"/>
    <w:rsid w:val="00BE1444"/>
    <w:rsid w:val="00C02E51"/>
    <w:rsid w:val="00C17112"/>
    <w:rsid w:val="00C24267"/>
    <w:rsid w:val="00C43A47"/>
    <w:rsid w:val="00C52516"/>
    <w:rsid w:val="00C54813"/>
    <w:rsid w:val="00CA5D42"/>
    <w:rsid w:val="00CB40E1"/>
    <w:rsid w:val="00CF6DB6"/>
    <w:rsid w:val="00D11BA5"/>
    <w:rsid w:val="00D134CA"/>
    <w:rsid w:val="00D17AD5"/>
    <w:rsid w:val="00D22321"/>
    <w:rsid w:val="00D42B9D"/>
    <w:rsid w:val="00D531BB"/>
    <w:rsid w:val="00D5370A"/>
    <w:rsid w:val="00DA1C8A"/>
    <w:rsid w:val="00DB44F0"/>
    <w:rsid w:val="00DB4EB9"/>
    <w:rsid w:val="00DC1917"/>
    <w:rsid w:val="00DC634C"/>
    <w:rsid w:val="00DD109E"/>
    <w:rsid w:val="00DD3E18"/>
    <w:rsid w:val="00DF7BAF"/>
    <w:rsid w:val="00E12103"/>
    <w:rsid w:val="00E15AAE"/>
    <w:rsid w:val="00E21184"/>
    <w:rsid w:val="00E40B8B"/>
    <w:rsid w:val="00E5742E"/>
    <w:rsid w:val="00EA265F"/>
    <w:rsid w:val="00EB5EDD"/>
    <w:rsid w:val="00ED43FF"/>
    <w:rsid w:val="00EF1527"/>
    <w:rsid w:val="00EF1D6A"/>
    <w:rsid w:val="00EF2E51"/>
    <w:rsid w:val="00F31E24"/>
    <w:rsid w:val="00F3618E"/>
    <w:rsid w:val="00F52474"/>
    <w:rsid w:val="00F5669E"/>
    <w:rsid w:val="00F75D33"/>
    <w:rsid w:val="00F85731"/>
    <w:rsid w:val="00F954CF"/>
    <w:rsid w:val="00FC6579"/>
    <w:rsid w:val="00FD3FB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AA7648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EB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E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AA7648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EB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E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primary-car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29D3-4DCB-427D-964D-FCCFB67C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275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GRN044 - Managing Chronic Disease - 29 June 2016</vt:lpstr>
    </vt:vector>
  </TitlesOfParts>
  <Company>Parliament of Australia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GRN044 - Managing Chronic Disease - 29 June 2016</dc:title>
  <dc:creator>Parliamentary Budget Office</dc:creator>
  <cp:lastModifiedBy>Milligan, Louise (PBO)</cp:lastModifiedBy>
  <cp:revision>60</cp:revision>
  <cp:lastPrinted>2016-06-29T08:19:00Z</cp:lastPrinted>
  <dcterms:created xsi:type="dcterms:W3CDTF">2016-06-20T23:48:00Z</dcterms:created>
  <dcterms:modified xsi:type="dcterms:W3CDTF">2016-06-29T12:16:00Z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