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E67D7C" w:rsidP="00C17112">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040DCE" w:rsidRPr="00002D5D" w:rsidRDefault="00E67D7C"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E67D7C">
        <w:rPr>
          <w:rFonts w:ascii="Times New Roman" w:hAnsi="Times New Roman" w:cs="Times New Roman"/>
          <w:sz w:val="24"/>
          <w:szCs w:val="24"/>
        </w:rPr>
        <w:t>Senator</w:t>
      </w:r>
      <w:r w:rsidRPr="00002D5D">
        <w:rPr>
          <w:rFonts w:ascii="Times New Roman" w:hAnsi="Times New Roman" w:cs="Times New Roman"/>
          <w:sz w:val="24"/>
          <w:szCs w:val="24"/>
        </w:rPr>
        <w:t xml:space="preserve"> </w:t>
      </w:r>
      <w:r w:rsidR="00E67D7C">
        <w:rPr>
          <w:rFonts w:ascii="Times New Roman" w:hAnsi="Times New Roman" w:cs="Times New Roman"/>
          <w:sz w:val="24"/>
          <w:szCs w:val="24"/>
        </w:rPr>
        <w:t>Di Natale</w:t>
      </w:r>
    </w:p>
    <w:p w:rsidR="00040DCE" w:rsidRPr="00002D5D" w:rsidRDefault="00040DCE" w:rsidP="00C17112">
      <w:pPr>
        <w:pStyle w:val="Lettertext"/>
      </w:pPr>
      <w:r w:rsidRPr="00002D5D">
        <w:t>Please find attached a re</w:t>
      </w:r>
      <w:r w:rsidR="00B60C58">
        <w:t xml:space="preserve">sponse to your costing </w:t>
      </w:r>
      <w:r w:rsidR="00B60C58" w:rsidRPr="00E67D7C">
        <w:t>request</w:t>
      </w:r>
      <w:r w:rsidRPr="00E67D7C">
        <w:t xml:space="preserve">, </w:t>
      </w:r>
      <w:r w:rsidR="00C9350A" w:rsidRPr="00E67D7C">
        <w:rPr>
          <w:i/>
        </w:rPr>
        <w:t xml:space="preserve">Towards a </w:t>
      </w:r>
      <w:r w:rsidR="001E0CA2">
        <w:rPr>
          <w:i/>
        </w:rPr>
        <w:t>R</w:t>
      </w:r>
      <w:r w:rsidR="00C9350A" w:rsidRPr="00E67D7C">
        <w:rPr>
          <w:i/>
        </w:rPr>
        <w:t>epublic</w:t>
      </w:r>
      <w:r w:rsidRPr="00E67D7C">
        <w:t xml:space="preserve"> (letter</w:t>
      </w:r>
      <w:r w:rsidRPr="00002D5D">
        <w:t xml:space="preserve"> of </w:t>
      </w:r>
      <w:r w:rsidR="002C3EB1">
        <w:t>28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B60C58">
        <w:t>Brown on (02) </w:t>
      </w:r>
      <w:r w:rsidRPr="00002D5D">
        <w:t>6277</w:t>
      </w:r>
      <w:r w:rsidR="00B60C58">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DD026B" w:rsidP="00DD026B">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C9350A">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Pr="00250D0F" w:rsidRDefault="004D5525" w:rsidP="004D5525">
            <w:pPr>
              <w:pStyle w:val="BodyText"/>
            </w:pPr>
            <w:r w:rsidRPr="00250D0F">
              <w:t>Name of proposal:</w:t>
            </w:r>
          </w:p>
        </w:tc>
        <w:tc>
          <w:tcPr>
            <w:tcW w:w="5335" w:type="dxa"/>
          </w:tcPr>
          <w:p w:rsidR="004D5525" w:rsidRPr="00250D0F" w:rsidRDefault="001E0CA2" w:rsidP="00C9350A">
            <w:pPr>
              <w:pStyle w:val="BodyText"/>
              <w:cnfStyle w:val="100000000000" w:firstRow="1" w:lastRow="0" w:firstColumn="0" w:lastColumn="0" w:oddVBand="0" w:evenVBand="0" w:oddHBand="0" w:evenHBand="0" w:firstRowFirstColumn="0" w:firstRowLastColumn="0" w:lastRowFirstColumn="0" w:lastRowLastColumn="0"/>
            </w:pPr>
            <w:r>
              <w:t>Towards a R</w:t>
            </w:r>
            <w:r w:rsidR="00C9350A" w:rsidRPr="00250D0F">
              <w:t>epublic</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Summary of proposal:</w:t>
            </w:r>
          </w:p>
        </w:tc>
        <w:tc>
          <w:tcPr>
            <w:tcW w:w="5335" w:type="dxa"/>
          </w:tcPr>
          <w:p w:rsidR="00C21A13" w:rsidRDefault="004D5525" w:rsidP="00142B9B">
            <w:pPr>
              <w:cnfStyle w:val="000000100000" w:firstRow="0" w:lastRow="0" w:firstColumn="0" w:lastColumn="0" w:oddVBand="0" w:evenVBand="0" w:oddHBand="1" w:evenHBand="0" w:firstRowFirstColumn="0" w:firstRowLastColumn="0" w:lastRowFirstColumn="0" w:lastRowLastColumn="0"/>
            </w:pPr>
            <w:r w:rsidRPr="00613C50">
              <w:t>Th</w:t>
            </w:r>
            <w:r w:rsidR="002209F0">
              <w:t>is</w:t>
            </w:r>
            <w:r w:rsidRPr="00613C50">
              <w:t xml:space="preserve"> proposal </w:t>
            </w:r>
            <w:r w:rsidR="002209F0">
              <w:t xml:space="preserve">has </w:t>
            </w:r>
            <w:r w:rsidR="00C21A13">
              <w:t>a number of components.</w:t>
            </w:r>
          </w:p>
          <w:p w:rsidR="00C21A13" w:rsidRPr="00C21A13" w:rsidRDefault="00C21A13" w:rsidP="00142B9B">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Component 1: Participatory process </w:t>
            </w:r>
          </w:p>
          <w:p w:rsidR="00C21A13" w:rsidRPr="00FC72AB" w:rsidRDefault="006477CF" w:rsidP="008A1630">
            <w:pPr>
              <w:pStyle w:val="Bullet1"/>
              <w:ind w:left="397" w:hanging="284"/>
              <w:cnfStyle w:val="000000100000" w:firstRow="0" w:lastRow="0" w:firstColumn="0" w:lastColumn="0" w:oddVBand="0" w:evenVBand="0" w:oddHBand="1" w:evenHBand="0" w:firstRowFirstColumn="0" w:firstRowLastColumn="0" w:lastRowFirstColumn="0" w:lastRowLastColumn="0"/>
            </w:pPr>
            <w:r>
              <w:t xml:space="preserve">Provide </w:t>
            </w:r>
            <w:r w:rsidR="00C9350A" w:rsidRPr="00FC72AB">
              <w:t xml:space="preserve">$5 million over three calendar years for a participatory democracy process </w:t>
            </w:r>
            <w:r w:rsidR="00793743" w:rsidRPr="00FC72AB">
              <w:t>considering how Australia would become a republic</w:t>
            </w:r>
            <w:r w:rsidR="00C21A13" w:rsidRPr="00FC72AB">
              <w:t>.</w:t>
            </w:r>
            <w:r w:rsidR="00793743" w:rsidRPr="00FC72AB">
              <w:t xml:space="preserve"> </w:t>
            </w:r>
          </w:p>
          <w:p w:rsidR="00C21A13" w:rsidRDefault="00C21A13" w:rsidP="00C21A13">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Component 2: </w:t>
            </w:r>
            <w:r w:rsidR="0039727D">
              <w:rPr>
                <w:u w:val="single"/>
              </w:rPr>
              <w:t xml:space="preserve">Republic </w:t>
            </w:r>
            <w:r>
              <w:rPr>
                <w:u w:val="single"/>
              </w:rPr>
              <w:t>plebiscite</w:t>
            </w:r>
          </w:p>
          <w:p w:rsidR="00280597" w:rsidRPr="00280597" w:rsidRDefault="00C21A13" w:rsidP="008A1630">
            <w:pPr>
              <w:pStyle w:val="Bullet1"/>
              <w:ind w:left="397" w:hanging="284"/>
              <w:cnfStyle w:val="000000100000" w:firstRow="0" w:lastRow="0" w:firstColumn="0" w:lastColumn="0" w:oddVBand="0" w:evenVBand="0" w:oddHBand="1" w:evenHBand="0" w:firstRowFirstColumn="0" w:firstRowLastColumn="0" w:lastRowFirstColumn="0" w:lastRowLastColumn="0"/>
              <w:rPr>
                <w:u w:val="single"/>
              </w:rPr>
            </w:pPr>
            <w:r>
              <w:t xml:space="preserve">Replace </w:t>
            </w:r>
            <w:r w:rsidR="00280597">
              <w:t>the</w:t>
            </w:r>
            <w:r>
              <w:t xml:space="preserve"> plebiscite announced in the</w:t>
            </w:r>
            <w:r w:rsidR="00280597">
              <w:t xml:space="preserve"> Pre-election </w:t>
            </w:r>
            <w:r w:rsidR="00CC2A0D">
              <w:t>E</w:t>
            </w:r>
            <w:r w:rsidR="00280597">
              <w:t xml:space="preserve">conomic and </w:t>
            </w:r>
            <w:r w:rsidR="00CC2A0D">
              <w:t>F</w:t>
            </w:r>
            <w:r w:rsidR="00280597">
              <w:t xml:space="preserve">iscal </w:t>
            </w:r>
            <w:r w:rsidR="00CC2A0D">
              <w:t>O</w:t>
            </w:r>
            <w:r w:rsidR="00280597">
              <w:t>utlook</w:t>
            </w:r>
            <w:r>
              <w:t xml:space="preserve"> </w:t>
            </w:r>
            <w:r w:rsidR="00280597" w:rsidRPr="00280597">
              <w:t>(</w:t>
            </w:r>
            <w:r w:rsidRPr="00280597">
              <w:t>PEFO</w:t>
            </w:r>
            <w:r w:rsidR="00280597" w:rsidRPr="00280597">
              <w:t>)</w:t>
            </w:r>
            <w:r w:rsidRPr="00280597">
              <w:t xml:space="preserve"> </w:t>
            </w:r>
            <w:r w:rsidR="00280597">
              <w:t>measure ‘</w:t>
            </w:r>
            <w:r w:rsidR="00280597" w:rsidRPr="00280597">
              <w:rPr>
                <w:i/>
              </w:rPr>
              <w:t>Same Sex Marriage Plebiscite’</w:t>
            </w:r>
            <w:r>
              <w:t xml:space="preserve"> with a threshold plebiscite asking if Australia should become a republic. </w:t>
            </w:r>
          </w:p>
          <w:p w:rsidR="00C21A13" w:rsidRPr="00280597" w:rsidRDefault="00C21A13" w:rsidP="00280597">
            <w:pPr>
              <w:cnfStyle w:val="000000100000" w:firstRow="0" w:lastRow="0" w:firstColumn="0" w:lastColumn="0" w:oddVBand="0" w:evenVBand="0" w:oddHBand="1" w:evenHBand="0" w:firstRowFirstColumn="0" w:firstRowLastColumn="0" w:lastRowFirstColumn="0" w:lastRowLastColumn="0"/>
              <w:rPr>
                <w:u w:val="single"/>
              </w:rPr>
            </w:pPr>
            <w:r w:rsidRPr="00280597">
              <w:rPr>
                <w:u w:val="single"/>
              </w:rPr>
              <w:t xml:space="preserve">Component 3: </w:t>
            </w:r>
            <w:r w:rsidR="0039727D">
              <w:rPr>
                <w:u w:val="single"/>
              </w:rPr>
              <w:t xml:space="preserve">Republic </w:t>
            </w:r>
            <w:r w:rsidRPr="00280597">
              <w:rPr>
                <w:u w:val="single"/>
              </w:rPr>
              <w:t>Referendum</w:t>
            </w:r>
          </w:p>
          <w:p w:rsidR="00142B9B" w:rsidRPr="00613C50" w:rsidRDefault="00C21A13" w:rsidP="008A1630">
            <w:pPr>
              <w:pStyle w:val="Bullet1"/>
              <w:ind w:left="397" w:hanging="284"/>
              <w:cnfStyle w:val="000000100000" w:firstRow="0" w:lastRow="0" w:firstColumn="0" w:lastColumn="0" w:oddVBand="0" w:evenVBand="0" w:oddHBand="1" w:evenHBand="0" w:firstRowFirstColumn="0" w:firstRowLastColumn="0" w:lastRowFirstColumn="0" w:lastRowLastColumn="0"/>
            </w:pPr>
            <w:r>
              <w:t>A referendum to formally put a proposal for a constitutional change to the Australian people</w:t>
            </w:r>
            <w:r w:rsidR="00C9350A" w:rsidRPr="005E77B9">
              <w:t>.</w:t>
            </w:r>
            <w:r>
              <w:t xml:space="preserve">  To be held with the next general election, due in 2019.</w:t>
            </w:r>
          </w:p>
          <w:p w:rsidR="004D5525" w:rsidRDefault="004D5525" w:rsidP="00142B9B">
            <w:pPr>
              <w:cnfStyle w:val="000000100000" w:firstRow="0" w:lastRow="0" w:firstColumn="0" w:lastColumn="0" w:oddVBand="0" w:evenVBand="0" w:oddHBand="1" w:evenHBand="0" w:firstRowFirstColumn="0" w:firstRowLastColumn="0" w:lastRowFirstColumn="0" w:lastRowLastColumn="0"/>
            </w:pPr>
            <w:r w:rsidRPr="00613C50">
              <w:t xml:space="preserve">The proposal would have effect from </w:t>
            </w:r>
            <w:r w:rsidR="00142B9B" w:rsidRPr="00613C50">
              <w:t>1 January 2017</w:t>
            </w:r>
            <w:r w:rsidRPr="00613C50">
              <w:t>.</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Person/party requesting costing:</w:t>
            </w:r>
          </w:p>
        </w:tc>
        <w:tc>
          <w:tcPr>
            <w:tcW w:w="5335" w:type="dxa"/>
          </w:tcPr>
          <w:p w:rsidR="004D5525" w:rsidRDefault="00E67D7C" w:rsidP="004D5525">
            <w:pPr>
              <w:pStyle w:val="BodyText"/>
              <w:cnfStyle w:val="000000000000" w:firstRow="0" w:lastRow="0" w:firstColumn="0" w:lastColumn="0" w:oddVBand="0" w:evenVBand="0" w:oddHBand="0" w:evenHBand="0" w:firstRowFirstColumn="0" w:firstRowLastColumn="0" w:lastRowFirstColumn="0" w:lastRowLastColumn="0"/>
            </w:pPr>
            <w:r>
              <w:t>Senator Richard Di Natale, Australian Greens</w:t>
            </w:r>
          </w:p>
        </w:tc>
      </w:tr>
      <w:tr w:rsidR="00B60C58" w:rsidTr="00AD4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60C58" w:rsidRDefault="00B60C58" w:rsidP="00AD4184">
            <w:pPr>
              <w:pStyle w:val="BodyText"/>
            </w:pPr>
            <w:r>
              <w:t>Date of public release of policy:</w:t>
            </w:r>
          </w:p>
        </w:tc>
        <w:tc>
          <w:tcPr>
            <w:tcW w:w="5335" w:type="dxa"/>
          </w:tcPr>
          <w:p w:rsidR="00B60C58" w:rsidRPr="00C17112" w:rsidRDefault="00FC72AB" w:rsidP="00E67D7C">
            <w:pPr>
              <w:pStyle w:val="BodyText"/>
              <w:cnfStyle w:val="000000100000" w:firstRow="0" w:lastRow="0" w:firstColumn="0" w:lastColumn="0" w:oddVBand="0" w:evenVBand="0" w:oddHBand="1" w:evenHBand="0" w:firstRowFirstColumn="0" w:firstRowLastColumn="0" w:lastRowFirstColumn="0" w:lastRowLastColumn="0"/>
            </w:pPr>
            <w:r>
              <w:t>10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request received:</w:t>
            </w:r>
          </w:p>
        </w:tc>
        <w:tc>
          <w:tcPr>
            <w:tcW w:w="5335" w:type="dxa"/>
          </w:tcPr>
          <w:p w:rsidR="004D5525" w:rsidRDefault="005E1902" w:rsidP="004D5525">
            <w:pPr>
              <w:pStyle w:val="BodyText"/>
              <w:cnfStyle w:val="000000000000" w:firstRow="0" w:lastRow="0" w:firstColumn="0" w:lastColumn="0" w:oddVBand="0" w:evenVBand="0" w:oddHBand="0" w:evenHBand="0" w:firstRowFirstColumn="0" w:firstRowLastColumn="0" w:lastRowFirstColumn="0" w:lastRowLastColumn="0"/>
            </w:pPr>
            <w:r>
              <w:t>28 June 2016</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completed</w:t>
            </w:r>
            <w:r w:rsidR="005417A2">
              <w:t>:</w:t>
            </w:r>
          </w:p>
        </w:tc>
        <w:tc>
          <w:tcPr>
            <w:tcW w:w="5335" w:type="dxa"/>
          </w:tcPr>
          <w:p w:rsidR="004D5525" w:rsidRPr="00C17112" w:rsidRDefault="00C043EB" w:rsidP="004D5525">
            <w:pPr>
              <w:pStyle w:val="BodyText"/>
              <w:cnfStyle w:val="000000100000" w:firstRow="0" w:lastRow="0" w:firstColumn="0" w:lastColumn="0" w:oddVBand="0" w:evenVBand="0" w:oddHBand="1" w:evenHBand="0" w:firstRowFirstColumn="0" w:firstRowLastColumn="0" w:lastRowFirstColumn="0" w:lastRowLastColumn="0"/>
            </w:pPr>
            <w:r>
              <w:t>29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E662B7" w:rsidP="00CF1369">
            <w:pPr>
              <w:pStyle w:val="BodyText"/>
              <w:cnfStyle w:val="000000000000" w:firstRow="0" w:lastRow="0" w:firstColumn="0" w:lastColumn="0" w:oddVBand="0" w:evenVBand="0" w:oddHBand="0" w:evenHBand="0" w:firstRowFirstColumn="0" w:firstRowLastColumn="0" w:lastRowFirstColumn="0" w:lastRowLastColumn="0"/>
            </w:pPr>
            <w:r>
              <w:t>R</w:t>
            </w:r>
            <w:r w:rsidR="004D5525" w:rsidRPr="00220BE5">
              <w:t xml:space="preserve">elease of </w:t>
            </w:r>
            <w:r w:rsidR="00220BE5">
              <w:t xml:space="preserve">the next economic and fiscal </w:t>
            </w:r>
            <w:r w:rsidR="00CF1369">
              <w:t>outlook report</w:t>
            </w:r>
          </w:p>
        </w:tc>
      </w:tr>
    </w:tbl>
    <w:p w:rsidR="0055581F" w:rsidRPr="00002D5D" w:rsidRDefault="008030EC" w:rsidP="00FC6579">
      <w:pPr>
        <w:pStyle w:val="Heading2"/>
      </w:pPr>
      <w:r w:rsidRPr="00002D5D">
        <w:lastRenderedPageBreak/>
        <w:t>Costing overview</w:t>
      </w:r>
    </w:p>
    <w:p w:rsidR="008030EC" w:rsidRPr="00002D5D" w:rsidRDefault="00E21FFF" w:rsidP="00FC6579">
      <w:pPr>
        <w:keepNext/>
        <w:keepLines/>
      </w:pPr>
      <w:r w:rsidRPr="00613C50">
        <w:t>This proposal would be</w:t>
      </w:r>
      <w:r w:rsidR="008030EC" w:rsidRPr="00613C50">
        <w:t xml:space="preserve"> expected to decrease </w:t>
      </w:r>
      <w:r w:rsidR="00142B9B" w:rsidRPr="00613C50">
        <w:t xml:space="preserve">both </w:t>
      </w:r>
      <w:r w:rsidR="008030EC" w:rsidRPr="00613C50">
        <w:t xml:space="preserve">the </w:t>
      </w:r>
      <w:r w:rsidR="005035DA" w:rsidRPr="00613C50">
        <w:t xml:space="preserve">fiscal </w:t>
      </w:r>
      <w:r w:rsidR="00142B9B" w:rsidRPr="00613C50">
        <w:t xml:space="preserve">and underlying cash </w:t>
      </w:r>
      <w:r w:rsidR="005035DA" w:rsidRPr="00613C50">
        <w:t>balance</w:t>
      </w:r>
      <w:r w:rsidR="00142B9B" w:rsidRPr="00613C50">
        <w:t>s</w:t>
      </w:r>
      <w:r w:rsidR="008030EC" w:rsidRPr="00613C50">
        <w:t xml:space="preserve"> by </w:t>
      </w:r>
      <w:r w:rsidR="007219BC" w:rsidRPr="005E77B9">
        <w:t>$</w:t>
      </w:r>
      <w:r w:rsidR="005563E3">
        <w:t>70.5</w:t>
      </w:r>
      <w:r w:rsidR="008030EC" w:rsidRPr="005E77B9">
        <w:t> </w:t>
      </w:r>
      <w:r w:rsidR="00DD3E18" w:rsidRPr="005E77B9">
        <w:t>million</w:t>
      </w:r>
      <w:r w:rsidR="008030EC" w:rsidRPr="005E77B9">
        <w:t xml:space="preserve"> over the 201</w:t>
      </w:r>
      <w:r w:rsidR="00142B9B" w:rsidRPr="005E77B9">
        <w:t>6</w:t>
      </w:r>
      <w:r w:rsidR="008030EC" w:rsidRPr="005E77B9">
        <w:t>–1</w:t>
      </w:r>
      <w:r w:rsidR="00142B9B" w:rsidRPr="005E77B9">
        <w:t>7</w:t>
      </w:r>
      <w:r w:rsidR="008030EC" w:rsidRPr="005E77B9">
        <w:t xml:space="preserve"> Budget forward estimates period.  This impact reflects a</w:t>
      </w:r>
      <w:r w:rsidR="00142B9B" w:rsidRPr="005E77B9">
        <w:t>n</w:t>
      </w:r>
      <w:r w:rsidR="008030EC" w:rsidRPr="005E77B9">
        <w:t xml:space="preserve"> increase in </w:t>
      </w:r>
      <w:r w:rsidR="00142B9B" w:rsidRPr="005E77B9">
        <w:t xml:space="preserve">administered </w:t>
      </w:r>
      <w:r w:rsidR="008030EC" w:rsidRPr="005E77B9">
        <w:t xml:space="preserve">expenses of </w:t>
      </w:r>
      <w:r w:rsidR="00DD3E18" w:rsidRPr="005E77B9">
        <w:t>$</w:t>
      </w:r>
      <w:r w:rsidR="007219BC" w:rsidRPr="005E77B9">
        <w:t>4.8</w:t>
      </w:r>
      <w:r w:rsidR="00DD3E18" w:rsidRPr="005E77B9">
        <w:t> m</w:t>
      </w:r>
      <w:r w:rsidR="008030EC" w:rsidRPr="005E77B9">
        <w:t xml:space="preserve">illion and an increase in </w:t>
      </w:r>
      <w:r w:rsidR="00142B9B" w:rsidRPr="005E77B9">
        <w:t xml:space="preserve">departmental expenses </w:t>
      </w:r>
      <w:r w:rsidR="008030EC" w:rsidRPr="005E77B9">
        <w:t xml:space="preserve">of </w:t>
      </w:r>
      <w:r w:rsidR="005563E3">
        <w:t>$65.7</w:t>
      </w:r>
      <w:r w:rsidR="008030EC" w:rsidRPr="005E77B9">
        <w:t> </w:t>
      </w:r>
      <w:r w:rsidR="00DD3E18" w:rsidRPr="005E77B9">
        <w:t>m</w:t>
      </w:r>
      <w:r w:rsidR="008030EC" w:rsidRPr="005E77B9">
        <w:t>illion over this period.</w:t>
      </w:r>
    </w:p>
    <w:p w:rsidR="007219BC" w:rsidRDefault="007219BC" w:rsidP="007219BC">
      <w:r>
        <w:t>A</w:t>
      </w:r>
      <w:r w:rsidR="00986573">
        <w:t xml:space="preserve"> detailed</w:t>
      </w:r>
      <w:r>
        <w:t xml:space="preserve"> breakdown of the financial </w:t>
      </w:r>
      <w:r w:rsidR="00E61594">
        <w:t>implications</w:t>
      </w:r>
      <w:r>
        <w:t xml:space="preserve"> </w:t>
      </w:r>
      <w:r w:rsidR="00986573">
        <w:t>over the period 2016</w:t>
      </w:r>
      <w:r w:rsidR="00986573">
        <w:noBreakHyphen/>
        <w:t>17 to 2019</w:t>
      </w:r>
      <w:r w:rsidR="00986573">
        <w:noBreakHyphen/>
        <w:t>20 for the total (</w:t>
      </w:r>
      <w:r w:rsidR="00555428">
        <w:t>T</w:t>
      </w:r>
      <w:r w:rsidR="00986573">
        <w:t>able A1) and by component (Tables A2-</w:t>
      </w:r>
      <w:r w:rsidR="0039727D">
        <w:t>A</w:t>
      </w:r>
      <w:r w:rsidR="00986573">
        <w:t>4)</w:t>
      </w:r>
      <w:r>
        <w:t xml:space="preserve"> is at </w:t>
      </w:r>
      <w:r w:rsidRPr="005417A2">
        <w:rPr>
          <w:u w:val="single"/>
        </w:rPr>
        <w:t>Attachment A</w:t>
      </w:r>
      <w:r>
        <w:t>.</w:t>
      </w:r>
    </w:p>
    <w:p w:rsidR="008D3909" w:rsidRPr="00002D5D" w:rsidRDefault="00C043EB" w:rsidP="007219BC">
      <w:pPr>
        <w:rPr>
          <w:highlight w:val="yellow"/>
        </w:rPr>
      </w:pPr>
      <w:r>
        <w:t>Component 1 is</w:t>
      </w:r>
      <w:r w:rsidR="007219BC">
        <w:t xml:space="preserve"> considered to be of high reliability as the estimates are based on capped administered funding with departmental expenditure </w:t>
      </w:r>
      <w:r w:rsidR="00C85DE3">
        <w:t>based on</w:t>
      </w:r>
      <w:r w:rsidR="007219BC">
        <w:t xml:space="preserve"> </w:t>
      </w:r>
      <w:r w:rsidR="007219BC" w:rsidRPr="00613C50">
        <w:t>similar sized programs</w:t>
      </w:r>
      <w:r w:rsidR="008D3909" w:rsidRPr="00613C50">
        <w:t>.</w:t>
      </w:r>
      <w:r>
        <w:t xml:space="preserve">  Components 2 and 3 are considered to be of </w:t>
      </w:r>
      <w:r w:rsidR="0039727D">
        <w:t>medium</w:t>
      </w:r>
      <w:r>
        <w:t xml:space="preserve"> reliability as</w:t>
      </w:r>
      <w:r w:rsidR="00555428">
        <w:t xml:space="preserve">, while </w:t>
      </w:r>
      <w:r>
        <w:t>they are based on estimates</w:t>
      </w:r>
      <w:r w:rsidR="000C1EEA">
        <w:t xml:space="preserve"> from the Australian Electoral Commission</w:t>
      </w:r>
      <w:r w:rsidR="00E61594">
        <w:t xml:space="preserve"> (AEC)</w:t>
      </w:r>
      <w:r w:rsidR="00555428">
        <w:t xml:space="preserve">, there is a degree of uncertainty </w:t>
      </w:r>
      <w:r w:rsidR="00E61594">
        <w:t>to</w:t>
      </w:r>
      <w:r w:rsidR="00555428">
        <w:t xml:space="preserve"> the cost of holding a referendum in concert with a general election</w:t>
      </w:r>
      <w:r>
        <w:t>.</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E67D7C">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8A16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4C603A" w:rsidRDefault="00CA5D42" w:rsidP="008A1630">
            <w:pPr>
              <w:pStyle w:val="TableText"/>
              <w:keepNext/>
              <w:keepLines/>
              <w:spacing w:line="240" w:lineRule="auto"/>
              <w:ind w:left="57" w:right="57"/>
              <w:rPr>
                <w:rFonts w:ascii="Calibri" w:hAnsi="Calibri"/>
                <w:b w:val="0"/>
                <w:szCs w:val="20"/>
              </w:rPr>
            </w:pPr>
            <w:r w:rsidRPr="004C603A">
              <w:rPr>
                <w:rFonts w:ascii="Calibri" w:hAnsi="Calibri"/>
                <w:b w:val="0"/>
                <w:szCs w:val="20"/>
              </w:rPr>
              <w:t>Impact on</w:t>
            </w:r>
            <w:r w:rsidR="00461597" w:rsidRPr="004C603A">
              <w:rPr>
                <w:rFonts w:ascii="Calibri" w:hAnsi="Calibri"/>
                <w:b w:val="0"/>
                <w:szCs w:val="20"/>
              </w:rPr>
              <w:t xml:space="preserve"> ($m)</w:t>
            </w:r>
          </w:p>
        </w:tc>
        <w:tc>
          <w:tcPr>
            <w:tcW w:w="682" w:type="pct"/>
            <w:vAlign w:val="center"/>
          </w:tcPr>
          <w:p w:rsidR="00CA5D42" w:rsidRPr="004C603A" w:rsidRDefault="00CA5D42" w:rsidP="008A1630">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4C603A">
              <w:rPr>
                <w:rFonts w:ascii="Calibri" w:hAnsi="Calibri"/>
                <w:b w:val="0"/>
                <w:sz w:val="20"/>
                <w:szCs w:val="20"/>
              </w:rPr>
              <w:t>2016–17</w:t>
            </w:r>
          </w:p>
        </w:tc>
        <w:tc>
          <w:tcPr>
            <w:tcW w:w="682" w:type="pct"/>
            <w:vAlign w:val="center"/>
          </w:tcPr>
          <w:p w:rsidR="00CA5D42" w:rsidRPr="004C603A" w:rsidRDefault="00CA5D42" w:rsidP="008A1630">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4C603A">
              <w:rPr>
                <w:rFonts w:ascii="Calibri" w:hAnsi="Calibri"/>
                <w:b w:val="0"/>
                <w:sz w:val="20"/>
                <w:szCs w:val="20"/>
              </w:rPr>
              <w:t>2017–18</w:t>
            </w:r>
          </w:p>
        </w:tc>
        <w:tc>
          <w:tcPr>
            <w:tcW w:w="682" w:type="pct"/>
            <w:vAlign w:val="center"/>
          </w:tcPr>
          <w:p w:rsidR="00CA5D42" w:rsidRPr="004C603A" w:rsidRDefault="00CA5D42" w:rsidP="008A1630">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4C603A">
              <w:rPr>
                <w:rFonts w:ascii="Calibri" w:hAnsi="Calibri"/>
                <w:b w:val="0"/>
                <w:sz w:val="20"/>
                <w:szCs w:val="20"/>
              </w:rPr>
              <w:t>2018–19</w:t>
            </w:r>
          </w:p>
        </w:tc>
        <w:tc>
          <w:tcPr>
            <w:tcW w:w="682" w:type="pct"/>
            <w:vAlign w:val="center"/>
          </w:tcPr>
          <w:p w:rsidR="00CA5D42" w:rsidRPr="004C603A" w:rsidRDefault="00CA5D42" w:rsidP="008A1630">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4C603A">
              <w:rPr>
                <w:rFonts w:ascii="Calibri" w:hAnsi="Calibri"/>
                <w:b w:val="0"/>
                <w:sz w:val="20"/>
                <w:szCs w:val="20"/>
              </w:rPr>
              <w:t>2019–20</w:t>
            </w:r>
          </w:p>
        </w:tc>
        <w:tc>
          <w:tcPr>
            <w:tcW w:w="681" w:type="pct"/>
            <w:vAlign w:val="center"/>
          </w:tcPr>
          <w:p w:rsidR="00CA5D42" w:rsidRPr="00B73AC8" w:rsidRDefault="00CA5D42" w:rsidP="008A1630">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3AC8">
              <w:rPr>
                <w:rFonts w:ascii="Calibri" w:hAnsi="Calibri"/>
                <w:sz w:val="20"/>
                <w:szCs w:val="20"/>
              </w:rPr>
              <w:t>Total</w:t>
            </w:r>
          </w:p>
        </w:tc>
      </w:tr>
      <w:tr w:rsidR="00EA265F" w:rsidRPr="00B73AC8" w:rsidTr="008A1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EA265F" w:rsidRPr="00B73AC8" w:rsidRDefault="00EA265F" w:rsidP="008A1630">
            <w:pPr>
              <w:pStyle w:val="TableTextCentred"/>
              <w:keepNext/>
              <w:keepLines/>
              <w:spacing w:line="240" w:lineRule="auto"/>
              <w:ind w:left="57" w:right="57"/>
              <w:jc w:val="left"/>
              <w:rPr>
                <w:rFonts w:ascii="Calibri" w:hAnsi="Calibri"/>
                <w:szCs w:val="20"/>
              </w:rPr>
            </w:pPr>
            <w:r w:rsidRPr="00B73AC8">
              <w:rPr>
                <w:rFonts w:ascii="Calibri" w:hAnsi="Calibri"/>
                <w:szCs w:val="20"/>
              </w:rPr>
              <w:t>Fiscal balance</w:t>
            </w:r>
          </w:p>
        </w:tc>
        <w:tc>
          <w:tcPr>
            <w:tcW w:w="682" w:type="pct"/>
            <w:vAlign w:val="center"/>
          </w:tcPr>
          <w:p w:rsidR="00EA265F" w:rsidRPr="00B73AC8" w:rsidRDefault="007219BC" w:rsidP="008A1630">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-0.8</w:t>
            </w:r>
          </w:p>
        </w:tc>
        <w:tc>
          <w:tcPr>
            <w:tcW w:w="682" w:type="pct"/>
            <w:vAlign w:val="center"/>
          </w:tcPr>
          <w:p w:rsidR="00EA265F" w:rsidRPr="005E77B9" w:rsidRDefault="007219BC" w:rsidP="008A1630">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sidRPr="005E77B9">
              <w:rPr>
                <w:rFonts w:ascii="Calibri" w:hAnsi="Calibri"/>
                <w:szCs w:val="20"/>
              </w:rPr>
              <w:t>-</w:t>
            </w:r>
            <w:r w:rsidR="005E77B9" w:rsidRPr="005E77B9">
              <w:rPr>
                <w:rFonts w:ascii="Calibri" w:hAnsi="Calibri"/>
                <w:szCs w:val="20"/>
              </w:rPr>
              <w:t>1</w:t>
            </w:r>
            <w:r w:rsidRPr="005E77B9">
              <w:rPr>
                <w:rFonts w:ascii="Calibri" w:hAnsi="Calibri"/>
                <w:szCs w:val="20"/>
              </w:rPr>
              <w:t>.7</w:t>
            </w:r>
          </w:p>
        </w:tc>
        <w:tc>
          <w:tcPr>
            <w:tcW w:w="682" w:type="pct"/>
            <w:vAlign w:val="center"/>
          </w:tcPr>
          <w:p w:rsidR="00EA265F" w:rsidRPr="00B73AC8" w:rsidRDefault="007219BC" w:rsidP="008A1630">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-1.7</w:t>
            </w:r>
          </w:p>
        </w:tc>
        <w:tc>
          <w:tcPr>
            <w:tcW w:w="682" w:type="pct"/>
            <w:vAlign w:val="center"/>
          </w:tcPr>
          <w:p w:rsidR="00EA265F" w:rsidRPr="00986573" w:rsidRDefault="005563E3" w:rsidP="008A1630">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highlight w:val="magenta"/>
              </w:rPr>
            </w:pPr>
            <w:r w:rsidRPr="005563E3">
              <w:rPr>
                <w:rFonts w:ascii="Calibri" w:hAnsi="Calibri"/>
                <w:szCs w:val="20"/>
              </w:rPr>
              <w:t>-66.3</w:t>
            </w:r>
          </w:p>
        </w:tc>
        <w:tc>
          <w:tcPr>
            <w:tcW w:w="681" w:type="pct"/>
            <w:vAlign w:val="center"/>
          </w:tcPr>
          <w:p w:rsidR="00EA265F" w:rsidRPr="004C603A" w:rsidRDefault="007219BC" w:rsidP="008A1630">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sidRPr="004C603A">
              <w:rPr>
                <w:rFonts w:ascii="Calibri" w:hAnsi="Calibri"/>
                <w:b/>
                <w:szCs w:val="20"/>
              </w:rPr>
              <w:t>-</w:t>
            </w:r>
            <w:r w:rsidR="005563E3">
              <w:rPr>
                <w:rFonts w:ascii="Calibri" w:hAnsi="Calibri"/>
                <w:b/>
                <w:szCs w:val="20"/>
              </w:rPr>
              <w:t>70</w:t>
            </w:r>
            <w:r w:rsidRPr="004C603A">
              <w:rPr>
                <w:rFonts w:ascii="Calibri" w:hAnsi="Calibri"/>
                <w:b/>
                <w:szCs w:val="20"/>
              </w:rPr>
              <w:t>.</w:t>
            </w:r>
            <w:r w:rsidR="005563E3">
              <w:rPr>
                <w:rFonts w:ascii="Calibri" w:hAnsi="Calibri"/>
                <w:b/>
                <w:szCs w:val="20"/>
              </w:rPr>
              <w:t>5</w:t>
            </w:r>
          </w:p>
        </w:tc>
      </w:tr>
      <w:tr w:rsidR="005563E3" w:rsidRPr="00B73AC8" w:rsidTr="008A1630">
        <w:tc>
          <w:tcPr>
            <w:cnfStyle w:val="001000000000" w:firstRow="0" w:lastRow="0" w:firstColumn="1" w:lastColumn="0" w:oddVBand="0" w:evenVBand="0" w:oddHBand="0" w:evenHBand="0" w:firstRowFirstColumn="0" w:firstRowLastColumn="0" w:lastRowFirstColumn="0" w:lastRowLastColumn="0"/>
            <w:tcW w:w="1591" w:type="pct"/>
            <w:vAlign w:val="center"/>
          </w:tcPr>
          <w:p w:rsidR="005563E3" w:rsidRPr="00B73AC8" w:rsidRDefault="005563E3" w:rsidP="008A1630">
            <w:pPr>
              <w:pStyle w:val="TableTextCentred"/>
              <w:keepNext/>
              <w:keepLines/>
              <w:spacing w:line="240" w:lineRule="auto"/>
              <w:ind w:left="57" w:right="57"/>
              <w:jc w:val="left"/>
              <w:rPr>
                <w:rFonts w:ascii="Calibri" w:hAnsi="Calibri"/>
                <w:szCs w:val="20"/>
              </w:rPr>
            </w:pPr>
            <w:r w:rsidRPr="00B73AC8">
              <w:rPr>
                <w:rFonts w:ascii="Calibri" w:hAnsi="Calibri"/>
                <w:szCs w:val="20"/>
              </w:rPr>
              <w:t>Underlying cash balance</w:t>
            </w:r>
          </w:p>
        </w:tc>
        <w:tc>
          <w:tcPr>
            <w:tcW w:w="682" w:type="pct"/>
            <w:vAlign w:val="center"/>
          </w:tcPr>
          <w:p w:rsidR="005563E3" w:rsidRPr="00B73AC8" w:rsidRDefault="005563E3" w:rsidP="008A1630">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-0.8</w:t>
            </w:r>
          </w:p>
        </w:tc>
        <w:tc>
          <w:tcPr>
            <w:tcW w:w="682" w:type="pct"/>
            <w:vAlign w:val="center"/>
          </w:tcPr>
          <w:p w:rsidR="005563E3" w:rsidRPr="005E77B9" w:rsidRDefault="005563E3" w:rsidP="008A1630">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5E77B9">
              <w:rPr>
                <w:rFonts w:ascii="Calibri" w:hAnsi="Calibri"/>
                <w:szCs w:val="20"/>
              </w:rPr>
              <w:t>-1.7</w:t>
            </w:r>
          </w:p>
        </w:tc>
        <w:tc>
          <w:tcPr>
            <w:tcW w:w="682" w:type="pct"/>
            <w:vAlign w:val="center"/>
          </w:tcPr>
          <w:p w:rsidR="005563E3" w:rsidRPr="00B73AC8" w:rsidRDefault="005563E3" w:rsidP="008A1630">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-1.7</w:t>
            </w:r>
          </w:p>
        </w:tc>
        <w:tc>
          <w:tcPr>
            <w:tcW w:w="682" w:type="pct"/>
            <w:vAlign w:val="center"/>
          </w:tcPr>
          <w:p w:rsidR="005563E3" w:rsidRPr="00986573" w:rsidRDefault="005563E3" w:rsidP="008A1630">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highlight w:val="magenta"/>
              </w:rPr>
            </w:pPr>
            <w:r w:rsidRPr="005563E3">
              <w:rPr>
                <w:rFonts w:ascii="Calibri" w:hAnsi="Calibri"/>
                <w:szCs w:val="20"/>
              </w:rPr>
              <w:t>-66.3</w:t>
            </w:r>
          </w:p>
        </w:tc>
        <w:tc>
          <w:tcPr>
            <w:tcW w:w="681" w:type="pct"/>
            <w:vAlign w:val="center"/>
          </w:tcPr>
          <w:p w:rsidR="005563E3" w:rsidRPr="004C603A" w:rsidRDefault="005563E3" w:rsidP="008A1630">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4C603A">
              <w:rPr>
                <w:rFonts w:ascii="Calibri" w:hAnsi="Calibri"/>
                <w:b/>
                <w:szCs w:val="20"/>
              </w:rPr>
              <w:t>-</w:t>
            </w:r>
            <w:r>
              <w:rPr>
                <w:rFonts w:ascii="Calibri" w:hAnsi="Calibri"/>
                <w:b/>
                <w:szCs w:val="20"/>
              </w:rPr>
              <w:t>70</w:t>
            </w:r>
            <w:r w:rsidRPr="004C603A">
              <w:rPr>
                <w:rFonts w:ascii="Calibri" w:hAnsi="Calibri"/>
                <w:b/>
                <w:szCs w:val="20"/>
              </w:rPr>
              <w:t>.</w:t>
            </w:r>
            <w:r>
              <w:rPr>
                <w:rFonts w:ascii="Calibri" w:hAnsi="Calibri"/>
                <w:b/>
                <w:szCs w:val="20"/>
              </w:rPr>
              <w:t>5</w:t>
            </w:r>
          </w:p>
        </w:tc>
      </w:tr>
    </w:tbl>
    <w:p w:rsidR="009D4063" w:rsidRDefault="00E67D7C" w:rsidP="007219BC">
      <w:pPr>
        <w:pStyle w:val="Footnotes"/>
        <w:keepNext/>
        <w:keepLines/>
        <w:numPr>
          <w:ilvl w:val="0"/>
          <w:numId w:val="7"/>
        </w:numPr>
        <w:ind w:left="284" w:hanging="284"/>
      </w:pPr>
      <w:r>
        <w:t>A positive number indicates an increase in the relevant budget balance</w:t>
      </w:r>
      <w:r w:rsidR="00C962E1">
        <w:t>;</w:t>
      </w:r>
      <w:r>
        <w:t xml:space="preserve"> a negative number a decrease.</w:t>
      </w:r>
    </w:p>
    <w:p w:rsidR="00E67D7C" w:rsidRPr="007219BC" w:rsidRDefault="00E67D7C" w:rsidP="007219BC">
      <w:pPr>
        <w:pStyle w:val="Footnotes"/>
        <w:keepNext/>
        <w:keepLines/>
        <w:numPr>
          <w:ilvl w:val="0"/>
          <w:numId w:val="7"/>
        </w:numPr>
        <w:ind w:left="284" w:hanging="284"/>
      </w:pPr>
      <w:r>
        <w:t>Figures may not sum to totals due to rounding.</w:t>
      </w:r>
    </w:p>
    <w:p w:rsidR="00A772B8" w:rsidRDefault="00A772B8" w:rsidP="00E40B8B">
      <w:pPr>
        <w:pStyle w:val="Heading2"/>
      </w:pPr>
      <w:r>
        <w:t>Key assumptions</w:t>
      </w:r>
    </w:p>
    <w:p w:rsidR="00A772B8" w:rsidRPr="00A772B8" w:rsidRDefault="00A772B8" w:rsidP="00A772B8">
      <w:pPr>
        <w:pStyle w:val="Bullet1"/>
      </w:pPr>
      <w:r>
        <w:t>In completing this costing the PBO has assumed that the next general election would be held in the second half of 2019, following the expiry of the term of the next House of Representatives.  An earlier election could result in a change in the timing of the cost of the proposed referendum to be held in conjunction with the next general election.</w:t>
      </w:r>
    </w:p>
    <w:p w:rsidR="005E3562" w:rsidRPr="005E77B9" w:rsidRDefault="005E3562" w:rsidP="00E40B8B">
      <w:pPr>
        <w:pStyle w:val="Heading2"/>
      </w:pPr>
      <w:r w:rsidRPr="005E77B9">
        <w:t>Methodology</w:t>
      </w:r>
    </w:p>
    <w:p w:rsidR="005563E3" w:rsidRPr="005563E3" w:rsidRDefault="005563E3" w:rsidP="007219BC">
      <w:pPr>
        <w:rPr>
          <w:u w:val="single"/>
        </w:rPr>
      </w:pPr>
      <w:r w:rsidRPr="005563E3">
        <w:rPr>
          <w:u w:val="single"/>
        </w:rPr>
        <w:t>Component 1</w:t>
      </w:r>
    </w:p>
    <w:p w:rsidR="007219BC" w:rsidRPr="005E77B9" w:rsidRDefault="005563E3" w:rsidP="007219BC">
      <w:r>
        <w:t>D</w:t>
      </w:r>
      <w:r w:rsidR="007219BC" w:rsidRPr="005E77B9">
        <w:t>epartmental expen</w:t>
      </w:r>
      <w:r w:rsidR="00E61594">
        <w:t>s</w:t>
      </w:r>
      <w:r w:rsidR="007219BC" w:rsidRPr="005E77B9">
        <w:t xml:space="preserve">e estimates are </w:t>
      </w:r>
      <w:r w:rsidR="00CC2A0D">
        <w:t xml:space="preserve">included </w:t>
      </w:r>
      <w:r w:rsidR="007219BC" w:rsidRPr="005E77B9">
        <w:t>within the capped funding amounts as specified</w:t>
      </w:r>
      <w:r w:rsidR="001C5A91" w:rsidRPr="005E77B9">
        <w:t xml:space="preserve"> in the request</w:t>
      </w:r>
      <w:r w:rsidR="007219BC" w:rsidRPr="005E77B9">
        <w:t xml:space="preserve">.  These estimates are based on </w:t>
      </w:r>
      <w:r w:rsidR="00FC72AB">
        <w:t>similar</w:t>
      </w:r>
      <w:r w:rsidR="00FC72AB" w:rsidRPr="005E77B9">
        <w:t xml:space="preserve"> </w:t>
      </w:r>
      <w:r w:rsidR="007219BC" w:rsidRPr="005E77B9">
        <w:t>programs</w:t>
      </w:r>
      <w:r w:rsidR="00A4188A">
        <w:t>,</w:t>
      </w:r>
      <w:r w:rsidR="001C5A91" w:rsidRPr="005E77B9">
        <w:t xml:space="preserve"> </w:t>
      </w:r>
      <w:r w:rsidR="007219BC" w:rsidRPr="005E77B9">
        <w:t>account</w:t>
      </w:r>
      <w:r w:rsidR="00FC72AB">
        <w:t>ing</w:t>
      </w:r>
      <w:r w:rsidR="007219BC" w:rsidRPr="005E77B9">
        <w:t xml:space="preserve"> for the net effect of indexation parameters and the efficiency dividend, in accordance with the Department of Finance’s costing practices.</w:t>
      </w:r>
    </w:p>
    <w:p w:rsidR="005E3562" w:rsidRDefault="007219BC" w:rsidP="007219BC">
      <w:r w:rsidRPr="005E77B9">
        <w:t>Administered expen</w:t>
      </w:r>
      <w:r w:rsidR="00E61594">
        <w:t>s</w:t>
      </w:r>
      <w:r w:rsidRPr="005E77B9">
        <w:t>e estimates are the remainder of the capped funding amounts after allowing for estimated departmental expen</w:t>
      </w:r>
      <w:r w:rsidR="00E61594">
        <w:t>s</w:t>
      </w:r>
      <w:r w:rsidRPr="005E77B9">
        <w:t>e</w:t>
      </w:r>
      <w:r w:rsidR="00E61594">
        <w:t>s</w:t>
      </w:r>
      <w:r w:rsidRPr="005E77B9">
        <w:t>.</w:t>
      </w:r>
    </w:p>
    <w:p w:rsidR="005563E3" w:rsidRPr="005E77B9" w:rsidRDefault="005563E3" w:rsidP="007219BC">
      <w:r>
        <w:rPr>
          <w:u w:val="single"/>
        </w:rPr>
        <w:t>Component 2</w:t>
      </w:r>
    </w:p>
    <w:p w:rsidR="00613C50" w:rsidRDefault="00613C50" w:rsidP="007219BC">
      <w:r w:rsidRPr="005E77B9">
        <w:t>The expen</w:t>
      </w:r>
      <w:r w:rsidR="00CC2A0D">
        <w:t>se</w:t>
      </w:r>
      <w:r w:rsidRPr="005E77B9">
        <w:t xml:space="preserve"> estimates for the pleb</w:t>
      </w:r>
      <w:r w:rsidR="00986573">
        <w:t xml:space="preserve">iscite are based on </w:t>
      </w:r>
      <w:r w:rsidR="005563E3">
        <w:t>estimates for the</w:t>
      </w:r>
      <w:r w:rsidR="00A906CD">
        <w:t xml:space="preserve"> </w:t>
      </w:r>
      <w:r w:rsidR="00A906CD">
        <w:rPr>
          <w:i/>
        </w:rPr>
        <w:t>Same Sex Marriage</w:t>
      </w:r>
      <w:r w:rsidR="005563E3">
        <w:t xml:space="preserve"> </w:t>
      </w:r>
      <w:r w:rsidR="00A906CD">
        <w:rPr>
          <w:i/>
        </w:rPr>
        <w:t>P</w:t>
      </w:r>
      <w:r w:rsidR="00986573" w:rsidRPr="004C5EE3">
        <w:rPr>
          <w:i/>
        </w:rPr>
        <w:t>lebiscite</w:t>
      </w:r>
      <w:r w:rsidR="00986573">
        <w:t xml:space="preserve"> </w:t>
      </w:r>
      <w:r w:rsidRPr="005E77B9">
        <w:t>announced in the 2016</w:t>
      </w:r>
      <w:r w:rsidRPr="005E77B9">
        <w:noBreakHyphen/>
        <w:t xml:space="preserve">17 </w:t>
      </w:r>
      <w:r w:rsidR="00986573">
        <w:t>PEFO</w:t>
      </w:r>
      <w:r w:rsidRPr="005E77B9">
        <w:t>.</w:t>
      </w:r>
    </w:p>
    <w:p w:rsidR="005563E3" w:rsidRDefault="005563E3" w:rsidP="007219BC">
      <w:pPr>
        <w:rPr>
          <w:u w:val="single"/>
        </w:rPr>
      </w:pPr>
      <w:r>
        <w:rPr>
          <w:u w:val="single"/>
        </w:rPr>
        <w:lastRenderedPageBreak/>
        <w:t>Component 3</w:t>
      </w:r>
    </w:p>
    <w:p w:rsidR="005563E3" w:rsidRPr="005E77B9" w:rsidRDefault="005563E3" w:rsidP="007219BC">
      <w:r w:rsidRPr="005E77B9">
        <w:t>The expen</w:t>
      </w:r>
      <w:r w:rsidR="00CC2A0D">
        <w:t>s</w:t>
      </w:r>
      <w:r w:rsidRPr="005E77B9">
        <w:t>e estimates for the</w:t>
      </w:r>
      <w:r>
        <w:t xml:space="preserve"> referendum are based on AEC</w:t>
      </w:r>
      <w:r w:rsidR="00E61594">
        <w:t xml:space="preserve"> </w:t>
      </w:r>
      <w:r>
        <w:t xml:space="preserve">estimates of the cost of holding a referendum </w:t>
      </w:r>
      <w:r w:rsidR="00E61594">
        <w:t xml:space="preserve">in concert </w:t>
      </w:r>
      <w:r>
        <w:t xml:space="preserve">with the 2016 election, grown by the relevant </w:t>
      </w:r>
      <w:r w:rsidR="004C5EE3">
        <w:t xml:space="preserve">wage cost </w:t>
      </w:r>
      <w:r>
        <w:t>index.</w:t>
      </w:r>
    </w:p>
    <w:p w:rsidR="005E3562" w:rsidRPr="005E77B9" w:rsidRDefault="005E3562" w:rsidP="00E40B8B">
      <w:pPr>
        <w:pStyle w:val="Heading2"/>
      </w:pPr>
      <w:r w:rsidRPr="005E77B9">
        <w:t>Data sources</w:t>
      </w:r>
    </w:p>
    <w:p w:rsidR="007219BC" w:rsidRDefault="007219BC" w:rsidP="007219BC">
      <w:r w:rsidRPr="00017871">
        <w:t xml:space="preserve">The Department of Finance provided </w:t>
      </w:r>
      <w:r>
        <w:t xml:space="preserve">indexation and efficiency dividend </w:t>
      </w:r>
      <w:r w:rsidRPr="00017871">
        <w:t>parameters.</w:t>
      </w:r>
    </w:p>
    <w:p w:rsidR="00986573" w:rsidRDefault="005563E3" w:rsidP="007219BC">
      <w:r>
        <w:t>The AEC provided estimates of the cost of holding a referendum concurrently with a federal election.</w:t>
      </w:r>
    </w:p>
    <w:p w:rsidR="00CA5D42" w:rsidRPr="00FC6579" w:rsidRDefault="00CA5D42" w:rsidP="00986573">
      <w:pPr>
        <w:pStyle w:val="TableTextBullet"/>
        <w:rPr>
          <w:highlight w:val="yellow"/>
        </w:rPr>
        <w:sectPr w:rsidR="00CA5D42" w:rsidRPr="00FC6579" w:rsidSect="00002D5D">
          <w:headerReference w:type="first" r:id="rId13"/>
          <w:footerReference w:type="first" r:id="rId14"/>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260FFC">
        <w:t xml:space="preserve">  </w:t>
      </w:r>
      <w:r w:rsidR="007219BC">
        <w:t>Towards a republic</w:t>
      </w:r>
      <w:r w:rsidR="00440E32">
        <w:t>—financial implications</w:t>
      </w:r>
    </w:p>
    <w:p w:rsidR="00EA265F" w:rsidRPr="00E30FB5" w:rsidRDefault="00EA265F" w:rsidP="00EA265F">
      <w:pPr>
        <w:pStyle w:val="Captionheading"/>
        <w:rPr>
          <w:vertAlign w:val="superscript"/>
        </w:rPr>
      </w:pPr>
      <w:r w:rsidRPr="00FC5643">
        <w:t xml:space="preserve">Table </w:t>
      </w:r>
      <w:r>
        <w:t>A1</w:t>
      </w:r>
      <w:r w:rsidRPr="00FC5643">
        <w:t xml:space="preserve">: </w:t>
      </w:r>
      <w:r w:rsidR="00C043EB">
        <w:t>Combined impact of all component</w:t>
      </w:r>
      <w:r w:rsidR="00E5393E">
        <w:t>s</w:t>
      </w:r>
      <w:r w:rsidR="00FC4CDF">
        <w:t>—</w:t>
      </w:r>
      <w:r w:rsidR="009041F5">
        <w:t xml:space="preserve">Financial </w:t>
      </w:r>
      <w:proofErr w:type="gramStart"/>
      <w:r w:rsidR="009041F5">
        <w:t>implications</w:t>
      </w:r>
      <w:r w:rsidR="00A906CD">
        <w:rPr>
          <w:vertAlign w:val="superscript"/>
        </w:rPr>
        <w:t>(</w:t>
      </w:r>
      <w:proofErr w:type="gramEnd"/>
      <w:r w:rsidR="00A906CD">
        <w:rPr>
          <w:vertAlign w:val="superscript"/>
        </w:rPr>
        <w:t>a</w:t>
      </w:r>
      <w:r>
        <w:rPr>
          <w:vertAlign w:val="superscript"/>
        </w:rPr>
        <w:t>)</w:t>
      </w:r>
      <w:r w:rsidR="006D603D">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6D603D" w:rsidRPr="00EF1D6A" w:rsidTr="00A8345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FC4CDF" w:rsidRPr="00FC4CDF" w:rsidRDefault="006D603D" w:rsidP="00FC4CDF">
            <w:pPr>
              <w:pStyle w:val="TableText"/>
              <w:keepNext/>
              <w:keepLines/>
              <w:spacing w:line="240" w:lineRule="auto"/>
              <w:ind w:left="57" w:right="57"/>
              <w:rPr>
                <w:rFonts w:ascii="Calibri" w:hAnsi="Calibri"/>
                <w:b w:val="0"/>
                <w:szCs w:val="20"/>
              </w:rPr>
            </w:pPr>
            <w:r w:rsidRPr="00FC4CDF">
              <w:rPr>
                <w:rFonts w:ascii="Calibri" w:hAnsi="Calibri"/>
                <w:b w:val="0"/>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6D603D" w:rsidRPr="00FC4CDF" w:rsidRDefault="006D603D"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6D603D" w:rsidRPr="00FC4CDF" w:rsidRDefault="006D603D"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6D603D" w:rsidRPr="00FC4CDF" w:rsidRDefault="006D603D"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6D603D" w:rsidRPr="00FC4CDF" w:rsidRDefault="006D603D"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6D603D" w:rsidRPr="00AE30B5" w:rsidRDefault="006D603D"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6D603D" w:rsidRPr="00EF1D6A" w:rsidTr="00A834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6D603D" w:rsidRPr="00AE30B5" w:rsidRDefault="00634299" w:rsidP="00FC4CDF">
            <w:pPr>
              <w:pStyle w:val="TableHeadingCentred"/>
              <w:spacing w:line="240" w:lineRule="auto"/>
              <w:ind w:left="57" w:right="57"/>
              <w:jc w:val="left"/>
              <w:rPr>
                <w:b/>
              </w:rPr>
            </w:pPr>
            <w:r>
              <w:rPr>
                <w:b/>
              </w:rPr>
              <w:t>Impact on fiscal and underlying cash balances</w:t>
            </w:r>
          </w:p>
        </w:tc>
      </w:tr>
      <w:tr w:rsidR="006D603D" w:rsidRPr="0066665A" w:rsidTr="00A83458">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D603D" w:rsidRPr="00C17112" w:rsidRDefault="006D603D" w:rsidP="00FC4CDF">
            <w:pPr>
              <w:pStyle w:val="TableTextCentred"/>
              <w:keepNext/>
              <w:keepLines/>
              <w:spacing w:line="240" w:lineRule="auto"/>
              <w:ind w:left="57" w:right="57"/>
              <w:jc w:val="left"/>
              <w:rPr>
                <w:szCs w:val="20"/>
              </w:rPr>
            </w:pPr>
            <w:r>
              <w:rPr>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-0.8</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-1.6</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-1.6</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-0.8</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-4.8</w:t>
            </w:r>
          </w:p>
        </w:tc>
      </w:tr>
      <w:tr w:rsidR="006D603D" w:rsidRPr="0066665A" w:rsidTr="00A834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D603D" w:rsidRPr="005E77B9" w:rsidRDefault="006D603D" w:rsidP="00FC4CDF">
            <w:pPr>
              <w:pStyle w:val="TableTextCentred"/>
              <w:keepNext/>
              <w:keepLines/>
              <w:spacing w:line="240" w:lineRule="auto"/>
              <w:ind w:left="57" w:right="57"/>
              <w:jc w:val="left"/>
              <w:rPr>
                <w:szCs w:val="20"/>
              </w:rPr>
            </w:pPr>
            <w:r w:rsidRPr="005E77B9">
              <w:rPr>
                <w:szCs w:val="20"/>
              </w:rPr>
              <w:t>Departmental</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-0.1</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-0.1</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318B5"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-65.5</w:t>
            </w:r>
          </w:p>
        </w:tc>
        <w:tc>
          <w:tcPr>
            <w:tcW w:w="682" w:type="pct"/>
            <w:tcBorders>
              <w:top w:val="single" w:sz="4" w:space="0" w:color="788184"/>
              <w:left w:val="single" w:sz="4" w:space="0" w:color="788184"/>
              <w:bottom w:val="single" w:sz="4" w:space="0" w:color="788184"/>
              <w:right w:val="single" w:sz="4" w:space="0" w:color="788184"/>
            </w:tcBorders>
          </w:tcPr>
          <w:p w:rsidR="006D603D" w:rsidRPr="00FC4CDF" w:rsidRDefault="006D603D"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r w:rsidR="006318B5" w:rsidRPr="00FC4CDF">
              <w:t>65.7</w:t>
            </w:r>
          </w:p>
        </w:tc>
      </w:tr>
      <w:tr w:rsidR="006D603D" w:rsidRPr="0055406D" w:rsidTr="00EC1D3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D603D" w:rsidRPr="005E77B9" w:rsidRDefault="006D603D" w:rsidP="00FC4CDF">
            <w:pPr>
              <w:pStyle w:val="TableTextCentred"/>
              <w:keepNext/>
              <w:keepLines/>
              <w:spacing w:line="240" w:lineRule="auto"/>
              <w:ind w:left="57" w:right="57"/>
              <w:jc w:val="left"/>
              <w:rPr>
                <w:rFonts w:ascii="Calibri" w:hAnsi="Calibri"/>
                <w:b/>
                <w:szCs w:val="20"/>
              </w:rPr>
            </w:pPr>
            <w:r w:rsidRPr="005E77B9">
              <w:rPr>
                <w:rFonts w:ascii="Calibri" w:hAnsi="Calibri"/>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D603D" w:rsidRPr="005E77B9"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E77B9">
              <w:rPr>
                <w:b/>
                <w:i w:val="0"/>
              </w:rPr>
              <w:t>-0.8</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D603D" w:rsidRPr="005E77B9"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E77B9">
              <w:rPr>
                <w:b/>
                <w:i w:val="0"/>
              </w:rPr>
              <w:t>-1.7</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D603D" w:rsidRPr="005E77B9"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E77B9">
              <w:rPr>
                <w:b/>
                <w:i w:val="0"/>
              </w:rPr>
              <w:t>-1.7</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D603D" w:rsidRPr="005E77B9"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E77B9">
              <w:rPr>
                <w:b/>
                <w:i w:val="0"/>
              </w:rPr>
              <w:t>-</w:t>
            </w:r>
            <w:r w:rsidR="006318B5">
              <w:rPr>
                <w:b/>
                <w:i w:val="0"/>
              </w:rPr>
              <w:t>66.3</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D603D" w:rsidRPr="005E77B9" w:rsidRDefault="006D603D"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E77B9">
              <w:rPr>
                <w:b/>
                <w:i w:val="0"/>
              </w:rPr>
              <w:t>-</w:t>
            </w:r>
            <w:r w:rsidR="006318B5">
              <w:rPr>
                <w:b/>
                <w:i w:val="0"/>
              </w:rPr>
              <w:t>70.5</w:t>
            </w:r>
          </w:p>
        </w:tc>
      </w:tr>
    </w:tbl>
    <w:p w:rsidR="006D603D" w:rsidRDefault="006D603D" w:rsidP="00FC4CDF">
      <w:pPr>
        <w:pStyle w:val="Footnotes"/>
        <w:numPr>
          <w:ilvl w:val="0"/>
          <w:numId w:val="9"/>
        </w:numPr>
        <w:ind w:left="284" w:hanging="284"/>
      </w:pPr>
      <w:r>
        <w:t>A positive number indicates an increase in revenue or decrease in expenses or net capital investment in accrual and cash terms.  A negative number indicates a decrease in revenue or an increase in expenses or net capital investment in accrual and cash terms.</w:t>
      </w:r>
    </w:p>
    <w:p w:rsidR="006D603D" w:rsidRDefault="006D603D" w:rsidP="00FC4CDF">
      <w:pPr>
        <w:pStyle w:val="Footnotes"/>
      </w:pPr>
      <w:r>
        <w:t>Figures may not sum to totals due to rounding.</w:t>
      </w:r>
    </w:p>
    <w:p w:rsidR="006D603D" w:rsidRDefault="006D603D" w:rsidP="00FC4CDF">
      <w:pPr>
        <w:pStyle w:val="Footnotes"/>
        <w:numPr>
          <w:ilvl w:val="0"/>
          <w:numId w:val="0"/>
        </w:numPr>
        <w:ind w:left="284" w:hanging="284"/>
      </w:pPr>
      <w:r>
        <w:t>..</w:t>
      </w:r>
      <w:r w:rsidR="00FC4CDF">
        <w:tab/>
      </w:r>
      <w:r>
        <w:t>Not zero but rounded to zero.</w:t>
      </w:r>
    </w:p>
    <w:p w:rsidR="00C043EB" w:rsidRPr="00E30FB5" w:rsidRDefault="00C043EB" w:rsidP="00C043EB">
      <w:pPr>
        <w:pStyle w:val="Captionheading"/>
        <w:rPr>
          <w:vertAlign w:val="superscript"/>
        </w:rPr>
      </w:pPr>
      <w:r w:rsidRPr="00FC5643">
        <w:t xml:space="preserve">Table </w:t>
      </w:r>
      <w:r>
        <w:t>A2</w:t>
      </w:r>
      <w:r w:rsidRPr="00FC5643">
        <w:t xml:space="preserve">: </w:t>
      </w:r>
      <w:r w:rsidRPr="00C043EB">
        <w:t>Component 1: Participatory process</w:t>
      </w:r>
      <w:r w:rsidR="00FC4CDF">
        <w:t>—</w:t>
      </w:r>
      <w:r>
        <w:t xml:space="preserve">Financial </w:t>
      </w:r>
      <w:proofErr w:type="gramStart"/>
      <w:r>
        <w:t>implications</w:t>
      </w:r>
      <w:r w:rsidR="00A906CD">
        <w:rPr>
          <w:vertAlign w:val="superscript"/>
        </w:rPr>
        <w:t>(</w:t>
      </w:r>
      <w:proofErr w:type="gramEnd"/>
      <w:r w:rsidR="00A906CD">
        <w:rPr>
          <w:vertAlign w:val="superscript"/>
        </w:rPr>
        <w:t>a</w:t>
      </w:r>
      <w:r>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C043EB" w:rsidRPr="00EF1D6A" w:rsidTr="001F15F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FC4CDF" w:rsidRPr="00FC4CDF" w:rsidRDefault="00C043EB" w:rsidP="00FC4CDF">
            <w:pPr>
              <w:pStyle w:val="TableText"/>
              <w:keepNext/>
              <w:keepLines/>
              <w:spacing w:line="240" w:lineRule="auto"/>
              <w:ind w:left="57" w:right="57"/>
              <w:rPr>
                <w:rFonts w:ascii="Calibri" w:hAnsi="Calibri"/>
                <w:b w:val="0"/>
                <w:szCs w:val="20"/>
              </w:rPr>
            </w:pPr>
            <w:r w:rsidRPr="00FC4CDF">
              <w:rPr>
                <w:rFonts w:ascii="Calibri" w:hAnsi="Calibri"/>
                <w:b w:val="0"/>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AE30B5"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C043EB" w:rsidRPr="00EF1D6A" w:rsidTr="001F15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C043EB" w:rsidRPr="00AE30B5" w:rsidRDefault="00C043EB" w:rsidP="00FC4CDF">
            <w:pPr>
              <w:pStyle w:val="TableHeadingCentred"/>
              <w:spacing w:line="240" w:lineRule="auto"/>
              <w:ind w:left="57" w:right="57"/>
              <w:jc w:val="left"/>
              <w:rPr>
                <w:b/>
              </w:rPr>
            </w:pPr>
            <w:r>
              <w:rPr>
                <w:b/>
              </w:rPr>
              <w:t>Impact on fiscal and underlying cash balances</w:t>
            </w:r>
          </w:p>
        </w:tc>
      </w:tr>
      <w:tr w:rsidR="00C043EB" w:rsidRPr="0066665A" w:rsidTr="001F15F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C043EB" w:rsidRPr="00C17112" w:rsidRDefault="00C043EB" w:rsidP="00FC4CDF">
            <w:pPr>
              <w:pStyle w:val="TableTextCentred"/>
              <w:keepNext/>
              <w:keepLines/>
              <w:spacing w:line="240" w:lineRule="auto"/>
              <w:ind w:left="57" w:right="57"/>
              <w:jc w:val="left"/>
              <w:rPr>
                <w:szCs w:val="20"/>
              </w:rPr>
            </w:pPr>
            <w:r>
              <w:rPr>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-0.8</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-1.6</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-1.6</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-0.8</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-4.8</w:t>
            </w:r>
          </w:p>
        </w:tc>
      </w:tr>
      <w:tr w:rsidR="00C043EB" w:rsidRPr="0066665A" w:rsidTr="001F15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C043EB" w:rsidRPr="005E77B9" w:rsidRDefault="00C043EB" w:rsidP="00FC4CDF">
            <w:pPr>
              <w:pStyle w:val="TableTextCentred"/>
              <w:keepNext/>
              <w:keepLines/>
              <w:spacing w:line="240" w:lineRule="auto"/>
              <w:ind w:left="57" w:right="57"/>
              <w:jc w:val="left"/>
              <w:rPr>
                <w:szCs w:val="20"/>
              </w:rPr>
            </w:pPr>
            <w:r w:rsidRPr="005E77B9">
              <w:rPr>
                <w:szCs w:val="20"/>
              </w:rPr>
              <w:t>Departmental</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-0.1</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-0.1</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6318B5"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-0</w:t>
            </w:r>
            <w:r w:rsidR="00C043EB" w:rsidRPr="00FC4CDF">
              <w:t>.2</w:t>
            </w:r>
          </w:p>
        </w:tc>
      </w:tr>
      <w:tr w:rsidR="00C043EB" w:rsidRPr="0055406D" w:rsidTr="001F15F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C043EB" w:rsidRPr="005E77B9" w:rsidRDefault="00C043EB" w:rsidP="00FC4CDF">
            <w:pPr>
              <w:pStyle w:val="TableTextCentred"/>
              <w:keepNext/>
              <w:keepLines/>
              <w:spacing w:line="240" w:lineRule="auto"/>
              <w:ind w:left="57" w:right="57"/>
              <w:jc w:val="left"/>
              <w:rPr>
                <w:rFonts w:ascii="Calibri" w:hAnsi="Calibri"/>
                <w:b/>
                <w:szCs w:val="20"/>
              </w:rPr>
            </w:pPr>
            <w:r w:rsidRPr="005E77B9">
              <w:rPr>
                <w:rFonts w:ascii="Calibri" w:hAnsi="Calibri"/>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C043EB" w:rsidRPr="005E77B9"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E77B9">
              <w:rPr>
                <w:b/>
                <w:i w:val="0"/>
              </w:rPr>
              <w:t>-0.8</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C043EB" w:rsidRPr="005E77B9"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E77B9">
              <w:rPr>
                <w:b/>
                <w:i w:val="0"/>
              </w:rPr>
              <w:t>-1.7</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C043EB" w:rsidRPr="005E77B9"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5E77B9">
              <w:rPr>
                <w:b/>
                <w:i w:val="0"/>
              </w:rPr>
              <w:t>-1.7</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C043EB" w:rsidRPr="005E77B9"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-0</w:t>
            </w:r>
            <w:r w:rsidR="00C043EB" w:rsidRPr="005E77B9">
              <w:rPr>
                <w:b/>
                <w:i w:val="0"/>
              </w:rPr>
              <w:t>.8</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C043EB" w:rsidRPr="005E77B9"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r w:rsidR="00C043EB" w:rsidRPr="005E77B9">
              <w:rPr>
                <w:b/>
                <w:i w:val="0"/>
              </w:rPr>
              <w:t>5.0</w:t>
            </w:r>
          </w:p>
        </w:tc>
      </w:tr>
    </w:tbl>
    <w:p w:rsidR="00C043EB" w:rsidRDefault="00C043EB" w:rsidP="00FC4CDF">
      <w:pPr>
        <w:pStyle w:val="Footnotes"/>
        <w:numPr>
          <w:ilvl w:val="0"/>
          <w:numId w:val="14"/>
        </w:numPr>
        <w:ind w:left="284" w:hanging="284"/>
      </w:pPr>
      <w:r>
        <w:t>A positive number indicates an increase in revenue or decrease in expenses or net capital investment in accrual and cash terms.  A negative number indicates a decrease in revenue or an increase in expenses or net capital investment in accrual and cash terms.</w:t>
      </w:r>
    </w:p>
    <w:p w:rsidR="00C043EB" w:rsidRDefault="00C043EB" w:rsidP="00FC4CDF">
      <w:pPr>
        <w:pStyle w:val="Footnotes"/>
      </w:pPr>
      <w:r>
        <w:t>Figures may not sum to totals due to rounding.</w:t>
      </w:r>
    </w:p>
    <w:p w:rsidR="00C043EB" w:rsidRDefault="00C043EB" w:rsidP="00FC4CDF">
      <w:pPr>
        <w:pStyle w:val="Footnotes"/>
        <w:numPr>
          <w:ilvl w:val="0"/>
          <w:numId w:val="0"/>
        </w:numPr>
        <w:ind w:left="284" w:hanging="284"/>
      </w:pPr>
      <w:r>
        <w:t>..</w:t>
      </w:r>
      <w:r w:rsidR="00FC4CDF">
        <w:tab/>
      </w:r>
      <w:r>
        <w:t>Not zero but rounded to zero.</w:t>
      </w:r>
    </w:p>
    <w:p w:rsidR="00C043EB" w:rsidRPr="00E30FB5" w:rsidRDefault="00C043EB" w:rsidP="00C043EB">
      <w:pPr>
        <w:pStyle w:val="Captionheading"/>
        <w:rPr>
          <w:vertAlign w:val="superscript"/>
        </w:rPr>
      </w:pPr>
      <w:r w:rsidRPr="00FC5643">
        <w:lastRenderedPageBreak/>
        <w:t xml:space="preserve">Table </w:t>
      </w:r>
      <w:r>
        <w:t>A3</w:t>
      </w:r>
      <w:r w:rsidRPr="00FC5643">
        <w:t xml:space="preserve">: </w:t>
      </w:r>
      <w:r w:rsidRPr="00C043EB">
        <w:t xml:space="preserve">Component </w:t>
      </w:r>
      <w:r>
        <w:t>2</w:t>
      </w:r>
      <w:r w:rsidRPr="00C043EB">
        <w:t xml:space="preserve">: </w:t>
      </w:r>
      <w:r w:rsidR="00E61594">
        <w:t>Republic</w:t>
      </w:r>
      <w:r w:rsidRPr="00C043EB">
        <w:t xml:space="preserve"> plebiscite</w:t>
      </w:r>
      <w:r w:rsidR="00FC4CDF">
        <w:t>—</w:t>
      </w:r>
      <w:r>
        <w:t xml:space="preserve">Financial </w:t>
      </w:r>
      <w:proofErr w:type="gramStart"/>
      <w:r>
        <w:t>implications</w:t>
      </w:r>
      <w:r w:rsidR="00A906CD">
        <w:rPr>
          <w:vertAlign w:val="superscript"/>
        </w:rPr>
        <w:t>(</w:t>
      </w:r>
      <w:proofErr w:type="gramEnd"/>
      <w:r w:rsidR="00A906CD">
        <w:rPr>
          <w:vertAlign w:val="superscript"/>
        </w:rPr>
        <w:t>a</w:t>
      </w:r>
      <w:r>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C043EB" w:rsidRPr="00EF1D6A" w:rsidTr="001F15F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Text"/>
              <w:keepNext/>
              <w:keepLines/>
              <w:spacing w:line="240" w:lineRule="auto"/>
              <w:ind w:left="57" w:right="57"/>
              <w:rPr>
                <w:rFonts w:ascii="Calibri" w:hAnsi="Calibri"/>
                <w:b w:val="0"/>
                <w:szCs w:val="20"/>
              </w:rPr>
            </w:pPr>
            <w:r w:rsidRPr="00FC4CDF">
              <w:rPr>
                <w:rFonts w:ascii="Calibri" w:hAnsi="Calibri"/>
                <w:b w:val="0"/>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AE30B5"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C043EB" w:rsidRPr="00EF1D6A" w:rsidTr="001F15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C043EB" w:rsidRPr="00AE30B5" w:rsidRDefault="00C043EB" w:rsidP="00FC4CDF">
            <w:pPr>
              <w:pStyle w:val="TableHeadingCentred"/>
              <w:spacing w:line="240" w:lineRule="auto"/>
              <w:ind w:left="57" w:right="57"/>
              <w:jc w:val="left"/>
              <w:rPr>
                <w:b/>
              </w:rPr>
            </w:pPr>
            <w:r>
              <w:rPr>
                <w:b/>
              </w:rPr>
              <w:t>Impact on fiscal and underlying cash balances</w:t>
            </w:r>
          </w:p>
        </w:tc>
      </w:tr>
      <w:tr w:rsidR="00C043EB" w:rsidRPr="0066665A" w:rsidTr="001F15F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C043EB" w:rsidRPr="00C17112" w:rsidRDefault="006318B5" w:rsidP="00FC4CDF">
            <w:pPr>
              <w:pStyle w:val="TableTextCentred"/>
              <w:keepNext/>
              <w:keepLines/>
              <w:spacing w:line="240" w:lineRule="auto"/>
              <w:ind w:left="57" w:right="57"/>
              <w:jc w:val="left"/>
              <w:rPr>
                <w:szCs w:val="20"/>
              </w:rPr>
            </w:pPr>
            <w:r>
              <w:rPr>
                <w:szCs w:val="20"/>
              </w:rPr>
              <w:t xml:space="preserve">Reverse </w:t>
            </w:r>
            <w:r w:rsidRPr="006318B5">
              <w:rPr>
                <w:i/>
                <w:szCs w:val="20"/>
              </w:rPr>
              <w:t>Same Sex Marriage Plebiscite</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160.0</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FC4CDF">
              <w:rPr>
                <w:b/>
              </w:rPr>
              <w:t>160.0</w:t>
            </w:r>
          </w:p>
        </w:tc>
      </w:tr>
      <w:tr w:rsidR="00C043EB" w:rsidRPr="0066665A" w:rsidTr="001F15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C043EB" w:rsidRPr="005E77B9" w:rsidRDefault="006318B5" w:rsidP="00FC4CDF">
            <w:pPr>
              <w:pStyle w:val="TableTextCentred"/>
              <w:keepNext/>
              <w:keepLines/>
              <w:spacing w:line="240" w:lineRule="auto"/>
              <w:ind w:left="57" w:right="57"/>
              <w:jc w:val="left"/>
              <w:rPr>
                <w:szCs w:val="20"/>
              </w:rPr>
            </w:pPr>
            <w:r w:rsidRPr="006318B5">
              <w:rPr>
                <w:szCs w:val="20"/>
              </w:rPr>
              <w:t xml:space="preserve">Threshold plebiscite </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6318B5"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-160.0</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C043EB" w:rsidRPr="00FC4CDF" w:rsidRDefault="00C043EB"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FC4CDF">
              <w:rPr>
                <w:b/>
              </w:rPr>
              <w:t>-160.</w:t>
            </w:r>
            <w:r w:rsidR="006318B5" w:rsidRPr="00FC4CDF">
              <w:rPr>
                <w:b/>
              </w:rPr>
              <w:t>0</w:t>
            </w:r>
          </w:p>
        </w:tc>
      </w:tr>
      <w:tr w:rsidR="006318B5" w:rsidRPr="0055406D" w:rsidTr="005516D5">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318B5" w:rsidRPr="005E77B9" w:rsidRDefault="006318B5" w:rsidP="00FC4CDF">
            <w:pPr>
              <w:pStyle w:val="TableTextCentred"/>
              <w:keepNext/>
              <w:keepLines/>
              <w:spacing w:line="240" w:lineRule="auto"/>
              <w:ind w:left="57" w:right="57"/>
              <w:jc w:val="left"/>
              <w:rPr>
                <w:rFonts w:ascii="Calibri" w:hAnsi="Calibri"/>
                <w:b/>
                <w:szCs w:val="20"/>
              </w:rPr>
            </w:pPr>
            <w:r w:rsidRPr="005E77B9">
              <w:rPr>
                <w:rFonts w:ascii="Calibri" w:hAnsi="Calibri"/>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w:t>
            </w:r>
          </w:p>
        </w:tc>
      </w:tr>
    </w:tbl>
    <w:p w:rsidR="00C043EB" w:rsidRDefault="00C043EB" w:rsidP="00FC4CDF">
      <w:pPr>
        <w:pStyle w:val="Footnotes"/>
        <w:numPr>
          <w:ilvl w:val="0"/>
          <w:numId w:val="13"/>
        </w:numPr>
        <w:ind w:left="284" w:hanging="284"/>
      </w:pPr>
      <w:r>
        <w:t>A positive number indicates an increase in revenue or decrease in expenses or net capital investment in accrual and cash terms.  A negative number indicates a decrease in revenue or an increase in expenses or net capital investment in accrual and cash terms.</w:t>
      </w:r>
    </w:p>
    <w:p w:rsidR="00C043EB" w:rsidRDefault="00C043EB" w:rsidP="00FC4CDF">
      <w:pPr>
        <w:pStyle w:val="Footnotes"/>
      </w:pPr>
      <w:r>
        <w:t>Figures may not sum to totals due to rounding.</w:t>
      </w:r>
    </w:p>
    <w:p w:rsidR="00C043EB" w:rsidRDefault="006318B5" w:rsidP="00FC4CDF">
      <w:pPr>
        <w:pStyle w:val="Footnotes"/>
        <w:numPr>
          <w:ilvl w:val="0"/>
          <w:numId w:val="16"/>
        </w:numPr>
        <w:ind w:left="284" w:hanging="284"/>
      </w:pPr>
      <w:r>
        <w:t>Indicates nil</w:t>
      </w:r>
      <w:r w:rsidR="00C043EB">
        <w:t>.</w:t>
      </w:r>
    </w:p>
    <w:p w:rsidR="00C043EB" w:rsidRPr="00E30FB5" w:rsidRDefault="00C043EB" w:rsidP="00C043EB">
      <w:pPr>
        <w:pStyle w:val="Captionheading"/>
        <w:rPr>
          <w:vertAlign w:val="superscript"/>
        </w:rPr>
      </w:pPr>
      <w:r w:rsidRPr="00FC5643">
        <w:t xml:space="preserve">Table </w:t>
      </w:r>
      <w:r>
        <w:t>A2</w:t>
      </w:r>
      <w:r w:rsidRPr="00FC5643">
        <w:t xml:space="preserve">: </w:t>
      </w:r>
      <w:r w:rsidRPr="00C043EB">
        <w:t xml:space="preserve">Component </w:t>
      </w:r>
      <w:r>
        <w:t>3</w:t>
      </w:r>
      <w:r w:rsidRPr="00C043EB">
        <w:t xml:space="preserve">: </w:t>
      </w:r>
      <w:r w:rsidR="00E61594">
        <w:t xml:space="preserve"> Republic </w:t>
      </w:r>
      <w:r>
        <w:t>Referendum</w:t>
      </w:r>
      <w:r w:rsidR="00FC4CDF">
        <w:t>—</w:t>
      </w:r>
      <w:r>
        <w:t xml:space="preserve">Financial </w:t>
      </w:r>
      <w:proofErr w:type="gramStart"/>
      <w:r>
        <w:t>implications</w:t>
      </w:r>
      <w:r w:rsidR="00A906CD">
        <w:rPr>
          <w:vertAlign w:val="superscript"/>
        </w:rPr>
        <w:t>(</w:t>
      </w:r>
      <w:proofErr w:type="gramEnd"/>
      <w:r w:rsidR="00A906CD">
        <w:rPr>
          <w:vertAlign w:val="superscript"/>
        </w:rPr>
        <w:t>a)</w:t>
      </w:r>
      <w:r>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C043EB" w:rsidRPr="00EF1D6A" w:rsidTr="001F15F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Text"/>
              <w:keepNext/>
              <w:keepLines/>
              <w:spacing w:line="240" w:lineRule="auto"/>
              <w:ind w:left="57" w:right="57"/>
              <w:rPr>
                <w:rFonts w:ascii="Calibri" w:hAnsi="Calibri"/>
                <w:b w:val="0"/>
                <w:szCs w:val="20"/>
              </w:rPr>
            </w:pPr>
            <w:r w:rsidRPr="00FC4CDF">
              <w:rPr>
                <w:rFonts w:ascii="Calibri" w:hAnsi="Calibri"/>
                <w:b w:val="0"/>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FC4CDF"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FC4CDF">
              <w:rPr>
                <w:b w:val="0"/>
              </w:rPr>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C043EB" w:rsidRPr="00AE30B5" w:rsidRDefault="00C043EB" w:rsidP="00FC4CD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C043EB" w:rsidRPr="00EF1D6A" w:rsidTr="001F15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C043EB" w:rsidRPr="00AE30B5" w:rsidRDefault="00C043EB" w:rsidP="00FC4CDF">
            <w:pPr>
              <w:pStyle w:val="TableHeadingCentred"/>
              <w:spacing w:line="240" w:lineRule="auto"/>
              <w:ind w:left="57" w:right="57"/>
              <w:jc w:val="left"/>
              <w:rPr>
                <w:b/>
              </w:rPr>
            </w:pPr>
            <w:r>
              <w:rPr>
                <w:b/>
              </w:rPr>
              <w:t>Impact on fiscal and underlying cash balances</w:t>
            </w:r>
          </w:p>
        </w:tc>
      </w:tr>
      <w:tr w:rsidR="006318B5" w:rsidRPr="0066665A" w:rsidTr="001F15F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318B5" w:rsidRPr="00C17112" w:rsidRDefault="006318B5" w:rsidP="00FC4CDF">
            <w:pPr>
              <w:pStyle w:val="TableTextCentred"/>
              <w:keepNext/>
              <w:keepLines/>
              <w:spacing w:line="240" w:lineRule="auto"/>
              <w:ind w:left="57" w:right="57"/>
              <w:jc w:val="left"/>
              <w:rPr>
                <w:szCs w:val="20"/>
              </w:rPr>
            </w:pPr>
            <w:r>
              <w:rPr>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FC4CDF">
              <w:t>-</w:t>
            </w:r>
          </w:p>
        </w:tc>
      </w:tr>
      <w:tr w:rsidR="006318B5" w:rsidRPr="0066665A" w:rsidTr="001F15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318B5" w:rsidRPr="005E77B9" w:rsidRDefault="006318B5" w:rsidP="00FC4CDF">
            <w:pPr>
              <w:pStyle w:val="TableTextCentred"/>
              <w:keepNext/>
              <w:keepLines/>
              <w:spacing w:line="240" w:lineRule="auto"/>
              <w:ind w:left="57" w:right="57"/>
              <w:jc w:val="left"/>
              <w:rPr>
                <w:szCs w:val="20"/>
              </w:rPr>
            </w:pPr>
            <w:r w:rsidRPr="005E77B9">
              <w:rPr>
                <w:szCs w:val="20"/>
              </w:rPr>
              <w:t>Departmental</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-65.4</w:t>
            </w:r>
          </w:p>
        </w:tc>
        <w:tc>
          <w:tcPr>
            <w:tcW w:w="682" w:type="pct"/>
            <w:tcBorders>
              <w:top w:val="single" w:sz="4" w:space="0" w:color="788184"/>
              <w:left w:val="single" w:sz="4" w:space="0" w:color="788184"/>
              <w:bottom w:val="single" w:sz="4" w:space="0" w:color="788184"/>
              <w:right w:val="single" w:sz="4" w:space="0" w:color="788184"/>
            </w:tcBorders>
          </w:tcPr>
          <w:p w:rsidR="006318B5" w:rsidRPr="00FC4CDF" w:rsidRDefault="006318B5" w:rsidP="00FC4CD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FC4CDF">
              <w:t>-65.4</w:t>
            </w:r>
          </w:p>
        </w:tc>
      </w:tr>
      <w:tr w:rsidR="006318B5" w:rsidRPr="0055406D" w:rsidTr="00241090">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318B5" w:rsidRPr="005E77B9" w:rsidRDefault="006318B5" w:rsidP="00FC4CDF">
            <w:pPr>
              <w:pStyle w:val="TableTextCentred"/>
              <w:keepNext/>
              <w:keepLines/>
              <w:spacing w:line="240" w:lineRule="auto"/>
              <w:ind w:left="57" w:right="57"/>
              <w:jc w:val="left"/>
              <w:rPr>
                <w:rFonts w:ascii="Calibri" w:hAnsi="Calibri"/>
                <w:b/>
                <w:szCs w:val="20"/>
              </w:rPr>
            </w:pPr>
            <w:r w:rsidRPr="005E77B9">
              <w:rPr>
                <w:rFonts w:ascii="Calibri" w:hAnsi="Calibri"/>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318B5" w:rsidRPr="005E77B9"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-65.4</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318B5" w:rsidRPr="006318B5" w:rsidRDefault="006318B5" w:rsidP="00FC4CD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sidRPr="006318B5">
              <w:rPr>
                <w:b/>
                <w:i w:val="0"/>
              </w:rPr>
              <w:t>-65.4</w:t>
            </w:r>
          </w:p>
        </w:tc>
      </w:tr>
    </w:tbl>
    <w:p w:rsidR="00C043EB" w:rsidRDefault="00C043EB" w:rsidP="00FC4CDF">
      <w:pPr>
        <w:pStyle w:val="Footnotes"/>
        <w:numPr>
          <w:ilvl w:val="0"/>
          <w:numId w:val="15"/>
        </w:numPr>
        <w:ind w:left="284" w:hanging="284"/>
      </w:pPr>
      <w:r>
        <w:t>A positive number indicates an increase in revenue or decrease in expenses or net capital investment in accrual and cash terms.  A negative number indicates a decrease in revenue or an increase in expenses or net capital investment in accrual and cash terms.</w:t>
      </w:r>
    </w:p>
    <w:p w:rsidR="00C043EB" w:rsidRDefault="00C043EB" w:rsidP="00FC4CDF">
      <w:pPr>
        <w:pStyle w:val="Footnotes"/>
      </w:pPr>
      <w:r>
        <w:t>Figures may not sum to totals due to rounding.</w:t>
      </w:r>
    </w:p>
    <w:p w:rsidR="006D603D" w:rsidRPr="00CA5D42" w:rsidRDefault="006318B5" w:rsidP="00FC4CDF">
      <w:pPr>
        <w:pStyle w:val="Footnotes"/>
        <w:numPr>
          <w:ilvl w:val="0"/>
          <w:numId w:val="16"/>
        </w:numPr>
        <w:ind w:left="284" w:hanging="284"/>
      </w:pPr>
      <w:r>
        <w:t>Indicates nil.</w:t>
      </w:r>
    </w:p>
    <w:sectPr w:rsidR="006D603D" w:rsidRPr="00CA5D42" w:rsidSect="007219BC">
      <w:headerReference w:type="first" r:id="rId15"/>
      <w:footerReference w:type="first" r:id="rId16"/>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0A" w:rsidRDefault="00C9350A" w:rsidP="008F588A">
      <w:pPr>
        <w:spacing w:line="240" w:lineRule="auto"/>
      </w:pPr>
      <w:r>
        <w:separator/>
      </w:r>
    </w:p>
    <w:p w:rsidR="00C9350A" w:rsidRDefault="00C9350A"/>
  </w:endnote>
  <w:endnote w:type="continuationSeparator" w:id="0">
    <w:p w:rsidR="00C9350A" w:rsidRDefault="00C9350A" w:rsidP="008F588A">
      <w:pPr>
        <w:spacing w:line="240" w:lineRule="auto"/>
      </w:pPr>
      <w:r>
        <w:continuationSeparator/>
      </w:r>
    </w:p>
    <w:p w:rsidR="00C9350A" w:rsidRDefault="00C93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87F5A">
      <w:rPr>
        <w:noProof/>
      </w:rPr>
      <w:t>3</w:t>
    </w:r>
    <w:r w:rsidRPr="00C24267">
      <w:fldChar w:fldCharType="end"/>
    </w:r>
    <w:r w:rsidRPr="00C24267">
      <w:t xml:space="preserve"> of </w:t>
    </w:r>
    <w:fldSimple w:instr=" NUMPAGES  \* Arabic  \* MERGEFORMAT ">
      <w:r w:rsidR="00387F5A">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Letterfooter"/>
    </w:pPr>
    <w:r w:rsidRPr="00C24267">
      <w:t>Parliamentary Budget Office   PO Box 6010   Parliament House   Canberra ACT 2600</w:t>
    </w:r>
  </w:p>
  <w:p w:rsidR="001278D0" w:rsidRPr="00C24267" w:rsidRDefault="001278D0"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87F5A">
      <w:rPr>
        <w:noProof/>
      </w:rPr>
      <w:t>2</w:t>
    </w:r>
    <w:r w:rsidRPr="00C24267">
      <w:fldChar w:fldCharType="end"/>
    </w:r>
    <w:r w:rsidRPr="00C24267">
      <w:t xml:space="preserve"> of </w:t>
    </w:r>
    <w:fldSimple w:instr=" NUMPAGES  \* Arabic  \* MERGEFORMAT ">
      <w:r w:rsidR="00387F5A">
        <w:rPr>
          <w:noProof/>
        </w:rPr>
        <w:t>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87F5A">
      <w:rPr>
        <w:noProof/>
      </w:rPr>
      <w:t>5</w:t>
    </w:r>
    <w:r w:rsidRPr="00C24267">
      <w:fldChar w:fldCharType="end"/>
    </w:r>
    <w:r w:rsidRPr="00C24267">
      <w:t xml:space="preserve"> of </w:t>
    </w:r>
    <w:fldSimple w:instr=" NUMPAGES  \* Arabic  \* MERGEFORMAT ">
      <w:r w:rsidR="00387F5A">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0A" w:rsidRDefault="00C9350A" w:rsidP="008F588A">
      <w:pPr>
        <w:spacing w:line="240" w:lineRule="auto"/>
      </w:pPr>
      <w:r>
        <w:separator/>
      </w:r>
    </w:p>
    <w:p w:rsidR="00C9350A" w:rsidRDefault="00C9350A"/>
  </w:footnote>
  <w:footnote w:type="continuationSeparator" w:id="0">
    <w:p w:rsidR="00C9350A" w:rsidRDefault="00C9350A" w:rsidP="008F588A">
      <w:pPr>
        <w:spacing w:line="240" w:lineRule="auto"/>
      </w:pPr>
      <w:r>
        <w:continuationSeparator/>
      </w:r>
    </w:p>
    <w:p w:rsidR="00C9350A" w:rsidRDefault="00C935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Default="001278D0"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1278D0" w:rsidRPr="00DA1C8A" w:rsidRDefault="001278D0"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17112" w:rsidRDefault="001278D0" w:rsidP="00C17112">
    <w:pPr>
      <w:pStyle w:val="Header"/>
    </w:pPr>
    <w:r>
      <w:rPr>
        <w:noProof/>
        <w:lang w:eastAsia="en-AU"/>
      </w:rPr>
      <w:drawing>
        <wp:inline distT="0" distB="0" distL="0" distR="0" wp14:anchorId="5E2BA635" wp14:editId="4B94369E">
          <wp:extent cx="2696845" cy="57213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8A1630" w:rsidRDefault="001278D0" w:rsidP="008A1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2DC6A57"/>
    <w:multiLevelType w:val="hybridMultilevel"/>
    <w:tmpl w:val="7218A572"/>
    <w:lvl w:ilvl="0" w:tplc="4BA20260">
      <w:start w:val="2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3"/>
  </w:num>
  <w:num w:numId="2">
    <w:abstractNumId w:val="6"/>
  </w:num>
  <w:num w:numId="3">
    <w:abstractNumId w:val="4"/>
  </w:num>
  <w:num w:numId="4">
    <w:abstractNumId w:val="5"/>
  </w:num>
  <w:num w:numId="5">
    <w:abstractNumId w:val="8"/>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2"/>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0A"/>
    <w:rsid w:val="00002D5D"/>
    <w:rsid w:val="00040DCE"/>
    <w:rsid w:val="00096F3A"/>
    <w:rsid w:val="000C1A75"/>
    <w:rsid w:val="000C1EEA"/>
    <w:rsid w:val="001278D0"/>
    <w:rsid w:val="0014239B"/>
    <w:rsid w:val="00142B9B"/>
    <w:rsid w:val="001A02D1"/>
    <w:rsid w:val="001C5A91"/>
    <w:rsid w:val="001E0CA2"/>
    <w:rsid w:val="002209F0"/>
    <w:rsid w:val="00220BE5"/>
    <w:rsid w:val="002422A3"/>
    <w:rsid w:val="00250D0F"/>
    <w:rsid w:val="00260FFC"/>
    <w:rsid w:val="00280597"/>
    <w:rsid w:val="002A2EEE"/>
    <w:rsid w:val="002C3EB1"/>
    <w:rsid w:val="00315E34"/>
    <w:rsid w:val="00326DE2"/>
    <w:rsid w:val="00387F5A"/>
    <w:rsid w:val="0039727D"/>
    <w:rsid w:val="003F73CA"/>
    <w:rsid w:val="00440E32"/>
    <w:rsid w:val="00461597"/>
    <w:rsid w:val="004C283B"/>
    <w:rsid w:val="004C5EE3"/>
    <w:rsid w:val="004C603A"/>
    <w:rsid w:val="004D13ED"/>
    <w:rsid w:val="004D5525"/>
    <w:rsid w:val="005035DA"/>
    <w:rsid w:val="00507897"/>
    <w:rsid w:val="00515A85"/>
    <w:rsid w:val="005417A2"/>
    <w:rsid w:val="00545F24"/>
    <w:rsid w:val="00555428"/>
    <w:rsid w:val="0055581F"/>
    <w:rsid w:val="005563E3"/>
    <w:rsid w:val="0056229A"/>
    <w:rsid w:val="00570154"/>
    <w:rsid w:val="00570B5A"/>
    <w:rsid w:val="005C6967"/>
    <w:rsid w:val="005E1902"/>
    <w:rsid w:val="005E3562"/>
    <w:rsid w:val="005E77B9"/>
    <w:rsid w:val="005F7DE0"/>
    <w:rsid w:val="00613C50"/>
    <w:rsid w:val="006318B5"/>
    <w:rsid w:val="00634299"/>
    <w:rsid w:val="00640346"/>
    <w:rsid w:val="006477CF"/>
    <w:rsid w:val="00660385"/>
    <w:rsid w:val="00662E65"/>
    <w:rsid w:val="0066665A"/>
    <w:rsid w:val="00692DD8"/>
    <w:rsid w:val="0069535F"/>
    <w:rsid w:val="006D603D"/>
    <w:rsid w:val="006F0CE9"/>
    <w:rsid w:val="007202A8"/>
    <w:rsid w:val="007219BC"/>
    <w:rsid w:val="00793743"/>
    <w:rsid w:val="007B029A"/>
    <w:rsid w:val="007D33AA"/>
    <w:rsid w:val="007E24E0"/>
    <w:rsid w:val="007F7BCF"/>
    <w:rsid w:val="008030EC"/>
    <w:rsid w:val="00811D6D"/>
    <w:rsid w:val="00844776"/>
    <w:rsid w:val="008850D9"/>
    <w:rsid w:val="00895E3C"/>
    <w:rsid w:val="008A1630"/>
    <w:rsid w:val="008A4578"/>
    <w:rsid w:val="008C03C3"/>
    <w:rsid w:val="008D3909"/>
    <w:rsid w:val="008F588A"/>
    <w:rsid w:val="00902D2D"/>
    <w:rsid w:val="009041F5"/>
    <w:rsid w:val="00915804"/>
    <w:rsid w:val="00957285"/>
    <w:rsid w:val="009573AF"/>
    <w:rsid w:val="00986573"/>
    <w:rsid w:val="009963ED"/>
    <w:rsid w:val="009D4063"/>
    <w:rsid w:val="00A4188A"/>
    <w:rsid w:val="00A41BD3"/>
    <w:rsid w:val="00A449C2"/>
    <w:rsid w:val="00A55725"/>
    <w:rsid w:val="00A772B8"/>
    <w:rsid w:val="00A906CD"/>
    <w:rsid w:val="00AA3D6F"/>
    <w:rsid w:val="00AB6F7D"/>
    <w:rsid w:val="00AC7878"/>
    <w:rsid w:val="00AD493E"/>
    <w:rsid w:val="00B06055"/>
    <w:rsid w:val="00B44D8A"/>
    <w:rsid w:val="00B60C58"/>
    <w:rsid w:val="00B73AC8"/>
    <w:rsid w:val="00B747A7"/>
    <w:rsid w:val="00BC559C"/>
    <w:rsid w:val="00C043EB"/>
    <w:rsid w:val="00C17112"/>
    <w:rsid w:val="00C21A13"/>
    <w:rsid w:val="00C24267"/>
    <w:rsid w:val="00C85DE3"/>
    <w:rsid w:val="00C901EA"/>
    <w:rsid w:val="00C9350A"/>
    <w:rsid w:val="00C962E1"/>
    <w:rsid w:val="00CA5D42"/>
    <w:rsid w:val="00CB40E1"/>
    <w:rsid w:val="00CC2A0D"/>
    <w:rsid w:val="00CF1369"/>
    <w:rsid w:val="00CF6DB6"/>
    <w:rsid w:val="00D134CA"/>
    <w:rsid w:val="00D3751D"/>
    <w:rsid w:val="00D953D2"/>
    <w:rsid w:val="00DA1C8A"/>
    <w:rsid w:val="00DB44F0"/>
    <w:rsid w:val="00DD026B"/>
    <w:rsid w:val="00DD109E"/>
    <w:rsid w:val="00DD3E18"/>
    <w:rsid w:val="00E12103"/>
    <w:rsid w:val="00E15AAE"/>
    <w:rsid w:val="00E21184"/>
    <w:rsid w:val="00E21FFF"/>
    <w:rsid w:val="00E40B8B"/>
    <w:rsid w:val="00E5393E"/>
    <w:rsid w:val="00E5742E"/>
    <w:rsid w:val="00E61594"/>
    <w:rsid w:val="00E662B7"/>
    <w:rsid w:val="00E67D7C"/>
    <w:rsid w:val="00EA265F"/>
    <w:rsid w:val="00ED43FF"/>
    <w:rsid w:val="00EF1D6A"/>
    <w:rsid w:val="00EF2E51"/>
    <w:rsid w:val="00F31E24"/>
    <w:rsid w:val="00F52474"/>
    <w:rsid w:val="00F5669E"/>
    <w:rsid w:val="00F75D33"/>
    <w:rsid w:val="00F954CF"/>
    <w:rsid w:val="00FC4CDF"/>
    <w:rsid w:val="00FC6579"/>
    <w:rsid w:val="00FC72AB"/>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A1630"/>
    <w:rPr>
      <w:rFonts w:eastAsia="Times New Roman" w:cs="Times New Roman"/>
      <w:spacing w:val="0"/>
      <w:lang w:eastAsia="en-AU"/>
    </w:rPr>
  </w:style>
  <w:style w:type="paragraph" w:customStyle="1" w:styleId="Bullet2">
    <w:name w:val="Bullet 2"/>
    <w:basedOn w:val="ListBullet2"/>
    <w:link w:val="Bullet2Char"/>
    <w:qFormat/>
    <w:rsid w:val="008A1630"/>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A1630"/>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A1630"/>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A906CD"/>
    <w:rPr>
      <w:sz w:val="16"/>
      <w:szCs w:val="16"/>
    </w:rPr>
  </w:style>
  <w:style w:type="paragraph" w:styleId="CommentText">
    <w:name w:val="annotation text"/>
    <w:basedOn w:val="Normal"/>
    <w:link w:val="CommentTextChar"/>
    <w:uiPriority w:val="99"/>
    <w:semiHidden/>
    <w:unhideWhenUsed/>
    <w:rsid w:val="00A906CD"/>
    <w:pPr>
      <w:spacing w:line="240" w:lineRule="auto"/>
    </w:pPr>
    <w:rPr>
      <w:sz w:val="20"/>
      <w:szCs w:val="20"/>
    </w:rPr>
  </w:style>
  <w:style w:type="character" w:customStyle="1" w:styleId="CommentTextChar">
    <w:name w:val="Comment Text Char"/>
    <w:basedOn w:val="DefaultParagraphFont"/>
    <w:link w:val="CommentText"/>
    <w:uiPriority w:val="99"/>
    <w:semiHidden/>
    <w:rsid w:val="00A906CD"/>
    <w:rPr>
      <w:sz w:val="20"/>
      <w:szCs w:val="20"/>
    </w:rPr>
  </w:style>
  <w:style w:type="paragraph" w:styleId="CommentSubject">
    <w:name w:val="annotation subject"/>
    <w:basedOn w:val="CommentText"/>
    <w:next w:val="CommentText"/>
    <w:link w:val="CommentSubjectChar"/>
    <w:uiPriority w:val="99"/>
    <w:semiHidden/>
    <w:unhideWhenUsed/>
    <w:rsid w:val="00A906CD"/>
    <w:rPr>
      <w:b/>
      <w:bCs/>
    </w:rPr>
  </w:style>
  <w:style w:type="character" w:customStyle="1" w:styleId="CommentSubjectChar">
    <w:name w:val="Comment Subject Char"/>
    <w:basedOn w:val="CommentTextChar"/>
    <w:link w:val="CommentSubject"/>
    <w:uiPriority w:val="99"/>
    <w:semiHidden/>
    <w:rsid w:val="00A906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A1630"/>
    <w:rPr>
      <w:rFonts w:eastAsia="Times New Roman" w:cs="Times New Roman"/>
      <w:spacing w:val="0"/>
      <w:lang w:eastAsia="en-AU"/>
    </w:rPr>
  </w:style>
  <w:style w:type="paragraph" w:customStyle="1" w:styleId="Bullet2">
    <w:name w:val="Bullet 2"/>
    <w:basedOn w:val="ListBullet2"/>
    <w:link w:val="Bullet2Char"/>
    <w:qFormat/>
    <w:rsid w:val="008A1630"/>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A1630"/>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A1630"/>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A906CD"/>
    <w:rPr>
      <w:sz w:val="16"/>
      <w:szCs w:val="16"/>
    </w:rPr>
  </w:style>
  <w:style w:type="paragraph" w:styleId="CommentText">
    <w:name w:val="annotation text"/>
    <w:basedOn w:val="Normal"/>
    <w:link w:val="CommentTextChar"/>
    <w:uiPriority w:val="99"/>
    <w:semiHidden/>
    <w:unhideWhenUsed/>
    <w:rsid w:val="00A906CD"/>
    <w:pPr>
      <w:spacing w:line="240" w:lineRule="auto"/>
    </w:pPr>
    <w:rPr>
      <w:sz w:val="20"/>
      <w:szCs w:val="20"/>
    </w:rPr>
  </w:style>
  <w:style w:type="character" w:customStyle="1" w:styleId="CommentTextChar">
    <w:name w:val="Comment Text Char"/>
    <w:basedOn w:val="DefaultParagraphFont"/>
    <w:link w:val="CommentText"/>
    <w:uiPriority w:val="99"/>
    <w:semiHidden/>
    <w:rsid w:val="00A906CD"/>
    <w:rPr>
      <w:sz w:val="20"/>
      <w:szCs w:val="20"/>
    </w:rPr>
  </w:style>
  <w:style w:type="paragraph" w:styleId="CommentSubject">
    <w:name w:val="annotation subject"/>
    <w:basedOn w:val="CommentText"/>
    <w:next w:val="CommentText"/>
    <w:link w:val="CommentSubjectChar"/>
    <w:uiPriority w:val="99"/>
    <w:semiHidden/>
    <w:unhideWhenUsed/>
    <w:rsid w:val="00A906CD"/>
    <w:rPr>
      <w:b/>
      <w:bCs/>
    </w:rPr>
  </w:style>
  <w:style w:type="character" w:customStyle="1" w:styleId="CommentSubjectChar">
    <w:name w:val="Comment Subject Char"/>
    <w:basedOn w:val="CommentTextChar"/>
    <w:link w:val="CommentSubject"/>
    <w:uiPriority w:val="99"/>
    <w:semiHidden/>
    <w:rsid w:val="00A906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BB4C-ACB1-4561-85B6-DD25A968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283</TotalTime>
  <Pages>6</Pages>
  <Words>1057</Words>
  <Characters>5646</Characters>
  <Application>Microsoft Office Word</Application>
  <DocSecurity>0</DocSecurity>
  <Lines>313</Lines>
  <Paragraphs>291</Paragraphs>
  <ScaleCrop>false</ScaleCrop>
  <HeadingPairs>
    <vt:vector size="2" baseType="variant">
      <vt:variant>
        <vt:lpstr>Title</vt:lpstr>
      </vt:variant>
      <vt:variant>
        <vt:i4>1</vt:i4>
      </vt:variant>
    </vt:vector>
  </HeadingPairs>
  <TitlesOfParts>
    <vt:vector size="1" baseType="lpstr">
      <vt:lpstr>PBO - GRM043 - Towards a Republic - 29 June 2016</vt:lpstr>
    </vt:vector>
  </TitlesOfParts>
  <Company>Parliament of Australia</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GRN043 - Towards a Republic - 29 June 2016</dc:title>
  <dc:creator>Parliamentary Budget Office</dc:creator>
  <cp:lastModifiedBy>Milligan, Louise (PBO)</cp:lastModifiedBy>
  <cp:revision>30</cp:revision>
  <cp:lastPrinted>2016-06-29T08:53:00Z</cp:lastPrinted>
  <dcterms:created xsi:type="dcterms:W3CDTF">2016-06-24T04:18:00Z</dcterms:created>
  <dcterms:modified xsi:type="dcterms:W3CDTF">2016-06-29T13:05:00Z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