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4838F3" w:rsidP="00C17112">
      <w:pPr>
        <w:spacing w:before="1560"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Senator Richard Di Natale</w:t>
      </w:r>
    </w:p>
    <w:p w:rsidR="00040DCE" w:rsidRPr="00002D5D" w:rsidRDefault="004838F3"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CANBERRA  ACT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4838F3">
        <w:rPr>
          <w:rFonts w:ascii="Times New Roman" w:hAnsi="Times New Roman" w:cs="Times New Roman"/>
          <w:sz w:val="24"/>
          <w:szCs w:val="24"/>
        </w:rPr>
        <w:t>Senator Di Natale</w:t>
      </w:r>
      <w:r w:rsidR="004838F3" w:rsidRPr="00002D5D">
        <w:rPr>
          <w:rFonts w:ascii="Times New Roman" w:hAnsi="Times New Roman" w:cs="Times New Roman"/>
          <w:sz w:val="24"/>
          <w:szCs w:val="24"/>
        </w:rPr>
        <w:t xml:space="preserve"> </w:t>
      </w:r>
    </w:p>
    <w:p w:rsidR="00040DCE" w:rsidRPr="00002D5D" w:rsidRDefault="00040DCE" w:rsidP="00C17112">
      <w:pPr>
        <w:pStyle w:val="Lettertext"/>
      </w:pPr>
      <w:r w:rsidRPr="00002D5D">
        <w:t xml:space="preserve">Please find attached a response to your costing request, </w:t>
      </w:r>
      <w:r w:rsidR="001D7048">
        <w:rPr>
          <w:i/>
        </w:rPr>
        <w:t>Stopping another stolen</w:t>
      </w:r>
      <w:r w:rsidR="004838F3">
        <w:rPr>
          <w:i/>
        </w:rPr>
        <w:t xml:space="preserve"> </w:t>
      </w:r>
      <w:r w:rsidR="001D7048">
        <w:rPr>
          <w:i/>
        </w:rPr>
        <w:t xml:space="preserve">generation: Reducing the number of Aboriginal and Torres Strait Islander children in out of home care </w:t>
      </w:r>
      <w:r w:rsidRPr="00002D5D">
        <w:t xml:space="preserve">(letter of </w:t>
      </w:r>
      <w:r w:rsidR="00472163">
        <w:t>28</w:t>
      </w:r>
      <w:r w:rsidR="007C310A">
        <w:t> </w:t>
      </w:r>
      <w:r w:rsidR="004838F3">
        <w:t xml:space="preserve">June </w:t>
      </w:r>
      <w:r w:rsidRPr="00002D5D">
        <w:t>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1B1A86" w:rsidP="001B1A86">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29 </w:t>
      </w:r>
      <w:r w:rsidR="004838F3">
        <w:rPr>
          <w:rFonts w:ascii="Times New Roman" w:hAnsi="Times New Roman" w:cs="Times New Roman"/>
          <w:sz w:val="24"/>
          <w:szCs w:val="24"/>
        </w:rPr>
        <w:t xml:space="preserve">June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RPr="0081693A"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Pr="0081693A" w:rsidRDefault="004D5525" w:rsidP="0081693A">
            <w:pPr>
              <w:rPr>
                <w:sz w:val="22"/>
              </w:rPr>
            </w:pPr>
            <w:r w:rsidRPr="0081693A">
              <w:rPr>
                <w:sz w:val="22"/>
              </w:rPr>
              <w:t>Name of proposal:</w:t>
            </w:r>
          </w:p>
        </w:tc>
        <w:tc>
          <w:tcPr>
            <w:tcW w:w="5335" w:type="dxa"/>
          </w:tcPr>
          <w:p w:rsidR="004D5525" w:rsidRPr="0081693A" w:rsidRDefault="00F64149" w:rsidP="0081693A">
            <w:pPr>
              <w:rPr>
                <w:sz w:val="22"/>
              </w:rPr>
            </w:pPr>
            <w:r w:rsidRPr="0081693A">
              <w:rPr>
                <w:sz w:val="22"/>
              </w:rPr>
              <w:t xml:space="preserve">Stopping </w:t>
            </w:r>
            <w:r w:rsidR="006B052A" w:rsidRPr="0081693A">
              <w:rPr>
                <w:sz w:val="22"/>
              </w:rPr>
              <w:t>another stolen generation: Reducing the number of Aboriginal and Torres Strait Islander children in out of home care</w:t>
            </w:r>
          </w:p>
        </w:tc>
      </w:tr>
      <w:tr w:rsidR="004D5525" w:rsidTr="00966B78">
        <w:tc>
          <w:tcPr>
            <w:tcW w:w="3005" w:type="dxa"/>
            <w:shd w:val="clear" w:color="auto" w:fill="auto"/>
          </w:tcPr>
          <w:p w:rsidR="004D5525" w:rsidRDefault="004D5525" w:rsidP="004D5525">
            <w:pPr>
              <w:pStyle w:val="BodyText"/>
            </w:pPr>
            <w:r>
              <w:t>Summary of proposal:</w:t>
            </w:r>
          </w:p>
        </w:tc>
        <w:tc>
          <w:tcPr>
            <w:tcW w:w="5335" w:type="dxa"/>
            <w:shd w:val="clear" w:color="auto" w:fill="auto"/>
          </w:tcPr>
          <w:p w:rsidR="0056377B" w:rsidRDefault="00472163" w:rsidP="00627ED5">
            <w:r>
              <w:t xml:space="preserve">This proposal </w:t>
            </w:r>
            <w:r w:rsidR="0056377B">
              <w:t>is comprised of two components.</w:t>
            </w:r>
          </w:p>
          <w:p w:rsidR="00472163" w:rsidRDefault="0056377B" w:rsidP="00627ED5">
            <w:r>
              <w:rPr>
                <w:u w:val="single"/>
              </w:rPr>
              <w:t>Component 1: Funding for projects</w:t>
            </w:r>
            <w:r w:rsidR="00C1612B">
              <w:rPr>
                <w:u w:val="single"/>
              </w:rPr>
              <w:t xml:space="preserve"> to reduce out of home care</w:t>
            </w:r>
          </w:p>
          <w:p w:rsidR="00472163" w:rsidRDefault="00966B78" w:rsidP="00627ED5">
            <w:pPr>
              <w:pStyle w:val="Bullet1"/>
            </w:pPr>
            <w:r>
              <w:t xml:space="preserve">This component would </w:t>
            </w:r>
            <w:r w:rsidR="00472163">
              <w:t>provide capped funding of $20 million over four years (not including departmental costs)</w:t>
            </w:r>
            <w:r w:rsidR="006C1852">
              <w:t xml:space="preserve"> for projects to reduce the number of children entering out of home care</w:t>
            </w:r>
            <w:r w:rsidR="0056377B">
              <w:t>.</w:t>
            </w:r>
          </w:p>
          <w:p w:rsidR="00966B78" w:rsidRDefault="0056377B" w:rsidP="0056377B">
            <w:pPr>
              <w:pStyle w:val="Bullet1"/>
              <w:numPr>
                <w:ilvl w:val="0"/>
                <w:numId w:val="0"/>
              </w:numPr>
              <w:rPr>
                <w:u w:val="single"/>
              </w:rPr>
            </w:pPr>
            <w:r>
              <w:rPr>
                <w:u w:val="single"/>
              </w:rPr>
              <w:t>Component 2: Im</w:t>
            </w:r>
            <w:r w:rsidR="00966B78">
              <w:rPr>
                <w:u w:val="single"/>
              </w:rPr>
              <w:t>proving support for children in out of home care</w:t>
            </w:r>
          </w:p>
          <w:p w:rsidR="0056377B" w:rsidRPr="00966B78" w:rsidRDefault="00966B78" w:rsidP="00966B78">
            <w:pPr>
              <w:pStyle w:val="Bullet1"/>
              <w:rPr>
                <w:u w:val="single"/>
              </w:rPr>
            </w:pPr>
            <w:r>
              <w:t xml:space="preserve">This component would </w:t>
            </w:r>
            <w:r w:rsidRPr="00966B78">
              <w:t>im</w:t>
            </w:r>
            <w:r w:rsidR="0056377B" w:rsidRPr="00966B78">
              <w:t xml:space="preserve">plement a number of recommendations of the Senate Community Affairs </w:t>
            </w:r>
            <w:r w:rsidR="00701A2E">
              <w:t xml:space="preserve">References Committee </w:t>
            </w:r>
            <w:r w:rsidR="0056377B" w:rsidRPr="00966B78">
              <w:t>inquiry into out of home care</w:t>
            </w:r>
            <w:r w:rsidR="006C1852">
              <w:t>:</w:t>
            </w:r>
          </w:p>
          <w:p w:rsidR="007C310A" w:rsidRDefault="0056377B" w:rsidP="00966B78">
            <w:pPr>
              <w:pStyle w:val="Bullet2"/>
            </w:pPr>
            <w:r>
              <w:t>Recommendations 1, 4-7, 9-13, 15, 17, 20, 23</w:t>
            </w:r>
            <w:r>
              <w:noBreakHyphen/>
              <w:t>28, 31-32 and 34-49</w:t>
            </w:r>
          </w:p>
          <w:p w:rsidR="007C310A" w:rsidRDefault="007C310A" w:rsidP="00966B78">
            <w:pPr>
              <w:pStyle w:val="Bullet3"/>
            </w:pPr>
            <w:r>
              <w:t>Provide additional capped funding of $10</w:t>
            </w:r>
            <w:r w:rsidR="006612F3">
              <w:t> </w:t>
            </w:r>
            <w:r>
              <w:t xml:space="preserve">million </w:t>
            </w:r>
            <w:r w:rsidRPr="00364F60">
              <w:t xml:space="preserve">over </w:t>
            </w:r>
            <w:r>
              <w:t>the 2016</w:t>
            </w:r>
            <w:r>
              <w:noBreakHyphen/>
              <w:t>17 Budget forward estimates period</w:t>
            </w:r>
            <w:r w:rsidR="006C1852">
              <w:t xml:space="preserve"> to the Department of Social Services (DSS)</w:t>
            </w:r>
            <w:r w:rsidR="008874C2">
              <w:t xml:space="preserve"> to support pro</w:t>
            </w:r>
            <w:r w:rsidR="00E66921">
              <w:t>gress of</w:t>
            </w:r>
            <w:r w:rsidR="008874C2">
              <w:t xml:space="preserve"> these recommendations</w:t>
            </w:r>
            <w:r w:rsidRPr="00364F60">
              <w:t>.</w:t>
            </w:r>
          </w:p>
          <w:p w:rsidR="007C310A" w:rsidRDefault="007C310A" w:rsidP="00966B78">
            <w:pPr>
              <w:pStyle w:val="Bullet2"/>
            </w:pPr>
            <w:r>
              <w:t>R</w:t>
            </w:r>
            <w:r w:rsidRPr="00364F60">
              <w:t>ecommendations 2</w:t>
            </w:r>
            <w:r>
              <w:t>, 3 and</w:t>
            </w:r>
            <w:r w:rsidRPr="00364F60">
              <w:t xml:space="preserve"> 19</w:t>
            </w:r>
            <w:r>
              <w:t xml:space="preserve"> </w:t>
            </w:r>
          </w:p>
          <w:p w:rsidR="004D5525" w:rsidRDefault="007C310A" w:rsidP="00777BF7">
            <w:pPr>
              <w:pStyle w:val="Bullet3"/>
            </w:pPr>
            <w:r>
              <w:t xml:space="preserve">Provide additional funding of $1.5 million to the </w:t>
            </w:r>
            <w:r w:rsidRPr="006369C9">
              <w:t xml:space="preserve">Australian Institute of Health and Welfare </w:t>
            </w:r>
            <w:r w:rsidR="001E3446">
              <w:t xml:space="preserve">(AIHW) </w:t>
            </w:r>
            <w:r>
              <w:t>over the 2016</w:t>
            </w:r>
            <w:r>
              <w:noBreakHyphen/>
              <w:t>17 Budget forward estimates period</w:t>
            </w:r>
            <w:r w:rsidR="006C1852">
              <w:t xml:space="preserve"> to improve data collection</w:t>
            </w:r>
            <w:r w:rsidRPr="006369C9">
              <w:t>.</w:t>
            </w:r>
          </w:p>
          <w:p w:rsidR="0081693A" w:rsidRDefault="0081693A" w:rsidP="0081693A">
            <w:pPr>
              <w:pStyle w:val="Bullet3"/>
              <w:numPr>
                <w:ilvl w:val="0"/>
                <w:numId w:val="0"/>
              </w:numPr>
            </w:pPr>
          </w:p>
          <w:p w:rsidR="0081693A" w:rsidRDefault="0081693A" w:rsidP="0081693A">
            <w:pPr>
              <w:pStyle w:val="Bullet3"/>
              <w:numPr>
                <w:ilvl w:val="0"/>
                <w:numId w:val="0"/>
              </w:numPr>
            </w:pPr>
          </w:p>
          <w:p w:rsidR="0081693A" w:rsidRDefault="0081693A" w:rsidP="0081693A">
            <w:pPr>
              <w:pStyle w:val="Bullet3"/>
              <w:numPr>
                <w:ilvl w:val="0"/>
                <w:numId w:val="0"/>
              </w:numPr>
            </w:pPr>
          </w:p>
          <w:p w:rsidR="0081693A" w:rsidRDefault="0081693A" w:rsidP="0081693A">
            <w:pPr>
              <w:pStyle w:val="Bullet3"/>
              <w:numPr>
                <w:ilvl w:val="0"/>
                <w:numId w:val="0"/>
              </w:numPr>
            </w:pPr>
          </w:p>
          <w:p w:rsidR="00777BF7" w:rsidRDefault="00777BF7" w:rsidP="0081693A">
            <w:pPr>
              <w:pStyle w:val="Bullet2"/>
              <w:keepLines w:val="0"/>
            </w:pPr>
            <w:r>
              <w:lastRenderedPageBreak/>
              <w:t>Recommendation 14</w:t>
            </w:r>
          </w:p>
          <w:p w:rsidR="00777BF7" w:rsidRDefault="00777BF7" w:rsidP="0081693A">
            <w:pPr>
              <w:pStyle w:val="Bullet3"/>
            </w:pPr>
            <w:r>
              <w:t>The DSS</w:t>
            </w:r>
            <w:r w:rsidRPr="00364F60">
              <w:t xml:space="preserve">, </w:t>
            </w:r>
            <w:r>
              <w:t xml:space="preserve">the </w:t>
            </w:r>
            <w:r w:rsidRPr="00364F60">
              <w:t>Department of Human Services</w:t>
            </w:r>
            <w:r>
              <w:t xml:space="preserve"> (DHS)</w:t>
            </w:r>
            <w:r w:rsidRPr="00364F60">
              <w:t xml:space="preserve"> and </w:t>
            </w:r>
            <w:r>
              <w:t xml:space="preserve">the </w:t>
            </w:r>
            <w:r w:rsidRPr="00364F60">
              <w:t>Department of Immigration and Border Protection</w:t>
            </w:r>
            <w:r>
              <w:t xml:space="preserve"> (DIBP) to review parental consent requirements for identity documents.</w:t>
            </w:r>
          </w:p>
          <w:p w:rsidR="00777BF7" w:rsidRDefault="00777BF7" w:rsidP="0081693A">
            <w:pPr>
              <w:pStyle w:val="Bullet2"/>
              <w:keepLines w:val="0"/>
            </w:pPr>
            <w:r>
              <w:t xml:space="preserve">Recommendation 21 </w:t>
            </w:r>
          </w:p>
          <w:p w:rsidR="00777BF7" w:rsidRDefault="00777BF7" w:rsidP="0081693A">
            <w:pPr>
              <w:pStyle w:val="Bullet3"/>
              <w:widowControl w:val="0"/>
            </w:pPr>
            <w:r>
              <w:t xml:space="preserve">Increase </w:t>
            </w:r>
            <w:r w:rsidRPr="00364F60">
              <w:t xml:space="preserve">the Transition to Independent Living Allowance </w:t>
            </w:r>
            <w:r>
              <w:t xml:space="preserve">(TILA) </w:t>
            </w:r>
            <w:r w:rsidRPr="00364F60">
              <w:t xml:space="preserve">from $1,500 to $3,000 per </w:t>
            </w:r>
            <w:r>
              <w:t>eligible person</w:t>
            </w:r>
            <w:r w:rsidRPr="00364F60">
              <w:t>.</w:t>
            </w:r>
          </w:p>
          <w:p w:rsidR="00777BF7" w:rsidRDefault="00777BF7" w:rsidP="0081693A">
            <w:pPr>
              <w:pStyle w:val="Bullet2"/>
              <w:keepLines w:val="0"/>
            </w:pPr>
            <w:r>
              <w:t>Recommendation 33</w:t>
            </w:r>
          </w:p>
          <w:p w:rsidR="00777BF7" w:rsidRDefault="00777BF7" w:rsidP="0081693A">
            <w:pPr>
              <w:pStyle w:val="Bullet3"/>
            </w:pPr>
            <w:r w:rsidRPr="00364F60">
              <w:t>National Disability Insurance Agency (NDIA)</w:t>
            </w:r>
            <w:r>
              <w:t xml:space="preserve"> to review support available</w:t>
            </w:r>
            <w:r w:rsidRPr="00364F60">
              <w:t>.</w:t>
            </w:r>
          </w:p>
          <w:p w:rsidR="00777BF7" w:rsidRDefault="00777BF7" w:rsidP="0081693A">
            <w:r>
              <w:t xml:space="preserve">The proposal would have effect </w:t>
            </w:r>
            <w:r w:rsidRPr="007C310A">
              <w:t xml:space="preserve">from 1 </w:t>
            </w:r>
            <w:r>
              <w:t>September</w:t>
            </w:r>
            <w:r w:rsidRPr="007C310A">
              <w:t xml:space="preserve"> 2016.</w:t>
            </w:r>
          </w:p>
        </w:tc>
      </w:tr>
      <w:tr w:rsidR="004D5525" w:rsidTr="00D52D5F">
        <w:tc>
          <w:tcPr>
            <w:tcW w:w="3005" w:type="dxa"/>
          </w:tcPr>
          <w:p w:rsidR="004D5525" w:rsidRDefault="004D5525" w:rsidP="004D5525">
            <w:pPr>
              <w:pStyle w:val="BodyText"/>
            </w:pPr>
            <w:r>
              <w:lastRenderedPageBreak/>
              <w:t>Person/party requesting costing:</w:t>
            </w:r>
          </w:p>
        </w:tc>
        <w:tc>
          <w:tcPr>
            <w:tcW w:w="5335" w:type="dxa"/>
          </w:tcPr>
          <w:p w:rsidR="004D5525" w:rsidRDefault="004838F3" w:rsidP="004D5525">
            <w:pPr>
              <w:pStyle w:val="BodyText"/>
            </w:pPr>
            <w:r>
              <w:t>Senator Richard Di Natale, Australian Greens</w:t>
            </w:r>
          </w:p>
        </w:tc>
      </w:tr>
      <w:tr w:rsidR="007D3577" w:rsidTr="004838F3">
        <w:tc>
          <w:tcPr>
            <w:tcW w:w="3005" w:type="dxa"/>
          </w:tcPr>
          <w:p w:rsidR="007D3577" w:rsidRDefault="007D3577" w:rsidP="004838F3">
            <w:pPr>
              <w:pStyle w:val="BodyText"/>
            </w:pPr>
            <w:r>
              <w:t>Date of public release of policy:</w:t>
            </w:r>
          </w:p>
        </w:tc>
        <w:tc>
          <w:tcPr>
            <w:tcW w:w="5335" w:type="dxa"/>
          </w:tcPr>
          <w:p w:rsidR="007D3577" w:rsidRDefault="007C310A" w:rsidP="007C310A">
            <w:pPr>
              <w:pStyle w:val="BodyText"/>
            </w:pPr>
            <w:r w:rsidRPr="00456433">
              <w:t>26 May 2016</w:t>
            </w:r>
          </w:p>
          <w:p w:rsidR="00456433" w:rsidRPr="00C17112" w:rsidRDefault="00852E19" w:rsidP="00456433">
            <w:pPr>
              <w:pStyle w:val="BodyText"/>
            </w:pPr>
            <w:hyperlink r:id="rId13" w:history="1">
              <w:r w:rsidR="006612F3" w:rsidRPr="00474DB1">
                <w:rPr>
                  <w:rStyle w:val="Hyperlink"/>
                </w:rPr>
                <w:t>http://greens.org.au/stolen-generation</w:t>
              </w:r>
            </w:hyperlink>
            <w:r w:rsidR="006612F3">
              <w:t xml:space="preserve">; </w:t>
            </w:r>
            <w:hyperlink r:id="rId14" w:history="1">
              <w:r w:rsidR="006612F3" w:rsidRPr="00757646">
                <w:rPr>
                  <w:rStyle w:val="Hyperlink"/>
                </w:rPr>
                <w:t>http://rachel-siewert.greensmps.org.au/content/media-releases/greens-launch-package-stop-another-stolen-generation</w:t>
              </w:r>
            </w:hyperlink>
            <w:r w:rsidR="006612F3">
              <w:t>.</w:t>
            </w:r>
          </w:p>
        </w:tc>
      </w:tr>
      <w:tr w:rsidR="004D5525" w:rsidTr="00D52D5F">
        <w:tc>
          <w:tcPr>
            <w:tcW w:w="3005" w:type="dxa"/>
          </w:tcPr>
          <w:p w:rsidR="004D5525" w:rsidRDefault="004D5525" w:rsidP="004D5525">
            <w:pPr>
              <w:pStyle w:val="BodyText"/>
            </w:pPr>
            <w:r>
              <w:t>Date costing request received:</w:t>
            </w:r>
          </w:p>
        </w:tc>
        <w:tc>
          <w:tcPr>
            <w:tcW w:w="5335" w:type="dxa"/>
          </w:tcPr>
          <w:p w:rsidR="004D5525" w:rsidRDefault="006612F3" w:rsidP="005B29C8">
            <w:pPr>
              <w:pStyle w:val="BodyText"/>
            </w:pPr>
            <w:r>
              <w:t>28</w:t>
            </w:r>
            <w:r w:rsidR="00E80F42">
              <w:t xml:space="preserve"> </w:t>
            </w:r>
            <w:r w:rsidR="004838F3">
              <w:t>June 2016</w:t>
            </w:r>
          </w:p>
        </w:tc>
      </w:tr>
      <w:tr w:rsidR="004D5525" w:rsidTr="00D52D5F">
        <w:tc>
          <w:tcPr>
            <w:tcW w:w="3005" w:type="dxa"/>
          </w:tcPr>
          <w:p w:rsidR="004D5525" w:rsidRDefault="004D5525" w:rsidP="004D5525">
            <w:pPr>
              <w:pStyle w:val="BodyText"/>
            </w:pPr>
            <w:r>
              <w:t>Date costing completed</w:t>
            </w:r>
            <w:r w:rsidR="001D53FF">
              <w:t>:</w:t>
            </w:r>
          </w:p>
        </w:tc>
        <w:tc>
          <w:tcPr>
            <w:tcW w:w="5335" w:type="dxa"/>
          </w:tcPr>
          <w:p w:rsidR="004D5525" w:rsidRPr="00C17112" w:rsidRDefault="006612F3" w:rsidP="004D5525">
            <w:pPr>
              <w:pStyle w:val="BodyText"/>
            </w:pPr>
            <w:r>
              <w:t>2</w:t>
            </w:r>
            <w:r w:rsidR="00970AE5">
              <w:t>9</w:t>
            </w:r>
            <w:r w:rsidR="004838F3">
              <w:t xml:space="preserve"> June 2016</w:t>
            </w:r>
          </w:p>
        </w:tc>
      </w:tr>
      <w:tr w:rsidR="004D5525" w:rsidTr="00D52D5F">
        <w:tc>
          <w:tcPr>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7C310A" w:rsidP="00220BE5">
            <w:pPr>
              <w:pStyle w:val="BodyText"/>
            </w:pPr>
            <w:r>
              <w:t>R</w:t>
            </w:r>
            <w:r w:rsidR="004D5525" w:rsidRPr="00220BE5">
              <w:t xml:space="preserve">elease of </w:t>
            </w:r>
            <w:r w:rsidR="00220BE5">
              <w:t>the</w:t>
            </w:r>
            <w:r w:rsidR="00F17505">
              <w:t xml:space="preserve"> next economic and fiscal outlook report</w:t>
            </w:r>
          </w:p>
        </w:tc>
      </w:tr>
    </w:tbl>
    <w:p w:rsidR="0055581F" w:rsidRPr="00002D5D" w:rsidRDefault="008030EC" w:rsidP="00FC6579">
      <w:pPr>
        <w:pStyle w:val="Heading2"/>
      </w:pPr>
      <w:r w:rsidRPr="00002D5D">
        <w:t>Costing overview</w:t>
      </w:r>
    </w:p>
    <w:p w:rsidR="007C310A" w:rsidRPr="00966B78" w:rsidRDefault="007C310A" w:rsidP="007C310A">
      <w:r w:rsidRPr="00966B78">
        <w:t xml:space="preserve">This proposal would be expected to decrease both the fiscal and </w:t>
      </w:r>
      <w:r w:rsidR="0033659B" w:rsidRPr="00966B78">
        <w:t xml:space="preserve">underlying </w:t>
      </w:r>
      <w:r w:rsidRPr="00966B78">
        <w:t>cash balances by $</w:t>
      </w:r>
      <w:r w:rsidR="00966B78" w:rsidRPr="00966B78">
        <w:t>41</w:t>
      </w:r>
      <w:r w:rsidRPr="00966B78">
        <w:t>.</w:t>
      </w:r>
      <w:r w:rsidR="00966B78" w:rsidRPr="00966B78">
        <w:t>4</w:t>
      </w:r>
      <w:r w:rsidRPr="00966B78">
        <w:t xml:space="preserve"> million over the 2016-17 Budget forward estimates period.  This reflects an increase in administered </w:t>
      </w:r>
      <w:r w:rsidR="008D0AD8">
        <w:t>expenses</w:t>
      </w:r>
      <w:r w:rsidRPr="00966B78">
        <w:t xml:space="preserve"> of $</w:t>
      </w:r>
      <w:r w:rsidR="007469D7" w:rsidRPr="00966B78">
        <w:t>2</w:t>
      </w:r>
      <w:r w:rsidRPr="00966B78">
        <w:t xml:space="preserve">5.4 million and an increase in departmental </w:t>
      </w:r>
      <w:r w:rsidR="008D0AD8">
        <w:t>expenses</w:t>
      </w:r>
      <w:r w:rsidRPr="00966B78">
        <w:t xml:space="preserve"> of $1</w:t>
      </w:r>
      <w:r w:rsidR="00966B78" w:rsidRPr="00966B78">
        <w:t>6</w:t>
      </w:r>
      <w:r w:rsidRPr="00966B78">
        <w:t>.</w:t>
      </w:r>
      <w:r w:rsidR="00966B78" w:rsidRPr="00966B78">
        <w:t>0</w:t>
      </w:r>
      <w:r w:rsidRPr="00966B78">
        <w:t xml:space="preserve"> million over this period.  A detailed breakdown of the financial implications </w:t>
      </w:r>
      <w:r w:rsidR="00ED4667">
        <w:t xml:space="preserve">by component </w:t>
      </w:r>
      <w:r w:rsidRPr="00966B78">
        <w:t xml:space="preserve">is at </w:t>
      </w:r>
      <w:r w:rsidRPr="00966B78">
        <w:rPr>
          <w:u w:val="single"/>
        </w:rPr>
        <w:t>Attachment A</w:t>
      </w:r>
      <w:r w:rsidRPr="00966B78">
        <w:t xml:space="preserve">.  </w:t>
      </w:r>
    </w:p>
    <w:p w:rsidR="00F46648" w:rsidRDefault="007C310A" w:rsidP="007C310A">
      <w:r w:rsidRPr="00966B78">
        <w:t xml:space="preserve">The </w:t>
      </w:r>
      <w:r w:rsidR="00F46648">
        <w:t xml:space="preserve">only ongoing financial impact beyond the 2016-17 Budget forward estimates relates to the TILA component of the costing, which is estimated to be $1.4 million per year.  All other specified funding amounts cease at the end of 2019-20. </w:t>
      </w:r>
    </w:p>
    <w:p w:rsidR="00EC4472" w:rsidRPr="00782C65" w:rsidRDefault="00C1612B" w:rsidP="007C310A">
      <w:r>
        <w:t>The first component (</w:t>
      </w:r>
      <w:r w:rsidRPr="00B015AC">
        <w:t xml:space="preserve">funding for projects to reduce out of home care) and the first two elements </w:t>
      </w:r>
      <w:r w:rsidR="001E3446" w:rsidRPr="00B015AC">
        <w:t xml:space="preserve">of the second component </w:t>
      </w:r>
      <w:r w:rsidRPr="00B015AC">
        <w:t>(</w:t>
      </w:r>
      <w:r w:rsidR="001E3446" w:rsidRPr="00B015AC">
        <w:t xml:space="preserve">funding for DSS and AIHW) of the costing are </w:t>
      </w:r>
      <w:r w:rsidR="001E3446" w:rsidRPr="00B015AC">
        <w:lastRenderedPageBreak/>
        <w:t>considered to be of high reliability as the amount of funding is fixed.  However, no analysis has been undertaken to determine the adequacy of the prescribed funding amounts to achieve the objective of the proposal.</w:t>
      </w:r>
    </w:p>
    <w:p w:rsidR="007C310A" w:rsidRDefault="001E3446" w:rsidP="001E3446">
      <w:r>
        <w:t xml:space="preserve">The remaining elements of the costing (the increase in the TILA, and funding for the review </w:t>
      </w:r>
      <w:r w:rsidR="00E66921">
        <w:t xml:space="preserve">of </w:t>
      </w:r>
      <w:r>
        <w:t xml:space="preserve">parental consent requirements and NDIA support) are considered to be of medium reliability </w:t>
      </w:r>
      <w:r w:rsidR="00782C65">
        <w:t>a</w:t>
      </w:r>
      <w:r>
        <w:t xml:space="preserve">s </w:t>
      </w:r>
      <w:r w:rsidR="00782C65">
        <w:t>they are</w:t>
      </w:r>
      <w:r>
        <w:t xml:space="preserve"> based on </w:t>
      </w:r>
      <w:r w:rsidR="009D5548">
        <w:t xml:space="preserve">departmental costs </w:t>
      </w:r>
      <w:r w:rsidR="00782C65">
        <w:t xml:space="preserve">of </w:t>
      </w:r>
      <w:r w:rsidR="009D5548">
        <w:t xml:space="preserve">similar programs and DSS </w:t>
      </w:r>
      <w:r w:rsidR="00E66921">
        <w:t>2016</w:t>
      </w:r>
      <w:r w:rsidR="00E66921">
        <w:noBreakHyphen/>
        <w:t>17 </w:t>
      </w:r>
      <w:r w:rsidR="008874C2">
        <w:t xml:space="preserve">Budget </w:t>
      </w:r>
      <w:r w:rsidR="009D5548">
        <w:t xml:space="preserve">forward estimates projections (for future TILA recipients). </w:t>
      </w:r>
      <w:r w:rsidR="007C310A">
        <w:t xml:space="preserve"> </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r w:rsidRPr="00844776">
        <w:rPr>
          <w:vertAlign w:val="superscript"/>
        </w:rPr>
        <w:t>(a)</w:t>
      </w:r>
      <w:r w:rsidR="00455356">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AE5755">
            <w:pPr>
              <w:pStyle w:val="TableText"/>
              <w:keepNext/>
              <w:keepLines/>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AE5755">
            <w:pPr>
              <w:keepNext/>
              <w:keepLines/>
              <w:spacing w:before="70" w:after="70" w:line="260" w:lineRule="atLeast"/>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AE5755">
            <w:pPr>
              <w:keepNext/>
              <w:keepLines/>
              <w:spacing w:before="70" w:after="70" w:line="260" w:lineRule="atLeast"/>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AE5755">
            <w:pPr>
              <w:keepNext/>
              <w:keepLines/>
              <w:spacing w:before="70" w:after="70" w:line="260" w:lineRule="atLeast"/>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AE5755">
            <w:pPr>
              <w:keepNext/>
              <w:keepLines/>
              <w:spacing w:before="70" w:after="70" w:line="260" w:lineRule="atLeas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F97DFF" w:rsidRDefault="00CA5D42" w:rsidP="00AE5755">
            <w:pPr>
              <w:keepNext/>
              <w:keepLines/>
              <w:spacing w:before="70" w:after="70" w:line="260" w:lineRule="atLeast"/>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EA265F" w:rsidRPr="00B73AC8" w:rsidTr="00966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EA265F" w:rsidRPr="00B73AC8" w:rsidRDefault="00EA265F" w:rsidP="00AE5755">
            <w:pPr>
              <w:pStyle w:val="TableTextCentred"/>
              <w:keepNext/>
              <w:keepLines/>
              <w:jc w:val="left"/>
              <w:rPr>
                <w:szCs w:val="20"/>
              </w:rPr>
            </w:pPr>
            <w:r w:rsidRPr="00B73AC8">
              <w:rPr>
                <w:szCs w:val="20"/>
              </w:rPr>
              <w:t>Fiscal balance</w:t>
            </w:r>
          </w:p>
        </w:tc>
        <w:tc>
          <w:tcPr>
            <w:tcW w:w="682" w:type="pct"/>
            <w:shd w:val="clear" w:color="auto" w:fill="auto"/>
          </w:tcPr>
          <w:p w:rsidR="00EA265F" w:rsidRPr="00966B78" w:rsidRDefault="004838F3" w:rsidP="00966B78">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sidRPr="00966B78">
              <w:rPr>
                <w:rFonts w:ascii="Calibri" w:hAnsi="Calibri"/>
                <w:szCs w:val="20"/>
              </w:rPr>
              <w:t>-</w:t>
            </w:r>
            <w:r w:rsidR="007469D7" w:rsidRPr="00966B78">
              <w:rPr>
                <w:rFonts w:ascii="Calibri" w:hAnsi="Calibri"/>
                <w:szCs w:val="20"/>
              </w:rPr>
              <w:t>10</w:t>
            </w:r>
            <w:r w:rsidRPr="00966B78">
              <w:rPr>
                <w:rFonts w:ascii="Calibri" w:hAnsi="Calibri"/>
                <w:szCs w:val="20"/>
              </w:rPr>
              <w:t>.</w:t>
            </w:r>
            <w:r w:rsidR="00966B78" w:rsidRPr="00966B78">
              <w:rPr>
                <w:rFonts w:ascii="Calibri" w:hAnsi="Calibri"/>
                <w:szCs w:val="20"/>
              </w:rPr>
              <w:t>8</w:t>
            </w:r>
          </w:p>
        </w:tc>
        <w:tc>
          <w:tcPr>
            <w:tcW w:w="682" w:type="pct"/>
            <w:shd w:val="clear" w:color="auto" w:fill="auto"/>
          </w:tcPr>
          <w:p w:rsidR="00EA265F" w:rsidRPr="00966B78" w:rsidRDefault="007C310A" w:rsidP="00966B78">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sidRPr="00966B78">
              <w:rPr>
                <w:rFonts w:ascii="Calibri" w:hAnsi="Calibri"/>
                <w:szCs w:val="20"/>
              </w:rPr>
              <w:t>-</w:t>
            </w:r>
            <w:r w:rsidR="00966B78" w:rsidRPr="00966B78">
              <w:rPr>
                <w:rFonts w:ascii="Calibri" w:hAnsi="Calibri"/>
                <w:szCs w:val="20"/>
              </w:rPr>
              <w:t>10</w:t>
            </w:r>
            <w:r w:rsidRPr="00966B78">
              <w:rPr>
                <w:rFonts w:ascii="Calibri" w:hAnsi="Calibri"/>
                <w:szCs w:val="20"/>
              </w:rPr>
              <w:t>.</w:t>
            </w:r>
            <w:r w:rsidR="00966B78" w:rsidRPr="00966B78">
              <w:rPr>
                <w:rFonts w:ascii="Calibri" w:hAnsi="Calibri"/>
                <w:szCs w:val="20"/>
              </w:rPr>
              <w:t>2</w:t>
            </w:r>
          </w:p>
        </w:tc>
        <w:tc>
          <w:tcPr>
            <w:tcW w:w="682" w:type="pct"/>
            <w:shd w:val="clear" w:color="auto" w:fill="auto"/>
          </w:tcPr>
          <w:p w:rsidR="00EA265F" w:rsidRPr="00966B78" w:rsidRDefault="007C310A" w:rsidP="00966B78">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sidRPr="00966B78">
              <w:rPr>
                <w:rFonts w:ascii="Calibri" w:hAnsi="Calibri"/>
                <w:szCs w:val="20"/>
              </w:rPr>
              <w:t>-</w:t>
            </w:r>
            <w:r w:rsidR="00966B78" w:rsidRPr="00966B78">
              <w:rPr>
                <w:rFonts w:ascii="Calibri" w:hAnsi="Calibri"/>
                <w:szCs w:val="20"/>
              </w:rPr>
              <w:t>10</w:t>
            </w:r>
            <w:r w:rsidRPr="00966B78">
              <w:rPr>
                <w:rFonts w:ascii="Calibri" w:hAnsi="Calibri"/>
                <w:szCs w:val="20"/>
              </w:rPr>
              <w:t>.</w:t>
            </w:r>
            <w:r w:rsidR="00966B78" w:rsidRPr="00966B78">
              <w:rPr>
                <w:rFonts w:ascii="Calibri" w:hAnsi="Calibri"/>
                <w:szCs w:val="20"/>
              </w:rPr>
              <w:t>2</w:t>
            </w:r>
          </w:p>
        </w:tc>
        <w:tc>
          <w:tcPr>
            <w:tcW w:w="682" w:type="pct"/>
            <w:shd w:val="clear" w:color="auto" w:fill="auto"/>
          </w:tcPr>
          <w:p w:rsidR="00EA265F" w:rsidRPr="00966B78" w:rsidRDefault="007C310A" w:rsidP="00966B78">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sidRPr="00966B78">
              <w:rPr>
                <w:rFonts w:ascii="Calibri" w:hAnsi="Calibri"/>
                <w:szCs w:val="20"/>
              </w:rPr>
              <w:t>-</w:t>
            </w:r>
            <w:r w:rsidR="00966B78" w:rsidRPr="00966B78">
              <w:rPr>
                <w:rFonts w:ascii="Calibri" w:hAnsi="Calibri"/>
                <w:szCs w:val="20"/>
              </w:rPr>
              <w:t>10</w:t>
            </w:r>
            <w:r w:rsidRPr="00966B78">
              <w:rPr>
                <w:rFonts w:ascii="Calibri" w:hAnsi="Calibri"/>
                <w:szCs w:val="20"/>
              </w:rPr>
              <w:t>.</w:t>
            </w:r>
            <w:r w:rsidR="00966B78" w:rsidRPr="00966B78">
              <w:rPr>
                <w:rFonts w:ascii="Calibri" w:hAnsi="Calibri"/>
                <w:szCs w:val="20"/>
              </w:rPr>
              <w:t>2</w:t>
            </w:r>
          </w:p>
        </w:tc>
        <w:tc>
          <w:tcPr>
            <w:tcW w:w="681" w:type="pct"/>
            <w:shd w:val="clear" w:color="auto" w:fill="auto"/>
          </w:tcPr>
          <w:p w:rsidR="00EA265F" w:rsidRPr="00966B78" w:rsidRDefault="007C310A" w:rsidP="00966B78">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b/>
                <w:szCs w:val="20"/>
              </w:rPr>
            </w:pPr>
            <w:r w:rsidRPr="00966B78">
              <w:rPr>
                <w:rFonts w:ascii="Calibri" w:hAnsi="Calibri"/>
                <w:b/>
                <w:szCs w:val="20"/>
              </w:rPr>
              <w:t>-</w:t>
            </w:r>
            <w:r w:rsidR="00966B78" w:rsidRPr="00966B78">
              <w:rPr>
                <w:rFonts w:ascii="Calibri" w:hAnsi="Calibri"/>
                <w:b/>
                <w:szCs w:val="20"/>
              </w:rPr>
              <w:t>41</w:t>
            </w:r>
            <w:r w:rsidRPr="00966B78">
              <w:rPr>
                <w:rFonts w:ascii="Calibri" w:hAnsi="Calibri"/>
                <w:b/>
                <w:szCs w:val="20"/>
              </w:rPr>
              <w:t>.</w:t>
            </w:r>
            <w:r w:rsidR="00966B78" w:rsidRPr="00966B78">
              <w:rPr>
                <w:rFonts w:ascii="Calibri" w:hAnsi="Calibri"/>
                <w:b/>
                <w:szCs w:val="20"/>
              </w:rPr>
              <w:t>4</w:t>
            </w:r>
          </w:p>
        </w:tc>
      </w:tr>
      <w:tr w:rsidR="00692DD8" w:rsidRPr="00B73AC8" w:rsidTr="00EA265F">
        <w:tc>
          <w:tcPr>
            <w:cnfStyle w:val="001000000000" w:firstRow="0" w:lastRow="0" w:firstColumn="1" w:lastColumn="0" w:oddVBand="0" w:evenVBand="0" w:oddHBand="0" w:evenHBand="0" w:firstRowFirstColumn="0" w:firstRowLastColumn="0" w:lastRowFirstColumn="0" w:lastRowLastColumn="0"/>
            <w:tcW w:w="1591" w:type="pct"/>
          </w:tcPr>
          <w:p w:rsidR="00CA5D42" w:rsidRPr="00B73AC8" w:rsidRDefault="00CA5D42" w:rsidP="00AE5755">
            <w:pPr>
              <w:pStyle w:val="TableTextCentred"/>
              <w:keepNext/>
              <w:keepLines/>
              <w:jc w:val="left"/>
              <w:rPr>
                <w:szCs w:val="20"/>
              </w:rPr>
            </w:pPr>
            <w:r w:rsidRPr="00B73AC8">
              <w:rPr>
                <w:szCs w:val="20"/>
              </w:rPr>
              <w:t>Underlying cash balance</w:t>
            </w:r>
          </w:p>
        </w:tc>
        <w:tc>
          <w:tcPr>
            <w:tcW w:w="682" w:type="pct"/>
          </w:tcPr>
          <w:p w:rsidR="00CA5D42" w:rsidRPr="00966B78" w:rsidRDefault="004838F3" w:rsidP="00966B7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966B78">
              <w:rPr>
                <w:rFonts w:ascii="Calibri" w:hAnsi="Calibri"/>
                <w:szCs w:val="20"/>
              </w:rPr>
              <w:t>-</w:t>
            </w:r>
            <w:r w:rsidR="007469D7" w:rsidRPr="00966B78">
              <w:rPr>
                <w:rFonts w:ascii="Calibri" w:hAnsi="Calibri"/>
                <w:szCs w:val="20"/>
              </w:rPr>
              <w:t>10</w:t>
            </w:r>
            <w:r w:rsidRPr="00966B78">
              <w:rPr>
                <w:rFonts w:ascii="Calibri" w:hAnsi="Calibri"/>
                <w:szCs w:val="20"/>
              </w:rPr>
              <w:t>.</w:t>
            </w:r>
            <w:r w:rsidR="00966B78" w:rsidRPr="00966B78">
              <w:rPr>
                <w:rFonts w:ascii="Calibri" w:hAnsi="Calibri"/>
                <w:szCs w:val="20"/>
              </w:rPr>
              <w:t>8</w:t>
            </w:r>
          </w:p>
        </w:tc>
        <w:tc>
          <w:tcPr>
            <w:tcW w:w="682" w:type="pct"/>
          </w:tcPr>
          <w:p w:rsidR="00CA5D42" w:rsidRPr="00966B78" w:rsidRDefault="007C310A" w:rsidP="00966B7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966B78">
              <w:rPr>
                <w:rFonts w:ascii="Calibri" w:hAnsi="Calibri"/>
                <w:szCs w:val="20"/>
              </w:rPr>
              <w:t>-</w:t>
            </w:r>
            <w:r w:rsidR="00966B78" w:rsidRPr="00966B78">
              <w:rPr>
                <w:rFonts w:ascii="Calibri" w:hAnsi="Calibri"/>
                <w:szCs w:val="20"/>
              </w:rPr>
              <w:t>10</w:t>
            </w:r>
            <w:r w:rsidRPr="00966B78">
              <w:rPr>
                <w:rFonts w:ascii="Calibri" w:hAnsi="Calibri"/>
                <w:szCs w:val="20"/>
              </w:rPr>
              <w:t>.</w:t>
            </w:r>
            <w:r w:rsidR="00966B78" w:rsidRPr="00966B78">
              <w:rPr>
                <w:rFonts w:ascii="Calibri" w:hAnsi="Calibri"/>
                <w:szCs w:val="20"/>
              </w:rPr>
              <w:t>2</w:t>
            </w:r>
          </w:p>
        </w:tc>
        <w:tc>
          <w:tcPr>
            <w:tcW w:w="682" w:type="pct"/>
          </w:tcPr>
          <w:p w:rsidR="00CA5D42" w:rsidRPr="00966B78" w:rsidRDefault="007C310A" w:rsidP="00966B7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966B78">
              <w:rPr>
                <w:rFonts w:ascii="Calibri" w:hAnsi="Calibri"/>
                <w:szCs w:val="20"/>
              </w:rPr>
              <w:t>-</w:t>
            </w:r>
            <w:r w:rsidR="00966B78" w:rsidRPr="00966B78">
              <w:rPr>
                <w:rFonts w:ascii="Calibri" w:hAnsi="Calibri"/>
                <w:szCs w:val="20"/>
              </w:rPr>
              <w:t>10</w:t>
            </w:r>
            <w:r w:rsidRPr="00966B78">
              <w:rPr>
                <w:rFonts w:ascii="Calibri" w:hAnsi="Calibri"/>
                <w:szCs w:val="20"/>
              </w:rPr>
              <w:t>.</w:t>
            </w:r>
            <w:r w:rsidR="00966B78" w:rsidRPr="00966B78">
              <w:rPr>
                <w:rFonts w:ascii="Calibri" w:hAnsi="Calibri"/>
                <w:szCs w:val="20"/>
              </w:rPr>
              <w:t>2</w:t>
            </w:r>
          </w:p>
        </w:tc>
        <w:tc>
          <w:tcPr>
            <w:tcW w:w="682" w:type="pct"/>
          </w:tcPr>
          <w:p w:rsidR="00CA5D42" w:rsidRPr="00966B78" w:rsidRDefault="007C310A" w:rsidP="00966B7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966B78">
              <w:rPr>
                <w:rFonts w:ascii="Calibri" w:hAnsi="Calibri"/>
                <w:szCs w:val="20"/>
              </w:rPr>
              <w:t>-</w:t>
            </w:r>
            <w:r w:rsidR="00966B78" w:rsidRPr="00966B78">
              <w:rPr>
                <w:rFonts w:ascii="Calibri" w:hAnsi="Calibri"/>
                <w:szCs w:val="20"/>
              </w:rPr>
              <w:t>10</w:t>
            </w:r>
            <w:r w:rsidRPr="00966B78">
              <w:rPr>
                <w:rFonts w:ascii="Calibri" w:hAnsi="Calibri"/>
                <w:szCs w:val="20"/>
              </w:rPr>
              <w:t>.</w:t>
            </w:r>
            <w:r w:rsidR="00966B78" w:rsidRPr="00966B78">
              <w:rPr>
                <w:rFonts w:ascii="Calibri" w:hAnsi="Calibri"/>
                <w:szCs w:val="20"/>
              </w:rPr>
              <w:t>2</w:t>
            </w:r>
          </w:p>
        </w:tc>
        <w:tc>
          <w:tcPr>
            <w:tcW w:w="681" w:type="pct"/>
          </w:tcPr>
          <w:p w:rsidR="00CA5D42" w:rsidRPr="00966B78" w:rsidRDefault="007C310A" w:rsidP="00966B7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sidRPr="00966B78">
              <w:rPr>
                <w:rFonts w:ascii="Calibri" w:hAnsi="Calibri"/>
                <w:b/>
                <w:szCs w:val="20"/>
              </w:rPr>
              <w:t>-</w:t>
            </w:r>
            <w:r w:rsidR="00966B78" w:rsidRPr="00966B78">
              <w:rPr>
                <w:rFonts w:ascii="Calibri" w:hAnsi="Calibri"/>
                <w:b/>
                <w:szCs w:val="20"/>
              </w:rPr>
              <w:t>41</w:t>
            </w:r>
            <w:r w:rsidRPr="00966B78">
              <w:rPr>
                <w:rFonts w:ascii="Calibri" w:hAnsi="Calibri"/>
                <w:b/>
                <w:szCs w:val="20"/>
              </w:rPr>
              <w:t>.</w:t>
            </w:r>
            <w:r w:rsidR="00966B78" w:rsidRPr="00966B78">
              <w:rPr>
                <w:rFonts w:ascii="Calibri" w:hAnsi="Calibri"/>
                <w:b/>
                <w:szCs w:val="20"/>
              </w:rPr>
              <w:t>4</w:t>
            </w:r>
          </w:p>
        </w:tc>
      </w:tr>
    </w:tbl>
    <w:p w:rsidR="009D4063" w:rsidRDefault="009D4063" w:rsidP="009D4063">
      <w:pPr>
        <w:pStyle w:val="Footnotes"/>
        <w:keepNext/>
        <w:keepLines/>
        <w:numPr>
          <w:ilvl w:val="0"/>
          <w:numId w:val="7"/>
        </w:numPr>
        <w:ind w:left="284" w:hanging="284"/>
      </w:pPr>
      <w:r w:rsidRPr="00B22049">
        <w:t xml:space="preserve">A positive number indicates an increase in </w:t>
      </w:r>
      <w:r w:rsidR="00455356">
        <w:t>the relevant budget balance, a negative number represents a decrease.</w:t>
      </w:r>
    </w:p>
    <w:p w:rsidR="00455356" w:rsidRPr="00B22049" w:rsidRDefault="00455356" w:rsidP="009D4063">
      <w:pPr>
        <w:pStyle w:val="Footnotes"/>
        <w:keepNext/>
        <w:keepLines/>
        <w:numPr>
          <w:ilvl w:val="0"/>
          <w:numId w:val="7"/>
        </w:numPr>
        <w:ind w:left="284" w:hanging="284"/>
      </w:pPr>
      <w:r>
        <w:t>Figures may not</w:t>
      </w:r>
      <w:r w:rsidR="0081693A">
        <w:t xml:space="preserve"> sum to totals due to rounding.</w:t>
      </w:r>
    </w:p>
    <w:p w:rsidR="005E3562" w:rsidRPr="00FC6579" w:rsidRDefault="005E3562" w:rsidP="00E40B8B">
      <w:pPr>
        <w:pStyle w:val="Heading2"/>
      </w:pPr>
      <w:r w:rsidRPr="00FC6579">
        <w:t>Methodology</w:t>
      </w:r>
    </w:p>
    <w:p w:rsidR="007C310A" w:rsidRDefault="007C310A" w:rsidP="007C310A">
      <w:r>
        <w:t>Administered costs that account for the increased TILA are based on the number of eligible individuals multiplied by the amount of the increase.</w:t>
      </w:r>
    </w:p>
    <w:p w:rsidR="007C310A" w:rsidRDefault="007C310A" w:rsidP="007C310A">
      <w:pPr>
        <w:rPr>
          <w:b/>
        </w:rPr>
      </w:pPr>
      <w:r>
        <w:t xml:space="preserve">Estimated </w:t>
      </w:r>
      <w:r w:rsidR="00701A2E">
        <w:t>D</w:t>
      </w:r>
      <w:r w:rsidRPr="00325CFF">
        <w:t xml:space="preserve">epartmental expenditure estimates </w:t>
      </w:r>
      <w:r>
        <w:t xml:space="preserve">(other than the specified capped amounts) </w:t>
      </w:r>
      <w:r w:rsidRPr="00325CFF">
        <w:t>are based on other like programs</w:t>
      </w:r>
      <w:r>
        <w:t>.</w:t>
      </w:r>
      <w:r w:rsidRPr="00325CFF">
        <w:t xml:space="preserve"> </w:t>
      </w:r>
      <w:r>
        <w:t xml:space="preserve"> E</w:t>
      </w:r>
      <w:r w:rsidRPr="00325CFF">
        <w:t xml:space="preserve">stimates </w:t>
      </w:r>
      <w:r>
        <w:t>allow</w:t>
      </w:r>
      <w:r w:rsidRPr="00325CFF">
        <w:t xml:space="preserve"> for the net effect of indexation parameters and the efficiency dividend, in accordance with the Department of Finance’s costing practices. </w:t>
      </w:r>
    </w:p>
    <w:p w:rsidR="005E3562" w:rsidRPr="00FC6579" w:rsidRDefault="005E3562" w:rsidP="00E40B8B">
      <w:pPr>
        <w:pStyle w:val="Heading2"/>
      </w:pPr>
      <w:r w:rsidRPr="00FC6579">
        <w:t>Data sources</w:t>
      </w:r>
    </w:p>
    <w:p w:rsidR="007C310A" w:rsidRDefault="007C310A" w:rsidP="007C310A">
      <w:pPr>
        <w:pStyle w:val="Bullet1"/>
      </w:pPr>
      <w:r>
        <w:t xml:space="preserve">Senate Community Affairs References Committee </w:t>
      </w:r>
      <w:r w:rsidRPr="00456433">
        <w:rPr>
          <w:i/>
        </w:rPr>
        <w:t>Out of home care</w:t>
      </w:r>
      <w:r>
        <w:t xml:space="preserve"> inquiry, August 2015.</w:t>
      </w:r>
    </w:p>
    <w:p w:rsidR="007C310A" w:rsidRDefault="007C310A" w:rsidP="007C310A">
      <w:pPr>
        <w:pStyle w:val="Bullet1"/>
      </w:pPr>
      <w:r>
        <w:t>Department of Finance provided indexation</w:t>
      </w:r>
      <w:r w:rsidR="008874C2">
        <w:t xml:space="preserve"> and efficiency dividend</w:t>
      </w:r>
      <w:r>
        <w:t xml:space="preserve"> parameters.</w:t>
      </w:r>
    </w:p>
    <w:p w:rsidR="00966B78" w:rsidRDefault="00966B78" w:rsidP="007C310A">
      <w:pPr>
        <w:pStyle w:val="Bullet1"/>
      </w:pPr>
      <w:r>
        <w:t xml:space="preserve">Department of the Prime Minister and Cabinet, </w:t>
      </w:r>
      <w:r>
        <w:rPr>
          <w:i/>
        </w:rPr>
        <w:t>Portfolio Budget Statements 2016-17.</w:t>
      </w:r>
    </w:p>
    <w:p w:rsidR="00CA5D42" w:rsidRDefault="00CA5D42" w:rsidP="00F71BCB">
      <w:pPr>
        <w:pStyle w:val="Bullet3"/>
        <w:numPr>
          <w:ilvl w:val="0"/>
          <w:numId w:val="0"/>
        </w:numPr>
        <w:ind w:left="1361"/>
      </w:pPr>
    </w:p>
    <w:p w:rsidR="00F71BCB" w:rsidRPr="00FC6579" w:rsidRDefault="00F71BCB" w:rsidP="00F71BCB">
      <w:pPr>
        <w:pStyle w:val="Bullet3"/>
        <w:numPr>
          <w:ilvl w:val="0"/>
          <w:numId w:val="0"/>
        </w:numPr>
        <w:ind w:left="1361" w:hanging="454"/>
        <w:rPr>
          <w:highlight w:val="yellow"/>
        </w:rPr>
        <w:sectPr w:rsidR="00F71BCB" w:rsidRPr="00FC6579" w:rsidSect="00002D5D">
          <w:headerReference w:type="first" r:id="rId15"/>
          <w:footerReference w:type="first" r:id="rId16"/>
          <w:pgSz w:w="11906" w:h="16838"/>
          <w:pgMar w:top="1361" w:right="1797" w:bottom="1474" w:left="1797" w:header="709" w:footer="709" w:gutter="0"/>
          <w:cols w:space="708"/>
          <w:titlePg/>
          <w:docGrid w:linePitch="360"/>
        </w:sectPr>
      </w:pPr>
    </w:p>
    <w:p w:rsidR="00CA5D42" w:rsidRPr="00BD55B1" w:rsidRDefault="001A02D1" w:rsidP="00BD55B1">
      <w:pPr>
        <w:pStyle w:val="Heading1"/>
      </w:pPr>
      <w:r w:rsidRPr="00FC6579">
        <w:lastRenderedPageBreak/>
        <w:t>Attachment A:</w:t>
      </w:r>
      <w:r w:rsidR="00BD55B1">
        <w:t xml:space="preserve"> </w:t>
      </w:r>
      <w:r w:rsidR="006B052A">
        <w:t xml:space="preserve">Stopping another stolen generation: Reducing the number of Aboriginal and </w:t>
      </w:r>
      <w:r w:rsidR="00B16E36">
        <w:t>Torres Strait Islander children in out of home care</w:t>
      </w:r>
      <w:r w:rsidR="00440E32">
        <w:t>—financial</w:t>
      </w:r>
      <w:r w:rsidR="00841C3A">
        <w:t> </w:t>
      </w:r>
      <w:r w:rsidR="00440E32">
        <w:t>implications</w:t>
      </w:r>
    </w:p>
    <w:p w:rsidR="00EA5685" w:rsidRPr="00E40B8B" w:rsidRDefault="00EA5685" w:rsidP="00EA5685">
      <w:pPr>
        <w:pStyle w:val="Captionheading"/>
        <w:rPr>
          <w:vertAlign w:val="superscript"/>
        </w:rPr>
      </w:pPr>
      <w:r w:rsidRPr="00FC6579">
        <w:t xml:space="preserve">Table </w:t>
      </w:r>
      <w:r>
        <w:t>A</w:t>
      </w:r>
      <w:r w:rsidR="00BD55B1">
        <w:t xml:space="preserve">1: </w:t>
      </w:r>
      <w:r w:rsidR="001F7744">
        <w:t>Combined impact of all components</w:t>
      </w:r>
      <w:r>
        <w:t>—Financial implications (outturn prices)</w:t>
      </w:r>
      <w:r>
        <w:rPr>
          <w:vertAlign w:val="superscript"/>
        </w:rPr>
        <w:t>(a)</w:t>
      </w:r>
      <w:r w:rsidR="00455356">
        <w:rPr>
          <w:vertAlign w:val="superscript"/>
        </w:rPr>
        <w:t>(b)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233"/>
        <w:gridCol w:w="1098"/>
        <w:gridCol w:w="1099"/>
        <w:gridCol w:w="954"/>
        <w:gridCol w:w="991"/>
        <w:gridCol w:w="939"/>
      </w:tblGrid>
      <w:tr w:rsidR="003073ED" w:rsidRPr="00EF1D6A" w:rsidTr="00B015A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944" w:type="pct"/>
            <w:tcBorders>
              <w:top w:val="single" w:sz="4" w:space="0" w:color="788184"/>
              <w:left w:val="single" w:sz="4" w:space="0" w:color="788184"/>
              <w:bottom w:val="single" w:sz="4" w:space="0" w:color="788184"/>
              <w:right w:val="single" w:sz="4" w:space="0" w:color="788184"/>
            </w:tcBorders>
          </w:tcPr>
          <w:p w:rsidR="00EA5685" w:rsidRPr="00EF1D6A" w:rsidRDefault="00232F3E" w:rsidP="00AE5755">
            <w:pPr>
              <w:pStyle w:val="TableText"/>
              <w:keepNext/>
              <w:keepLines/>
              <w:rPr>
                <w:rFonts w:ascii="Calibri" w:hAnsi="Calibri"/>
                <w:b/>
                <w:szCs w:val="20"/>
              </w:rPr>
            </w:pPr>
            <w:r>
              <w:rPr>
                <w:rFonts w:ascii="Calibri" w:hAnsi="Calibri"/>
                <w:szCs w:val="20"/>
              </w:rPr>
              <w:t xml:space="preserve"> </w:t>
            </w:r>
            <w:r w:rsidR="00EA5685" w:rsidRPr="00EF1D6A">
              <w:rPr>
                <w:rFonts w:ascii="Calibri" w:hAnsi="Calibri"/>
                <w:szCs w:val="20"/>
              </w:rPr>
              <w:t>($m)</w:t>
            </w:r>
          </w:p>
        </w:tc>
        <w:tc>
          <w:tcPr>
            <w:tcW w:w="660" w:type="pct"/>
            <w:tcBorders>
              <w:top w:val="single" w:sz="4" w:space="0" w:color="788184"/>
              <w:left w:val="single" w:sz="4" w:space="0" w:color="788184"/>
              <w:bottom w:val="single" w:sz="4" w:space="0" w:color="788184"/>
              <w:right w:val="single" w:sz="4" w:space="0" w:color="788184"/>
            </w:tcBorders>
          </w:tcPr>
          <w:p w:rsidR="00EA5685" w:rsidRPr="00C24267" w:rsidRDefault="00EA5685" w:rsidP="00AE5755">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61" w:type="pct"/>
            <w:tcBorders>
              <w:top w:val="single" w:sz="4" w:space="0" w:color="788184"/>
              <w:left w:val="single" w:sz="4" w:space="0" w:color="788184"/>
              <w:bottom w:val="single" w:sz="4" w:space="0" w:color="788184"/>
              <w:right w:val="single" w:sz="4" w:space="0" w:color="788184"/>
            </w:tcBorders>
          </w:tcPr>
          <w:p w:rsidR="00EA5685" w:rsidRPr="00C24267" w:rsidRDefault="00EA5685" w:rsidP="00AE5755">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574" w:type="pct"/>
            <w:tcBorders>
              <w:top w:val="single" w:sz="4" w:space="0" w:color="788184"/>
              <w:left w:val="single" w:sz="4" w:space="0" w:color="788184"/>
              <w:bottom w:val="single" w:sz="4" w:space="0" w:color="788184"/>
              <w:right w:val="single" w:sz="4" w:space="0" w:color="788184"/>
            </w:tcBorders>
          </w:tcPr>
          <w:p w:rsidR="00EA5685" w:rsidRPr="00C24267" w:rsidRDefault="00EA5685" w:rsidP="00AE5755">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596" w:type="pct"/>
            <w:tcBorders>
              <w:top w:val="single" w:sz="4" w:space="0" w:color="788184"/>
              <w:left w:val="single" w:sz="4" w:space="0" w:color="788184"/>
              <w:bottom w:val="single" w:sz="4" w:space="0" w:color="788184"/>
              <w:right w:val="single" w:sz="4" w:space="0" w:color="788184"/>
            </w:tcBorders>
          </w:tcPr>
          <w:p w:rsidR="00EA5685" w:rsidRPr="003073ED" w:rsidRDefault="00EA5685" w:rsidP="00AE5755">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3073ED">
              <w:t>2019–20</w:t>
            </w:r>
          </w:p>
        </w:tc>
        <w:tc>
          <w:tcPr>
            <w:tcW w:w="565" w:type="pct"/>
            <w:tcBorders>
              <w:top w:val="single" w:sz="4" w:space="0" w:color="788184"/>
              <w:left w:val="single" w:sz="4" w:space="0" w:color="788184"/>
              <w:bottom w:val="single" w:sz="4" w:space="0" w:color="788184"/>
              <w:right w:val="single" w:sz="4" w:space="0" w:color="788184"/>
            </w:tcBorders>
          </w:tcPr>
          <w:p w:rsidR="00EA5685" w:rsidRPr="00AE30B5" w:rsidRDefault="00EA5685" w:rsidP="00936A1F">
            <w:pPr>
              <w:pStyle w:val="TableHeadingCentred"/>
              <w:cnfStyle w:val="100000000000" w:firstRow="1" w:lastRow="0" w:firstColumn="0" w:lastColumn="0" w:oddVBand="0" w:evenVBand="0" w:oddHBand="0" w:evenHBand="0" w:firstRowFirstColumn="0" w:firstRowLastColumn="0" w:lastRowFirstColumn="0" w:lastRowLastColumn="0"/>
              <w:rPr>
                <w:b/>
                <w:szCs w:val="20"/>
                <w:vertAlign w:val="superscript"/>
              </w:rPr>
            </w:pPr>
            <w:r w:rsidRPr="00AE30B5">
              <w:rPr>
                <w:b/>
              </w:rPr>
              <w:t>Total</w:t>
            </w:r>
            <w:r w:rsidRPr="00AE30B5">
              <w:rPr>
                <w:b/>
                <w:szCs w:val="20"/>
              </w:rPr>
              <w:t xml:space="preserve"> to 2019–20</w:t>
            </w:r>
          </w:p>
        </w:tc>
      </w:tr>
      <w:tr w:rsidR="00AF6439" w:rsidRPr="00EF1D6A" w:rsidTr="00AF64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tcPr>
          <w:p w:rsidR="00AF6439" w:rsidRPr="00AE30B5" w:rsidRDefault="00AF6439" w:rsidP="00B015AC">
            <w:pPr>
              <w:pStyle w:val="TableHeadingCentred"/>
              <w:jc w:val="left"/>
              <w:rPr>
                <w:b/>
              </w:rPr>
            </w:pPr>
            <w:r>
              <w:rPr>
                <w:b/>
              </w:rPr>
              <w:t>Impact on f</w:t>
            </w:r>
            <w:r w:rsidRPr="003073ED">
              <w:rPr>
                <w:b/>
              </w:rPr>
              <w:t>iscal and underlying cash balances</w:t>
            </w:r>
          </w:p>
        </w:tc>
      </w:tr>
      <w:tr w:rsidR="006B3F64" w:rsidRPr="00EF1D6A" w:rsidTr="003073ED">
        <w:trPr>
          <w:cantSplit/>
        </w:trPr>
        <w:tc>
          <w:tcPr>
            <w:cnfStyle w:val="001000000000" w:firstRow="0" w:lastRow="0" w:firstColumn="1" w:lastColumn="0" w:oddVBand="0" w:evenVBand="0" w:oddHBand="0" w:evenHBand="0" w:firstRowFirstColumn="0" w:firstRowLastColumn="0" w:lastRowFirstColumn="0" w:lastRowLastColumn="0"/>
            <w:tcW w:w="1944" w:type="pct"/>
            <w:tcBorders>
              <w:top w:val="single" w:sz="4" w:space="0" w:color="788184"/>
              <w:left w:val="single" w:sz="4" w:space="0" w:color="788184"/>
              <w:bottom w:val="single" w:sz="4" w:space="0" w:color="788184"/>
              <w:right w:val="single" w:sz="4" w:space="0" w:color="788184"/>
            </w:tcBorders>
          </w:tcPr>
          <w:p w:rsidR="006B3F64" w:rsidRPr="00B015AC" w:rsidRDefault="006B3F64" w:rsidP="003073ED">
            <w:pPr>
              <w:pStyle w:val="TableTextCentred"/>
              <w:keepNext/>
              <w:keepLines/>
              <w:ind w:left="227"/>
              <w:jc w:val="left"/>
              <w:rPr>
                <w:szCs w:val="20"/>
              </w:rPr>
            </w:pPr>
            <w:r>
              <w:t>Administered</w:t>
            </w:r>
          </w:p>
        </w:tc>
        <w:tc>
          <w:tcPr>
            <w:tcW w:w="660" w:type="pct"/>
            <w:tcBorders>
              <w:top w:val="single" w:sz="4" w:space="0" w:color="788184"/>
              <w:left w:val="single" w:sz="4" w:space="0" w:color="788184"/>
              <w:bottom w:val="single" w:sz="4" w:space="0" w:color="788184"/>
              <w:right w:val="single" w:sz="4" w:space="0" w:color="788184"/>
            </w:tcBorders>
          </w:tcPr>
          <w:p w:rsidR="006B3F64" w:rsidRPr="001F7744" w:rsidRDefault="006B3F64" w:rsidP="004A4037">
            <w:pPr>
              <w:pStyle w:val="TableTextRight"/>
              <w:cnfStyle w:val="000000000000" w:firstRow="0" w:lastRow="0" w:firstColumn="0" w:lastColumn="0" w:oddVBand="0" w:evenVBand="0" w:oddHBand="0" w:evenHBand="0" w:firstRowFirstColumn="0" w:firstRowLastColumn="0" w:lastRowFirstColumn="0" w:lastRowLastColumn="0"/>
            </w:pPr>
            <w:r>
              <w:t>-6.4</w:t>
            </w:r>
          </w:p>
        </w:tc>
        <w:tc>
          <w:tcPr>
            <w:tcW w:w="661" w:type="pct"/>
            <w:tcBorders>
              <w:top w:val="single" w:sz="4" w:space="0" w:color="788184"/>
              <w:left w:val="single" w:sz="4" w:space="0" w:color="788184"/>
              <w:bottom w:val="single" w:sz="4" w:space="0" w:color="788184"/>
              <w:right w:val="single" w:sz="4" w:space="0" w:color="788184"/>
            </w:tcBorders>
          </w:tcPr>
          <w:p w:rsidR="006B3F64" w:rsidRPr="001F7744" w:rsidRDefault="006B3F64" w:rsidP="004A4037">
            <w:pPr>
              <w:pStyle w:val="TableTextRight"/>
              <w:cnfStyle w:val="000000000000" w:firstRow="0" w:lastRow="0" w:firstColumn="0" w:lastColumn="0" w:oddVBand="0" w:evenVBand="0" w:oddHBand="0" w:evenHBand="0" w:firstRowFirstColumn="0" w:firstRowLastColumn="0" w:lastRowFirstColumn="0" w:lastRowLastColumn="0"/>
            </w:pPr>
            <w:r>
              <w:t>-6.4</w:t>
            </w:r>
          </w:p>
        </w:tc>
        <w:tc>
          <w:tcPr>
            <w:tcW w:w="574" w:type="pct"/>
            <w:tcBorders>
              <w:top w:val="single" w:sz="4" w:space="0" w:color="788184"/>
              <w:left w:val="single" w:sz="4" w:space="0" w:color="788184"/>
              <w:bottom w:val="single" w:sz="4" w:space="0" w:color="788184"/>
              <w:right w:val="single" w:sz="4" w:space="0" w:color="788184"/>
            </w:tcBorders>
          </w:tcPr>
          <w:p w:rsidR="006B3F64" w:rsidRPr="001F7744" w:rsidRDefault="006B3F64" w:rsidP="004A4037">
            <w:pPr>
              <w:pStyle w:val="TableTextRight"/>
              <w:cnfStyle w:val="000000000000" w:firstRow="0" w:lastRow="0" w:firstColumn="0" w:lastColumn="0" w:oddVBand="0" w:evenVBand="0" w:oddHBand="0" w:evenHBand="0" w:firstRowFirstColumn="0" w:firstRowLastColumn="0" w:lastRowFirstColumn="0" w:lastRowLastColumn="0"/>
            </w:pPr>
            <w:r>
              <w:t>-6.4</w:t>
            </w:r>
          </w:p>
        </w:tc>
        <w:tc>
          <w:tcPr>
            <w:tcW w:w="596" w:type="pct"/>
            <w:tcBorders>
              <w:top w:val="single" w:sz="4" w:space="0" w:color="788184"/>
              <w:left w:val="single" w:sz="4" w:space="0" w:color="788184"/>
              <w:bottom w:val="single" w:sz="4" w:space="0" w:color="788184"/>
              <w:right w:val="single" w:sz="4" w:space="0" w:color="788184"/>
            </w:tcBorders>
          </w:tcPr>
          <w:p w:rsidR="006B3F64" w:rsidRPr="001F7744" w:rsidRDefault="006B3F64" w:rsidP="004A4037">
            <w:pPr>
              <w:pStyle w:val="TableTextRight"/>
              <w:cnfStyle w:val="000000000000" w:firstRow="0" w:lastRow="0" w:firstColumn="0" w:lastColumn="0" w:oddVBand="0" w:evenVBand="0" w:oddHBand="0" w:evenHBand="0" w:firstRowFirstColumn="0" w:firstRowLastColumn="0" w:lastRowFirstColumn="0" w:lastRowLastColumn="0"/>
            </w:pPr>
            <w:r w:rsidRPr="003073ED">
              <w:t>-</w:t>
            </w:r>
            <w:r>
              <w:t>6.4</w:t>
            </w:r>
          </w:p>
        </w:tc>
        <w:tc>
          <w:tcPr>
            <w:tcW w:w="565" w:type="pct"/>
            <w:tcBorders>
              <w:top w:val="single" w:sz="4" w:space="0" w:color="788184"/>
              <w:left w:val="single" w:sz="4" w:space="0" w:color="788184"/>
              <w:bottom w:val="single" w:sz="4" w:space="0" w:color="788184"/>
              <w:right w:val="single" w:sz="4" w:space="0" w:color="788184"/>
            </w:tcBorders>
          </w:tcPr>
          <w:p w:rsidR="006B3F64" w:rsidRPr="00AE30B5" w:rsidRDefault="006B3F64">
            <w:pPr>
              <w:pStyle w:val="TableTextRight"/>
              <w:cnfStyle w:val="000000000000" w:firstRow="0" w:lastRow="0" w:firstColumn="0" w:lastColumn="0" w:oddVBand="0" w:evenVBand="0" w:oddHBand="0" w:evenHBand="0" w:firstRowFirstColumn="0" w:firstRowLastColumn="0" w:lastRowFirstColumn="0" w:lastRowLastColumn="0"/>
              <w:rPr>
                <w:b/>
              </w:rPr>
            </w:pPr>
            <w:r>
              <w:rPr>
                <w:b/>
              </w:rPr>
              <w:t>-25.4</w:t>
            </w:r>
          </w:p>
        </w:tc>
      </w:tr>
      <w:tr w:rsidR="006B3F64" w:rsidRPr="00EF1D6A" w:rsidTr="003073E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4" w:type="pct"/>
            <w:tcBorders>
              <w:top w:val="single" w:sz="4" w:space="0" w:color="788184"/>
              <w:left w:val="single" w:sz="4" w:space="0" w:color="788184"/>
              <w:bottom w:val="single" w:sz="4" w:space="0" w:color="788184"/>
              <w:right w:val="single" w:sz="4" w:space="0" w:color="788184"/>
            </w:tcBorders>
          </w:tcPr>
          <w:p w:rsidR="006B3F64" w:rsidRPr="009A3647" w:rsidRDefault="006B3F64" w:rsidP="00144FAC">
            <w:pPr>
              <w:pStyle w:val="TableTextCentred"/>
              <w:keepNext/>
              <w:keepLines/>
              <w:ind w:left="227"/>
              <w:jc w:val="left"/>
              <w:rPr>
                <w:i/>
                <w:szCs w:val="20"/>
              </w:rPr>
            </w:pPr>
            <w:r>
              <w:t>Departmental</w:t>
            </w:r>
          </w:p>
        </w:tc>
        <w:tc>
          <w:tcPr>
            <w:tcW w:w="660" w:type="pct"/>
            <w:tcBorders>
              <w:top w:val="single" w:sz="4" w:space="0" w:color="788184"/>
              <w:left w:val="single" w:sz="4" w:space="0" w:color="788184"/>
              <w:bottom w:val="single" w:sz="4" w:space="0" w:color="788184"/>
              <w:right w:val="single" w:sz="4" w:space="0" w:color="788184"/>
            </w:tcBorders>
          </w:tcPr>
          <w:p w:rsidR="006B3F64" w:rsidRPr="001F7744" w:rsidRDefault="006B3F64" w:rsidP="004A4037">
            <w:pPr>
              <w:pStyle w:val="TableTextRight"/>
              <w:cnfStyle w:val="000000100000" w:firstRow="0" w:lastRow="0" w:firstColumn="0" w:lastColumn="0" w:oddVBand="0" w:evenVBand="0" w:oddHBand="1" w:evenHBand="0" w:firstRowFirstColumn="0" w:firstRowLastColumn="0" w:lastRowFirstColumn="0" w:lastRowLastColumn="0"/>
            </w:pPr>
            <w:r>
              <w:t>-4.5</w:t>
            </w:r>
          </w:p>
        </w:tc>
        <w:tc>
          <w:tcPr>
            <w:tcW w:w="661" w:type="pct"/>
            <w:tcBorders>
              <w:top w:val="single" w:sz="4" w:space="0" w:color="788184"/>
              <w:left w:val="single" w:sz="4" w:space="0" w:color="788184"/>
              <w:bottom w:val="single" w:sz="4" w:space="0" w:color="788184"/>
              <w:right w:val="single" w:sz="4" w:space="0" w:color="788184"/>
            </w:tcBorders>
          </w:tcPr>
          <w:p w:rsidR="006B3F64" w:rsidRPr="001F7744" w:rsidRDefault="006B3F64" w:rsidP="004A4037">
            <w:pPr>
              <w:pStyle w:val="TableTextRight"/>
              <w:cnfStyle w:val="000000100000" w:firstRow="0" w:lastRow="0" w:firstColumn="0" w:lastColumn="0" w:oddVBand="0" w:evenVBand="0" w:oddHBand="1" w:evenHBand="0" w:firstRowFirstColumn="0" w:firstRowLastColumn="0" w:lastRowFirstColumn="0" w:lastRowLastColumn="0"/>
            </w:pPr>
            <w:r>
              <w:t>-3.8</w:t>
            </w:r>
          </w:p>
        </w:tc>
        <w:tc>
          <w:tcPr>
            <w:tcW w:w="574" w:type="pct"/>
            <w:tcBorders>
              <w:top w:val="single" w:sz="4" w:space="0" w:color="788184"/>
              <w:left w:val="single" w:sz="4" w:space="0" w:color="788184"/>
              <w:bottom w:val="single" w:sz="4" w:space="0" w:color="788184"/>
              <w:right w:val="single" w:sz="4" w:space="0" w:color="788184"/>
            </w:tcBorders>
          </w:tcPr>
          <w:p w:rsidR="006B3F64" w:rsidRPr="001F7744" w:rsidRDefault="006B3F64" w:rsidP="004A4037">
            <w:pPr>
              <w:pStyle w:val="TableTextRight"/>
              <w:cnfStyle w:val="000000100000" w:firstRow="0" w:lastRow="0" w:firstColumn="0" w:lastColumn="0" w:oddVBand="0" w:evenVBand="0" w:oddHBand="1" w:evenHBand="0" w:firstRowFirstColumn="0" w:firstRowLastColumn="0" w:lastRowFirstColumn="0" w:lastRowLastColumn="0"/>
            </w:pPr>
            <w:r>
              <w:t>-3.8</w:t>
            </w:r>
          </w:p>
        </w:tc>
        <w:tc>
          <w:tcPr>
            <w:tcW w:w="596" w:type="pct"/>
            <w:tcBorders>
              <w:top w:val="single" w:sz="4" w:space="0" w:color="788184"/>
              <w:left w:val="single" w:sz="4" w:space="0" w:color="788184"/>
              <w:bottom w:val="single" w:sz="4" w:space="0" w:color="788184"/>
              <w:right w:val="single" w:sz="4" w:space="0" w:color="788184"/>
            </w:tcBorders>
          </w:tcPr>
          <w:p w:rsidR="006B3F64" w:rsidRPr="001F7744" w:rsidRDefault="006B3F64" w:rsidP="004A4037">
            <w:pPr>
              <w:pStyle w:val="TableTextRight"/>
              <w:cnfStyle w:val="000000100000" w:firstRow="0" w:lastRow="0" w:firstColumn="0" w:lastColumn="0" w:oddVBand="0" w:evenVBand="0" w:oddHBand="1" w:evenHBand="0" w:firstRowFirstColumn="0" w:firstRowLastColumn="0" w:lastRowFirstColumn="0" w:lastRowLastColumn="0"/>
            </w:pPr>
            <w:r>
              <w:t>-3.9</w:t>
            </w:r>
          </w:p>
        </w:tc>
        <w:tc>
          <w:tcPr>
            <w:tcW w:w="565" w:type="pct"/>
            <w:tcBorders>
              <w:top w:val="single" w:sz="4" w:space="0" w:color="788184"/>
              <w:left w:val="single" w:sz="4" w:space="0" w:color="788184"/>
              <w:bottom w:val="single" w:sz="4" w:space="0" w:color="788184"/>
              <w:right w:val="single" w:sz="4" w:space="0" w:color="788184"/>
            </w:tcBorders>
          </w:tcPr>
          <w:p w:rsidR="006B3F64" w:rsidRDefault="006B3F64">
            <w:pPr>
              <w:pStyle w:val="TableTextRight"/>
              <w:cnfStyle w:val="000000100000" w:firstRow="0" w:lastRow="0" w:firstColumn="0" w:lastColumn="0" w:oddVBand="0" w:evenVBand="0" w:oddHBand="1" w:evenHBand="0" w:firstRowFirstColumn="0" w:firstRowLastColumn="0" w:lastRowFirstColumn="0" w:lastRowLastColumn="0"/>
              <w:rPr>
                <w:b/>
              </w:rPr>
            </w:pPr>
            <w:r>
              <w:rPr>
                <w:b/>
              </w:rPr>
              <w:t>-16.0</w:t>
            </w:r>
          </w:p>
        </w:tc>
      </w:tr>
      <w:tr w:rsidR="00AF6439" w:rsidRPr="0055406D" w:rsidTr="003073ED">
        <w:trPr>
          <w:cantSplit/>
        </w:trPr>
        <w:tc>
          <w:tcPr>
            <w:cnfStyle w:val="001000000000" w:firstRow="0" w:lastRow="0" w:firstColumn="1" w:lastColumn="0" w:oddVBand="0" w:evenVBand="0" w:oddHBand="0" w:evenHBand="0" w:firstRowFirstColumn="0" w:firstRowLastColumn="0" w:lastRowFirstColumn="0" w:lastRowLastColumn="0"/>
            <w:tcW w:w="1944" w:type="pct"/>
            <w:tcBorders>
              <w:top w:val="single" w:sz="4" w:space="0" w:color="788184"/>
              <w:left w:val="single" w:sz="4" w:space="0" w:color="788184"/>
              <w:bottom w:val="single" w:sz="4" w:space="0" w:color="788184"/>
              <w:right w:val="single" w:sz="4" w:space="0" w:color="788184"/>
            </w:tcBorders>
            <w:shd w:val="clear" w:color="auto" w:fill="D7DDE9"/>
          </w:tcPr>
          <w:p w:rsidR="00AF6439" w:rsidRPr="0055406D" w:rsidRDefault="00AF6439" w:rsidP="00AE5755">
            <w:pPr>
              <w:pStyle w:val="TableTextCentred"/>
              <w:keepNext/>
              <w:keepLines/>
              <w:jc w:val="left"/>
              <w:rPr>
                <w:b/>
                <w:szCs w:val="20"/>
              </w:rPr>
            </w:pPr>
            <w:r w:rsidRPr="0055406D">
              <w:rPr>
                <w:b/>
                <w:szCs w:val="20"/>
              </w:rPr>
              <w:t>Total</w:t>
            </w:r>
          </w:p>
        </w:tc>
        <w:tc>
          <w:tcPr>
            <w:tcW w:w="660" w:type="pct"/>
            <w:tcBorders>
              <w:top w:val="single" w:sz="4" w:space="0" w:color="788184"/>
              <w:left w:val="single" w:sz="4" w:space="0" w:color="788184"/>
              <w:bottom w:val="single" w:sz="4" w:space="0" w:color="788184"/>
              <w:right w:val="single" w:sz="4" w:space="0" w:color="788184"/>
            </w:tcBorders>
            <w:shd w:val="clear" w:color="auto" w:fill="D7DDE9"/>
          </w:tcPr>
          <w:p w:rsidR="00AF6439" w:rsidRPr="0055406D" w:rsidRDefault="00AF6439" w:rsidP="00966B78">
            <w:pPr>
              <w:pStyle w:val="TableTextRight"/>
              <w:cnfStyle w:val="000000000000" w:firstRow="0" w:lastRow="0" w:firstColumn="0" w:lastColumn="0" w:oddVBand="0" w:evenVBand="0" w:oddHBand="0" w:evenHBand="0" w:firstRowFirstColumn="0" w:firstRowLastColumn="0" w:lastRowFirstColumn="0" w:lastRowLastColumn="0"/>
              <w:rPr>
                <w:b/>
                <w:i w:val="0"/>
              </w:rPr>
            </w:pPr>
            <w:r>
              <w:rPr>
                <w:b/>
                <w:i w:val="0"/>
              </w:rPr>
              <w:t>-10.8</w:t>
            </w:r>
          </w:p>
        </w:tc>
        <w:tc>
          <w:tcPr>
            <w:tcW w:w="661" w:type="pct"/>
            <w:tcBorders>
              <w:top w:val="single" w:sz="4" w:space="0" w:color="788184"/>
              <w:left w:val="single" w:sz="4" w:space="0" w:color="788184"/>
              <w:bottom w:val="single" w:sz="4" w:space="0" w:color="788184"/>
              <w:right w:val="single" w:sz="4" w:space="0" w:color="788184"/>
            </w:tcBorders>
            <w:shd w:val="clear" w:color="auto" w:fill="D7DDE9"/>
          </w:tcPr>
          <w:p w:rsidR="00AF6439" w:rsidRPr="0055406D" w:rsidRDefault="00AF6439" w:rsidP="00966B78">
            <w:pPr>
              <w:pStyle w:val="TableTextRight"/>
              <w:cnfStyle w:val="000000000000" w:firstRow="0" w:lastRow="0" w:firstColumn="0" w:lastColumn="0" w:oddVBand="0" w:evenVBand="0" w:oddHBand="0" w:evenHBand="0" w:firstRowFirstColumn="0" w:firstRowLastColumn="0" w:lastRowFirstColumn="0" w:lastRowLastColumn="0"/>
              <w:rPr>
                <w:b/>
                <w:i w:val="0"/>
              </w:rPr>
            </w:pPr>
            <w:r>
              <w:rPr>
                <w:b/>
                <w:i w:val="0"/>
              </w:rPr>
              <w:t>-10.2</w:t>
            </w:r>
          </w:p>
        </w:tc>
        <w:tc>
          <w:tcPr>
            <w:tcW w:w="574" w:type="pct"/>
            <w:tcBorders>
              <w:top w:val="single" w:sz="4" w:space="0" w:color="788184"/>
              <w:left w:val="single" w:sz="4" w:space="0" w:color="788184"/>
              <w:bottom w:val="single" w:sz="4" w:space="0" w:color="788184"/>
              <w:right w:val="single" w:sz="4" w:space="0" w:color="788184"/>
            </w:tcBorders>
            <w:shd w:val="clear" w:color="auto" w:fill="D7DDE9"/>
          </w:tcPr>
          <w:p w:rsidR="00AF6439" w:rsidRPr="0055406D" w:rsidRDefault="00AF6439" w:rsidP="00966B78">
            <w:pPr>
              <w:pStyle w:val="TableTextRight"/>
              <w:cnfStyle w:val="000000000000" w:firstRow="0" w:lastRow="0" w:firstColumn="0" w:lastColumn="0" w:oddVBand="0" w:evenVBand="0" w:oddHBand="0" w:evenHBand="0" w:firstRowFirstColumn="0" w:firstRowLastColumn="0" w:lastRowFirstColumn="0" w:lastRowLastColumn="0"/>
              <w:rPr>
                <w:b/>
                <w:i w:val="0"/>
              </w:rPr>
            </w:pPr>
            <w:r>
              <w:rPr>
                <w:b/>
                <w:i w:val="0"/>
              </w:rPr>
              <w:t>-10.2</w:t>
            </w:r>
          </w:p>
        </w:tc>
        <w:tc>
          <w:tcPr>
            <w:tcW w:w="596" w:type="pct"/>
            <w:tcBorders>
              <w:top w:val="single" w:sz="4" w:space="0" w:color="788184"/>
              <w:left w:val="single" w:sz="4" w:space="0" w:color="788184"/>
              <w:bottom w:val="single" w:sz="4" w:space="0" w:color="788184"/>
              <w:right w:val="single" w:sz="4" w:space="0" w:color="788184"/>
            </w:tcBorders>
            <w:shd w:val="clear" w:color="auto" w:fill="D7DDE9"/>
          </w:tcPr>
          <w:p w:rsidR="00AF6439" w:rsidRPr="0055406D" w:rsidRDefault="00AF6439" w:rsidP="00966B78">
            <w:pPr>
              <w:pStyle w:val="TableTextRight"/>
              <w:cnfStyle w:val="000000000000" w:firstRow="0" w:lastRow="0" w:firstColumn="0" w:lastColumn="0" w:oddVBand="0" w:evenVBand="0" w:oddHBand="0" w:evenHBand="0" w:firstRowFirstColumn="0" w:firstRowLastColumn="0" w:lastRowFirstColumn="0" w:lastRowLastColumn="0"/>
              <w:rPr>
                <w:b/>
                <w:i w:val="0"/>
              </w:rPr>
            </w:pPr>
            <w:r>
              <w:rPr>
                <w:b/>
                <w:i w:val="0"/>
              </w:rPr>
              <w:t>-10.2</w:t>
            </w:r>
          </w:p>
        </w:tc>
        <w:tc>
          <w:tcPr>
            <w:tcW w:w="565" w:type="pct"/>
            <w:tcBorders>
              <w:top w:val="single" w:sz="4" w:space="0" w:color="788184"/>
              <w:left w:val="single" w:sz="4" w:space="0" w:color="788184"/>
              <w:bottom w:val="single" w:sz="4" w:space="0" w:color="788184"/>
              <w:right w:val="single" w:sz="4" w:space="0" w:color="788184"/>
            </w:tcBorders>
            <w:shd w:val="clear" w:color="auto" w:fill="D7DDE9"/>
          </w:tcPr>
          <w:p w:rsidR="00AF6439" w:rsidRPr="00AE30B5" w:rsidRDefault="00AF6439" w:rsidP="00966B78">
            <w:pPr>
              <w:pStyle w:val="TableTextRight"/>
              <w:cnfStyle w:val="000000000000" w:firstRow="0" w:lastRow="0" w:firstColumn="0" w:lastColumn="0" w:oddVBand="0" w:evenVBand="0" w:oddHBand="0" w:evenHBand="0" w:firstRowFirstColumn="0" w:firstRowLastColumn="0" w:lastRowFirstColumn="0" w:lastRowLastColumn="0"/>
              <w:rPr>
                <w:b/>
                <w:i w:val="0"/>
              </w:rPr>
            </w:pPr>
            <w:r>
              <w:rPr>
                <w:b/>
                <w:i w:val="0"/>
              </w:rPr>
              <w:t>-41.4</w:t>
            </w:r>
          </w:p>
        </w:tc>
      </w:tr>
    </w:tbl>
    <w:p w:rsidR="00EA5685" w:rsidRDefault="00EA5685" w:rsidP="00936A1F">
      <w:pPr>
        <w:pStyle w:val="Footnotes"/>
        <w:numPr>
          <w:ilvl w:val="0"/>
          <w:numId w:val="15"/>
        </w:numPr>
        <w:ind w:left="284" w:hanging="284"/>
      </w:pPr>
      <w:r>
        <w:t xml:space="preserve">A positive </w:t>
      </w:r>
      <w:r w:rsidR="00455356">
        <w:t xml:space="preserve">number </w:t>
      </w:r>
      <w:r w:rsidR="0010220D">
        <w:t>for the fiscal and underlying cash balances indicates a decrease in expenditure.  A negative number for the fiscal and underlying cash balances indicates an increase in expenditure.</w:t>
      </w:r>
    </w:p>
    <w:p w:rsidR="00455356" w:rsidRDefault="00455356" w:rsidP="00936A1F">
      <w:pPr>
        <w:pStyle w:val="Footnotes"/>
        <w:numPr>
          <w:ilvl w:val="0"/>
          <w:numId w:val="15"/>
        </w:numPr>
        <w:ind w:left="284" w:hanging="284"/>
      </w:pPr>
      <w:r>
        <w:t>Figures may not sum to totals due to rounding.</w:t>
      </w:r>
    </w:p>
    <w:p w:rsidR="009A3647" w:rsidRDefault="009A3647" w:rsidP="009A3647">
      <w:pPr>
        <w:spacing w:before="113" w:after="0" w:line="260" w:lineRule="atLeast"/>
        <w:ind w:left="284" w:hanging="284"/>
        <w:rPr>
          <w:sz w:val="20"/>
          <w:szCs w:val="20"/>
        </w:rPr>
      </w:pPr>
    </w:p>
    <w:p w:rsidR="009A3647" w:rsidRDefault="009A3647" w:rsidP="008F4F59">
      <w:pPr>
        <w:pStyle w:val="Bullet2"/>
        <w:keepLines w:val="0"/>
        <w:numPr>
          <w:ilvl w:val="0"/>
          <w:numId w:val="0"/>
        </w:numPr>
        <w:spacing w:before="114" w:after="0" w:line="240" w:lineRule="auto"/>
        <w:rPr>
          <w:rFonts w:eastAsiaTheme="minorHAnsi" w:cstheme="minorBidi"/>
          <w:sz w:val="20"/>
          <w:szCs w:val="20"/>
          <w:lang w:eastAsia="en-US"/>
        </w:rPr>
        <w:sectPr w:rsidR="009A3647" w:rsidSect="003073ED">
          <w:headerReference w:type="first" r:id="rId17"/>
          <w:footerReference w:type="first" r:id="rId18"/>
          <w:pgSz w:w="11906" w:h="16838"/>
          <w:pgMar w:top="1361" w:right="1797" w:bottom="1474" w:left="1797" w:header="709" w:footer="709" w:gutter="0"/>
          <w:cols w:space="708"/>
          <w:titlePg/>
          <w:docGrid w:linePitch="360"/>
        </w:sectPr>
      </w:pPr>
    </w:p>
    <w:p w:rsidR="00710D8B" w:rsidRPr="00E40B8B" w:rsidRDefault="00710D8B" w:rsidP="00710D8B">
      <w:pPr>
        <w:pStyle w:val="Captionheading"/>
        <w:rPr>
          <w:vertAlign w:val="superscript"/>
        </w:rPr>
      </w:pPr>
      <w:r w:rsidRPr="00FC6579">
        <w:lastRenderedPageBreak/>
        <w:t xml:space="preserve">Table </w:t>
      </w:r>
      <w:r w:rsidR="001F7744">
        <w:t>A2</w:t>
      </w:r>
      <w:r>
        <w:t xml:space="preserve">: </w:t>
      </w:r>
      <w:r w:rsidR="001F7744" w:rsidRPr="00427327">
        <w:t xml:space="preserve">Component </w:t>
      </w:r>
      <w:r w:rsidR="001F7744">
        <w:t>1</w:t>
      </w:r>
      <w:r w:rsidR="001F7744" w:rsidRPr="00427327">
        <w:t xml:space="preserve">: </w:t>
      </w:r>
      <w:r w:rsidR="001F7744">
        <w:t>Funding for projects to reduce out of home care</w:t>
      </w:r>
      <w:r>
        <w:t>—Financial implications (outturn prices)</w:t>
      </w:r>
      <w:r>
        <w:rPr>
          <w:vertAlign w:val="superscript"/>
        </w:rPr>
        <w:t>(a)(b)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233"/>
        <w:gridCol w:w="1098"/>
        <w:gridCol w:w="1099"/>
        <w:gridCol w:w="954"/>
        <w:gridCol w:w="991"/>
        <w:gridCol w:w="939"/>
      </w:tblGrid>
      <w:tr w:rsidR="00710D8B" w:rsidRPr="00EF1D6A" w:rsidTr="001A6D8E">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944" w:type="pct"/>
            <w:tcBorders>
              <w:top w:val="single" w:sz="4" w:space="0" w:color="788184"/>
              <w:left w:val="single" w:sz="4" w:space="0" w:color="788184"/>
              <w:bottom w:val="single" w:sz="4" w:space="0" w:color="788184"/>
              <w:right w:val="single" w:sz="4" w:space="0" w:color="788184"/>
            </w:tcBorders>
          </w:tcPr>
          <w:p w:rsidR="00710D8B" w:rsidRPr="00EF1D6A" w:rsidRDefault="00710D8B" w:rsidP="001A6D8E">
            <w:pPr>
              <w:pStyle w:val="TableText"/>
              <w:keepNext/>
              <w:keepLines/>
              <w:rPr>
                <w:rFonts w:ascii="Calibri" w:hAnsi="Calibri"/>
                <w:b/>
                <w:szCs w:val="20"/>
              </w:rPr>
            </w:pPr>
            <w:r>
              <w:rPr>
                <w:rFonts w:ascii="Calibri" w:hAnsi="Calibri"/>
                <w:szCs w:val="20"/>
              </w:rPr>
              <w:t xml:space="preserve"> </w:t>
            </w:r>
            <w:r w:rsidRPr="00EF1D6A">
              <w:rPr>
                <w:rFonts w:ascii="Calibri" w:hAnsi="Calibri"/>
                <w:szCs w:val="20"/>
              </w:rPr>
              <w:t>($m)</w:t>
            </w:r>
          </w:p>
        </w:tc>
        <w:tc>
          <w:tcPr>
            <w:tcW w:w="660" w:type="pct"/>
            <w:tcBorders>
              <w:top w:val="single" w:sz="4" w:space="0" w:color="788184"/>
              <w:left w:val="single" w:sz="4" w:space="0" w:color="788184"/>
              <w:bottom w:val="single" w:sz="4" w:space="0" w:color="788184"/>
              <w:right w:val="single" w:sz="4" w:space="0" w:color="788184"/>
            </w:tcBorders>
          </w:tcPr>
          <w:p w:rsidR="00710D8B" w:rsidRPr="00C24267" w:rsidRDefault="00710D8B" w:rsidP="001A6D8E">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61" w:type="pct"/>
            <w:tcBorders>
              <w:top w:val="single" w:sz="4" w:space="0" w:color="788184"/>
              <w:left w:val="single" w:sz="4" w:space="0" w:color="788184"/>
              <w:bottom w:val="single" w:sz="4" w:space="0" w:color="788184"/>
              <w:right w:val="single" w:sz="4" w:space="0" w:color="788184"/>
            </w:tcBorders>
          </w:tcPr>
          <w:p w:rsidR="00710D8B" w:rsidRPr="00C24267" w:rsidRDefault="00710D8B" w:rsidP="001A6D8E">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574" w:type="pct"/>
            <w:tcBorders>
              <w:top w:val="single" w:sz="4" w:space="0" w:color="788184"/>
              <w:left w:val="single" w:sz="4" w:space="0" w:color="788184"/>
              <w:bottom w:val="single" w:sz="4" w:space="0" w:color="788184"/>
              <w:right w:val="single" w:sz="4" w:space="0" w:color="788184"/>
            </w:tcBorders>
          </w:tcPr>
          <w:p w:rsidR="00710D8B" w:rsidRPr="00C24267" w:rsidRDefault="00710D8B" w:rsidP="001A6D8E">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596" w:type="pct"/>
            <w:tcBorders>
              <w:top w:val="single" w:sz="4" w:space="0" w:color="788184"/>
              <w:left w:val="single" w:sz="4" w:space="0" w:color="788184"/>
              <w:bottom w:val="single" w:sz="4" w:space="0" w:color="788184"/>
              <w:right w:val="single" w:sz="4" w:space="0" w:color="788184"/>
            </w:tcBorders>
          </w:tcPr>
          <w:p w:rsidR="00710D8B" w:rsidRPr="003073ED" w:rsidRDefault="00710D8B" w:rsidP="001A6D8E">
            <w:pPr>
              <w:pStyle w:val="TableHeadingCentred"/>
              <w:cnfStyle w:val="100000000000" w:firstRow="1" w:lastRow="0" w:firstColumn="0" w:lastColumn="0" w:oddVBand="0" w:evenVBand="0" w:oddHBand="0" w:evenHBand="0" w:firstRowFirstColumn="0" w:firstRowLastColumn="0" w:lastRowFirstColumn="0" w:lastRowLastColumn="0"/>
              <w:rPr>
                <w:szCs w:val="20"/>
              </w:rPr>
            </w:pPr>
            <w:r w:rsidRPr="003073ED">
              <w:t>2019–20</w:t>
            </w:r>
          </w:p>
        </w:tc>
        <w:tc>
          <w:tcPr>
            <w:tcW w:w="565" w:type="pct"/>
            <w:tcBorders>
              <w:top w:val="single" w:sz="4" w:space="0" w:color="788184"/>
              <w:left w:val="single" w:sz="4" w:space="0" w:color="788184"/>
              <w:bottom w:val="single" w:sz="4" w:space="0" w:color="788184"/>
              <w:right w:val="single" w:sz="4" w:space="0" w:color="788184"/>
            </w:tcBorders>
          </w:tcPr>
          <w:p w:rsidR="00710D8B" w:rsidRPr="00AE30B5" w:rsidRDefault="00710D8B" w:rsidP="001A6D8E">
            <w:pPr>
              <w:pStyle w:val="TableHeadingCentred"/>
              <w:cnfStyle w:val="100000000000" w:firstRow="1" w:lastRow="0" w:firstColumn="0" w:lastColumn="0" w:oddVBand="0" w:evenVBand="0" w:oddHBand="0" w:evenHBand="0" w:firstRowFirstColumn="0" w:firstRowLastColumn="0" w:lastRowFirstColumn="0" w:lastRowLastColumn="0"/>
              <w:rPr>
                <w:b/>
                <w:szCs w:val="20"/>
                <w:vertAlign w:val="superscript"/>
              </w:rPr>
            </w:pPr>
            <w:r w:rsidRPr="00AE30B5">
              <w:rPr>
                <w:b/>
              </w:rPr>
              <w:t>Total</w:t>
            </w:r>
            <w:r w:rsidRPr="00AE30B5">
              <w:rPr>
                <w:b/>
                <w:szCs w:val="20"/>
              </w:rPr>
              <w:t xml:space="preserve"> to 2019–20</w:t>
            </w:r>
          </w:p>
        </w:tc>
      </w:tr>
      <w:tr w:rsidR="00710D8B" w:rsidRPr="00EF1D6A" w:rsidTr="001A6D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tcPr>
          <w:p w:rsidR="00710D8B" w:rsidRPr="00AE30B5" w:rsidRDefault="00710D8B" w:rsidP="001A6D8E">
            <w:pPr>
              <w:pStyle w:val="TableHeadingCentred"/>
              <w:jc w:val="left"/>
              <w:rPr>
                <w:b/>
              </w:rPr>
            </w:pPr>
            <w:r>
              <w:rPr>
                <w:b/>
              </w:rPr>
              <w:t>Impact on f</w:t>
            </w:r>
            <w:r w:rsidRPr="003073ED">
              <w:rPr>
                <w:b/>
              </w:rPr>
              <w:t>iscal and underlying cash balances</w:t>
            </w:r>
          </w:p>
        </w:tc>
      </w:tr>
      <w:tr w:rsidR="00710D8B" w:rsidRPr="00EF1D6A" w:rsidTr="001A6D8E">
        <w:trPr>
          <w:cantSplit/>
        </w:trPr>
        <w:tc>
          <w:tcPr>
            <w:cnfStyle w:val="001000000000" w:firstRow="0" w:lastRow="0" w:firstColumn="1" w:lastColumn="0" w:oddVBand="0" w:evenVBand="0" w:oddHBand="0" w:evenHBand="0" w:firstRowFirstColumn="0" w:firstRowLastColumn="0" w:lastRowFirstColumn="0" w:lastRowLastColumn="0"/>
            <w:tcW w:w="1944" w:type="pct"/>
            <w:tcBorders>
              <w:top w:val="single" w:sz="4" w:space="0" w:color="788184"/>
              <w:left w:val="single" w:sz="4" w:space="0" w:color="788184"/>
              <w:bottom w:val="single" w:sz="4" w:space="0" w:color="788184"/>
              <w:right w:val="single" w:sz="4" w:space="0" w:color="788184"/>
            </w:tcBorders>
          </w:tcPr>
          <w:p w:rsidR="00710D8B" w:rsidRPr="00B015AC" w:rsidRDefault="001F7744" w:rsidP="001A6D8E">
            <w:pPr>
              <w:pStyle w:val="TableTextCentred"/>
              <w:keepNext/>
              <w:keepLines/>
              <w:ind w:left="227"/>
              <w:jc w:val="left"/>
              <w:rPr>
                <w:szCs w:val="20"/>
              </w:rPr>
            </w:pPr>
            <w:r w:rsidRPr="00B015AC">
              <w:t>Administered</w:t>
            </w:r>
            <w:r w:rsidR="003B4221">
              <w:t xml:space="preserve"> (DSS)</w:t>
            </w:r>
          </w:p>
        </w:tc>
        <w:tc>
          <w:tcPr>
            <w:tcW w:w="660" w:type="pct"/>
            <w:tcBorders>
              <w:top w:val="single" w:sz="4" w:space="0" w:color="788184"/>
              <w:left w:val="single" w:sz="4" w:space="0" w:color="788184"/>
              <w:bottom w:val="single" w:sz="4" w:space="0" w:color="788184"/>
              <w:right w:val="single" w:sz="4" w:space="0" w:color="788184"/>
            </w:tcBorders>
          </w:tcPr>
          <w:p w:rsidR="00710D8B" w:rsidRPr="00AA3D6F" w:rsidRDefault="00710D8B" w:rsidP="001A6D8E">
            <w:pPr>
              <w:pStyle w:val="TableTextRight"/>
              <w:cnfStyle w:val="000000000000" w:firstRow="0" w:lastRow="0" w:firstColumn="0" w:lastColumn="0" w:oddVBand="0" w:evenVBand="0" w:oddHBand="0" w:evenHBand="0" w:firstRowFirstColumn="0" w:firstRowLastColumn="0" w:lastRowFirstColumn="0" w:lastRowLastColumn="0"/>
            </w:pPr>
            <w:r>
              <w:t>-5.0</w:t>
            </w:r>
          </w:p>
        </w:tc>
        <w:tc>
          <w:tcPr>
            <w:tcW w:w="661" w:type="pct"/>
            <w:tcBorders>
              <w:top w:val="single" w:sz="4" w:space="0" w:color="788184"/>
              <w:left w:val="single" w:sz="4" w:space="0" w:color="788184"/>
              <w:bottom w:val="single" w:sz="4" w:space="0" w:color="788184"/>
              <w:right w:val="single" w:sz="4" w:space="0" w:color="788184"/>
            </w:tcBorders>
          </w:tcPr>
          <w:p w:rsidR="00710D8B" w:rsidRPr="00AA3D6F" w:rsidRDefault="00710D8B" w:rsidP="001A6D8E">
            <w:pPr>
              <w:pStyle w:val="TableTextRight"/>
              <w:cnfStyle w:val="000000000000" w:firstRow="0" w:lastRow="0" w:firstColumn="0" w:lastColumn="0" w:oddVBand="0" w:evenVBand="0" w:oddHBand="0" w:evenHBand="0" w:firstRowFirstColumn="0" w:firstRowLastColumn="0" w:lastRowFirstColumn="0" w:lastRowLastColumn="0"/>
            </w:pPr>
            <w:r>
              <w:t>-5.0</w:t>
            </w:r>
          </w:p>
        </w:tc>
        <w:tc>
          <w:tcPr>
            <w:tcW w:w="574" w:type="pct"/>
            <w:tcBorders>
              <w:top w:val="single" w:sz="4" w:space="0" w:color="788184"/>
              <w:left w:val="single" w:sz="4" w:space="0" w:color="788184"/>
              <w:bottom w:val="single" w:sz="4" w:space="0" w:color="788184"/>
              <w:right w:val="single" w:sz="4" w:space="0" w:color="788184"/>
            </w:tcBorders>
          </w:tcPr>
          <w:p w:rsidR="00710D8B" w:rsidRPr="00AA3D6F" w:rsidRDefault="00710D8B" w:rsidP="001A6D8E">
            <w:pPr>
              <w:pStyle w:val="TableTextRight"/>
              <w:cnfStyle w:val="000000000000" w:firstRow="0" w:lastRow="0" w:firstColumn="0" w:lastColumn="0" w:oddVBand="0" w:evenVBand="0" w:oddHBand="0" w:evenHBand="0" w:firstRowFirstColumn="0" w:firstRowLastColumn="0" w:lastRowFirstColumn="0" w:lastRowLastColumn="0"/>
            </w:pPr>
            <w:r>
              <w:t>-5.0</w:t>
            </w:r>
          </w:p>
        </w:tc>
        <w:tc>
          <w:tcPr>
            <w:tcW w:w="596" w:type="pct"/>
            <w:tcBorders>
              <w:top w:val="single" w:sz="4" w:space="0" w:color="788184"/>
              <w:left w:val="single" w:sz="4" w:space="0" w:color="788184"/>
              <w:bottom w:val="single" w:sz="4" w:space="0" w:color="788184"/>
              <w:right w:val="single" w:sz="4" w:space="0" w:color="788184"/>
            </w:tcBorders>
          </w:tcPr>
          <w:p w:rsidR="00710D8B" w:rsidRPr="003073ED" w:rsidRDefault="00710D8B" w:rsidP="001A6D8E">
            <w:pPr>
              <w:pStyle w:val="TableTextRight"/>
              <w:cnfStyle w:val="000000000000" w:firstRow="0" w:lastRow="0" w:firstColumn="0" w:lastColumn="0" w:oddVBand="0" w:evenVBand="0" w:oddHBand="0" w:evenHBand="0" w:firstRowFirstColumn="0" w:firstRowLastColumn="0" w:lastRowFirstColumn="0" w:lastRowLastColumn="0"/>
            </w:pPr>
            <w:r w:rsidRPr="003073ED">
              <w:t>-</w:t>
            </w:r>
            <w:r>
              <w:t>5.0</w:t>
            </w:r>
          </w:p>
        </w:tc>
        <w:tc>
          <w:tcPr>
            <w:tcW w:w="565" w:type="pct"/>
            <w:tcBorders>
              <w:top w:val="single" w:sz="4" w:space="0" w:color="788184"/>
              <w:left w:val="single" w:sz="4" w:space="0" w:color="788184"/>
              <w:bottom w:val="single" w:sz="4" w:space="0" w:color="788184"/>
              <w:right w:val="single" w:sz="4" w:space="0" w:color="788184"/>
            </w:tcBorders>
          </w:tcPr>
          <w:p w:rsidR="00710D8B" w:rsidRPr="00AE30B5" w:rsidRDefault="00710D8B" w:rsidP="001A6D8E">
            <w:pPr>
              <w:pStyle w:val="TableTextRight"/>
              <w:cnfStyle w:val="000000000000" w:firstRow="0" w:lastRow="0" w:firstColumn="0" w:lastColumn="0" w:oddVBand="0" w:evenVBand="0" w:oddHBand="0" w:evenHBand="0" w:firstRowFirstColumn="0" w:firstRowLastColumn="0" w:lastRowFirstColumn="0" w:lastRowLastColumn="0"/>
              <w:rPr>
                <w:b/>
              </w:rPr>
            </w:pPr>
            <w:r>
              <w:rPr>
                <w:b/>
              </w:rPr>
              <w:t>-20.0</w:t>
            </w:r>
          </w:p>
        </w:tc>
      </w:tr>
      <w:tr w:rsidR="00710D8B" w:rsidRPr="00EF1D6A" w:rsidTr="001A6D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4" w:type="pct"/>
            <w:tcBorders>
              <w:top w:val="single" w:sz="4" w:space="0" w:color="788184"/>
              <w:left w:val="single" w:sz="4" w:space="0" w:color="788184"/>
              <w:bottom w:val="single" w:sz="4" w:space="0" w:color="788184"/>
              <w:right w:val="single" w:sz="4" w:space="0" w:color="788184"/>
            </w:tcBorders>
          </w:tcPr>
          <w:p w:rsidR="00710D8B" w:rsidRPr="00B015AC" w:rsidRDefault="001F7744" w:rsidP="001A6D8E">
            <w:pPr>
              <w:pStyle w:val="TableTextCentred"/>
              <w:keepNext/>
              <w:keepLines/>
              <w:ind w:left="227"/>
              <w:jc w:val="left"/>
              <w:rPr>
                <w:szCs w:val="20"/>
              </w:rPr>
            </w:pPr>
            <w:r w:rsidRPr="00B015AC">
              <w:rPr>
                <w:szCs w:val="20"/>
              </w:rPr>
              <w:t>Departmental</w:t>
            </w:r>
            <w:r w:rsidR="003B4221">
              <w:t xml:space="preserve"> (DSS)</w:t>
            </w:r>
          </w:p>
        </w:tc>
        <w:tc>
          <w:tcPr>
            <w:tcW w:w="660" w:type="pct"/>
            <w:tcBorders>
              <w:top w:val="single" w:sz="4" w:space="0" w:color="788184"/>
              <w:left w:val="single" w:sz="4" w:space="0" w:color="788184"/>
              <w:bottom w:val="single" w:sz="4" w:space="0" w:color="788184"/>
              <w:right w:val="single" w:sz="4" w:space="0" w:color="788184"/>
            </w:tcBorders>
          </w:tcPr>
          <w:p w:rsidR="00710D8B" w:rsidRDefault="00710D8B" w:rsidP="001A6D8E">
            <w:pPr>
              <w:pStyle w:val="TableTextRight"/>
              <w:cnfStyle w:val="000000100000" w:firstRow="0" w:lastRow="0" w:firstColumn="0" w:lastColumn="0" w:oddVBand="0" w:evenVBand="0" w:oddHBand="1" w:evenHBand="0" w:firstRowFirstColumn="0" w:firstRowLastColumn="0" w:lastRowFirstColumn="0" w:lastRowLastColumn="0"/>
            </w:pPr>
            <w:r>
              <w:t>-0.8</w:t>
            </w:r>
          </w:p>
        </w:tc>
        <w:tc>
          <w:tcPr>
            <w:tcW w:w="661" w:type="pct"/>
            <w:tcBorders>
              <w:top w:val="single" w:sz="4" w:space="0" w:color="788184"/>
              <w:left w:val="single" w:sz="4" w:space="0" w:color="788184"/>
              <w:bottom w:val="single" w:sz="4" w:space="0" w:color="788184"/>
              <w:right w:val="single" w:sz="4" w:space="0" w:color="788184"/>
            </w:tcBorders>
          </w:tcPr>
          <w:p w:rsidR="00710D8B" w:rsidRDefault="00710D8B" w:rsidP="001A6D8E">
            <w:pPr>
              <w:pStyle w:val="TableTextRight"/>
              <w:cnfStyle w:val="000000100000" w:firstRow="0" w:lastRow="0" w:firstColumn="0" w:lastColumn="0" w:oddVBand="0" w:evenVBand="0" w:oddHBand="1" w:evenHBand="0" w:firstRowFirstColumn="0" w:firstRowLastColumn="0" w:lastRowFirstColumn="0" w:lastRowLastColumn="0"/>
            </w:pPr>
            <w:r>
              <w:t>-0.9</w:t>
            </w:r>
          </w:p>
        </w:tc>
        <w:tc>
          <w:tcPr>
            <w:tcW w:w="574" w:type="pct"/>
            <w:tcBorders>
              <w:top w:val="single" w:sz="4" w:space="0" w:color="788184"/>
              <w:left w:val="single" w:sz="4" w:space="0" w:color="788184"/>
              <w:bottom w:val="single" w:sz="4" w:space="0" w:color="788184"/>
              <w:right w:val="single" w:sz="4" w:space="0" w:color="788184"/>
            </w:tcBorders>
          </w:tcPr>
          <w:p w:rsidR="00710D8B" w:rsidRDefault="00710D8B" w:rsidP="001A6D8E">
            <w:pPr>
              <w:pStyle w:val="TableTextRight"/>
              <w:cnfStyle w:val="000000100000" w:firstRow="0" w:lastRow="0" w:firstColumn="0" w:lastColumn="0" w:oddVBand="0" w:evenVBand="0" w:oddHBand="1" w:evenHBand="0" w:firstRowFirstColumn="0" w:firstRowLastColumn="0" w:lastRowFirstColumn="0" w:lastRowLastColumn="0"/>
            </w:pPr>
            <w:r>
              <w:t>-0.9</w:t>
            </w:r>
          </w:p>
        </w:tc>
        <w:tc>
          <w:tcPr>
            <w:tcW w:w="596" w:type="pct"/>
            <w:tcBorders>
              <w:top w:val="single" w:sz="4" w:space="0" w:color="788184"/>
              <w:left w:val="single" w:sz="4" w:space="0" w:color="788184"/>
              <w:bottom w:val="single" w:sz="4" w:space="0" w:color="788184"/>
              <w:right w:val="single" w:sz="4" w:space="0" w:color="788184"/>
            </w:tcBorders>
          </w:tcPr>
          <w:p w:rsidR="00710D8B" w:rsidRDefault="00710D8B" w:rsidP="001A6D8E">
            <w:pPr>
              <w:pStyle w:val="TableTextRight"/>
              <w:cnfStyle w:val="000000100000" w:firstRow="0" w:lastRow="0" w:firstColumn="0" w:lastColumn="0" w:oddVBand="0" w:evenVBand="0" w:oddHBand="1" w:evenHBand="0" w:firstRowFirstColumn="0" w:firstRowLastColumn="0" w:lastRowFirstColumn="0" w:lastRowLastColumn="0"/>
            </w:pPr>
            <w:r>
              <w:t>-0.9</w:t>
            </w:r>
          </w:p>
        </w:tc>
        <w:tc>
          <w:tcPr>
            <w:tcW w:w="565" w:type="pct"/>
            <w:tcBorders>
              <w:top w:val="single" w:sz="4" w:space="0" w:color="788184"/>
              <w:left w:val="single" w:sz="4" w:space="0" w:color="788184"/>
              <w:bottom w:val="single" w:sz="4" w:space="0" w:color="788184"/>
              <w:right w:val="single" w:sz="4" w:space="0" w:color="788184"/>
            </w:tcBorders>
          </w:tcPr>
          <w:p w:rsidR="00710D8B" w:rsidRDefault="00710D8B" w:rsidP="001A6D8E">
            <w:pPr>
              <w:pStyle w:val="TableTextRight"/>
              <w:cnfStyle w:val="000000100000" w:firstRow="0" w:lastRow="0" w:firstColumn="0" w:lastColumn="0" w:oddVBand="0" w:evenVBand="0" w:oddHBand="1" w:evenHBand="0" w:firstRowFirstColumn="0" w:firstRowLastColumn="0" w:lastRowFirstColumn="0" w:lastRowLastColumn="0"/>
              <w:rPr>
                <w:b/>
              </w:rPr>
            </w:pPr>
            <w:r>
              <w:rPr>
                <w:b/>
              </w:rPr>
              <w:t>-3.5</w:t>
            </w:r>
          </w:p>
        </w:tc>
      </w:tr>
      <w:tr w:rsidR="00710D8B" w:rsidRPr="0055406D" w:rsidTr="001A6D8E">
        <w:trPr>
          <w:cantSplit/>
        </w:trPr>
        <w:tc>
          <w:tcPr>
            <w:cnfStyle w:val="001000000000" w:firstRow="0" w:lastRow="0" w:firstColumn="1" w:lastColumn="0" w:oddVBand="0" w:evenVBand="0" w:oddHBand="0" w:evenHBand="0" w:firstRowFirstColumn="0" w:firstRowLastColumn="0" w:lastRowFirstColumn="0" w:lastRowLastColumn="0"/>
            <w:tcW w:w="1944" w:type="pct"/>
            <w:tcBorders>
              <w:top w:val="single" w:sz="4" w:space="0" w:color="788184"/>
              <w:left w:val="single" w:sz="4" w:space="0" w:color="788184"/>
              <w:bottom w:val="single" w:sz="4" w:space="0" w:color="788184"/>
              <w:right w:val="single" w:sz="4" w:space="0" w:color="788184"/>
            </w:tcBorders>
            <w:shd w:val="clear" w:color="auto" w:fill="D7DDE9"/>
          </w:tcPr>
          <w:p w:rsidR="00710D8B" w:rsidRPr="0055406D" w:rsidRDefault="00710D8B" w:rsidP="001A6D8E">
            <w:pPr>
              <w:pStyle w:val="TableTextCentred"/>
              <w:keepNext/>
              <w:keepLines/>
              <w:jc w:val="left"/>
              <w:rPr>
                <w:b/>
                <w:szCs w:val="20"/>
              </w:rPr>
            </w:pPr>
            <w:r w:rsidRPr="0055406D">
              <w:rPr>
                <w:b/>
                <w:szCs w:val="20"/>
              </w:rPr>
              <w:t>Total</w:t>
            </w:r>
          </w:p>
        </w:tc>
        <w:tc>
          <w:tcPr>
            <w:tcW w:w="660" w:type="pct"/>
            <w:tcBorders>
              <w:top w:val="single" w:sz="4" w:space="0" w:color="788184"/>
              <w:left w:val="single" w:sz="4" w:space="0" w:color="788184"/>
              <w:bottom w:val="single" w:sz="4" w:space="0" w:color="788184"/>
              <w:right w:val="single" w:sz="4" w:space="0" w:color="788184"/>
            </w:tcBorders>
            <w:shd w:val="clear" w:color="auto" w:fill="D7DDE9"/>
          </w:tcPr>
          <w:p w:rsidR="00710D8B" w:rsidRPr="0055406D" w:rsidRDefault="00710D8B" w:rsidP="009A3647">
            <w:pPr>
              <w:pStyle w:val="TableTextRight"/>
              <w:cnfStyle w:val="000000000000" w:firstRow="0" w:lastRow="0" w:firstColumn="0" w:lastColumn="0" w:oddVBand="0" w:evenVBand="0" w:oddHBand="0" w:evenHBand="0" w:firstRowFirstColumn="0" w:firstRowLastColumn="0" w:lastRowFirstColumn="0" w:lastRowLastColumn="0"/>
              <w:rPr>
                <w:b/>
                <w:i w:val="0"/>
              </w:rPr>
            </w:pPr>
            <w:r>
              <w:rPr>
                <w:b/>
                <w:i w:val="0"/>
              </w:rPr>
              <w:t>-</w:t>
            </w:r>
            <w:r w:rsidR="00C66651">
              <w:rPr>
                <w:b/>
                <w:i w:val="0"/>
              </w:rPr>
              <w:t>5</w:t>
            </w:r>
            <w:r>
              <w:rPr>
                <w:b/>
                <w:i w:val="0"/>
              </w:rPr>
              <w:t>.8</w:t>
            </w:r>
          </w:p>
        </w:tc>
        <w:tc>
          <w:tcPr>
            <w:tcW w:w="661" w:type="pct"/>
            <w:tcBorders>
              <w:top w:val="single" w:sz="4" w:space="0" w:color="788184"/>
              <w:left w:val="single" w:sz="4" w:space="0" w:color="788184"/>
              <w:bottom w:val="single" w:sz="4" w:space="0" w:color="788184"/>
              <w:right w:val="single" w:sz="4" w:space="0" w:color="788184"/>
            </w:tcBorders>
            <w:shd w:val="clear" w:color="auto" w:fill="D7DDE9"/>
          </w:tcPr>
          <w:p w:rsidR="00710D8B" w:rsidRPr="0055406D" w:rsidRDefault="00710D8B">
            <w:pPr>
              <w:pStyle w:val="TableTextRight"/>
              <w:cnfStyle w:val="000000000000" w:firstRow="0" w:lastRow="0" w:firstColumn="0" w:lastColumn="0" w:oddVBand="0" w:evenVBand="0" w:oddHBand="0" w:evenHBand="0" w:firstRowFirstColumn="0" w:firstRowLastColumn="0" w:lastRowFirstColumn="0" w:lastRowLastColumn="0"/>
              <w:rPr>
                <w:b/>
                <w:i w:val="0"/>
              </w:rPr>
            </w:pPr>
            <w:r>
              <w:rPr>
                <w:b/>
                <w:i w:val="0"/>
              </w:rPr>
              <w:t>-</w:t>
            </w:r>
            <w:r w:rsidR="00C66651">
              <w:rPr>
                <w:b/>
                <w:i w:val="0"/>
              </w:rPr>
              <w:t>5.9</w:t>
            </w:r>
          </w:p>
        </w:tc>
        <w:tc>
          <w:tcPr>
            <w:tcW w:w="574" w:type="pct"/>
            <w:tcBorders>
              <w:top w:val="single" w:sz="4" w:space="0" w:color="788184"/>
              <w:left w:val="single" w:sz="4" w:space="0" w:color="788184"/>
              <w:bottom w:val="single" w:sz="4" w:space="0" w:color="788184"/>
              <w:right w:val="single" w:sz="4" w:space="0" w:color="788184"/>
            </w:tcBorders>
            <w:shd w:val="clear" w:color="auto" w:fill="D7DDE9"/>
          </w:tcPr>
          <w:p w:rsidR="00710D8B" w:rsidRPr="0055406D" w:rsidRDefault="00710D8B">
            <w:pPr>
              <w:pStyle w:val="TableTextRight"/>
              <w:cnfStyle w:val="000000000000" w:firstRow="0" w:lastRow="0" w:firstColumn="0" w:lastColumn="0" w:oddVBand="0" w:evenVBand="0" w:oddHBand="0" w:evenHBand="0" w:firstRowFirstColumn="0" w:firstRowLastColumn="0" w:lastRowFirstColumn="0" w:lastRowLastColumn="0"/>
              <w:rPr>
                <w:b/>
                <w:i w:val="0"/>
              </w:rPr>
            </w:pPr>
            <w:r>
              <w:rPr>
                <w:b/>
                <w:i w:val="0"/>
              </w:rPr>
              <w:t>-</w:t>
            </w:r>
            <w:r w:rsidR="00C66651">
              <w:rPr>
                <w:b/>
                <w:i w:val="0"/>
              </w:rPr>
              <w:t>5.9</w:t>
            </w:r>
          </w:p>
        </w:tc>
        <w:tc>
          <w:tcPr>
            <w:tcW w:w="596" w:type="pct"/>
            <w:tcBorders>
              <w:top w:val="single" w:sz="4" w:space="0" w:color="788184"/>
              <w:left w:val="single" w:sz="4" w:space="0" w:color="788184"/>
              <w:bottom w:val="single" w:sz="4" w:space="0" w:color="788184"/>
              <w:right w:val="single" w:sz="4" w:space="0" w:color="788184"/>
            </w:tcBorders>
            <w:shd w:val="clear" w:color="auto" w:fill="D7DDE9"/>
          </w:tcPr>
          <w:p w:rsidR="00710D8B" w:rsidRPr="0055406D" w:rsidRDefault="00710D8B">
            <w:pPr>
              <w:pStyle w:val="TableTextRight"/>
              <w:cnfStyle w:val="000000000000" w:firstRow="0" w:lastRow="0" w:firstColumn="0" w:lastColumn="0" w:oddVBand="0" w:evenVBand="0" w:oddHBand="0" w:evenHBand="0" w:firstRowFirstColumn="0" w:firstRowLastColumn="0" w:lastRowFirstColumn="0" w:lastRowLastColumn="0"/>
              <w:rPr>
                <w:b/>
                <w:i w:val="0"/>
              </w:rPr>
            </w:pPr>
            <w:r>
              <w:rPr>
                <w:b/>
                <w:i w:val="0"/>
              </w:rPr>
              <w:t>-</w:t>
            </w:r>
            <w:r w:rsidR="00C66651">
              <w:rPr>
                <w:b/>
                <w:i w:val="0"/>
              </w:rPr>
              <w:t>5.9</w:t>
            </w:r>
          </w:p>
        </w:tc>
        <w:tc>
          <w:tcPr>
            <w:tcW w:w="565" w:type="pct"/>
            <w:tcBorders>
              <w:top w:val="single" w:sz="4" w:space="0" w:color="788184"/>
              <w:left w:val="single" w:sz="4" w:space="0" w:color="788184"/>
              <w:bottom w:val="single" w:sz="4" w:space="0" w:color="788184"/>
              <w:right w:val="single" w:sz="4" w:space="0" w:color="788184"/>
            </w:tcBorders>
            <w:shd w:val="clear" w:color="auto" w:fill="D7DDE9"/>
          </w:tcPr>
          <w:p w:rsidR="00710D8B" w:rsidRPr="00AE30B5" w:rsidRDefault="00710D8B">
            <w:pPr>
              <w:pStyle w:val="TableTextRight"/>
              <w:cnfStyle w:val="000000000000" w:firstRow="0" w:lastRow="0" w:firstColumn="0" w:lastColumn="0" w:oddVBand="0" w:evenVBand="0" w:oddHBand="0" w:evenHBand="0" w:firstRowFirstColumn="0" w:firstRowLastColumn="0" w:lastRowFirstColumn="0" w:lastRowLastColumn="0"/>
              <w:rPr>
                <w:b/>
                <w:i w:val="0"/>
              </w:rPr>
            </w:pPr>
            <w:r>
              <w:rPr>
                <w:b/>
                <w:i w:val="0"/>
              </w:rPr>
              <w:t>-</w:t>
            </w:r>
            <w:r w:rsidR="00C66651">
              <w:rPr>
                <w:b/>
                <w:i w:val="0"/>
              </w:rPr>
              <w:t>23.5</w:t>
            </w:r>
          </w:p>
        </w:tc>
      </w:tr>
    </w:tbl>
    <w:p w:rsidR="00710D8B" w:rsidRDefault="00710D8B" w:rsidP="00B015AC">
      <w:pPr>
        <w:pStyle w:val="Footnotes"/>
        <w:numPr>
          <w:ilvl w:val="0"/>
          <w:numId w:val="27"/>
        </w:numPr>
      </w:pPr>
      <w:r>
        <w:t xml:space="preserve">A positive number for the fiscal and underlying cash balances indicates a decrease in expenditure.  A negative number for the fiscal and underlying cash balances indicates an increase in expenditure. </w:t>
      </w:r>
    </w:p>
    <w:p w:rsidR="00710D8B" w:rsidRDefault="00710D8B" w:rsidP="00710D8B">
      <w:pPr>
        <w:pStyle w:val="Footnotes"/>
        <w:numPr>
          <w:ilvl w:val="0"/>
          <w:numId w:val="15"/>
        </w:numPr>
        <w:ind w:left="284" w:hanging="284"/>
      </w:pPr>
      <w:r>
        <w:t>Figures may not sum to totals due to rounding.</w:t>
      </w:r>
    </w:p>
    <w:p w:rsidR="00710D8B" w:rsidRPr="00BB0C41" w:rsidRDefault="00710D8B" w:rsidP="00710D8B">
      <w:pPr>
        <w:pStyle w:val="Bullet2"/>
        <w:keepLines w:val="0"/>
        <w:numPr>
          <w:ilvl w:val="0"/>
          <w:numId w:val="0"/>
        </w:numPr>
        <w:spacing w:before="114" w:after="0" w:line="240" w:lineRule="auto"/>
        <w:rPr>
          <w:rFonts w:eastAsiaTheme="minorHAnsi" w:cstheme="minorBidi"/>
          <w:sz w:val="20"/>
          <w:szCs w:val="20"/>
          <w:lang w:eastAsia="en-US"/>
        </w:rPr>
      </w:pPr>
    </w:p>
    <w:p w:rsidR="00C66651" w:rsidRDefault="00C66651" w:rsidP="008F4F59">
      <w:pPr>
        <w:pStyle w:val="Bullet2"/>
        <w:keepLines w:val="0"/>
        <w:numPr>
          <w:ilvl w:val="0"/>
          <w:numId w:val="0"/>
        </w:numPr>
        <w:spacing w:before="114" w:after="0" w:line="240" w:lineRule="auto"/>
        <w:rPr>
          <w:rFonts w:eastAsiaTheme="minorHAnsi" w:cstheme="minorBidi"/>
          <w:sz w:val="20"/>
          <w:szCs w:val="20"/>
          <w:lang w:eastAsia="en-US"/>
        </w:rPr>
        <w:sectPr w:rsidR="00C66651" w:rsidSect="003073ED">
          <w:headerReference w:type="first" r:id="rId19"/>
          <w:footerReference w:type="first" r:id="rId20"/>
          <w:pgSz w:w="11906" w:h="16838"/>
          <w:pgMar w:top="1361" w:right="1797" w:bottom="1474" w:left="1797" w:header="709" w:footer="709" w:gutter="0"/>
          <w:cols w:space="708"/>
          <w:titlePg/>
          <w:docGrid w:linePitch="360"/>
        </w:sectPr>
      </w:pPr>
    </w:p>
    <w:p w:rsidR="00C66651" w:rsidRPr="00E40B8B" w:rsidRDefault="00C66651" w:rsidP="00C66651">
      <w:pPr>
        <w:pStyle w:val="Captionheading"/>
        <w:rPr>
          <w:vertAlign w:val="superscript"/>
        </w:rPr>
      </w:pPr>
      <w:r w:rsidRPr="00FC6579">
        <w:lastRenderedPageBreak/>
        <w:t xml:space="preserve">Table </w:t>
      </w:r>
      <w:r>
        <w:t>A3: Component 2</w:t>
      </w:r>
      <w:r w:rsidRPr="00427327">
        <w:t xml:space="preserve">: </w:t>
      </w:r>
      <w:r w:rsidR="009A3647">
        <w:t>Improving support for children in out of home care</w:t>
      </w:r>
      <w:r>
        <w:t>—Financial implications (outturn prices)</w:t>
      </w:r>
      <w:r>
        <w:rPr>
          <w:vertAlign w:val="superscript"/>
        </w:rPr>
        <w:t>(a)(b)</w:t>
      </w:r>
    </w:p>
    <w:tbl>
      <w:tblPr>
        <w:tblStyle w:val="TableGrid"/>
        <w:tblW w:w="4940" w:type="pct"/>
        <w:tblInd w:w="5" w:type="dxa"/>
        <w:tblLayout w:type="fixed"/>
        <w:tblLook w:val="0680" w:firstRow="0" w:lastRow="0" w:firstColumn="1" w:lastColumn="0" w:noHBand="1" w:noVBand="1"/>
      </w:tblPr>
      <w:tblGrid>
        <w:gridCol w:w="3119"/>
        <w:gridCol w:w="992"/>
        <w:gridCol w:w="993"/>
        <w:gridCol w:w="995"/>
        <w:gridCol w:w="988"/>
        <w:gridCol w:w="1135"/>
      </w:tblGrid>
      <w:tr w:rsidR="009A3647" w:rsidRPr="00AB55AE" w:rsidTr="009A3647">
        <w:trPr>
          <w:cantSplit/>
        </w:trPr>
        <w:tc>
          <w:tcPr>
            <w:cnfStyle w:val="001000000000" w:firstRow="0" w:lastRow="0" w:firstColumn="1" w:lastColumn="0" w:oddVBand="0" w:evenVBand="0" w:oddHBand="0" w:evenHBand="0" w:firstRowFirstColumn="0" w:firstRowLastColumn="0" w:lastRowFirstColumn="0" w:lastRowLastColumn="0"/>
            <w:tcW w:w="1897" w:type="pct"/>
            <w:shd w:val="clear" w:color="auto" w:fill="D7DDE9"/>
          </w:tcPr>
          <w:p w:rsidR="00C66651" w:rsidRPr="00AB55AE" w:rsidRDefault="00C66651" w:rsidP="001A6D8E">
            <w:pPr>
              <w:spacing w:before="70" w:after="70" w:line="260" w:lineRule="atLeast"/>
              <w:ind w:left="57" w:right="57"/>
              <w:rPr>
                <w:b/>
              </w:rPr>
            </w:pPr>
            <w:r>
              <w:rPr>
                <w:b/>
              </w:rPr>
              <w:t>($m)</w:t>
            </w:r>
          </w:p>
        </w:tc>
        <w:tc>
          <w:tcPr>
            <w:tcW w:w="603" w:type="pct"/>
            <w:shd w:val="clear" w:color="auto" w:fill="D7DDE9"/>
          </w:tcPr>
          <w:p w:rsidR="00C66651" w:rsidRPr="002455C0" w:rsidRDefault="00C66651" w:rsidP="001A6D8E">
            <w:pPr>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C24267">
              <w:t>2016–17</w:t>
            </w:r>
          </w:p>
        </w:tc>
        <w:tc>
          <w:tcPr>
            <w:tcW w:w="604" w:type="pct"/>
            <w:shd w:val="clear" w:color="auto" w:fill="D7DDE9"/>
          </w:tcPr>
          <w:p w:rsidR="00C66651" w:rsidRPr="002455C0" w:rsidRDefault="00C66651" w:rsidP="001A6D8E">
            <w:pPr>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C24267">
              <w:t>2017–18</w:t>
            </w:r>
          </w:p>
        </w:tc>
        <w:tc>
          <w:tcPr>
            <w:tcW w:w="605" w:type="pct"/>
            <w:shd w:val="clear" w:color="auto" w:fill="D7DDE9"/>
          </w:tcPr>
          <w:p w:rsidR="00C66651" w:rsidRPr="002455C0" w:rsidRDefault="00C66651" w:rsidP="001A6D8E">
            <w:pPr>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C24267">
              <w:t>2018–19</w:t>
            </w:r>
          </w:p>
        </w:tc>
        <w:tc>
          <w:tcPr>
            <w:tcW w:w="601" w:type="pct"/>
            <w:shd w:val="clear" w:color="auto" w:fill="D7DDE9"/>
          </w:tcPr>
          <w:p w:rsidR="00C66651" w:rsidRPr="002455C0" w:rsidRDefault="00C66651" w:rsidP="001A6D8E">
            <w:pPr>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3073ED">
              <w:t>2019–20</w:t>
            </w:r>
          </w:p>
        </w:tc>
        <w:tc>
          <w:tcPr>
            <w:tcW w:w="690" w:type="pct"/>
            <w:shd w:val="clear" w:color="auto" w:fill="D7DDE9"/>
          </w:tcPr>
          <w:p w:rsidR="00C66651" w:rsidRPr="00191B35" w:rsidRDefault="00C66651" w:rsidP="00B015AC">
            <w:pPr>
              <w:spacing w:before="60" w:after="60"/>
              <w:ind w:left="-57" w:right="0"/>
              <w:jc w:val="center"/>
              <w:cnfStyle w:val="000000000000" w:firstRow="0" w:lastRow="0" w:firstColumn="0" w:lastColumn="0" w:oddVBand="0" w:evenVBand="0" w:oddHBand="0" w:evenHBand="0" w:firstRowFirstColumn="0" w:firstRowLastColumn="0" w:lastRowFirstColumn="0" w:lastRowLastColumn="0"/>
              <w:rPr>
                <w:b/>
              </w:rPr>
            </w:pPr>
            <w:r w:rsidRPr="00AE30B5">
              <w:rPr>
                <w:b/>
              </w:rPr>
              <w:t>Total</w:t>
            </w:r>
            <w:r w:rsidRPr="00AE30B5">
              <w:rPr>
                <w:b/>
                <w:szCs w:val="20"/>
              </w:rPr>
              <w:t xml:space="preserve"> to 2019–20</w:t>
            </w:r>
          </w:p>
        </w:tc>
      </w:tr>
      <w:tr w:rsidR="00C66651" w:rsidRPr="00AB55AE" w:rsidTr="00B015AC">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808080"/>
            </w:tcBorders>
            <w:shd w:val="clear" w:color="auto" w:fill="D7DDE9"/>
          </w:tcPr>
          <w:p w:rsidR="00C66651" w:rsidRPr="00191B35" w:rsidRDefault="00C66651" w:rsidP="001A6D8E">
            <w:pPr>
              <w:spacing w:before="70" w:after="70"/>
              <w:ind w:left="57" w:right="57"/>
              <w:rPr>
                <w:b/>
              </w:rPr>
            </w:pPr>
            <w:r w:rsidRPr="00427327">
              <w:rPr>
                <w:b/>
              </w:rPr>
              <w:t>Impact on fiscal and underlying cash balances</w:t>
            </w:r>
          </w:p>
        </w:tc>
      </w:tr>
      <w:tr w:rsidR="00C66651" w:rsidRPr="00AB55AE" w:rsidTr="00B015AC">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C66651" w:rsidRPr="00427327" w:rsidRDefault="00C66651" w:rsidP="001A6D8E">
            <w:pPr>
              <w:spacing w:before="70" w:after="70"/>
              <w:ind w:left="57" w:right="57"/>
              <w:rPr>
                <w:b/>
              </w:rPr>
            </w:pPr>
            <w:r>
              <w:rPr>
                <w:b/>
              </w:rPr>
              <w:t>Administered</w:t>
            </w:r>
          </w:p>
        </w:tc>
      </w:tr>
      <w:tr w:rsidR="00335AB0" w:rsidTr="009A3647">
        <w:trPr>
          <w:cantSplit/>
        </w:trPr>
        <w:tc>
          <w:tcPr>
            <w:cnfStyle w:val="001000000000" w:firstRow="0" w:lastRow="0" w:firstColumn="1" w:lastColumn="0" w:oddVBand="0" w:evenVBand="0" w:oddHBand="0" w:evenHBand="0" w:firstRowFirstColumn="0" w:firstRowLastColumn="0" w:lastRowFirstColumn="0" w:lastRowLastColumn="0"/>
            <w:tcW w:w="1897" w:type="pct"/>
          </w:tcPr>
          <w:p w:rsidR="00335AB0" w:rsidRPr="002455C0" w:rsidRDefault="00335AB0" w:rsidP="001A6D8E">
            <w:pPr>
              <w:spacing w:before="70" w:after="70"/>
              <w:ind w:left="57" w:right="57"/>
              <w:rPr>
                <w:bCs/>
                <w:color w:val="000000"/>
              </w:rPr>
            </w:pPr>
            <w:r>
              <w:rPr>
                <w:bCs/>
                <w:color w:val="000000"/>
              </w:rPr>
              <w:t>Increase TILA</w:t>
            </w:r>
          </w:p>
        </w:tc>
        <w:tc>
          <w:tcPr>
            <w:tcW w:w="603" w:type="pct"/>
          </w:tcPr>
          <w:p w:rsidR="00335AB0" w:rsidRPr="0028794E"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-1.4</w:t>
            </w:r>
          </w:p>
        </w:tc>
        <w:tc>
          <w:tcPr>
            <w:tcW w:w="604" w:type="pct"/>
          </w:tcPr>
          <w:p w:rsidR="00335AB0" w:rsidRPr="0028794E"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-1.4</w:t>
            </w:r>
          </w:p>
        </w:tc>
        <w:tc>
          <w:tcPr>
            <w:tcW w:w="605" w:type="pct"/>
          </w:tcPr>
          <w:p w:rsidR="00335AB0" w:rsidRPr="0028794E"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-1.4</w:t>
            </w:r>
          </w:p>
        </w:tc>
        <w:tc>
          <w:tcPr>
            <w:tcW w:w="601" w:type="pct"/>
          </w:tcPr>
          <w:p w:rsidR="00335AB0" w:rsidRPr="0028794E"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-1.4</w:t>
            </w:r>
          </w:p>
        </w:tc>
        <w:tc>
          <w:tcPr>
            <w:tcW w:w="690" w:type="pct"/>
          </w:tcPr>
          <w:p w:rsidR="00335AB0"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-5.4</w:t>
            </w:r>
          </w:p>
        </w:tc>
      </w:tr>
      <w:tr w:rsidR="00335AB0" w:rsidTr="009A3647">
        <w:trPr>
          <w:cantSplit/>
        </w:trPr>
        <w:tc>
          <w:tcPr>
            <w:cnfStyle w:val="001000000000" w:firstRow="0" w:lastRow="0" w:firstColumn="1" w:lastColumn="0" w:oddVBand="0" w:evenVBand="0" w:oddHBand="0" w:evenHBand="0" w:firstRowFirstColumn="0" w:firstRowLastColumn="0" w:lastRowFirstColumn="0" w:lastRowLastColumn="0"/>
            <w:tcW w:w="1897" w:type="pct"/>
            <w:tcBorders>
              <w:bottom w:val="single" w:sz="4" w:space="0" w:color="808080"/>
            </w:tcBorders>
          </w:tcPr>
          <w:p w:rsidR="00335AB0" w:rsidRPr="00746747" w:rsidRDefault="00335AB0" w:rsidP="001A6D8E">
            <w:pPr>
              <w:spacing w:before="70" w:after="70" w:line="260" w:lineRule="atLeast"/>
              <w:ind w:left="57" w:right="57"/>
              <w:rPr>
                <w:b/>
              </w:rPr>
            </w:pPr>
            <w:r w:rsidRPr="00746747">
              <w:rPr>
                <w:b/>
              </w:rPr>
              <w:t xml:space="preserve">Total - </w:t>
            </w:r>
            <w:r>
              <w:rPr>
                <w:b/>
              </w:rPr>
              <w:t>Administered</w:t>
            </w:r>
          </w:p>
        </w:tc>
        <w:tc>
          <w:tcPr>
            <w:tcW w:w="603" w:type="pct"/>
            <w:tcBorders>
              <w:bottom w:val="single" w:sz="4" w:space="0" w:color="808080"/>
            </w:tcBorders>
          </w:tcPr>
          <w:p w:rsidR="00335AB0"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-1.4</w:t>
            </w:r>
          </w:p>
        </w:tc>
        <w:tc>
          <w:tcPr>
            <w:tcW w:w="604" w:type="pct"/>
            <w:tcBorders>
              <w:bottom w:val="single" w:sz="4" w:space="0" w:color="808080"/>
            </w:tcBorders>
          </w:tcPr>
          <w:p w:rsidR="00335AB0"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-1.4</w:t>
            </w:r>
          </w:p>
        </w:tc>
        <w:tc>
          <w:tcPr>
            <w:tcW w:w="605" w:type="pct"/>
            <w:tcBorders>
              <w:bottom w:val="single" w:sz="4" w:space="0" w:color="808080"/>
            </w:tcBorders>
          </w:tcPr>
          <w:p w:rsidR="00335AB0"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-1.4</w:t>
            </w:r>
          </w:p>
        </w:tc>
        <w:tc>
          <w:tcPr>
            <w:tcW w:w="601" w:type="pct"/>
            <w:tcBorders>
              <w:bottom w:val="single" w:sz="4" w:space="0" w:color="808080"/>
            </w:tcBorders>
          </w:tcPr>
          <w:p w:rsidR="00335AB0"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-1.4</w:t>
            </w:r>
          </w:p>
        </w:tc>
        <w:tc>
          <w:tcPr>
            <w:tcW w:w="690" w:type="pct"/>
            <w:tcBorders>
              <w:bottom w:val="single" w:sz="4" w:space="0" w:color="808080"/>
            </w:tcBorders>
          </w:tcPr>
          <w:p w:rsidR="00335AB0"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-5.4</w:t>
            </w:r>
          </w:p>
        </w:tc>
      </w:tr>
      <w:tr w:rsidR="00C66651" w:rsidTr="00B015AC">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C66651" w:rsidRPr="00B015AC" w:rsidRDefault="00C66651" w:rsidP="00B015AC">
            <w:pPr>
              <w:pStyle w:val="TableTextRight"/>
              <w:ind w:left="57" w:right="57"/>
              <w:jc w:val="left"/>
              <w:rPr>
                <w:b/>
                <w:i w:val="0"/>
              </w:rPr>
            </w:pPr>
            <w:r w:rsidRPr="00B015AC">
              <w:rPr>
                <w:b/>
                <w:i w:val="0"/>
              </w:rPr>
              <w:t>Departmental</w:t>
            </w:r>
          </w:p>
        </w:tc>
      </w:tr>
      <w:tr w:rsidR="009A3647" w:rsidTr="009A3647">
        <w:trPr>
          <w:cantSplit/>
        </w:trPr>
        <w:tc>
          <w:tcPr>
            <w:cnfStyle w:val="001000000000" w:firstRow="0" w:lastRow="0" w:firstColumn="1" w:lastColumn="0" w:oddVBand="0" w:evenVBand="0" w:oddHBand="0" w:evenHBand="0" w:firstRowFirstColumn="0" w:firstRowLastColumn="0" w:lastRowFirstColumn="0" w:lastRowLastColumn="0"/>
            <w:tcW w:w="1897" w:type="pct"/>
          </w:tcPr>
          <w:p w:rsidR="00C66651" w:rsidRPr="002455C0" w:rsidRDefault="009A3647" w:rsidP="00782C65">
            <w:pPr>
              <w:spacing w:before="70" w:after="70"/>
              <w:ind w:left="57" w:right="57"/>
              <w:rPr>
                <w:color w:val="000000"/>
              </w:rPr>
            </w:pPr>
            <w:r>
              <w:rPr>
                <w:color w:val="000000"/>
              </w:rPr>
              <w:t>Additional funding (DSS)</w:t>
            </w:r>
          </w:p>
        </w:tc>
        <w:tc>
          <w:tcPr>
            <w:tcW w:w="603" w:type="pct"/>
          </w:tcPr>
          <w:p w:rsidR="00C66651" w:rsidRPr="000A3ECD"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-2.5</w:t>
            </w:r>
          </w:p>
        </w:tc>
        <w:tc>
          <w:tcPr>
            <w:tcW w:w="604" w:type="pct"/>
          </w:tcPr>
          <w:p w:rsidR="00C66651" w:rsidRPr="000A3ECD"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-2.5</w:t>
            </w:r>
          </w:p>
        </w:tc>
        <w:tc>
          <w:tcPr>
            <w:tcW w:w="605" w:type="pct"/>
          </w:tcPr>
          <w:p w:rsidR="00C66651" w:rsidRPr="000A3ECD"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-2.5</w:t>
            </w:r>
          </w:p>
        </w:tc>
        <w:tc>
          <w:tcPr>
            <w:tcW w:w="601" w:type="pct"/>
          </w:tcPr>
          <w:p w:rsidR="00C66651" w:rsidRPr="000A3ECD"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-2.5</w:t>
            </w:r>
          </w:p>
        </w:tc>
        <w:tc>
          <w:tcPr>
            <w:tcW w:w="690" w:type="pct"/>
          </w:tcPr>
          <w:p w:rsidR="00C66651"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-10.0</w:t>
            </w:r>
          </w:p>
        </w:tc>
      </w:tr>
      <w:tr w:rsidR="009A3647" w:rsidTr="009A3647">
        <w:trPr>
          <w:cantSplit/>
        </w:trPr>
        <w:tc>
          <w:tcPr>
            <w:cnfStyle w:val="001000000000" w:firstRow="0" w:lastRow="0" w:firstColumn="1" w:lastColumn="0" w:oddVBand="0" w:evenVBand="0" w:oddHBand="0" w:evenHBand="0" w:firstRowFirstColumn="0" w:firstRowLastColumn="0" w:lastRowFirstColumn="0" w:lastRowLastColumn="0"/>
            <w:tcW w:w="1897" w:type="pct"/>
          </w:tcPr>
          <w:p w:rsidR="00C66651" w:rsidRPr="002455C0" w:rsidRDefault="009A3647" w:rsidP="00782C65">
            <w:pPr>
              <w:spacing w:before="70" w:after="70"/>
              <w:ind w:left="57" w:right="57"/>
              <w:rPr>
                <w:color w:val="000000"/>
              </w:rPr>
            </w:pPr>
            <w:r>
              <w:rPr>
                <w:color w:val="000000"/>
              </w:rPr>
              <w:t>Improve data collection (AIHW)</w:t>
            </w:r>
          </w:p>
        </w:tc>
        <w:tc>
          <w:tcPr>
            <w:tcW w:w="603" w:type="pct"/>
          </w:tcPr>
          <w:p w:rsidR="00C66651" w:rsidRPr="000A3ECD"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-0.4</w:t>
            </w:r>
          </w:p>
        </w:tc>
        <w:tc>
          <w:tcPr>
            <w:tcW w:w="604" w:type="pct"/>
          </w:tcPr>
          <w:p w:rsidR="00C66651" w:rsidRPr="000A3ECD"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-0.4</w:t>
            </w:r>
          </w:p>
        </w:tc>
        <w:tc>
          <w:tcPr>
            <w:tcW w:w="605" w:type="pct"/>
          </w:tcPr>
          <w:p w:rsidR="00C66651" w:rsidRPr="000A3ECD"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-0.4</w:t>
            </w:r>
          </w:p>
        </w:tc>
        <w:tc>
          <w:tcPr>
            <w:tcW w:w="601" w:type="pct"/>
          </w:tcPr>
          <w:p w:rsidR="00C66651" w:rsidRPr="000A3ECD"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-0.4</w:t>
            </w:r>
          </w:p>
        </w:tc>
        <w:tc>
          <w:tcPr>
            <w:tcW w:w="690" w:type="pct"/>
          </w:tcPr>
          <w:p w:rsidR="00C66651"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-1.5</w:t>
            </w:r>
          </w:p>
        </w:tc>
      </w:tr>
      <w:tr w:rsidR="009A3647" w:rsidTr="009A3647">
        <w:trPr>
          <w:cantSplit/>
        </w:trPr>
        <w:tc>
          <w:tcPr>
            <w:cnfStyle w:val="001000000000" w:firstRow="0" w:lastRow="0" w:firstColumn="1" w:lastColumn="0" w:oddVBand="0" w:evenVBand="0" w:oddHBand="0" w:evenHBand="0" w:firstRowFirstColumn="0" w:firstRowLastColumn="0" w:lastRowFirstColumn="0" w:lastRowLastColumn="0"/>
            <w:tcW w:w="1897" w:type="pct"/>
          </w:tcPr>
          <w:p w:rsidR="009A3647" w:rsidRPr="002455C0" w:rsidRDefault="009A3647" w:rsidP="001A6D8E">
            <w:pPr>
              <w:spacing w:before="70" w:after="70"/>
              <w:ind w:left="57" w:right="57"/>
              <w:rPr>
                <w:bCs/>
                <w:color w:val="000000"/>
              </w:rPr>
            </w:pPr>
            <w:r>
              <w:t>Review parental consent requirements for identity documents (DSS, DHS, DIBP)</w:t>
            </w:r>
          </w:p>
        </w:tc>
        <w:tc>
          <w:tcPr>
            <w:tcW w:w="603" w:type="pct"/>
          </w:tcPr>
          <w:p w:rsidR="009A3647"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-0.1</w:t>
            </w:r>
          </w:p>
        </w:tc>
        <w:tc>
          <w:tcPr>
            <w:tcW w:w="604" w:type="pct"/>
          </w:tcPr>
          <w:p w:rsidR="009A3647"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-0.1</w:t>
            </w:r>
          </w:p>
        </w:tc>
        <w:tc>
          <w:tcPr>
            <w:tcW w:w="605" w:type="pct"/>
          </w:tcPr>
          <w:p w:rsidR="009A3647"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-0.1</w:t>
            </w:r>
          </w:p>
        </w:tc>
        <w:tc>
          <w:tcPr>
            <w:tcW w:w="601" w:type="pct"/>
          </w:tcPr>
          <w:p w:rsidR="009A3647"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-0.1</w:t>
            </w:r>
          </w:p>
        </w:tc>
        <w:tc>
          <w:tcPr>
            <w:tcW w:w="690" w:type="pct"/>
          </w:tcPr>
          <w:p w:rsidR="009A3647"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-0.3</w:t>
            </w:r>
          </w:p>
        </w:tc>
      </w:tr>
      <w:tr w:rsidR="009A3647" w:rsidTr="009A3647">
        <w:trPr>
          <w:cantSplit/>
        </w:trPr>
        <w:tc>
          <w:tcPr>
            <w:cnfStyle w:val="001000000000" w:firstRow="0" w:lastRow="0" w:firstColumn="1" w:lastColumn="0" w:oddVBand="0" w:evenVBand="0" w:oddHBand="0" w:evenHBand="0" w:firstRowFirstColumn="0" w:firstRowLastColumn="0" w:lastRowFirstColumn="0" w:lastRowLastColumn="0"/>
            <w:tcW w:w="1897" w:type="pct"/>
          </w:tcPr>
          <w:p w:rsidR="009A3647" w:rsidRPr="002455C0" w:rsidRDefault="00335AB0" w:rsidP="001A6D8E">
            <w:pPr>
              <w:spacing w:before="70" w:after="70"/>
              <w:ind w:left="57" w:right="57"/>
              <w:rPr>
                <w:bCs/>
                <w:color w:val="000000"/>
              </w:rPr>
            </w:pPr>
            <w:r>
              <w:rPr>
                <w:bCs/>
                <w:color w:val="000000"/>
              </w:rPr>
              <w:t>Review support available (NDIA)</w:t>
            </w:r>
          </w:p>
        </w:tc>
        <w:tc>
          <w:tcPr>
            <w:tcW w:w="603" w:type="pct"/>
          </w:tcPr>
          <w:p w:rsidR="009A3647"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-0.7</w:t>
            </w:r>
          </w:p>
        </w:tc>
        <w:tc>
          <w:tcPr>
            <w:tcW w:w="604" w:type="pct"/>
          </w:tcPr>
          <w:p w:rsidR="009A3647"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w:t>
            </w:r>
          </w:p>
        </w:tc>
        <w:tc>
          <w:tcPr>
            <w:tcW w:w="605" w:type="pct"/>
          </w:tcPr>
          <w:p w:rsidR="009A3647"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w:t>
            </w:r>
          </w:p>
        </w:tc>
        <w:tc>
          <w:tcPr>
            <w:tcW w:w="601" w:type="pct"/>
          </w:tcPr>
          <w:p w:rsidR="009A3647"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pPr>
            <w:r>
              <w:t>-</w:t>
            </w:r>
          </w:p>
        </w:tc>
        <w:tc>
          <w:tcPr>
            <w:tcW w:w="690" w:type="pct"/>
          </w:tcPr>
          <w:p w:rsidR="009A3647" w:rsidRPr="00B015AC" w:rsidRDefault="00335AB0" w:rsidP="00782C65">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-0.7</w:t>
            </w:r>
          </w:p>
        </w:tc>
      </w:tr>
      <w:tr w:rsidR="009A3647" w:rsidTr="009A3647">
        <w:trPr>
          <w:cantSplit/>
        </w:trPr>
        <w:tc>
          <w:tcPr>
            <w:cnfStyle w:val="001000000000" w:firstRow="0" w:lastRow="0" w:firstColumn="1" w:lastColumn="0" w:oddVBand="0" w:evenVBand="0" w:oddHBand="0" w:evenHBand="0" w:firstRowFirstColumn="0" w:firstRowLastColumn="0" w:lastRowFirstColumn="0" w:lastRowLastColumn="0"/>
            <w:tcW w:w="1897" w:type="pct"/>
          </w:tcPr>
          <w:p w:rsidR="00C66651" w:rsidRPr="00746747" w:rsidRDefault="00C66651" w:rsidP="001A6D8E">
            <w:pPr>
              <w:spacing w:before="70" w:after="70" w:line="260" w:lineRule="atLeast"/>
              <w:ind w:left="57" w:right="57"/>
              <w:rPr>
                <w:b/>
              </w:rPr>
            </w:pPr>
            <w:r w:rsidRPr="00746747">
              <w:rPr>
                <w:b/>
              </w:rPr>
              <w:t xml:space="preserve">Total - </w:t>
            </w:r>
            <w:r>
              <w:rPr>
                <w:b/>
              </w:rPr>
              <w:t>Departmental</w:t>
            </w:r>
          </w:p>
        </w:tc>
        <w:tc>
          <w:tcPr>
            <w:tcW w:w="603" w:type="pct"/>
          </w:tcPr>
          <w:p w:rsidR="00C66651"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-3.6</w:t>
            </w:r>
          </w:p>
        </w:tc>
        <w:tc>
          <w:tcPr>
            <w:tcW w:w="604" w:type="pct"/>
          </w:tcPr>
          <w:p w:rsidR="00C66651"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-2.9</w:t>
            </w:r>
          </w:p>
        </w:tc>
        <w:tc>
          <w:tcPr>
            <w:tcW w:w="605" w:type="pct"/>
          </w:tcPr>
          <w:p w:rsidR="00C66651"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-2.9</w:t>
            </w:r>
          </w:p>
        </w:tc>
        <w:tc>
          <w:tcPr>
            <w:tcW w:w="601" w:type="pct"/>
          </w:tcPr>
          <w:p w:rsidR="00C66651"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-2.9</w:t>
            </w:r>
          </w:p>
        </w:tc>
        <w:tc>
          <w:tcPr>
            <w:tcW w:w="690" w:type="pct"/>
          </w:tcPr>
          <w:p w:rsidR="00C66651" w:rsidRPr="00B015AC"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015AC">
              <w:rPr>
                <w:b/>
              </w:rPr>
              <w:t>-12.4</w:t>
            </w:r>
          </w:p>
        </w:tc>
      </w:tr>
      <w:tr w:rsidR="009A3647" w:rsidRPr="00AB55AE" w:rsidTr="009A3647">
        <w:trPr>
          <w:cantSplit/>
        </w:trPr>
        <w:tc>
          <w:tcPr>
            <w:cnfStyle w:val="001000000000" w:firstRow="0" w:lastRow="0" w:firstColumn="1" w:lastColumn="0" w:oddVBand="0" w:evenVBand="0" w:oddHBand="0" w:evenHBand="0" w:firstRowFirstColumn="0" w:firstRowLastColumn="0" w:lastRowFirstColumn="0" w:lastRowLastColumn="0"/>
            <w:tcW w:w="1897" w:type="pct"/>
            <w:shd w:val="clear" w:color="auto" w:fill="D7DDE9"/>
          </w:tcPr>
          <w:p w:rsidR="009A3647" w:rsidRPr="00AB55AE" w:rsidRDefault="009A3647" w:rsidP="001A6D8E">
            <w:pPr>
              <w:spacing w:before="70" w:after="70" w:line="260" w:lineRule="atLeast"/>
              <w:ind w:left="57" w:right="57"/>
              <w:rPr>
                <w:b/>
              </w:rPr>
            </w:pPr>
            <w:r w:rsidRPr="006079AB">
              <w:rPr>
                <w:b/>
              </w:rPr>
              <w:t>Total</w:t>
            </w:r>
          </w:p>
        </w:tc>
        <w:tc>
          <w:tcPr>
            <w:tcW w:w="603" w:type="pct"/>
            <w:shd w:val="clear" w:color="auto" w:fill="D7DDE9"/>
          </w:tcPr>
          <w:p w:rsidR="009A3647" w:rsidRPr="00291934"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-5.0</w:t>
            </w:r>
          </w:p>
        </w:tc>
        <w:tc>
          <w:tcPr>
            <w:tcW w:w="604" w:type="pct"/>
            <w:shd w:val="clear" w:color="auto" w:fill="D7DDE9"/>
          </w:tcPr>
          <w:p w:rsidR="009A3647" w:rsidRPr="00291934" w:rsidRDefault="00335AB0" w:rsidP="00782C65">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-4.3</w:t>
            </w:r>
          </w:p>
        </w:tc>
        <w:tc>
          <w:tcPr>
            <w:tcW w:w="605" w:type="pct"/>
            <w:shd w:val="clear" w:color="auto" w:fill="D7DDE9"/>
          </w:tcPr>
          <w:p w:rsidR="009A3647" w:rsidRPr="00291934"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-4.3</w:t>
            </w:r>
          </w:p>
        </w:tc>
        <w:tc>
          <w:tcPr>
            <w:tcW w:w="601" w:type="pct"/>
            <w:shd w:val="clear" w:color="auto" w:fill="D7DDE9"/>
          </w:tcPr>
          <w:p w:rsidR="009A3647" w:rsidRPr="00291934"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-4.3</w:t>
            </w:r>
          </w:p>
        </w:tc>
        <w:tc>
          <w:tcPr>
            <w:tcW w:w="690" w:type="pct"/>
            <w:shd w:val="clear" w:color="auto" w:fill="D7DDE9"/>
          </w:tcPr>
          <w:p w:rsidR="009A3647" w:rsidRPr="00291934" w:rsidRDefault="00335AB0" w:rsidP="001A6D8E">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-17.9</w:t>
            </w:r>
          </w:p>
        </w:tc>
      </w:tr>
    </w:tbl>
    <w:p w:rsidR="009A3647" w:rsidRDefault="009A3647" w:rsidP="00B015AC">
      <w:pPr>
        <w:pStyle w:val="Footnotes"/>
        <w:numPr>
          <w:ilvl w:val="0"/>
          <w:numId w:val="26"/>
        </w:numPr>
        <w:ind w:left="284" w:hanging="284"/>
      </w:pPr>
      <w:r>
        <w:t>A positive number for the fiscal and underlying cash balances indicates a decrease in expenditure.  A negative number for the fiscal and underlying cash balances indicates an increase in expenditure.</w:t>
      </w:r>
    </w:p>
    <w:p w:rsidR="009A3647" w:rsidRDefault="009A3647" w:rsidP="009A3647">
      <w:pPr>
        <w:pStyle w:val="Footnotes"/>
        <w:numPr>
          <w:ilvl w:val="0"/>
          <w:numId w:val="15"/>
        </w:numPr>
        <w:ind w:left="284" w:hanging="284"/>
      </w:pPr>
      <w:r>
        <w:t>Figures may not sum to totals due to rounding.</w:t>
      </w:r>
    </w:p>
    <w:p w:rsidR="009A3647" w:rsidRDefault="009A3647" w:rsidP="009A3647">
      <w:pPr>
        <w:spacing w:before="113" w:after="0" w:line="260" w:lineRule="atLeast"/>
        <w:ind w:left="284" w:hanging="284"/>
        <w:rPr>
          <w:sz w:val="20"/>
          <w:szCs w:val="20"/>
        </w:rPr>
      </w:pPr>
      <w:r w:rsidRPr="00291934">
        <w:rPr>
          <w:sz w:val="20"/>
          <w:szCs w:val="20"/>
        </w:rPr>
        <w:t>-</w:t>
      </w:r>
      <w:r w:rsidRPr="00291934">
        <w:rPr>
          <w:sz w:val="20"/>
          <w:szCs w:val="20"/>
        </w:rPr>
        <w:tab/>
        <w:t>Indicates nil.</w:t>
      </w:r>
    </w:p>
    <w:sectPr w:rsidR="009A3647" w:rsidSect="003073ED">
      <w:pgSz w:w="11906" w:h="16838"/>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8F3" w:rsidRDefault="004838F3" w:rsidP="008F588A">
      <w:pPr>
        <w:spacing w:line="240" w:lineRule="auto"/>
      </w:pPr>
      <w:r>
        <w:separator/>
      </w:r>
    </w:p>
    <w:p w:rsidR="004838F3" w:rsidRDefault="004838F3"/>
  </w:endnote>
  <w:endnote w:type="continuationSeparator" w:id="0">
    <w:p w:rsidR="004838F3" w:rsidRDefault="004838F3" w:rsidP="008F588A">
      <w:pPr>
        <w:spacing w:line="240" w:lineRule="auto"/>
      </w:pPr>
      <w:r>
        <w:continuationSeparator/>
      </w:r>
    </w:p>
    <w:p w:rsidR="004838F3" w:rsidRDefault="00483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3" w:rsidRPr="00C24267" w:rsidRDefault="004838F3"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852E19">
      <w:rPr>
        <w:noProof/>
      </w:rPr>
      <w:t>4</w:t>
    </w:r>
    <w:r w:rsidRPr="00C24267">
      <w:fldChar w:fldCharType="end"/>
    </w:r>
    <w:r w:rsidRPr="00C24267">
      <w:t xml:space="preserve"> of </w:t>
    </w:r>
    <w:r w:rsidR="00852E19">
      <w:fldChar w:fldCharType="begin"/>
    </w:r>
    <w:r w:rsidR="00852E19">
      <w:instrText xml:space="preserve"> NUMPAGES  \* Arabic  \* MERGEFORMAT </w:instrText>
    </w:r>
    <w:r w:rsidR="00852E19">
      <w:fldChar w:fldCharType="separate"/>
    </w:r>
    <w:r w:rsidR="00852E19">
      <w:rPr>
        <w:noProof/>
      </w:rPr>
      <w:t>4</w:t>
    </w:r>
    <w:r w:rsidR="00852E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3" w:rsidRPr="00C24267" w:rsidRDefault="004838F3" w:rsidP="00C24267">
    <w:pPr>
      <w:pStyle w:val="Letterfooter"/>
    </w:pPr>
    <w:r w:rsidRPr="00C24267">
      <w:t>Parliamentary Budget Office   PO Box 6010   Parliament House   Canberra ACT 2600</w:t>
    </w:r>
  </w:p>
  <w:p w:rsidR="004838F3" w:rsidRPr="00C24267" w:rsidRDefault="004838F3"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3" w:rsidRPr="00C24267" w:rsidRDefault="004838F3"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852E19">
      <w:rPr>
        <w:noProof/>
      </w:rPr>
      <w:t>2</w:t>
    </w:r>
    <w:r w:rsidRPr="00C24267">
      <w:fldChar w:fldCharType="end"/>
    </w:r>
    <w:r w:rsidRPr="00C24267">
      <w:t xml:space="preserve"> of </w:t>
    </w:r>
    <w:r w:rsidR="00852E19">
      <w:fldChar w:fldCharType="begin"/>
    </w:r>
    <w:r w:rsidR="00852E19">
      <w:instrText xml:space="preserve"> NUMPAGES  \* Arabic  \* MERGEFORMAT </w:instrText>
    </w:r>
    <w:r w:rsidR="00852E19">
      <w:fldChar w:fldCharType="separate"/>
    </w:r>
    <w:r w:rsidR="00852E19">
      <w:rPr>
        <w:noProof/>
      </w:rPr>
      <w:t>2</w:t>
    </w:r>
    <w:r w:rsidR="00852E19">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3" w:rsidRPr="00C24267" w:rsidRDefault="004838F3"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852E19">
      <w:rPr>
        <w:noProof/>
      </w:rPr>
      <w:t>5</w:t>
    </w:r>
    <w:r w:rsidRPr="00C24267">
      <w:fldChar w:fldCharType="end"/>
    </w:r>
    <w:r w:rsidRPr="00C24267">
      <w:t xml:space="preserve"> of </w:t>
    </w:r>
    <w:r w:rsidR="00852E19">
      <w:fldChar w:fldCharType="begin"/>
    </w:r>
    <w:r w:rsidR="00852E19">
      <w:instrText xml:space="preserve"> NUMPAGES  \* Arabic  \* MERGEFORMAT </w:instrText>
    </w:r>
    <w:r w:rsidR="00852E19">
      <w:fldChar w:fldCharType="separate"/>
    </w:r>
    <w:r w:rsidR="00852E19">
      <w:rPr>
        <w:noProof/>
      </w:rPr>
      <w:t>5</w:t>
    </w:r>
    <w:r w:rsidR="00852E19">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3" w:rsidRPr="00C24267" w:rsidRDefault="004838F3"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852E19">
      <w:rPr>
        <w:noProof/>
      </w:rPr>
      <w:t>7</w:t>
    </w:r>
    <w:r w:rsidRPr="00C24267">
      <w:fldChar w:fldCharType="end"/>
    </w:r>
    <w:r w:rsidRPr="00C24267">
      <w:t xml:space="preserve"> of </w:t>
    </w:r>
    <w:r w:rsidR="00852E19">
      <w:fldChar w:fldCharType="begin"/>
    </w:r>
    <w:r w:rsidR="00852E19">
      <w:instrText xml:space="preserve"> NUMPAGES  \* Arabic  \* MERGEFORMAT </w:instrText>
    </w:r>
    <w:r w:rsidR="00852E19">
      <w:fldChar w:fldCharType="separate"/>
    </w:r>
    <w:r w:rsidR="00852E19">
      <w:rPr>
        <w:noProof/>
      </w:rPr>
      <w:t>7</w:t>
    </w:r>
    <w:r w:rsidR="00852E1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8F3" w:rsidRDefault="004838F3" w:rsidP="008F588A">
      <w:pPr>
        <w:spacing w:line="240" w:lineRule="auto"/>
      </w:pPr>
      <w:r>
        <w:separator/>
      </w:r>
    </w:p>
    <w:p w:rsidR="004838F3" w:rsidRDefault="004838F3"/>
  </w:footnote>
  <w:footnote w:type="continuationSeparator" w:id="0">
    <w:p w:rsidR="004838F3" w:rsidRDefault="004838F3" w:rsidP="008F588A">
      <w:pPr>
        <w:spacing w:line="240" w:lineRule="auto"/>
      </w:pPr>
      <w:r>
        <w:continuationSeparator/>
      </w:r>
    </w:p>
    <w:p w:rsidR="004838F3" w:rsidRDefault="004838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3" w:rsidRDefault="004838F3" w:rsidP="00CB40E1">
    <w:pPr>
      <w:pStyle w:val="Header"/>
    </w:pPr>
    <w:r>
      <w:rPr>
        <w:noProof/>
        <w:lang w:eastAsia="en-AU"/>
      </w:rPr>
      <w:drawing>
        <wp:inline distT="0" distB="0" distL="0" distR="0" wp14:anchorId="7A813E2A" wp14:editId="4B3ABAD5">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4838F3" w:rsidRPr="00DA1C8A" w:rsidRDefault="004838F3"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3" w:rsidRPr="00C17112" w:rsidRDefault="004838F3" w:rsidP="00C17112">
    <w:pPr>
      <w:pStyle w:val="Header"/>
    </w:pPr>
    <w:r>
      <w:rPr>
        <w:noProof/>
        <w:lang w:eastAsia="en-AU"/>
      </w:rPr>
      <w:drawing>
        <wp:inline distT="0" distB="0" distL="0" distR="0" wp14:anchorId="271E54AC" wp14:editId="51A31569">
          <wp:extent cx="2696845" cy="57213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3" w:rsidRPr="000575C0" w:rsidRDefault="004838F3" w:rsidP="000575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F3" w:rsidRPr="000575C0" w:rsidRDefault="004838F3" w:rsidP="00057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3270644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FF4CC9"/>
    <w:multiLevelType w:val="hybridMultilevel"/>
    <w:tmpl w:val="16C4D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5">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7">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8">
    <w:nsid w:val="2A942065"/>
    <w:multiLevelType w:val="hybridMultilevel"/>
    <w:tmpl w:val="E06644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0E45E35"/>
    <w:multiLevelType w:val="hybridMultilevel"/>
    <w:tmpl w:val="E85A5088"/>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10">
    <w:nsid w:val="3B2E19AC"/>
    <w:multiLevelType w:val="singleLevel"/>
    <w:tmpl w:val="032CEB48"/>
    <w:lvl w:ilvl="0">
      <w:start w:val="1"/>
      <w:numFmt w:val="lowerLetter"/>
      <w:lvlRestart w:val="0"/>
      <w:pStyle w:val="ChartandTableFootnoteAlpha"/>
      <w:lvlText w:val="(%1)"/>
      <w:lvlJc w:val="left"/>
      <w:pPr>
        <w:tabs>
          <w:tab w:val="num" w:pos="284"/>
        </w:tabs>
        <w:ind w:left="284" w:hanging="284"/>
      </w:pPr>
      <w:rPr>
        <w:rFonts w:ascii="Times New Roman" w:hAnsi="Times New Roman" w:cs="Times New Roman" w:hint="default"/>
        <w:b w:val="0"/>
        <w:i w:val="0"/>
        <w:color w:val="000000"/>
        <w:sz w:val="18"/>
        <w:szCs w:val="18"/>
      </w:rPr>
    </w:lvl>
  </w:abstractNum>
  <w:abstractNum w:abstractNumId="11">
    <w:nsid w:val="665E7B5A"/>
    <w:multiLevelType w:val="hybridMultilevel"/>
    <w:tmpl w:val="F2C28104"/>
    <w:lvl w:ilvl="0" w:tplc="926CBE88">
      <w:start w:val="1"/>
      <w:numFmt w:val="bullet"/>
      <w:lvlText w:val=""/>
      <w:lvlJc w:val="left"/>
      <w:pPr>
        <w:ind w:left="360" w:hanging="360"/>
      </w:pPr>
      <w:rPr>
        <w:rFonts w:ascii="Symbol" w:hAnsi="Symbol" w:hint="default"/>
      </w:rPr>
    </w:lvl>
    <w:lvl w:ilvl="1" w:tplc="9CA266AC">
      <w:start w:val="1"/>
      <w:numFmt w:val="bullet"/>
      <w:lvlText w:val="-"/>
      <w:lvlJc w:val="left"/>
      <w:pPr>
        <w:ind w:left="1080" w:hanging="360"/>
      </w:pPr>
      <w:rPr>
        <w:rFonts w:ascii="Times New Roman" w:hAnsi="Times New Roman" w:cs="Times New Roman" w:hint="default"/>
      </w:rPr>
    </w:lvl>
    <w:lvl w:ilvl="2" w:tplc="91389894">
      <w:start w:val="1"/>
      <w:numFmt w:val="bullet"/>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81E0380"/>
    <w:multiLevelType w:val="hybridMultilevel"/>
    <w:tmpl w:val="2DAA4662"/>
    <w:lvl w:ilvl="0" w:tplc="0C090001">
      <w:start w:val="1"/>
      <w:numFmt w:val="bullet"/>
      <w:lvlText w:val=""/>
      <w:lvlJc w:val="left"/>
      <w:pPr>
        <w:ind w:left="360" w:hanging="360"/>
      </w:pPr>
      <w:rPr>
        <w:rFonts w:ascii="Symbol" w:hAnsi="Symbol" w:hint="default"/>
      </w:rPr>
    </w:lvl>
    <w:lvl w:ilvl="1" w:tplc="17F2F18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13"/>
  </w:num>
  <w:num w:numId="6">
    <w:abstractNumId w:val="9"/>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1"/>
  </w:num>
  <w:num w:numId="12">
    <w:abstractNumId w:val="0"/>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11"/>
  </w:num>
  <w:num w:numId="17">
    <w:abstractNumId w:val="2"/>
  </w:num>
  <w:num w:numId="18">
    <w:abstractNumId w:val="14"/>
  </w:num>
  <w:num w:numId="19">
    <w:abstractNumId w:val="12"/>
  </w:num>
  <w:num w:numId="20">
    <w:abstractNumId w:val="10"/>
    <w:lvlOverride w:ilvl="0">
      <w:startOverride w:val="1"/>
    </w:lvlOverride>
  </w:num>
  <w:num w:numId="21">
    <w:abstractNumId w:val="9"/>
    <w:lvlOverride w:ilvl="0">
      <w:startOverride w:val="1"/>
    </w:lvlOverride>
  </w:num>
  <w:num w:numId="22">
    <w:abstractNumId w:val="9"/>
  </w:num>
  <w:num w:numId="23">
    <w:abstractNumId w:val="9"/>
    <w:lvlOverride w:ilvl="0">
      <w:startOverride w:val="1"/>
    </w:lvlOverride>
  </w:num>
  <w:num w:numId="24">
    <w:abstractNumId w:val="8"/>
  </w:num>
  <w:num w:numId="25">
    <w:abstractNumId w:val="3"/>
  </w:num>
  <w:num w:numId="26">
    <w:abstractNumId w:val="9"/>
    <w:lvlOverride w:ilvl="0">
      <w:startOverride w:val="1"/>
    </w:lvlOverride>
  </w:num>
  <w:num w:numId="2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692"/>
    <w:rsid w:val="00002D5D"/>
    <w:rsid w:val="000039F5"/>
    <w:rsid w:val="00015FB2"/>
    <w:rsid w:val="00040DCE"/>
    <w:rsid w:val="00045EDF"/>
    <w:rsid w:val="00055B26"/>
    <w:rsid w:val="000575C0"/>
    <w:rsid w:val="0006390D"/>
    <w:rsid w:val="00096F3A"/>
    <w:rsid w:val="000C1A75"/>
    <w:rsid w:val="0010220D"/>
    <w:rsid w:val="001124BE"/>
    <w:rsid w:val="001278D0"/>
    <w:rsid w:val="0014239B"/>
    <w:rsid w:val="001A02D1"/>
    <w:rsid w:val="001A6692"/>
    <w:rsid w:val="001B1A86"/>
    <w:rsid w:val="001D53FF"/>
    <w:rsid w:val="001D7048"/>
    <w:rsid w:val="001E3446"/>
    <w:rsid w:val="001F7744"/>
    <w:rsid w:val="00220BE5"/>
    <w:rsid w:val="00227CA1"/>
    <w:rsid w:val="00230E68"/>
    <w:rsid w:val="00232F3E"/>
    <w:rsid w:val="002422A3"/>
    <w:rsid w:val="002C7A89"/>
    <w:rsid w:val="002E580B"/>
    <w:rsid w:val="002E79A0"/>
    <w:rsid w:val="003073ED"/>
    <w:rsid w:val="00315E34"/>
    <w:rsid w:val="00326DE2"/>
    <w:rsid w:val="00335AB0"/>
    <w:rsid w:val="0033659B"/>
    <w:rsid w:val="003B284C"/>
    <w:rsid w:val="003B4221"/>
    <w:rsid w:val="003C318C"/>
    <w:rsid w:val="003D7744"/>
    <w:rsid w:val="003E4F5F"/>
    <w:rsid w:val="003F1A6F"/>
    <w:rsid w:val="003F73CA"/>
    <w:rsid w:val="00440E32"/>
    <w:rsid w:val="00455356"/>
    <w:rsid w:val="004557B1"/>
    <w:rsid w:val="00456433"/>
    <w:rsid w:val="00461597"/>
    <w:rsid w:val="00472163"/>
    <w:rsid w:val="004838F3"/>
    <w:rsid w:val="00485374"/>
    <w:rsid w:val="004C283B"/>
    <w:rsid w:val="004C28FB"/>
    <w:rsid w:val="004D13ED"/>
    <w:rsid w:val="004D5525"/>
    <w:rsid w:val="005035DA"/>
    <w:rsid w:val="00507897"/>
    <w:rsid w:val="00515A85"/>
    <w:rsid w:val="00527BD1"/>
    <w:rsid w:val="00536A4C"/>
    <w:rsid w:val="00545F24"/>
    <w:rsid w:val="0055581F"/>
    <w:rsid w:val="0056229A"/>
    <w:rsid w:val="0056377B"/>
    <w:rsid w:val="00570154"/>
    <w:rsid w:val="00570B5A"/>
    <w:rsid w:val="00587422"/>
    <w:rsid w:val="005B1A4A"/>
    <w:rsid w:val="005B29C8"/>
    <w:rsid w:val="005C6967"/>
    <w:rsid w:val="005E3562"/>
    <w:rsid w:val="005F0157"/>
    <w:rsid w:val="005F7DE0"/>
    <w:rsid w:val="00603199"/>
    <w:rsid w:val="00627ED5"/>
    <w:rsid w:val="006357B3"/>
    <w:rsid w:val="00640346"/>
    <w:rsid w:val="00660385"/>
    <w:rsid w:val="006612F3"/>
    <w:rsid w:val="00662E65"/>
    <w:rsid w:val="0066665A"/>
    <w:rsid w:val="00692DD8"/>
    <w:rsid w:val="00693BCD"/>
    <w:rsid w:val="006B052A"/>
    <w:rsid w:val="006B3F64"/>
    <w:rsid w:val="006B6182"/>
    <w:rsid w:val="006C1852"/>
    <w:rsid w:val="006D67E3"/>
    <w:rsid w:val="006F0CE9"/>
    <w:rsid w:val="00701A2E"/>
    <w:rsid w:val="00710CE3"/>
    <w:rsid w:val="00710D8B"/>
    <w:rsid w:val="007202A8"/>
    <w:rsid w:val="007229A9"/>
    <w:rsid w:val="007469D7"/>
    <w:rsid w:val="007504DE"/>
    <w:rsid w:val="00777BF7"/>
    <w:rsid w:val="00782C65"/>
    <w:rsid w:val="00791A69"/>
    <w:rsid w:val="007B029A"/>
    <w:rsid w:val="007C0122"/>
    <w:rsid w:val="007C310A"/>
    <w:rsid w:val="007D33AA"/>
    <w:rsid w:val="007D3577"/>
    <w:rsid w:val="007F6AE4"/>
    <w:rsid w:val="007F7BCF"/>
    <w:rsid w:val="008030EC"/>
    <w:rsid w:val="008113A6"/>
    <w:rsid w:val="00811D6D"/>
    <w:rsid w:val="0081693A"/>
    <w:rsid w:val="00817E8E"/>
    <w:rsid w:val="00841C3A"/>
    <w:rsid w:val="00844776"/>
    <w:rsid w:val="00852E19"/>
    <w:rsid w:val="008850D9"/>
    <w:rsid w:val="008874C2"/>
    <w:rsid w:val="008A429E"/>
    <w:rsid w:val="008A4578"/>
    <w:rsid w:val="008C03C3"/>
    <w:rsid w:val="008D0AD8"/>
    <w:rsid w:val="008D3909"/>
    <w:rsid w:val="008D6ECA"/>
    <w:rsid w:val="008E6BF2"/>
    <w:rsid w:val="008F4F59"/>
    <w:rsid w:val="008F55E4"/>
    <w:rsid w:val="008F588A"/>
    <w:rsid w:val="00902D2D"/>
    <w:rsid w:val="00915804"/>
    <w:rsid w:val="00936A1F"/>
    <w:rsid w:val="00957285"/>
    <w:rsid w:val="009573AF"/>
    <w:rsid w:val="00966B78"/>
    <w:rsid w:val="00970AE5"/>
    <w:rsid w:val="009963ED"/>
    <w:rsid w:val="009A3647"/>
    <w:rsid w:val="009D4063"/>
    <w:rsid w:val="009D5548"/>
    <w:rsid w:val="00A41BD3"/>
    <w:rsid w:val="00A449C2"/>
    <w:rsid w:val="00A65EA3"/>
    <w:rsid w:val="00AA3D6F"/>
    <w:rsid w:val="00AB55AE"/>
    <w:rsid w:val="00AB6F7D"/>
    <w:rsid w:val="00AC7878"/>
    <w:rsid w:val="00AD493E"/>
    <w:rsid w:val="00AE30B5"/>
    <w:rsid w:val="00AE5755"/>
    <w:rsid w:val="00AF4EE1"/>
    <w:rsid w:val="00AF6439"/>
    <w:rsid w:val="00B015AC"/>
    <w:rsid w:val="00B06055"/>
    <w:rsid w:val="00B16E36"/>
    <w:rsid w:val="00B22049"/>
    <w:rsid w:val="00B44D8A"/>
    <w:rsid w:val="00B67B4C"/>
    <w:rsid w:val="00B73AC8"/>
    <w:rsid w:val="00B747A7"/>
    <w:rsid w:val="00BA2BBF"/>
    <w:rsid w:val="00BB0C41"/>
    <w:rsid w:val="00BB14A3"/>
    <w:rsid w:val="00BC0161"/>
    <w:rsid w:val="00BC2437"/>
    <w:rsid w:val="00BC559C"/>
    <w:rsid w:val="00BD55B1"/>
    <w:rsid w:val="00C1612B"/>
    <w:rsid w:val="00C17112"/>
    <w:rsid w:val="00C24267"/>
    <w:rsid w:val="00C6287B"/>
    <w:rsid w:val="00C66651"/>
    <w:rsid w:val="00CA5D42"/>
    <w:rsid w:val="00CB40E1"/>
    <w:rsid w:val="00CB5193"/>
    <w:rsid w:val="00CF6DB6"/>
    <w:rsid w:val="00D134CA"/>
    <w:rsid w:val="00D52D5F"/>
    <w:rsid w:val="00D949A3"/>
    <w:rsid w:val="00DA1C8A"/>
    <w:rsid w:val="00DB44F0"/>
    <w:rsid w:val="00DC5111"/>
    <w:rsid w:val="00DD109E"/>
    <w:rsid w:val="00DD3E18"/>
    <w:rsid w:val="00E12103"/>
    <w:rsid w:val="00E15AAE"/>
    <w:rsid w:val="00E21184"/>
    <w:rsid w:val="00E40B8B"/>
    <w:rsid w:val="00E55F60"/>
    <w:rsid w:val="00E5742E"/>
    <w:rsid w:val="00E66921"/>
    <w:rsid w:val="00E80F42"/>
    <w:rsid w:val="00EA265F"/>
    <w:rsid w:val="00EA5685"/>
    <w:rsid w:val="00EC04FE"/>
    <w:rsid w:val="00EC4472"/>
    <w:rsid w:val="00ED43FF"/>
    <w:rsid w:val="00ED4667"/>
    <w:rsid w:val="00EE6600"/>
    <w:rsid w:val="00EF1D6A"/>
    <w:rsid w:val="00EF2E51"/>
    <w:rsid w:val="00F17505"/>
    <w:rsid w:val="00F22CEE"/>
    <w:rsid w:val="00F31E24"/>
    <w:rsid w:val="00F46648"/>
    <w:rsid w:val="00F51441"/>
    <w:rsid w:val="00F52474"/>
    <w:rsid w:val="00F5529D"/>
    <w:rsid w:val="00F5669E"/>
    <w:rsid w:val="00F64149"/>
    <w:rsid w:val="00F71BCB"/>
    <w:rsid w:val="00F75D33"/>
    <w:rsid w:val="00F954CF"/>
    <w:rsid w:val="00F97DFF"/>
    <w:rsid w:val="00FC6579"/>
    <w:rsid w:val="00FD3FB3"/>
    <w:rsid w:val="00FE105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AE5755"/>
    <w:pPr>
      <w:spacing w:before="70" w:after="70" w:line="260" w:lineRule="atLeast"/>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1"/>
    <w:qFormat/>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81693A"/>
    <w:rPr>
      <w:rFonts w:eastAsia="Times New Roman" w:cs="Times New Roman"/>
      <w:spacing w:val="0"/>
      <w:lang w:eastAsia="en-AU"/>
    </w:rPr>
  </w:style>
  <w:style w:type="paragraph" w:customStyle="1" w:styleId="Bullet2">
    <w:name w:val="Bullet 2"/>
    <w:basedOn w:val="ListBullet2"/>
    <w:link w:val="Bullet2Char"/>
    <w:qFormat/>
    <w:rsid w:val="0081693A"/>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81693A"/>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1693A"/>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22"/>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Bullet4">
    <w:name w:val="Bullet 4"/>
    <w:basedOn w:val="Normal"/>
    <w:qFormat/>
    <w:rsid w:val="00B22049"/>
    <w:pPr>
      <w:spacing w:before="120" w:after="0" w:line="240" w:lineRule="auto"/>
      <w:ind w:left="1135" w:hanging="284"/>
    </w:pPr>
    <w:rPr>
      <w:rFonts w:ascii="Times New Roman" w:eastAsia="Times New Roman" w:hAnsi="Times New Roman" w:cs="Times New Roman"/>
      <w:sz w:val="24"/>
      <w:szCs w:val="20"/>
      <w:lang w:eastAsia="en-AU"/>
    </w:rPr>
  </w:style>
  <w:style w:type="paragraph" w:customStyle="1" w:styleId="ChartandTableFootnoteAlpha">
    <w:name w:val="Chart and Table Footnote Alpha"/>
    <w:basedOn w:val="Normal"/>
    <w:next w:val="Normal"/>
    <w:rsid w:val="00E55F60"/>
    <w:pPr>
      <w:keepLines/>
      <w:numPr>
        <w:numId w:val="20"/>
      </w:numPr>
      <w:spacing w:before="240" w:after="0" w:line="240" w:lineRule="auto"/>
      <w:jc w:val="both"/>
    </w:pPr>
    <w:rPr>
      <w:rFonts w:ascii="Arial" w:eastAsia="Times New Roman" w:hAnsi="Arial" w:cs="Times New Roman"/>
      <w:sz w:val="16"/>
      <w:szCs w:val="20"/>
      <w:lang w:eastAsia="en-AU"/>
    </w:rPr>
  </w:style>
  <w:style w:type="paragraph" w:customStyle="1" w:styleId="Tablefootnote">
    <w:name w:val="Table footnote"/>
    <w:basedOn w:val="ChartandTableFootnoteAlpha"/>
    <w:link w:val="TablefootnoteChar"/>
    <w:qFormat/>
    <w:rsid w:val="00E55F60"/>
  </w:style>
  <w:style w:type="character" w:customStyle="1" w:styleId="TablefootnoteChar">
    <w:name w:val="Table footnote Char"/>
    <w:basedOn w:val="DefaultParagraphFont"/>
    <w:link w:val="Tablefootnote"/>
    <w:rsid w:val="00E55F60"/>
    <w:rPr>
      <w:rFonts w:ascii="Arial" w:eastAsia="Times New Roman" w:hAnsi="Arial" w:cs="Times New Roman"/>
      <w:sz w:val="16"/>
      <w:szCs w:val="20"/>
      <w:lang w:eastAsia="en-AU"/>
    </w:rPr>
  </w:style>
  <w:style w:type="character" w:styleId="CommentReference">
    <w:name w:val="annotation reference"/>
    <w:basedOn w:val="DefaultParagraphFont"/>
    <w:uiPriority w:val="99"/>
    <w:semiHidden/>
    <w:unhideWhenUsed/>
    <w:rsid w:val="007C0122"/>
    <w:rPr>
      <w:sz w:val="16"/>
      <w:szCs w:val="16"/>
    </w:rPr>
  </w:style>
  <w:style w:type="paragraph" w:styleId="CommentText">
    <w:name w:val="annotation text"/>
    <w:basedOn w:val="Normal"/>
    <w:link w:val="CommentTextChar"/>
    <w:uiPriority w:val="99"/>
    <w:semiHidden/>
    <w:unhideWhenUsed/>
    <w:rsid w:val="007C0122"/>
    <w:pPr>
      <w:spacing w:line="240" w:lineRule="auto"/>
    </w:pPr>
    <w:rPr>
      <w:sz w:val="20"/>
      <w:szCs w:val="20"/>
    </w:rPr>
  </w:style>
  <w:style w:type="character" w:customStyle="1" w:styleId="CommentTextChar">
    <w:name w:val="Comment Text Char"/>
    <w:basedOn w:val="DefaultParagraphFont"/>
    <w:link w:val="CommentText"/>
    <w:uiPriority w:val="99"/>
    <w:semiHidden/>
    <w:rsid w:val="007C0122"/>
    <w:rPr>
      <w:sz w:val="20"/>
      <w:szCs w:val="20"/>
    </w:rPr>
  </w:style>
  <w:style w:type="paragraph" w:styleId="CommentSubject">
    <w:name w:val="annotation subject"/>
    <w:basedOn w:val="CommentText"/>
    <w:next w:val="CommentText"/>
    <w:link w:val="CommentSubjectChar"/>
    <w:uiPriority w:val="99"/>
    <w:semiHidden/>
    <w:unhideWhenUsed/>
    <w:rsid w:val="007C0122"/>
    <w:rPr>
      <w:b/>
      <w:bCs/>
    </w:rPr>
  </w:style>
  <w:style w:type="character" w:customStyle="1" w:styleId="CommentSubjectChar">
    <w:name w:val="Comment Subject Char"/>
    <w:basedOn w:val="CommentTextChar"/>
    <w:link w:val="CommentSubject"/>
    <w:uiPriority w:val="99"/>
    <w:semiHidden/>
    <w:rsid w:val="007C01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AE5755"/>
    <w:pPr>
      <w:spacing w:before="70" w:after="70" w:line="260" w:lineRule="atLeast"/>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1"/>
    <w:qFormat/>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81693A"/>
    <w:rPr>
      <w:rFonts w:eastAsia="Times New Roman" w:cs="Times New Roman"/>
      <w:spacing w:val="0"/>
      <w:lang w:eastAsia="en-AU"/>
    </w:rPr>
  </w:style>
  <w:style w:type="paragraph" w:customStyle="1" w:styleId="Bullet2">
    <w:name w:val="Bullet 2"/>
    <w:basedOn w:val="ListBullet2"/>
    <w:link w:val="Bullet2Char"/>
    <w:qFormat/>
    <w:rsid w:val="0081693A"/>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81693A"/>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1693A"/>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22"/>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Bullet4">
    <w:name w:val="Bullet 4"/>
    <w:basedOn w:val="Normal"/>
    <w:qFormat/>
    <w:rsid w:val="00B22049"/>
    <w:pPr>
      <w:spacing w:before="120" w:after="0" w:line="240" w:lineRule="auto"/>
      <w:ind w:left="1135" w:hanging="284"/>
    </w:pPr>
    <w:rPr>
      <w:rFonts w:ascii="Times New Roman" w:eastAsia="Times New Roman" w:hAnsi="Times New Roman" w:cs="Times New Roman"/>
      <w:sz w:val="24"/>
      <w:szCs w:val="20"/>
      <w:lang w:eastAsia="en-AU"/>
    </w:rPr>
  </w:style>
  <w:style w:type="paragraph" w:customStyle="1" w:styleId="ChartandTableFootnoteAlpha">
    <w:name w:val="Chart and Table Footnote Alpha"/>
    <w:basedOn w:val="Normal"/>
    <w:next w:val="Normal"/>
    <w:rsid w:val="00E55F60"/>
    <w:pPr>
      <w:keepLines/>
      <w:numPr>
        <w:numId w:val="20"/>
      </w:numPr>
      <w:spacing w:before="240" w:after="0" w:line="240" w:lineRule="auto"/>
      <w:jc w:val="both"/>
    </w:pPr>
    <w:rPr>
      <w:rFonts w:ascii="Arial" w:eastAsia="Times New Roman" w:hAnsi="Arial" w:cs="Times New Roman"/>
      <w:sz w:val="16"/>
      <w:szCs w:val="20"/>
      <w:lang w:eastAsia="en-AU"/>
    </w:rPr>
  </w:style>
  <w:style w:type="paragraph" w:customStyle="1" w:styleId="Tablefootnote">
    <w:name w:val="Table footnote"/>
    <w:basedOn w:val="ChartandTableFootnoteAlpha"/>
    <w:link w:val="TablefootnoteChar"/>
    <w:qFormat/>
    <w:rsid w:val="00E55F60"/>
  </w:style>
  <w:style w:type="character" w:customStyle="1" w:styleId="TablefootnoteChar">
    <w:name w:val="Table footnote Char"/>
    <w:basedOn w:val="DefaultParagraphFont"/>
    <w:link w:val="Tablefootnote"/>
    <w:rsid w:val="00E55F60"/>
    <w:rPr>
      <w:rFonts w:ascii="Arial" w:eastAsia="Times New Roman" w:hAnsi="Arial" w:cs="Times New Roman"/>
      <w:sz w:val="16"/>
      <w:szCs w:val="20"/>
      <w:lang w:eastAsia="en-AU"/>
    </w:rPr>
  </w:style>
  <w:style w:type="character" w:styleId="CommentReference">
    <w:name w:val="annotation reference"/>
    <w:basedOn w:val="DefaultParagraphFont"/>
    <w:uiPriority w:val="99"/>
    <w:semiHidden/>
    <w:unhideWhenUsed/>
    <w:rsid w:val="007C0122"/>
    <w:rPr>
      <w:sz w:val="16"/>
      <w:szCs w:val="16"/>
    </w:rPr>
  </w:style>
  <w:style w:type="paragraph" w:styleId="CommentText">
    <w:name w:val="annotation text"/>
    <w:basedOn w:val="Normal"/>
    <w:link w:val="CommentTextChar"/>
    <w:uiPriority w:val="99"/>
    <w:semiHidden/>
    <w:unhideWhenUsed/>
    <w:rsid w:val="007C0122"/>
    <w:pPr>
      <w:spacing w:line="240" w:lineRule="auto"/>
    </w:pPr>
    <w:rPr>
      <w:sz w:val="20"/>
      <w:szCs w:val="20"/>
    </w:rPr>
  </w:style>
  <w:style w:type="character" w:customStyle="1" w:styleId="CommentTextChar">
    <w:name w:val="Comment Text Char"/>
    <w:basedOn w:val="DefaultParagraphFont"/>
    <w:link w:val="CommentText"/>
    <w:uiPriority w:val="99"/>
    <w:semiHidden/>
    <w:rsid w:val="007C0122"/>
    <w:rPr>
      <w:sz w:val="20"/>
      <w:szCs w:val="20"/>
    </w:rPr>
  </w:style>
  <w:style w:type="paragraph" w:styleId="CommentSubject">
    <w:name w:val="annotation subject"/>
    <w:basedOn w:val="CommentText"/>
    <w:next w:val="CommentText"/>
    <w:link w:val="CommentSubjectChar"/>
    <w:uiPriority w:val="99"/>
    <w:semiHidden/>
    <w:unhideWhenUsed/>
    <w:rsid w:val="007C0122"/>
    <w:rPr>
      <w:b/>
      <w:bCs/>
    </w:rPr>
  </w:style>
  <w:style w:type="character" w:customStyle="1" w:styleId="CommentSubjectChar">
    <w:name w:val="Comment Subject Char"/>
    <w:basedOn w:val="CommentTextChar"/>
    <w:link w:val="CommentSubject"/>
    <w:uiPriority w:val="99"/>
    <w:semiHidden/>
    <w:rsid w:val="007C01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stolen-generation"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yperlink" Target="http://rachel-siewert.greensmps.org.au/content/media-releases/greens-launch-package-stop-another-stolen-gener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C9EB53A-13B0-45D6-8B21-480E872C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1069</TotalTime>
  <Pages>7</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PBO - GRN039 - Stopping another stolen generation: Reducing the number of Aboriginal and Torres Strait Islander children in out of home care - 29 June 2016</vt:lpstr>
    </vt:vector>
  </TitlesOfParts>
  <Company>Parliament of Australia</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GRN039 - Stopping another stolen generation: Reducing the number of Aboriginal and Torres Strait Islander children in out of home care - 29 June 2016</dc:title>
  <dc:creator>Parliamentary Budget Office</dc:creator>
  <cp:lastModifiedBy>Milligan, Louise (PBO)</cp:lastModifiedBy>
  <cp:revision>45</cp:revision>
  <cp:lastPrinted>2016-06-24T03:54:00Z</cp:lastPrinted>
  <dcterms:created xsi:type="dcterms:W3CDTF">2016-06-23T00:41:00Z</dcterms:created>
  <dcterms:modified xsi:type="dcterms:W3CDTF">2016-06-29T11:10:00Z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