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Pr="00A643ED" w:rsidRDefault="0049587E" w:rsidP="00372AEB">
      <w:pPr>
        <w:pStyle w:val="Lettertext"/>
        <w:spacing w:before="1560"/>
        <w:rPr>
          <w:sz w:val="28"/>
        </w:rPr>
      </w:pPr>
      <w:bookmarkStart w:id="0" w:name="_GoBack"/>
      <w:bookmarkEnd w:id="0"/>
      <w:r w:rsidRPr="00A643ED">
        <w:t>Senator Richard Di Natale</w:t>
      </w:r>
    </w:p>
    <w:p w:rsidR="00040DCE" w:rsidRPr="00002D5D" w:rsidRDefault="0049587E" w:rsidP="00372AEB">
      <w:pPr>
        <w:pStyle w:val="Lettertext"/>
        <w:spacing w:before="0"/>
      </w:pPr>
      <w:r>
        <w:t>Leader of the Australian Greens</w:t>
      </w:r>
    </w:p>
    <w:p w:rsidR="00040DCE" w:rsidRPr="00002D5D" w:rsidRDefault="005C6967" w:rsidP="00372AEB">
      <w:pPr>
        <w:pStyle w:val="Lettertext"/>
        <w:spacing w:before="0"/>
      </w:pPr>
      <w:r>
        <w:t>Parliament House</w:t>
      </w:r>
    </w:p>
    <w:p w:rsidR="00040DCE" w:rsidRPr="00002D5D" w:rsidRDefault="005C6967" w:rsidP="00372AEB">
      <w:pPr>
        <w:pStyle w:val="Lettertext"/>
        <w:spacing w:before="0"/>
      </w:pPr>
      <w:proofErr w:type="gramStart"/>
      <w:r>
        <w:t>CANBERRA  ACT</w:t>
      </w:r>
      <w:proofErr w:type="gramEnd"/>
      <w:r>
        <w:t xml:space="preserve">  2600</w:t>
      </w:r>
    </w:p>
    <w:p w:rsidR="00040DCE" w:rsidRPr="00A643ED" w:rsidRDefault="00040DCE" w:rsidP="00372AEB">
      <w:pPr>
        <w:pStyle w:val="Lettertext"/>
        <w:spacing w:before="480"/>
      </w:pPr>
      <w:r w:rsidRPr="00A643ED">
        <w:t xml:space="preserve">Dear </w:t>
      </w:r>
      <w:r w:rsidR="0049587E" w:rsidRPr="00A643ED">
        <w:t>Senator Di</w:t>
      </w:r>
      <w:r w:rsidR="00ED7A4D" w:rsidRPr="00A643ED">
        <w:t xml:space="preserve"> </w:t>
      </w:r>
      <w:r w:rsidR="0049587E" w:rsidRPr="00A643ED">
        <w:t>Natale</w:t>
      </w:r>
    </w:p>
    <w:p w:rsidR="00040DCE" w:rsidRPr="00A643ED" w:rsidRDefault="00040DCE" w:rsidP="00372AEB">
      <w:pPr>
        <w:pStyle w:val="Lettertext"/>
      </w:pPr>
      <w:r w:rsidRPr="00A643ED">
        <w:t xml:space="preserve">Please find attached a response to your costing request, </w:t>
      </w:r>
      <w:proofErr w:type="gramStart"/>
      <w:r w:rsidR="0049587E" w:rsidRPr="00A643ED">
        <w:rPr>
          <w:i/>
        </w:rPr>
        <w:t>A</w:t>
      </w:r>
      <w:proofErr w:type="gramEnd"/>
      <w:r w:rsidR="00895E3E" w:rsidRPr="00A643ED">
        <w:rPr>
          <w:i/>
        </w:rPr>
        <w:t xml:space="preserve"> new assistance payment for </w:t>
      </w:r>
      <w:r w:rsidR="00E92883" w:rsidRPr="00A643ED">
        <w:rPr>
          <w:i/>
        </w:rPr>
        <w:t>C</w:t>
      </w:r>
      <w:r w:rsidR="0049587E" w:rsidRPr="00A643ED">
        <w:rPr>
          <w:i/>
        </w:rPr>
        <w:t>hildcare</w:t>
      </w:r>
      <w:r w:rsidRPr="00A643ED">
        <w:t xml:space="preserve"> (letter of </w:t>
      </w:r>
      <w:r w:rsidR="0049587E" w:rsidRPr="00A643ED">
        <w:t>28 June</w:t>
      </w:r>
      <w:r w:rsidRPr="00A643ED">
        <w:t xml:space="preserve"> 2016).</w:t>
      </w:r>
    </w:p>
    <w:p w:rsidR="00040DCE" w:rsidRPr="00002D5D" w:rsidRDefault="00040DCE" w:rsidP="00372AEB">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372AEB">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372AEB">
      <w:pPr>
        <w:pStyle w:val="Lettertext"/>
      </w:pPr>
      <w:r w:rsidRPr="00002D5D">
        <w:t>Yours sincerely</w:t>
      </w:r>
    </w:p>
    <w:p w:rsidR="00040DCE" w:rsidRPr="00002D5D" w:rsidRDefault="00DA1C8A" w:rsidP="00372AEB">
      <w:pPr>
        <w:pStyle w:val="Lettertext"/>
        <w:spacing w:before="960"/>
      </w:pPr>
      <w:r w:rsidRPr="00002D5D">
        <w:t>Phil Bowen</w:t>
      </w:r>
    </w:p>
    <w:p w:rsidR="00096F3A" w:rsidRPr="00002D5D" w:rsidRDefault="005B117D" w:rsidP="005B117D">
      <w:pPr>
        <w:pStyle w:val="Lettertext"/>
        <w:spacing w:before="120"/>
      </w:pPr>
      <w:r>
        <w:t xml:space="preserve">29 </w:t>
      </w:r>
      <w:r w:rsidR="004D7436">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A815F6" w:rsidTr="00F10147">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A815F6" w:rsidRDefault="004D5525" w:rsidP="00F10147">
            <w:pPr>
              <w:pStyle w:val="BodyText"/>
              <w:rPr>
                <w:sz w:val="22"/>
              </w:rPr>
            </w:pPr>
            <w:r w:rsidRPr="00A815F6">
              <w:rPr>
                <w:sz w:val="22"/>
              </w:rPr>
              <w:t>Name of proposal:</w:t>
            </w:r>
          </w:p>
        </w:tc>
        <w:tc>
          <w:tcPr>
            <w:tcW w:w="5335" w:type="dxa"/>
          </w:tcPr>
          <w:p w:rsidR="004D5525" w:rsidRPr="00A815F6" w:rsidRDefault="00895E3E" w:rsidP="00F10147">
            <w:pPr>
              <w:pStyle w:val="BodyText"/>
              <w:rPr>
                <w:sz w:val="22"/>
              </w:rPr>
            </w:pPr>
            <w:r w:rsidRPr="00A815F6">
              <w:rPr>
                <w:sz w:val="22"/>
              </w:rPr>
              <w:t xml:space="preserve">A new assistance payment for </w:t>
            </w:r>
            <w:r w:rsidR="00E92883" w:rsidRPr="00A815F6">
              <w:rPr>
                <w:sz w:val="22"/>
              </w:rPr>
              <w:t>C</w:t>
            </w:r>
            <w:r w:rsidR="0049587E" w:rsidRPr="00A815F6">
              <w:rPr>
                <w:sz w:val="22"/>
              </w:rPr>
              <w:t>hildcare</w:t>
            </w:r>
          </w:p>
        </w:tc>
      </w:tr>
      <w:tr w:rsidR="004D5525" w:rsidTr="00F10147">
        <w:tc>
          <w:tcPr>
            <w:tcW w:w="3005" w:type="dxa"/>
          </w:tcPr>
          <w:p w:rsidR="004D5525" w:rsidRDefault="004D5525" w:rsidP="00F10147">
            <w:pPr>
              <w:pStyle w:val="BodyText"/>
            </w:pPr>
            <w:r>
              <w:t>Summary of proposal:</w:t>
            </w:r>
          </w:p>
        </w:tc>
        <w:tc>
          <w:tcPr>
            <w:tcW w:w="5335" w:type="dxa"/>
          </w:tcPr>
          <w:p w:rsidR="0049587E" w:rsidRPr="0049587E" w:rsidRDefault="0049587E" w:rsidP="00F10147">
            <w:r w:rsidRPr="0049587E">
              <w:t xml:space="preserve">The proposal </w:t>
            </w:r>
            <w:r w:rsidR="00E50812">
              <w:t xml:space="preserve">has </w:t>
            </w:r>
            <w:r w:rsidR="002039C6">
              <w:t xml:space="preserve">three components which </w:t>
            </w:r>
            <w:r w:rsidRPr="0049587E">
              <w:t>would make changes to the early childhood education and care system</w:t>
            </w:r>
            <w:r w:rsidR="002039C6">
              <w:t>.</w:t>
            </w:r>
          </w:p>
          <w:p w:rsidR="004357ED" w:rsidRPr="00A41690" w:rsidRDefault="0049587E" w:rsidP="00F10147">
            <w:pPr>
              <w:rPr>
                <w:u w:val="single"/>
              </w:rPr>
            </w:pPr>
            <w:r w:rsidRPr="00A41690">
              <w:rPr>
                <w:u w:val="single"/>
              </w:rPr>
              <w:t xml:space="preserve">Component </w:t>
            </w:r>
            <w:r w:rsidR="00E50812" w:rsidRPr="00A41690">
              <w:rPr>
                <w:u w:val="single"/>
              </w:rPr>
              <w:t>1</w:t>
            </w:r>
            <w:r w:rsidR="0067755F" w:rsidRPr="00A41690">
              <w:rPr>
                <w:u w:val="single"/>
              </w:rPr>
              <w:t xml:space="preserve">: Bringing forward </w:t>
            </w:r>
            <w:r w:rsidR="00E92883" w:rsidRPr="00A41690">
              <w:rPr>
                <w:u w:val="single"/>
              </w:rPr>
              <w:t xml:space="preserve">the </w:t>
            </w:r>
            <w:r w:rsidR="0067755F" w:rsidRPr="00A41690">
              <w:rPr>
                <w:u w:val="single"/>
              </w:rPr>
              <w:t>Child Care Subsidy (CCS) system</w:t>
            </w:r>
          </w:p>
          <w:p w:rsidR="0049587E" w:rsidRPr="00A41690" w:rsidRDefault="0049587E" w:rsidP="00F10147">
            <w:pPr>
              <w:pStyle w:val="Bullet1"/>
            </w:pPr>
            <w:r w:rsidRPr="004357ED">
              <w:t>B</w:t>
            </w:r>
            <w:r w:rsidRPr="00A41690">
              <w:t>ring forward the i</w:t>
            </w:r>
            <w:r w:rsidR="004357ED" w:rsidRPr="00A41690">
              <w:t xml:space="preserve">mplementation of the </w:t>
            </w:r>
            <w:r w:rsidR="00F10147">
              <w:t>CCS </w:t>
            </w:r>
            <w:r w:rsidRPr="00A41690">
              <w:t>system from 1 July 2018 to 1 July 2017.</w:t>
            </w:r>
          </w:p>
          <w:p w:rsidR="004357ED" w:rsidRPr="00A41690" w:rsidRDefault="0049587E" w:rsidP="00F10147">
            <w:pPr>
              <w:rPr>
                <w:u w:val="single"/>
              </w:rPr>
            </w:pPr>
            <w:r w:rsidRPr="00A41690">
              <w:rPr>
                <w:u w:val="single"/>
              </w:rPr>
              <w:t xml:space="preserve">Component </w:t>
            </w:r>
            <w:r w:rsidR="00E50812" w:rsidRPr="00A41690">
              <w:rPr>
                <w:u w:val="single"/>
              </w:rPr>
              <w:t>2</w:t>
            </w:r>
            <w:r w:rsidR="0032483C" w:rsidRPr="00A41690">
              <w:rPr>
                <w:u w:val="single"/>
              </w:rPr>
              <w:t>: Changing the CCS activity test</w:t>
            </w:r>
          </w:p>
          <w:p w:rsidR="0049587E" w:rsidRPr="00A41690" w:rsidRDefault="0049587E" w:rsidP="00F10147">
            <w:pPr>
              <w:pStyle w:val="Bullet1"/>
            </w:pPr>
            <w:r w:rsidRPr="00A41690">
              <w:t xml:space="preserve">Change the current activity test so that families with a parent who undertakes 0-16 hours per fortnight of approved activity would receive </w:t>
            </w:r>
            <w:r w:rsidR="006D66C3" w:rsidRPr="00A41690">
              <w:t xml:space="preserve">up to </w:t>
            </w:r>
            <w:r w:rsidRPr="00A41690">
              <w:t>48</w:t>
            </w:r>
            <w:r w:rsidR="00E50812" w:rsidRPr="00A41690">
              <w:t> </w:t>
            </w:r>
            <w:r w:rsidRPr="00A41690">
              <w:t>hours of subsidised childcare per fortnight.</w:t>
            </w:r>
          </w:p>
          <w:p w:rsidR="004357ED" w:rsidRPr="00A41690" w:rsidRDefault="0049587E" w:rsidP="00F10147">
            <w:pPr>
              <w:rPr>
                <w:u w:val="single"/>
              </w:rPr>
            </w:pPr>
            <w:r w:rsidRPr="00A41690">
              <w:rPr>
                <w:u w:val="single"/>
              </w:rPr>
              <w:t xml:space="preserve">Component </w:t>
            </w:r>
            <w:r w:rsidR="00E50812" w:rsidRPr="00A41690">
              <w:rPr>
                <w:u w:val="single"/>
              </w:rPr>
              <w:t>3</w:t>
            </w:r>
            <w:r w:rsidR="008014BE" w:rsidRPr="00A41690">
              <w:rPr>
                <w:u w:val="single"/>
              </w:rPr>
              <w:t>: ‘</w:t>
            </w:r>
            <w:r w:rsidR="00E82BA2" w:rsidRPr="00A41690">
              <w:rPr>
                <w:u w:val="single"/>
              </w:rPr>
              <w:t xml:space="preserve">Reducing </w:t>
            </w:r>
            <w:r w:rsidR="008014BE" w:rsidRPr="00A41690">
              <w:rPr>
                <w:u w:val="single"/>
              </w:rPr>
              <w:t>Wait</w:t>
            </w:r>
            <w:r w:rsidR="00984540" w:rsidRPr="00A41690">
              <w:rPr>
                <w:u w:val="single"/>
              </w:rPr>
              <w:t>ing Lists</w:t>
            </w:r>
            <w:r w:rsidR="008014BE" w:rsidRPr="00A41690">
              <w:rPr>
                <w:u w:val="single"/>
              </w:rPr>
              <w:t>’</w:t>
            </w:r>
            <w:r w:rsidR="00984540" w:rsidRPr="00A41690">
              <w:rPr>
                <w:u w:val="single"/>
              </w:rPr>
              <w:t xml:space="preserve"> grants</w:t>
            </w:r>
          </w:p>
          <w:p w:rsidR="0049587E" w:rsidRDefault="0049587E" w:rsidP="00F10147">
            <w:pPr>
              <w:pStyle w:val="Bullet1"/>
            </w:pPr>
            <w:r>
              <w:t>Provide a capped ‘Reduci</w:t>
            </w:r>
            <w:r w:rsidR="00F10147">
              <w:t>ng Waiting Lists’ grant of $200 </w:t>
            </w:r>
            <w:r>
              <w:t>million to childcare centres to expand services and upgrade facilities.</w:t>
            </w:r>
          </w:p>
          <w:p w:rsidR="0049587E" w:rsidRPr="0049587E" w:rsidRDefault="0049587E" w:rsidP="00F10147">
            <w:r w:rsidRPr="0049587E">
              <w:t>The proposal would have effect from 1 July 2017.</w:t>
            </w:r>
          </w:p>
        </w:tc>
      </w:tr>
      <w:tr w:rsidR="004D5525" w:rsidTr="00F10147">
        <w:tc>
          <w:tcPr>
            <w:tcW w:w="3005" w:type="dxa"/>
          </w:tcPr>
          <w:p w:rsidR="004D5525" w:rsidRDefault="004D5525" w:rsidP="00F10147">
            <w:r>
              <w:t>Person/party requesting costing:</w:t>
            </w:r>
          </w:p>
        </w:tc>
        <w:tc>
          <w:tcPr>
            <w:tcW w:w="5335" w:type="dxa"/>
          </w:tcPr>
          <w:p w:rsidR="004D5525" w:rsidRDefault="0049587E" w:rsidP="00F10147">
            <w:r>
              <w:t>Senator Richard Di Natale, Australian Greens</w:t>
            </w:r>
          </w:p>
        </w:tc>
      </w:tr>
      <w:tr w:rsidR="007D3577" w:rsidTr="00F10147">
        <w:tc>
          <w:tcPr>
            <w:tcW w:w="3005" w:type="dxa"/>
          </w:tcPr>
          <w:p w:rsidR="007D3577" w:rsidRDefault="007D3577" w:rsidP="00F10147">
            <w:r>
              <w:t>Date of public release of policy:</w:t>
            </w:r>
          </w:p>
        </w:tc>
        <w:tc>
          <w:tcPr>
            <w:tcW w:w="5335" w:type="dxa"/>
          </w:tcPr>
          <w:p w:rsidR="007D3577" w:rsidRPr="0049587E" w:rsidRDefault="0049587E" w:rsidP="00F10147">
            <w:r>
              <w:t>9 June 2016</w:t>
            </w:r>
          </w:p>
        </w:tc>
      </w:tr>
      <w:tr w:rsidR="004D5525" w:rsidTr="00F10147">
        <w:tc>
          <w:tcPr>
            <w:tcW w:w="3005" w:type="dxa"/>
          </w:tcPr>
          <w:p w:rsidR="004D5525" w:rsidRDefault="004D5525" w:rsidP="00F10147">
            <w:r>
              <w:t>Date costing request received:</w:t>
            </w:r>
          </w:p>
        </w:tc>
        <w:tc>
          <w:tcPr>
            <w:tcW w:w="5335" w:type="dxa"/>
          </w:tcPr>
          <w:p w:rsidR="004D5525" w:rsidRDefault="005C7740" w:rsidP="00F10147">
            <w:r>
              <w:t>28 June 2016</w:t>
            </w:r>
          </w:p>
        </w:tc>
      </w:tr>
      <w:tr w:rsidR="004D5525" w:rsidTr="00F10147">
        <w:tc>
          <w:tcPr>
            <w:tcW w:w="3005" w:type="dxa"/>
          </w:tcPr>
          <w:p w:rsidR="004D5525" w:rsidRDefault="004D5525" w:rsidP="00F10147">
            <w:r>
              <w:t>Date costing completed</w:t>
            </w:r>
            <w:r w:rsidR="00A41690">
              <w:t>:</w:t>
            </w:r>
          </w:p>
        </w:tc>
        <w:tc>
          <w:tcPr>
            <w:tcW w:w="5335" w:type="dxa"/>
          </w:tcPr>
          <w:p w:rsidR="004D5525" w:rsidRPr="00C17112" w:rsidRDefault="00357F8D" w:rsidP="00F10147">
            <w:r>
              <w:t>29</w:t>
            </w:r>
            <w:r w:rsidR="005C7740">
              <w:t xml:space="preserve"> June 2016</w:t>
            </w:r>
          </w:p>
        </w:tc>
      </w:tr>
      <w:tr w:rsidR="004D5525" w:rsidTr="00F10147">
        <w:tc>
          <w:tcPr>
            <w:tcW w:w="3005" w:type="dxa"/>
          </w:tcPr>
          <w:p w:rsidR="004D5525" w:rsidRPr="00220BE5" w:rsidRDefault="004D5525" w:rsidP="00F10147">
            <w:r w:rsidRPr="00220BE5">
              <w:t>Expiry date for the costing:</w:t>
            </w:r>
          </w:p>
        </w:tc>
        <w:tc>
          <w:tcPr>
            <w:tcW w:w="5335" w:type="dxa"/>
          </w:tcPr>
          <w:p w:rsidR="004D5525" w:rsidRPr="00220BE5" w:rsidRDefault="00F4535C" w:rsidP="00F10147">
            <w:r>
              <w:t>Release of the next economic and fiscal outlook report</w:t>
            </w:r>
          </w:p>
        </w:tc>
      </w:tr>
    </w:tbl>
    <w:p w:rsidR="0055581F" w:rsidRPr="00002D5D" w:rsidRDefault="008030EC" w:rsidP="00F10147">
      <w:pPr>
        <w:pStyle w:val="Heading2"/>
      </w:pPr>
      <w:r w:rsidRPr="00002D5D">
        <w:lastRenderedPageBreak/>
        <w:t>Costing overview</w:t>
      </w:r>
    </w:p>
    <w:p w:rsidR="00C773F9" w:rsidRDefault="00C773F9" w:rsidP="00F10147">
      <w:pPr>
        <w:keepNext/>
        <w:keepLines/>
      </w:pPr>
      <w:r w:rsidRPr="00C773F9">
        <w:t>This proposal would be expected to decrease the fiscal balance by $</w:t>
      </w:r>
      <w:r w:rsidR="00A46F97">
        <w:t>2,776</w:t>
      </w:r>
      <w:r w:rsidRPr="00C773F9">
        <w:t xml:space="preserve"> million and decrease the underlying cash balance by $</w:t>
      </w:r>
      <w:r w:rsidR="00A46F97">
        <w:t>2,713</w:t>
      </w:r>
      <w:r w:rsidRPr="00C773F9">
        <w:t xml:space="preserve"> million over the 2016-17 Budget forward estimates period.  In fiscal balance terms, this reflects an increase in administered expenses of $</w:t>
      </w:r>
      <w:r w:rsidR="00A46F97">
        <w:t>2</w:t>
      </w:r>
      <w:r w:rsidR="00984540">
        <w:t>,</w:t>
      </w:r>
      <w:r w:rsidR="00A46F97">
        <w:t>769</w:t>
      </w:r>
      <w:r w:rsidRPr="00C773F9">
        <w:t xml:space="preserve"> million and an increase in departmental expenses of $</w:t>
      </w:r>
      <w:r w:rsidR="00A46F97">
        <w:t>7</w:t>
      </w:r>
      <w:r w:rsidRPr="00C773F9">
        <w:t xml:space="preserve"> million.</w:t>
      </w:r>
    </w:p>
    <w:p w:rsidR="003F096A" w:rsidRPr="00C773F9" w:rsidRDefault="003F096A" w:rsidP="00F10147">
      <w:pPr>
        <w:keepNext/>
        <w:keepLines/>
      </w:pPr>
      <w:r>
        <w:rPr>
          <w:lang w:val="en"/>
        </w:rPr>
        <w:t>The fiscal balance</w:t>
      </w:r>
      <w:r w:rsidR="00984540">
        <w:rPr>
          <w:lang w:val="en"/>
        </w:rPr>
        <w:t xml:space="preserve"> implications</w:t>
      </w:r>
      <w:r>
        <w:rPr>
          <w:lang w:val="en"/>
        </w:rPr>
        <w:t xml:space="preserve"> are different </w:t>
      </w:r>
      <w:r w:rsidR="00984540">
        <w:rPr>
          <w:lang w:val="en"/>
        </w:rPr>
        <w:t>to the</w:t>
      </w:r>
      <w:r>
        <w:rPr>
          <w:lang w:val="en"/>
        </w:rPr>
        <w:t xml:space="preserve"> underlying cash balance </w:t>
      </w:r>
      <w:r w:rsidR="00984540">
        <w:rPr>
          <w:lang w:val="en"/>
        </w:rPr>
        <w:t xml:space="preserve">implications </w:t>
      </w:r>
      <w:r>
        <w:rPr>
          <w:lang w:val="en"/>
        </w:rPr>
        <w:t xml:space="preserve">because </w:t>
      </w:r>
      <w:r w:rsidR="00477659">
        <w:rPr>
          <w:lang w:val="en"/>
        </w:rPr>
        <w:t>some</w:t>
      </w:r>
      <w:r w:rsidR="00414C2A">
        <w:rPr>
          <w:lang w:val="en"/>
        </w:rPr>
        <w:t xml:space="preserve"> subsidies</w:t>
      </w:r>
      <w:r w:rsidR="00477659">
        <w:rPr>
          <w:lang w:val="en"/>
        </w:rPr>
        <w:t xml:space="preserve"> are</w:t>
      </w:r>
      <w:r w:rsidR="00414C2A">
        <w:rPr>
          <w:lang w:val="en"/>
        </w:rPr>
        <w:t xml:space="preserve"> </w:t>
      </w:r>
      <w:r>
        <w:rPr>
          <w:lang w:val="en"/>
        </w:rPr>
        <w:t xml:space="preserve">withheld and paid </w:t>
      </w:r>
      <w:r w:rsidR="00414C2A">
        <w:rPr>
          <w:lang w:val="en"/>
        </w:rPr>
        <w:t xml:space="preserve">to families </w:t>
      </w:r>
      <w:r>
        <w:rPr>
          <w:lang w:val="en"/>
        </w:rPr>
        <w:t xml:space="preserve">after the end of the financial year when their tax </w:t>
      </w:r>
      <w:r w:rsidR="00E50812">
        <w:rPr>
          <w:lang w:val="en"/>
        </w:rPr>
        <w:t xml:space="preserve">liabilities </w:t>
      </w:r>
      <w:r>
        <w:rPr>
          <w:lang w:val="en"/>
        </w:rPr>
        <w:t>and payment</w:t>
      </w:r>
      <w:r w:rsidR="00E50812">
        <w:rPr>
          <w:lang w:val="en"/>
        </w:rPr>
        <w:t xml:space="preserve"> amount</w:t>
      </w:r>
      <w:r>
        <w:rPr>
          <w:lang w:val="en"/>
        </w:rPr>
        <w:t>s are reconciled.</w:t>
      </w:r>
    </w:p>
    <w:p w:rsidR="00AB489F" w:rsidRPr="003B0777" w:rsidRDefault="003B0777" w:rsidP="00F10147">
      <w:r w:rsidRPr="003B0777">
        <w:t>This proposal would have financial implications beyond the 2016-17 Bu</w:t>
      </w:r>
      <w:r w:rsidR="00183346">
        <w:t>dget forward estimates period.</w:t>
      </w:r>
    </w:p>
    <w:p w:rsidR="003B0777" w:rsidRPr="003B0777" w:rsidRDefault="003B0777" w:rsidP="00F10147">
      <w:pPr>
        <w:pStyle w:val="Bullet1"/>
      </w:pPr>
      <w:r w:rsidRPr="003B0777">
        <w:t>In 2020-21</w:t>
      </w:r>
      <w:r w:rsidR="00183346">
        <w:t>,</w:t>
      </w:r>
      <w:r w:rsidRPr="003B0777">
        <w:t xml:space="preserve"> the estimated decrease to the fiscal balance would be around $</w:t>
      </w:r>
      <w:r w:rsidR="00EB0552">
        <w:t>815</w:t>
      </w:r>
      <w:r w:rsidRPr="003B0777">
        <w:t> million.</w:t>
      </w:r>
    </w:p>
    <w:p w:rsidR="003B0777" w:rsidRPr="003B0777" w:rsidRDefault="003B0777" w:rsidP="00F10147">
      <w:pPr>
        <w:pStyle w:val="Bullet1"/>
      </w:pPr>
      <w:r w:rsidRPr="003B0777">
        <w:t>In 2021-22</w:t>
      </w:r>
      <w:r w:rsidR="00315A63">
        <w:t>,</w:t>
      </w:r>
      <w:r w:rsidRPr="003B0777">
        <w:t xml:space="preserve"> the estimated decrease to the fiscal balance would be around $</w:t>
      </w:r>
      <w:r w:rsidR="00EB0552">
        <w:t>820</w:t>
      </w:r>
      <w:r w:rsidRPr="003B0777">
        <w:t> million.</w:t>
      </w:r>
    </w:p>
    <w:p w:rsidR="003B0777" w:rsidRPr="003B0777" w:rsidRDefault="003B0777" w:rsidP="00F10147">
      <w:pPr>
        <w:pStyle w:val="Bullet1"/>
      </w:pPr>
      <w:r w:rsidRPr="003B0777">
        <w:t>Beyond 2021-22, the annual financial implications would be consistent with the amounts in 2021</w:t>
      </w:r>
      <w:r w:rsidRPr="003B0777">
        <w:noBreakHyphen/>
        <w:t>22 allowing for growth in underlying parameters.</w:t>
      </w:r>
    </w:p>
    <w:p w:rsidR="003B0777" w:rsidRDefault="003B0777" w:rsidP="00F10147">
      <w:r w:rsidRPr="003B0777">
        <w:t xml:space="preserve">A breakdown of the financial implications over the 2016-17 Budget forward estimates period </w:t>
      </w:r>
      <w:r w:rsidR="000A06D9">
        <w:t xml:space="preserve">for the </w:t>
      </w:r>
      <w:r w:rsidR="00E50812">
        <w:t xml:space="preserve">entire proposal </w:t>
      </w:r>
      <w:r w:rsidR="000A06D9">
        <w:t xml:space="preserve">(Table A1) and by component (Tables A2-A4) </w:t>
      </w:r>
      <w:r w:rsidRPr="003B0777">
        <w:t xml:space="preserve">is at </w:t>
      </w:r>
      <w:r w:rsidRPr="003B0777">
        <w:rPr>
          <w:u w:val="single"/>
        </w:rPr>
        <w:t>Attachment A</w:t>
      </w:r>
      <w:r w:rsidRPr="003B0777">
        <w:t>.</w:t>
      </w:r>
    </w:p>
    <w:p w:rsidR="00B5421C" w:rsidRPr="00B5421C" w:rsidRDefault="00B5421C" w:rsidP="00F10147">
      <w:r w:rsidRPr="00B5421C">
        <w:t xml:space="preserve">The financial implications include departmental </w:t>
      </w:r>
      <w:r w:rsidR="00AE49E2">
        <w:t>funding</w:t>
      </w:r>
      <w:r w:rsidRPr="00B5421C">
        <w:t xml:space="preserve"> for the Department of Human Services (DHS) </w:t>
      </w:r>
      <w:r w:rsidR="00AE49E2">
        <w:t>for</w:t>
      </w:r>
      <w:r w:rsidRPr="00B5421C">
        <w:t xml:space="preserve"> processing payments for new CCS recipients.  A separate amount of departmental funding was estimated for the Department of Education and Training (DET) to manage the proposed grants program over the 2016-17 Budget forward estimates period.</w:t>
      </w:r>
    </w:p>
    <w:p w:rsidR="00D471AB" w:rsidRPr="00002D5D" w:rsidRDefault="00B5421C" w:rsidP="00F10147">
      <w:pPr>
        <w:rPr>
          <w:highlight w:val="yellow"/>
        </w:rPr>
      </w:pPr>
      <w:r w:rsidRPr="00556BE8">
        <w:rPr>
          <w:rFonts w:eastAsia="Times New Roman"/>
          <w:color w:val="000000"/>
          <w:lang w:eastAsia="en-AU"/>
        </w:rPr>
        <w:t xml:space="preserve">This costing is considered to be of </w:t>
      </w:r>
      <w:r>
        <w:rPr>
          <w:rFonts w:eastAsia="Times New Roman"/>
          <w:color w:val="000000"/>
          <w:lang w:eastAsia="en-AU"/>
        </w:rPr>
        <w:t>medium</w:t>
      </w:r>
      <w:r w:rsidRPr="0028309C">
        <w:rPr>
          <w:rFonts w:eastAsia="Times New Roman"/>
          <w:color w:val="000000"/>
          <w:lang w:eastAsia="en-AU"/>
        </w:rPr>
        <w:t xml:space="preserve"> to </w:t>
      </w:r>
      <w:r>
        <w:rPr>
          <w:rFonts w:eastAsia="Times New Roman"/>
          <w:color w:val="000000"/>
          <w:lang w:eastAsia="en-AU"/>
        </w:rPr>
        <w:t>low</w:t>
      </w:r>
      <w:r w:rsidRPr="0028309C">
        <w:rPr>
          <w:rFonts w:eastAsia="Times New Roman"/>
          <w:color w:val="000000"/>
          <w:lang w:eastAsia="en-AU"/>
        </w:rPr>
        <w:t xml:space="preserve"> reliability.</w:t>
      </w:r>
      <w:r w:rsidRPr="00556BE8">
        <w:rPr>
          <w:rFonts w:eastAsia="Times New Roman"/>
          <w:color w:val="000000"/>
          <w:lang w:eastAsia="en-AU"/>
        </w:rPr>
        <w:t xml:space="preserve"> </w:t>
      </w:r>
      <w:r>
        <w:rPr>
          <w:rFonts w:eastAsia="Times New Roman"/>
          <w:color w:val="000000"/>
          <w:lang w:eastAsia="en-AU"/>
        </w:rPr>
        <w:t xml:space="preserve"> While the costing is based on detailed administrative data on children in approved child care under the existing system, the Parliamentary Budget Office (PBO) has made assumptions about take-up of child care, and there is uncertainty regarding the flow</w:t>
      </w:r>
      <w:r>
        <w:rPr>
          <w:rFonts w:eastAsia="Times New Roman"/>
          <w:color w:val="000000"/>
          <w:lang w:eastAsia="en-AU"/>
        </w:rPr>
        <w:noBreakHyphen/>
        <w:t>on costs to CCS</w:t>
      </w:r>
      <w:r w:rsidR="00AE49E2">
        <w:rPr>
          <w:rFonts w:eastAsia="Times New Roman"/>
          <w:color w:val="000000"/>
          <w:lang w:eastAsia="en-AU"/>
        </w:rPr>
        <w:t xml:space="preserve"> payments</w:t>
      </w:r>
      <w:r>
        <w:rPr>
          <w:rFonts w:eastAsia="Times New Roman"/>
          <w:color w:val="000000"/>
          <w:lang w:eastAsia="en-AU"/>
        </w:rPr>
        <w:t xml:space="preserve"> due to </w:t>
      </w:r>
      <w:r w:rsidR="00C73735">
        <w:rPr>
          <w:rFonts w:eastAsia="Times New Roman"/>
          <w:color w:val="000000"/>
          <w:lang w:eastAsia="en-AU"/>
        </w:rPr>
        <w:t xml:space="preserve">the </w:t>
      </w:r>
      <w:r>
        <w:rPr>
          <w:rFonts w:eastAsia="Times New Roman"/>
          <w:color w:val="000000"/>
          <w:lang w:eastAsia="en-AU"/>
        </w:rPr>
        <w:t>expan</w:t>
      </w:r>
      <w:r w:rsidR="00C73735">
        <w:rPr>
          <w:rFonts w:eastAsia="Times New Roman"/>
          <w:color w:val="000000"/>
          <w:lang w:eastAsia="en-AU"/>
        </w:rPr>
        <w:t xml:space="preserve">sion of child </w:t>
      </w:r>
      <w:r>
        <w:rPr>
          <w:rFonts w:eastAsia="Times New Roman"/>
          <w:color w:val="000000"/>
          <w:lang w:eastAsia="en-AU"/>
        </w:rPr>
        <w:t>care places.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AE49E2">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F1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B73AC8" w:rsidRDefault="00CA5D42" w:rsidP="00F10147">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vAlign w:val="center"/>
          </w:tcPr>
          <w:p w:rsidR="00CA5D42" w:rsidRPr="00B73AC8" w:rsidRDefault="00CA5D42" w:rsidP="00F10147">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vAlign w:val="center"/>
          </w:tcPr>
          <w:p w:rsidR="00CA5D42" w:rsidRPr="00B73AC8" w:rsidRDefault="00CA5D42" w:rsidP="00F10147">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vAlign w:val="center"/>
          </w:tcPr>
          <w:p w:rsidR="00CA5D42" w:rsidRPr="00B73AC8" w:rsidRDefault="00CA5D42" w:rsidP="00F10147">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vAlign w:val="center"/>
          </w:tcPr>
          <w:p w:rsidR="00CA5D42" w:rsidRPr="00B73AC8" w:rsidRDefault="00CA5D42" w:rsidP="00F10147">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vAlign w:val="center"/>
          </w:tcPr>
          <w:p w:rsidR="00CA5D42" w:rsidRPr="00F97DFF" w:rsidRDefault="00CA5D42" w:rsidP="00F10147">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CD3009" w:rsidRPr="00B73AC8" w:rsidTr="00F1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CD3009" w:rsidRPr="00B73AC8" w:rsidRDefault="00CD3009" w:rsidP="00F10147">
            <w:pPr>
              <w:pStyle w:val="TableTextCentred"/>
              <w:keepNext/>
              <w:keepLines/>
              <w:jc w:val="left"/>
              <w:rPr>
                <w:szCs w:val="20"/>
              </w:rPr>
            </w:pPr>
            <w:r w:rsidRPr="00B73AC8">
              <w:rPr>
                <w:szCs w:val="20"/>
              </w:rPr>
              <w:t>Fiscal balance</w:t>
            </w:r>
          </w:p>
        </w:tc>
        <w:tc>
          <w:tcPr>
            <w:tcW w:w="682" w:type="pct"/>
          </w:tcPr>
          <w:p w:rsidR="00CD3009" w:rsidRPr="00B73AC8" w:rsidRDefault="00CD3009" w:rsidP="00F10147">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noProof/>
                <w:szCs w:val="20"/>
              </w:rPr>
            </w:pPr>
            <w:r>
              <w:rPr>
                <w:rFonts w:ascii="Calibri" w:hAnsi="Calibri"/>
                <w:noProof/>
                <w:szCs w:val="20"/>
              </w:rPr>
              <w:t>-</w:t>
            </w:r>
          </w:p>
        </w:tc>
        <w:tc>
          <w:tcPr>
            <w:tcW w:w="682" w:type="pct"/>
          </w:tcPr>
          <w:p w:rsidR="00CD3009" w:rsidRPr="00CD3009" w:rsidRDefault="00CD3009" w:rsidP="00F10147">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noProof/>
                <w:szCs w:val="20"/>
              </w:rPr>
            </w:pPr>
            <w:r w:rsidRPr="00CD3009">
              <w:rPr>
                <w:rFonts w:ascii="Calibri" w:hAnsi="Calibri"/>
                <w:noProof/>
                <w:szCs w:val="20"/>
              </w:rPr>
              <w:t>-1,646</w:t>
            </w:r>
            <w:r w:rsidR="00AE49E2">
              <w:rPr>
                <w:rFonts w:ascii="Calibri" w:hAnsi="Calibri"/>
                <w:noProof/>
                <w:szCs w:val="20"/>
              </w:rPr>
              <w:t>.0</w:t>
            </w:r>
          </w:p>
        </w:tc>
        <w:tc>
          <w:tcPr>
            <w:tcW w:w="682" w:type="pct"/>
          </w:tcPr>
          <w:p w:rsidR="00CD3009" w:rsidRPr="00CD3009" w:rsidRDefault="00CD3009" w:rsidP="00F10147">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noProof/>
                <w:szCs w:val="20"/>
              </w:rPr>
            </w:pPr>
            <w:r w:rsidRPr="00CD3009">
              <w:rPr>
                <w:rFonts w:ascii="Calibri" w:hAnsi="Calibri"/>
                <w:noProof/>
                <w:szCs w:val="20"/>
              </w:rPr>
              <w:t>-536</w:t>
            </w:r>
            <w:r w:rsidR="00AE49E2">
              <w:rPr>
                <w:rFonts w:ascii="Calibri" w:hAnsi="Calibri"/>
                <w:noProof/>
                <w:szCs w:val="20"/>
              </w:rPr>
              <w:t>.0</w:t>
            </w:r>
          </w:p>
        </w:tc>
        <w:tc>
          <w:tcPr>
            <w:tcW w:w="682" w:type="pct"/>
          </w:tcPr>
          <w:p w:rsidR="00CD3009" w:rsidRPr="00CD3009" w:rsidRDefault="00CD3009" w:rsidP="00F10147">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noProof/>
                <w:szCs w:val="20"/>
              </w:rPr>
            </w:pPr>
            <w:r w:rsidRPr="00CD3009">
              <w:rPr>
                <w:rFonts w:ascii="Calibri" w:hAnsi="Calibri"/>
                <w:noProof/>
                <w:szCs w:val="20"/>
              </w:rPr>
              <w:t>-592</w:t>
            </w:r>
            <w:r w:rsidR="00AE49E2">
              <w:rPr>
                <w:rFonts w:ascii="Calibri" w:hAnsi="Calibri"/>
                <w:noProof/>
                <w:szCs w:val="20"/>
              </w:rPr>
              <w:t>.0</w:t>
            </w:r>
          </w:p>
        </w:tc>
        <w:tc>
          <w:tcPr>
            <w:tcW w:w="681" w:type="pct"/>
          </w:tcPr>
          <w:p w:rsidR="00CD3009" w:rsidRPr="00CD3009" w:rsidRDefault="00CD3009" w:rsidP="00F10147">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b/>
                <w:noProof/>
                <w:szCs w:val="20"/>
              </w:rPr>
            </w:pPr>
            <w:r w:rsidRPr="00CD3009">
              <w:rPr>
                <w:rFonts w:ascii="Calibri" w:hAnsi="Calibri"/>
                <w:b/>
                <w:noProof/>
                <w:szCs w:val="20"/>
              </w:rPr>
              <w:t>-2,776</w:t>
            </w:r>
            <w:r w:rsidR="00AE49E2">
              <w:rPr>
                <w:rFonts w:ascii="Calibri" w:hAnsi="Calibri"/>
                <w:b/>
                <w:noProof/>
                <w:szCs w:val="20"/>
              </w:rPr>
              <w:t>.0</w:t>
            </w:r>
          </w:p>
        </w:tc>
      </w:tr>
      <w:tr w:rsidR="00CD3009" w:rsidRPr="00B73AC8" w:rsidTr="00F10147">
        <w:tc>
          <w:tcPr>
            <w:cnfStyle w:val="001000000000" w:firstRow="0" w:lastRow="0" w:firstColumn="1" w:lastColumn="0" w:oddVBand="0" w:evenVBand="0" w:oddHBand="0" w:evenHBand="0" w:firstRowFirstColumn="0" w:firstRowLastColumn="0" w:lastRowFirstColumn="0" w:lastRowLastColumn="0"/>
            <w:tcW w:w="1591" w:type="pct"/>
          </w:tcPr>
          <w:p w:rsidR="00CD3009" w:rsidRPr="00B73AC8" w:rsidRDefault="00CD3009" w:rsidP="00F10147">
            <w:pPr>
              <w:pStyle w:val="TableTextCentred"/>
              <w:keepNext/>
              <w:keepLines/>
              <w:jc w:val="left"/>
              <w:rPr>
                <w:szCs w:val="20"/>
              </w:rPr>
            </w:pPr>
            <w:r w:rsidRPr="00B73AC8">
              <w:rPr>
                <w:szCs w:val="20"/>
              </w:rPr>
              <w:t>Underlying cash balance</w:t>
            </w:r>
          </w:p>
        </w:tc>
        <w:tc>
          <w:tcPr>
            <w:tcW w:w="682" w:type="pct"/>
          </w:tcPr>
          <w:p w:rsidR="00CD3009" w:rsidRPr="00B73AC8" w:rsidRDefault="00CD3009" w:rsidP="00F10147">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p>
        </w:tc>
        <w:tc>
          <w:tcPr>
            <w:tcW w:w="682" w:type="pct"/>
          </w:tcPr>
          <w:p w:rsidR="00CD3009" w:rsidRPr="00CD3009" w:rsidRDefault="00CD3009" w:rsidP="00F1014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noProof/>
                <w:szCs w:val="20"/>
              </w:rPr>
            </w:pPr>
            <w:r w:rsidRPr="00CD3009">
              <w:rPr>
                <w:rFonts w:ascii="Calibri" w:hAnsi="Calibri"/>
                <w:noProof/>
                <w:szCs w:val="20"/>
              </w:rPr>
              <w:t>-1,527</w:t>
            </w:r>
            <w:r w:rsidR="00AE49E2">
              <w:rPr>
                <w:rFonts w:ascii="Calibri" w:hAnsi="Calibri"/>
                <w:noProof/>
                <w:szCs w:val="20"/>
              </w:rPr>
              <w:t>.0</w:t>
            </w:r>
          </w:p>
        </w:tc>
        <w:tc>
          <w:tcPr>
            <w:tcW w:w="682" w:type="pct"/>
          </w:tcPr>
          <w:p w:rsidR="00CD3009" w:rsidRPr="00CD3009" w:rsidRDefault="00CD3009" w:rsidP="00F1014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noProof/>
                <w:szCs w:val="20"/>
              </w:rPr>
            </w:pPr>
            <w:r w:rsidRPr="00CD3009">
              <w:rPr>
                <w:rFonts w:ascii="Calibri" w:hAnsi="Calibri"/>
                <w:noProof/>
                <w:szCs w:val="20"/>
              </w:rPr>
              <w:t>-600</w:t>
            </w:r>
            <w:r w:rsidR="00AE49E2">
              <w:rPr>
                <w:rFonts w:ascii="Calibri" w:hAnsi="Calibri"/>
                <w:noProof/>
                <w:szCs w:val="20"/>
              </w:rPr>
              <w:t>.0</w:t>
            </w:r>
          </w:p>
        </w:tc>
        <w:tc>
          <w:tcPr>
            <w:tcW w:w="682" w:type="pct"/>
          </w:tcPr>
          <w:p w:rsidR="00CD3009" w:rsidRPr="00CD3009" w:rsidRDefault="00CD3009" w:rsidP="00F1014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noProof/>
                <w:szCs w:val="20"/>
              </w:rPr>
            </w:pPr>
            <w:r w:rsidRPr="00CD3009">
              <w:rPr>
                <w:rFonts w:ascii="Calibri" w:hAnsi="Calibri"/>
                <w:noProof/>
                <w:szCs w:val="20"/>
              </w:rPr>
              <w:t>-585</w:t>
            </w:r>
            <w:r w:rsidR="00AE49E2">
              <w:rPr>
                <w:rFonts w:ascii="Calibri" w:hAnsi="Calibri"/>
                <w:noProof/>
                <w:szCs w:val="20"/>
              </w:rPr>
              <w:t>.0</w:t>
            </w:r>
          </w:p>
        </w:tc>
        <w:tc>
          <w:tcPr>
            <w:tcW w:w="681" w:type="pct"/>
          </w:tcPr>
          <w:p w:rsidR="00CD3009" w:rsidRPr="00CD3009" w:rsidRDefault="00CD3009" w:rsidP="00F10147">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b/>
                <w:noProof/>
                <w:szCs w:val="20"/>
              </w:rPr>
            </w:pPr>
            <w:r w:rsidRPr="00CD3009">
              <w:rPr>
                <w:rFonts w:ascii="Calibri" w:hAnsi="Calibri"/>
                <w:b/>
                <w:noProof/>
                <w:szCs w:val="20"/>
              </w:rPr>
              <w:t>-2,713</w:t>
            </w:r>
            <w:r w:rsidR="00AE49E2">
              <w:rPr>
                <w:rFonts w:ascii="Calibri" w:hAnsi="Calibri"/>
                <w:b/>
                <w:noProof/>
                <w:szCs w:val="20"/>
              </w:rPr>
              <w:t>.0</w:t>
            </w:r>
          </w:p>
        </w:tc>
      </w:tr>
    </w:tbl>
    <w:p w:rsidR="009D4063" w:rsidRPr="00370707" w:rsidRDefault="00D805AE" w:rsidP="00370707">
      <w:pPr>
        <w:pStyle w:val="Footnotes"/>
        <w:numPr>
          <w:ilvl w:val="0"/>
          <w:numId w:val="7"/>
        </w:numPr>
        <w:ind w:left="284" w:hanging="284"/>
      </w:pPr>
      <w:r w:rsidRPr="00370707">
        <w:t>A positive number represents an increase in the relevant budget balance</w:t>
      </w:r>
      <w:r w:rsidR="00E51A70" w:rsidRPr="00370707">
        <w:t xml:space="preserve"> and</w:t>
      </w:r>
      <w:r w:rsidRPr="00370707">
        <w:t xml:space="preserve"> a negative number represents a decrease.</w:t>
      </w:r>
    </w:p>
    <w:p w:rsidR="00D747D2" w:rsidRPr="00370707" w:rsidRDefault="00D747D2" w:rsidP="00370707">
      <w:pPr>
        <w:pStyle w:val="Footnotes"/>
      </w:pPr>
      <w:r w:rsidRPr="00370707">
        <w:t>Figures may not sum to totals due to rounding.</w:t>
      </w:r>
    </w:p>
    <w:p w:rsidR="006F60CD" w:rsidRPr="00FF5D6B" w:rsidRDefault="006F60CD" w:rsidP="00F10147">
      <w:pPr>
        <w:pStyle w:val="Footnotes"/>
        <w:numPr>
          <w:ilvl w:val="0"/>
          <w:numId w:val="31"/>
        </w:numPr>
        <w:ind w:left="284" w:hanging="284"/>
      </w:pPr>
      <w:r>
        <w:t>Indicates nil.</w:t>
      </w:r>
    </w:p>
    <w:p w:rsidR="008D3909" w:rsidRPr="00FC6579" w:rsidRDefault="005E3562" w:rsidP="00E40B8B">
      <w:pPr>
        <w:pStyle w:val="Heading2"/>
      </w:pPr>
      <w:r w:rsidRPr="00FC6579">
        <w:t>Key assumptions</w:t>
      </w:r>
    </w:p>
    <w:p w:rsidR="00D471AB" w:rsidRPr="00D471AB" w:rsidRDefault="00D471AB" w:rsidP="00931D90">
      <w:r w:rsidRPr="00D471AB">
        <w:t xml:space="preserve">The PBO has assumed that departmental costs for processing CCS payments for new recipients would be comparable to the unit costs for processing Child Care </w:t>
      </w:r>
      <w:proofErr w:type="gramStart"/>
      <w:r w:rsidRPr="00D471AB">
        <w:t>Benefit  payments</w:t>
      </w:r>
      <w:proofErr w:type="gramEnd"/>
      <w:r w:rsidRPr="00D471AB">
        <w:t>.</w:t>
      </w:r>
    </w:p>
    <w:p w:rsidR="005E3562" w:rsidRPr="00FC6579" w:rsidRDefault="005E3562" w:rsidP="00E40B8B">
      <w:pPr>
        <w:pStyle w:val="Heading2"/>
      </w:pPr>
      <w:r w:rsidRPr="00FC6579">
        <w:lastRenderedPageBreak/>
        <w:t>Methodology</w:t>
      </w:r>
    </w:p>
    <w:p w:rsidR="0036742B" w:rsidRDefault="0036742B" w:rsidP="00931D90">
      <w:pPr>
        <w:pStyle w:val="Bullet1"/>
      </w:pPr>
      <w:r>
        <w:t xml:space="preserve">Estimates for bringing forward the implementation of the CCS to </w:t>
      </w:r>
      <w:r w:rsidRPr="003B6B6B">
        <w:t>1</w:t>
      </w:r>
      <w:r>
        <w:t> </w:t>
      </w:r>
      <w:r w:rsidRPr="003B6B6B">
        <w:t>July</w:t>
      </w:r>
      <w:r>
        <w:t xml:space="preserve"> 2017 </w:t>
      </w:r>
      <w:r w:rsidRPr="003B6B6B">
        <w:t>were based on information</w:t>
      </w:r>
      <w:r>
        <w:rPr>
          <w:i/>
        </w:rPr>
        <w:t xml:space="preserve"> </w:t>
      </w:r>
      <w:r>
        <w:t xml:space="preserve">in the </w:t>
      </w:r>
      <w:r w:rsidR="00E51A70">
        <w:t xml:space="preserve">Department of Finance’s </w:t>
      </w:r>
      <w:r>
        <w:t>Central Budget Management System</w:t>
      </w:r>
      <w:r w:rsidR="00E51A70">
        <w:t xml:space="preserve"> related to the 2016-17 Budget measure to defer the CCS to 1 July 2018</w:t>
      </w:r>
      <w:r w:rsidR="00A06CF6">
        <w:t>.</w:t>
      </w:r>
    </w:p>
    <w:p w:rsidR="0036742B" w:rsidRDefault="0036742B" w:rsidP="00931D90">
      <w:pPr>
        <w:pStyle w:val="Bullet1"/>
      </w:pPr>
      <w:r>
        <w:t>Child care models based on unit record administrative data were used to simulate entitlements under both the current CCS system and the proposal.  The differences in estimated entitlements under the scenarios represent the financial</w:t>
      </w:r>
      <w:r w:rsidR="00E51A70">
        <w:t xml:space="preserve"> implications of the proposal to change the current activity test.</w:t>
      </w:r>
    </w:p>
    <w:p w:rsidR="0036742B" w:rsidRDefault="0036742B" w:rsidP="00931D90">
      <w:pPr>
        <w:pStyle w:val="Bullet1"/>
      </w:pPr>
      <w:r>
        <w:t>The $200 million of grants were evenly distributed over the four years from 2017-18 to 2020-21.</w:t>
      </w:r>
    </w:p>
    <w:p w:rsidR="0036742B" w:rsidRDefault="0036742B" w:rsidP="00931D90">
      <w:pPr>
        <w:pStyle w:val="Bullet1"/>
      </w:pPr>
      <w:r>
        <w:t>The number of additional children expected to access the increased service</w:t>
      </w:r>
      <w:r w:rsidR="00E51A70">
        <w:t>s</w:t>
      </w:r>
      <w:r>
        <w:t xml:space="preserve"> provi</w:t>
      </w:r>
      <w:r w:rsidR="00E51A70">
        <w:t>ded</w:t>
      </w:r>
      <w:r>
        <w:t xml:space="preserve"> as a result of the proposed grants was estimated using historical information on child care attendance and the </w:t>
      </w:r>
      <w:r w:rsidR="00E51A70">
        <w:t xml:space="preserve">number of increased places under the </w:t>
      </w:r>
      <w:r w:rsidRPr="006E27A1">
        <w:rPr>
          <w:i/>
        </w:rPr>
        <w:t>Community Child Care Fund</w:t>
      </w:r>
      <w:r>
        <w:t>.</w:t>
      </w:r>
      <w:r w:rsidR="006277A7">
        <w:rPr>
          <w:rStyle w:val="FootnoteReference"/>
        </w:rPr>
        <w:footnoteReference w:id="1"/>
      </w:r>
    </w:p>
    <w:p w:rsidR="0036742B" w:rsidRPr="003B6B6B" w:rsidRDefault="0036742B" w:rsidP="00931D90">
      <w:pPr>
        <w:pStyle w:val="Bullet1"/>
      </w:pPr>
      <w:r w:rsidRPr="0015214A">
        <w:t xml:space="preserve">Total additional CCS payments were </w:t>
      </w:r>
      <w:r w:rsidR="00E51A70">
        <w:t xml:space="preserve">calculated </w:t>
      </w:r>
      <w:r w:rsidRPr="0015214A">
        <w:t xml:space="preserve">by multiplying the </w:t>
      </w:r>
      <w:r w:rsidR="00E51A70">
        <w:t xml:space="preserve">estimated </w:t>
      </w:r>
      <w:r w:rsidRPr="0015214A">
        <w:t xml:space="preserve">additional number of children who would be enrolled in the expanded child care services and the </w:t>
      </w:r>
      <w:r w:rsidR="00E51A70">
        <w:t xml:space="preserve">estimated </w:t>
      </w:r>
      <w:r w:rsidRPr="0015214A">
        <w:t xml:space="preserve">average CCS entitlement per </w:t>
      </w:r>
      <w:r>
        <w:t xml:space="preserve">child. </w:t>
      </w:r>
    </w:p>
    <w:p w:rsidR="00D04DA6" w:rsidRDefault="0036742B" w:rsidP="00931D90">
      <w:pPr>
        <w:pStyle w:val="Bullet1"/>
      </w:pPr>
      <w:r w:rsidRPr="00BE5366">
        <w:t>Administered</w:t>
      </w:r>
      <w:r>
        <w:t xml:space="preserve"> and departmental </w:t>
      </w:r>
      <w:r w:rsidRPr="00CE6A3D">
        <w:t>funding</w:t>
      </w:r>
      <w:r>
        <w:t xml:space="preserve"> has </w:t>
      </w:r>
      <w:r w:rsidRPr="00D02F52">
        <w:t>been rounded to the nearest $</w:t>
      </w:r>
      <w:r>
        <w:t>1</w:t>
      </w:r>
      <w:r w:rsidRPr="00D02F52">
        <w:t xml:space="preserve"> million</w:t>
      </w:r>
      <w:r>
        <w:t>.</w:t>
      </w:r>
    </w:p>
    <w:p w:rsidR="005E3562" w:rsidRPr="00FC6579" w:rsidRDefault="005E3562" w:rsidP="00D04DA6">
      <w:pPr>
        <w:pStyle w:val="Heading2"/>
      </w:pPr>
      <w:r w:rsidRPr="00FC6579">
        <w:t>Data sources</w:t>
      </w:r>
    </w:p>
    <w:p w:rsidR="00452F76" w:rsidRDefault="00452F76" w:rsidP="00931D90">
      <w:pPr>
        <w:pStyle w:val="Bullet1"/>
      </w:pPr>
      <w:r w:rsidRPr="009B621E">
        <w:t>201</w:t>
      </w:r>
      <w:r>
        <w:t>5-</w:t>
      </w:r>
      <w:r w:rsidRPr="009B621E">
        <w:t>1</w:t>
      </w:r>
      <w:r>
        <w:t>6 Budget Paper No. 2.</w:t>
      </w:r>
    </w:p>
    <w:p w:rsidR="00452F76" w:rsidRDefault="00452F76" w:rsidP="00931D90">
      <w:pPr>
        <w:pStyle w:val="Bullet1"/>
      </w:pPr>
      <w:r>
        <w:t>2016-17 Budget Paper No. 2.</w:t>
      </w:r>
    </w:p>
    <w:p w:rsidR="00452F76" w:rsidRDefault="00452F76" w:rsidP="00931D90">
      <w:pPr>
        <w:pStyle w:val="Bullet1"/>
      </w:pPr>
      <w:r>
        <w:t>D</w:t>
      </w:r>
      <w:r w:rsidR="00C97839">
        <w:t xml:space="preserve">epartment of </w:t>
      </w:r>
      <w:r>
        <w:t>H</w:t>
      </w:r>
      <w:r w:rsidR="00C97839">
        <w:t xml:space="preserve">uman </w:t>
      </w:r>
      <w:r>
        <w:t>S</w:t>
      </w:r>
      <w:r w:rsidR="00C97839">
        <w:t>ervices</w:t>
      </w:r>
      <w:r>
        <w:t xml:space="preserve"> provided the unit costs for administering C</w:t>
      </w:r>
      <w:r w:rsidR="00C97839">
        <w:t xml:space="preserve">hild </w:t>
      </w:r>
      <w:r>
        <w:t>C</w:t>
      </w:r>
      <w:r w:rsidR="00C97839">
        <w:t xml:space="preserve">are </w:t>
      </w:r>
      <w:r w:rsidR="002233A1">
        <w:t>B</w:t>
      </w:r>
      <w:r w:rsidR="00C97839">
        <w:t>enefit</w:t>
      </w:r>
      <w:r>
        <w:t xml:space="preserve"> payments.</w:t>
      </w:r>
    </w:p>
    <w:p w:rsidR="00452F76" w:rsidRDefault="00452F76" w:rsidP="00931D90">
      <w:pPr>
        <w:pStyle w:val="Bullet1"/>
      </w:pPr>
      <w:r w:rsidRPr="00E068D5">
        <w:t xml:space="preserve">Productivity Commission 2014, </w:t>
      </w:r>
      <w:r w:rsidRPr="00E068D5">
        <w:rPr>
          <w:i/>
        </w:rPr>
        <w:t>Childcare and Early Childhood Learning</w:t>
      </w:r>
      <w:r w:rsidRPr="00E068D5">
        <w:t>, Inquiry Report No. 73, Canberra.</w:t>
      </w:r>
    </w:p>
    <w:p w:rsidR="00452F76" w:rsidRPr="00E068D5" w:rsidRDefault="00452F76" w:rsidP="00931D90">
      <w:pPr>
        <w:pStyle w:val="Bullet1"/>
      </w:pPr>
      <w:r>
        <w:t>Department of Finance provided information from C</w:t>
      </w:r>
      <w:r w:rsidR="003C0B5D">
        <w:t xml:space="preserve">entral </w:t>
      </w:r>
      <w:r>
        <w:t>B</w:t>
      </w:r>
      <w:r w:rsidR="003C0B5D">
        <w:t xml:space="preserve">udget </w:t>
      </w:r>
      <w:r>
        <w:t>M</w:t>
      </w:r>
      <w:r w:rsidR="003C0B5D">
        <w:t xml:space="preserve">anagement </w:t>
      </w:r>
      <w:r>
        <w:t>S</w:t>
      </w:r>
      <w:r w:rsidR="003C0B5D">
        <w:t>ystem</w:t>
      </w:r>
      <w:r>
        <w:t>.</w:t>
      </w:r>
    </w:p>
    <w:p w:rsidR="00F31E79" w:rsidRDefault="00F31E79" w:rsidP="00F31E79">
      <w:pPr>
        <w:pStyle w:val="TableTextBullet"/>
        <w:numPr>
          <w:ilvl w:val="0"/>
          <w:numId w:val="0"/>
        </w:numPr>
        <w:ind w:left="284" w:hanging="171"/>
        <w:rPr>
          <w:highlight w:val="yellow"/>
        </w:rPr>
      </w:pPr>
    </w:p>
    <w:p w:rsidR="00F31E79" w:rsidRPr="00FC6579" w:rsidRDefault="00F31E79" w:rsidP="00F31E79">
      <w:pPr>
        <w:pStyle w:val="TableTextBullet"/>
        <w:numPr>
          <w:ilvl w:val="0"/>
          <w:numId w:val="0"/>
        </w:numPr>
        <w:ind w:left="284" w:hanging="171"/>
        <w:rPr>
          <w:highlight w:val="yellow"/>
        </w:rPr>
        <w:sectPr w:rsidR="00F31E79" w:rsidRPr="00FC6579" w:rsidSect="00002D5D">
          <w:headerReference w:type="first" r:id="rId13"/>
          <w:footerReference w:type="first" r:id="rId14"/>
          <w:pgSz w:w="11906" w:h="16838"/>
          <w:pgMar w:top="1361" w:right="1797" w:bottom="1474" w:left="1797" w:header="709" w:footer="709" w:gutter="0"/>
          <w:cols w:space="708"/>
          <w:titlePg/>
          <w:docGrid w:linePitch="360"/>
        </w:sectPr>
      </w:pPr>
    </w:p>
    <w:p w:rsidR="001A02D1" w:rsidRDefault="001A02D1" w:rsidP="00FC6579">
      <w:pPr>
        <w:pStyle w:val="Heading1"/>
      </w:pPr>
      <w:r w:rsidRPr="00FC6579">
        <w:lastRenderedPageBreak/>
        <w:t>Attachment A:</w:t>
      </w:r>
      <w:r w:rsidR="00841C3A">
        <w:t xml:space="preserve"> </w:t>
      </w:r>
      <w:r w:rsidR="00895E3E" w:rsidRPr="00895E3E">
        <w:t>A new assistance payment for</w:t>
      </w:r>
      <w:r w:rsidR="00895E3E">
        <w:rPr>
          <w:sz w:val="22"/>
        </w:rPr>
        <w:t xml:space="preserve"> </w:t>
      </w:r>
      <w:r w:rsidR="00087C75">
        <w:t>C</w:t>
      </w:r>
      <w:r w:rsidR="00895E3E" w:rsidRPr="00895E3E">
        <w:t>hildcare</w:t>
      </w:r>
      <w:r w:rsidR="00440E32">
        <w:t>—financial</w:t>
      </w:r>
      <w:r w:rsidR="00841C3A">
        <w:t> </w:t>
      </w:r>
      <w:r w:rsidR="00440E32">
        <w:t>implications</w:t>
      </w:r>
    </w:p>
    <w:p w:rsidR="007144A4" w:rsidRDefault="007144A4" w:rsidP="007144A4">
      <w:pPr>
        <w:pStyle w:val="Captionheading"/>
      </w:pPr>
      <w:r>
        <w:t>Table A1</w:t>
      </w:r>
      <w:r w:rsidRPr="00FC6579">
        <w:t xml:space="preserve">: </w:t>
      </w:r>
      <w:r w:rsidR="00D23D69">
        <w:t>All components</w:t>
      </w:r>
      <w:r w:rsidR="001407A0">
        <w:t>:</w:t>
      </w:r>
      <w:r w:rsidR="00D23D69">
        <w:t xml:space="preserve"> </w:t>
      </w:r>
      <w:r w:rsidR="00EF66D9" w:rsidRPr="00EF66D9">
        <w:t>A new assistance payment for</w:t>
      </w:r>
      <w:r w:rsidR="00EF66D9">
        <w:t xml:space="preserve"> </w:t>
      </w:r>
      <w:r w:rsidR="00087C75">
        <w:t>C</w:t>
      </w:r>
      <w:r w:rsidR="00EF66D9" w:rsidRPr="00EF66D9">
        <w:t>hildcare</w:t>
      </w:r>
      <w:r w:rsidR="009303A0">
        <w:t>—</w:t>
      </w:r>
      <w:r>
        <w:t xml:space="preserve">Financial </w:t>
      </w:r>
      <w:proofErr w:type="gramStart"/>
      <w:r w:rsidR="00E51A70">
        <w:t>implications</w:t>
      </w:r>
      <w:r w:rsidR="00E51A70" w:rsidRPr="001F7D6A">
        <w:rPr>
          <w:vertAlign w:val="superscript"/>
        </w:rPr>
        <w:t>(</w:t>
      </w:r>
      <w:proofErr w:type="gramEnd"/>
      <w:r w:rsidRPr="001F7D6A">
        <w:rPr>
          <w:vertAlign w:val="superscript"/>
        </w:rPr>
        <w:t>a)(b)</w:t>
      </w:r>
    </w:p>
    <w:tbl>
      <w:tblPr>
        <w:tblStyle w:val="TableGrid"/>
        <w:tblW w:w="4637" w:type="pct"/>
        <w:tblLook w:val="0680" w:firstRow="0" w:lastRow="0" w:firstColumn="1" w:lastColumn="0" w:noHBand="1" w:noVBand="1"/>
      </w:tblPr>
      <w:tblGrid>
        <w:gridCol w:w="3015"/>
        <w:gridCol w:w="940"/>
        <w:gridCol w:w="942"/>
        <w:gridCol w:w="940"/>
        <w:gridCol w:w="942"/>
        <w:gridCol w:w="940"/>
      </w:tblGrid>
      <w:tr w:rsidR="007144A4" w:rsidRPr="00370707" w:rsidTr="00AE49E2">
        <w:trPr>
          <w:cantSplit/>
          <w:tblHeader/>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7144A4" w:rsidRPr="00370707" w:rsidRDefault="007144A4" w:rsidP="00894C13">
            <w:pPr>
              <w:spacing w:before="70" w:after="70" w:line="240" w:lineRule="auto"/>
              <w:ind w:left="57" w:right="57"/>
              <w:rPr>
                <w:szCs w:val="20"/>
              </w:rPr>
            </w:pPr>
            <w:r w:rsidRPr="00370707">
              <w:rPr>
                <w:szCs w:val="20"/>
              </w:rPr>
              <w:t>($m)</w:t>
            </w:r>
          </w:p>
        </w:tc>
        <w:tc>
          <w:tcPr>
            <w:tcW w:w="609" w:type="pct"/>
            <w:shd w:val="clear" w:color="auto" w:fill="D7DDE9"/>
          </w:tcPr>
          <w:p w:rsidR="007144A4" w:rsidRPr="00370707" w:rsidRDefault="007144A4" w:rsidP="00894C13">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2016–17</w:t>
            </w:r>
          </w:p>
        </w:tc>
        <w:tc>
          <w:tcPr>
            <w:tcW w:w="610" w:type="pct"/>
            <w:shd w:val="clear" w:color="auto" w:fill="D7DDE9"/>
          </w:tcPr>
          <w:p w:rsidR="007144A4" w:rsidRPr="00370707" w:rsidRDefault="007144A4" w:rsidP="00894C13">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2017–18</w:t>
            </w:r>
          </w:p>
        </w:tc>
        <w:tc>
          <w:tcPr>
            <w:tcW w:w="609" w:type="pct"/>
            <w:shd w:val="clear" w:color="auto" w:fill="D7DDE9"/>
          </w:tcPr>
          <w:p w:rsidR="007144A4" w:rsidRPr="00370707" w:rsidRDefault="007144A4" w:rsidP="00894C13">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2018–19</w:t>
            </w:r>
          </w:p>
        </w:tc>
        <w:tc>
          <w:tcPr>
            <w:tcW w:w="610" w:type="pct"/>
            <w:shd w:val="clear" w:color="auto" w:fill="D7DDE9"/>
          </w:tcPr>
          <w:p w:rsidR="007144A4" w:rsidRPr="00370707" w:rsidRDefault="007144A4" w:rsidP="00894C13">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2019–20</w:t>
            </w:r>
          </w:p>
        </w:tc>
        <w:tc>
          <w:tcPr>
            <w:tcW w:w="609" w:type="pct"/>
            <w:shd w:val="clear" w:color="auto" w:fill="D7DDE9"/>
          </w:tcPr>
          <w:p w:rsidR="007144A4" w:rsidRPr="00370707" w:rsidRDefault="007144A4" w:rsidP="00894C13">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370707">
              <w:rPr>
                <w:rFonts w:ascii="Calibri" w:hAnsi="Calibri"/>
                <w:b/>
                <w:szCs w:val="20"/>
              </w:rPr>
              <w:t>Total to 2019–20</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7144A4" w:rsidRPr="00370707" w:rsidRDefault="00AB363E" w:rsidP="00894C13">
            <w:pPr>
              <w:pStyle w:val="TableTextRight"/>
              <w:jc w:val="left"/>
              <w:rPr>
                <w:b/>
                <w:i w:val="0"/>
                <w:szCs w:val="20"/>
              </w:rPr>
            </w:pPr>
            <w:r w:rsidRPr="00370707">
              <w:rPr>
                <w:b/>
                <w:bCs/>
                <w:i w:val="0"/>
                <w:color w:val="000000"/>
                <w:szCs w:val="20"/>
              </w:rPr>
              <w:t>F</w:t>
            </w:r>
            <w:r w:rsidR="007144A4" w:rsidRPr="00370707">
              <w:rPr>
                <w:b/>
                <w:bCs/>
                <w:i w:val="0"/>
                <w:color w:val="000000"/>
                <w:szCs w:val="20"/>
              </w:rPr>
              <w:t>iscal balance</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144A4" w:rsidRPr="00370707" w:rsidRDefault="007144A4" w:rsidP="00894C13">
            <w:pPr>
              <w:spacing w:before="70" w:after="70" w:line="240" w:lineRule="auto"/>
              <w:ind w:left="57" w:right="57"/>
              <w:rPr>
                <w:szCs w:val="20"/>
              </w:rPr>
            </w:pPr>
            <w:r w:rsidRPr="00370707">
              <w:rPr>
                <w:szCs w:val="20"/>
              </w:rPr>
              <w:t>Administered</w:t>
            </w:r>
          </w:p>
        </w:tc>
        <w:tc>
          <w:tcPr>
            <w:tcW w:w="609" w:type="pct"/>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-1,634</w:t>
            </w:r>
            <w:r w:rsidR="009E1C72"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-540</w:t>
            </w:r>
            <w:r w:rsidR="009E1C72" w:rsidRPr="00370707">
              <w:rPr>
                <w:rFonts w:ascii="Calibri" w:hAnsi="Calibri"/>
                <w:szCs w:val="20"/>
              </w:rPr>
              <w:t>.0</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-594</w:t>
            </w:r>
            <w:r w:rsidR="009E1C72"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370707">
              <w:rPr>
                <w:rFonts w:ascii="Calibri" w:hAnsi="Calibri"/>
                <w:b/>
                <w:szCs w:val="20"/>
              </w:rPr>
              <w:t>-2,769</w:t>
            </w:r>
            <w:r w:rsidR="009E1C72" w:rsidRPr="00370707">
              <w:rPr>
                <w:rFonts w:ascii="Calibri" w:hAnsi="Calibri"/>
                <w:b/>
                <w:szCs w:val="20"/>
              </w:rPr>
              <w:t>.0</w:t>
            </w:r>
            <w:r w:rsidRPr="00370707">
              <w:rPr>
                <w:rFonts w:ascii="Calibri" w:hAnsi="Calibri"/>
                <w:b/>
                <w:szCs w:val="20"/>
              </w:rPr>
              <w:t xml:space="preserve"> </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144A4" w:rsidRPr="00370707" w:rsidRDefault="007144A4" w:rsidP="00894C13">
            <w:pPr>
              <w:spacing w:before="70" w:after="70" w:line="240" w:lineRule="auto"/>
              <w:ind w:left="57" w:right="57"/>
              <w:rPr>
                <w:szCs w:val="20"/>
              </w:rPr>
            </w:pPr>
            <w:r w:rsidRPr="00370707">
              <w:rPr>
                <w:szCs w:val="20"/>
              </w:rPr>
              <w:t>Departmental</w:t>
            </w:r>
          </w:p>
        </w:tc>
        <w:tc>
          <w:tcPr>
            <w:tcW w:w="609" w:type="pct"/>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-12</w:t>
            </w:r>
            <w:r w:rsidR="00C22A9E"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 xml:space="preserve"> 4</w:t>
            </w:r>
            <w:r w:rsidR="00C22A9E" w:rsidRPr="00370707">
              <w:rPr>
                <w:rFonts w:ascii="Calibri" w:hAnsi="Calibri"/>
                <w:szCs w:val="20"/>
              </w:rPr>
              <w:t>.0</w:t>
            </w:r>
            <w:r w:rsidRPr="00370707">
              <w:rPr>
                <w:rFonts w:ascii="Calibri" w:hAnsi="Calibri"/>
                <w:szCs w:val="20"/>
              </w:rPr>
              <w:t xml:space="preserve"> </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 xml:space="preserve"> 2</w:t>
            </w:r>
            <w:r w:rsidR="00C22A9E"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370707">
              <w:rPr>
                <w:rFonts w:ascii="Calibri" w:hAnsi="Calibri"/>
                <w:b/>
                <w:szCs w:val="20"/>
              </w:rPr>
              <w:t>-7</w:t>
            </w:r>
            <w:r w:rsidR="00C22A9E" w:rsidRPr="00370707">
              <w:rPr>
                <w:rFonts w:ascii="Calibri" w:hAnsi="Calibri"/>
                <w:b/>
                <w:szCs w:val="20"/>
              </w:rPr>
              <w:t>.0</w:t>
            </w:r>
            <w:r w:rsidRPr="00370707">
              <w:rPr>
                <w:rFonts w:ascii="Calibri" w:hAnsi="Calibri"/>
                <w:b/>
                <w:szCs w:val="20"/>
              </w:rPr>
              <w:t xml:space="preserve"> </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7144A4" w:rsidRPr="00370707" w:rsidRDefault="007144A4" w:rsidP="00894C13">
            <w:pPr>
              <w:spacing w:before="70" w:after="70" w:line="240" w:lineRule="auto"/>
              <w:ind w:left="57" w:right="57"/>
              <w:rPr>
                <w:b/>
                <w:szCs w:val="20"/>
              </w:rPr>
            </w:pPr>
            <w:r w:rsidRPr="00370707">
              <w:rPr>
                <w:b/>
                <w:szCs w:val="20"/>
              </w:rPr>
              <w:t xml:space="preserve">Total </w:t>
            </w:r>
          </w:p>
        </w:tc>
        <w:tc>
          <w:tcPr>
            <w:tcW w:w="609" w:type="pct"/>
            <w:shd w:val="clear" w:color="auto" w:fill="D7DDE9"/>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w:t>
            </w:r>
          </w:p>
        </w:tc>
        <w:tc>
          <w:tcPr>
            <w:tcW w:w="610"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-1,646</w:t>
            </w:r>
            <w:r w:rsidR="00C22A9E" w:rsidRPr="00370707">
              <w:rPr>
                <w:rFonts w:ascii="Calibri" w:hAnsi="Calibri"/>
                <w:b/>
                <w:i w:val="0"/>
                <w:szCs w:val="20"/>
              </w:rPr>
              <w:t>.0</w:t>
            </w:r>
            <w:r w:rsidRPr="00370707">
              <w:rPr>
                <w:rFonts w:ascii="Calibri" w:hAnsi="Calibri"/>
                <w:b/>
                <w:i w:val="0"/>
                <w:szCs w:val="20"/>
              </w:rPr>
              <w:t xml:space="preserve"> </w:t>
            </w:r>
          </w:p>
        </w:tc>
        <w:tc>
          <w:tcPr>
            <w:tcW w:w="609"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-536</w:t>
            </w:r>
            <w:r w:rsidR="00C22A9E" w:rsidRPr="00370707">
              <w:rPr>
                <w:rFonts w:ascii="Calibri" w:hAnsi="Calibri"/>
                <w:b/>
                <w:i w:val="0"/>
                <w:szCs w:val="20"/>
              </w:rPr>
              <w:t>.0</w:t>
            </w:r>
            <w:r w:rsidRPr="00370707">
              <w:rPr>
                <w:rFonts w:ascii="Calibri" w:hAnsi="Calibri"/>
                <w:b/>
                <w:i w:val="0"/>
                <w:szCs w:val="20"/>
              </w:rPr>
              <w:t xml:space="preserve"> </w:t>
            </w:r>
          </w:p>
        </w:tc>
        <w:tc>
          <w:tcPr>
            <w:tcW w:w="610"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-592</w:t>
            </w:r>
            <w:r w:rsidR="00C22A9E" w:rsidRPr="00370707">
              <w:rPr>
                <w:rFonts w:ascii="Calibri" w:hAnsi="Calibri"/>
                <w:b/>
                <w:i w:val="0"/>
                <w:szCs w:val="20"/>
              </w:rPr>
              <w:t>.0</w:t>
            </w:r>
            <w:r w:rsidRPr="00370707">
              <w:rPr>
                <w:rFonts w:ascii="Calibri" w:hAnsi="Calibri"/>
                <w:b/>
                <w:i w:val="0"/>
                <w:szCs w:val="20"/>
              </w:rPr>
              <w:t xml:space="preserve"> </w:t>
            </w:r>
          </w:p>
        </w:tc>
        <w:tc>
          <w:tcPr>
            <w:tcW w:w="609"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-2,776</w:t>
            </w:r>
            <w:r w:rsidR="00C22A9E" w:rsidRPr="00370707">
              <w:rPr>
                <w:rFonts w:ascii="Calibri" w:hAnsi="Calibri"/>
                <w:b/>
                <w:i w:val="0"/>
                <w:szCs w:val="20"/>
              </w:rPr>
              <w:t>.0</w:t>
            </w:r>
            <w:r w:rsidRPr="00370707">
              <w:rPr>
                <w:rFonts w:ascii="Calibri" w:hAnsi="Calibri"/>
                <w:b/>
                <w:i w:val="0"/>
                <w:szCs w:val="20"/>
              </w:rPr>
              <w:t xml:space="preserve"> </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7144A4" w:rsidRPr="00370707" w:rsidRDefault="00AB363E" w:rsidP="00894C13">
            <w:pPr>
              <w:pStyle w:val="TableTextRight"/>
              <w:jc w:val="left"/>
              <w:rPr>
                <w:b/>
                <w:i w:val="0"/>
                <w:szCs w:val="20"/>
              </w:rPr>
            </w:pPr>
            <w:r w:rsidRPr="00370707">
              <w:rPr>
                <w:b/>
                <w:bCs/>
                <w:i w:val="0"/>
                <w:color w:val="000000"/>
                <w:szCs w:val="20"/>
              </w:rPr>
              <w:t>U</w:t>
            </w:r>
            <w:r w:rsidR="007144A4" w:rsidRPr="00370707">
              <w:rPr>
                <w:b/>
                <w:bCs/>
                <w:i w:val="0"/>
                <w:color w:val="000000"/>
                <w:szCs w:val="20"/>
              </w:rPr>
              <w:t>nderlying cash balance</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144A4" w:rsidRPr="00370707" w:rsidRDefault="007144A4" w:rsidP="00894C13">
            <w:pPr>
              <w:spacing w:before="70" w:after="70" w:line="240" w:lineRule="auto"/>
              <w:ind w:left="57" w:right="57"/>
              <w:rPr>
                <w:szCs w:val="20"/>
              </w:rPr>
            </w:pPr>
            <w:r w:rsidRPr="00370707">
              <w:rPr>
                <w:szCs w:val="20"/>
              </w:rPr>
              <w:t>Administered</w:t>
            </w:r>
          </w:p>
        </w:tc>
        <w:tc>
          <w:tcPr>
            <w:tcW w:w="609" w:type="pct"/>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-1,516</w:t>
            </w:r>
            <w:r w:rsidR="00C22A9E"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-603</w:t>
            </w:r>
            <w:r w:rsidR="00C22A9E" w:rsidRPr="00370707">
              <w:rPr>
                <w:rFonts w:ascii="Calibri" w:hAnsi="Calibri"/>
                <w:szCs w:val="20"/>
              </w:rPr>
              <w:t>.0</w:t>
            </w:r>
            <w:r w:rsidRPr="00370707">
              <w:rPr>
                <w:rFonts w:ascii="Calibri" w:hAnsi="Calibri"/>
                <w:szCs w:val="20"/>
              </w:rPr>
              <w:t xml:space="preserve"> </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-587</w:t>
            </w:r>
            <w:r w:rsidR="00C22A9E"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370707">
              <w:rPr>
                <w:rFonts w:ascii="Calibri" w:hAnsi="Calibri"/>
                <w:b/>
                <w:szCs w:val="20"/>
              </w:rPr>
              <w:t>-2,707</w:t>
            </w:r>
            <w:r w:rsidR="00C22A9E" w:rsidRPr="00370707">
              <w:rPr>
                <w:rFonts w:ascii="Calibri" w:hAnsi="Calibri"/>
                <w:b/>
                <w:szCs w:val="20"/>
              </w:rPr>
              <w:t>.0</w:t>
            </w:r>
            <w:r w:rsidRPr="00370707">
              <w:rPr>
                <w:rFonts w:ascii="Calibri" w:hAnsi="Calibri"/>
                <w:b/>
                <w:szCs w:val="20"/>
              </w:rPr>
              <w:t xml:space="preserve"> </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144A4" w:rsidRPr="00370707" w:rsidRDefault="007144A4" w:rsidP="00894C13">
            <w:pPr>
              <w:spacing w:before="70" w:after="70" w:line="240" w:lineRule="auto"/>
              <w:ind w:left="57" w:right="57"/>
              <w:rPr>
                <w:szCs w:val="20"/>
              </w:rPr>
            </w:pPr>
            <w:r w:rsidRPr="00370707">
              <w:rPr>
                <w:szCs w:val="20"/>
              </w:rPr>
              <w:t>Departmental</w:t>
            </w:r>
          </w:p>
        </w:tc>
        <w:tc>
          <w:tcPr>
            <w:tcW w:w="609" w:type="pct"/>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-11</w:t>
            </w:r>
            <w:r w:rsidR="00C22A9E"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 xml:space="preserve"> 3</w:t>
            </w:r>
            <w:r w:rsidR="00C22A9E" w:rsidRPr="00370707">
              <w:rPr>
                <w:rFonts w:ascii="Calibri" w:hAnsi="Calibri"/>
                <w:szCs w:val="20"/>
              </w:rPr>
              <w:t>.0</w:t>
            </w:r>
            <w:r w:rsidRPr="00370707">
              <w:rPr>
                <w:rFonts w:ascii="Calibri" w:hAnsi="Calibri"/>
                <w:szCs w:val="20"/>
              </w:rPr>
              <w:t xml:space="preserve"> </w:t>
            </w:r>
          </w:p>
        </w:tc>
        <w:tc>
          <w:tcPr>
            <w:tcW w:w="610"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370707">
              <w:rPr>
                <w:rFonts w:ascii="Calibri" w:hAnsi="Calibri"/>
                <w:szCs w:val="20"/>
              </w:rPr>
              <w:t xml:space="preserve"> 2</w:t>
            </w:r>
            <w:r w:rsidR="00C22A9E" w:rsidRPr="00370707">
              <w:rPr>
                <w:rFonts w:ascii="Calibri" w:hAnsi="Calibri"/>
                <w:szCs w:val="20"/>
              </w:rPr>
              <w:t>.0</w:t>
            </w:r>
            <w:r w:rsidRPr="00370707">
              <w:rPr>
                <w:rFonts w:ascii="Calibri" w:hAnsi="Calibri"/>
                <w:szCs w:val="20"/>
              </w:rPr>
              <w:t xml:space="preserve"> </w:t>
            </w:r>
          </w:p>
        </w:tc>
        <w:tc>
          <w:tcPr>
            <w:tcW w:w="609" w:type="pct"/>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370707">
              <w:rPr>
                <w:rFonts w:ascii="Calibri" w:hAnsi="Calibri"/>
                <w:b/>
                <w:szCs w:val="20"/>
              </w:rPr>
              <w:t>-6</w:t>
            </w:r>
            <w:r w:rsidR="00C22A9E" w:rsidRPr="00370707">
              <w:rPr>
                <w:rFonts w:ascii="Calibri" w:hAnsi="Calibri"/>
                <w:b/>
                <w:szCs w:val="20"/>
              </w:rPr>
              <w:t>.0</w:t>
            </w:r>
            <w:r w:rsidRPr="00370707">
              <w:rPr>
                <w:rFonts w:ascii="Calibri" w:hAnsi="Calibri"/>
                <w:b/>
                <w:szCs w:val="20"/>
              </w:rPr>
              <w:t xml:space="preserve"> </w:t>
            </w:r>
          </w:p>
        </w:tc>
      </w:tr>
      <w:tr w:rsidR="007144A4"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7144A4" w:rsidRPr="00370707" w:rsidRDefault="007144A4" w:rsidP="00894C13">
            <w:pPr>
              <w:spacing w:before="70" w:after="70" w:line="240" w:lineRule="auto"/>
              <w:ind w:left="57" w:right="57"/>
              <w:rPr>
                <w:b/>
                <w:szCs w:val="20"/>
              </w:rPr>
            </w:pPr>
            <w:r w:rsidRPr="00370707">
              <w:rPr>
                <w:b/>
                <w:szCs w:val="20"/>
              </w:rPr>
              <w:t>Total</w:t>
            </w:r>
          </w:p>
        </w:tc>
        <w:tc>
          <w:tcPr>
            <w:tcW w:w="609" w:type="pct"/>
            <w:shd w:val="clear" w:color="auto" w:fill="D7DDE9"/>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w:t>
            </w:r>
          </w:p>
        </w:tc>
        <w:tc>
          <w:tcPr>
            <w:tcW w:w="610"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-1,527</w:t>
            </w:r>
            <w:r w:rsidR="00C22A9E" w:rsidRPr="00370707">
              <w:rPr>
                <w:rFonts w:ascii="Calibri" w:hAnsi="Calibri"/>
                <w:b/>
                <w:i w:val="0"/>
                <w:szCs w:val="20"/>
              </w:rPr>
              <w:t>.0</w:t>
            </w:r>
            <w:r w:rsidRPr="00370707">
              <w:rPr>
                <w:rFonts w:ascii="Calibri" w:hAnsi="Calibri"/>
                <w:b/>
                <w:i w:val="0"/>
                <w:szCs w:val="20"/>
              </w:rPr>
              <w:t xml:space="preserve"> </w:t>
            </w:r>
          </w:p>
        </w:tc>
        <w:tc>
          <w:tcPr>
            <w:tcW w:w="609"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-600</w:t>
            </w:r>
            <w:r w:rsidR="00C22A9E" w:rsidRPr="00370707">
              <w:rPr>
                <w:rFonts w:ascii="Calibri" w:hAnsi="Calibri"/>
                <w:b/>
                <w:i w:val="0"/>
                <w:szCs w:val="20"/>
              </w:rPr>
              <w:t>.0</w:t>
            </w:r>
            <w:r w:rsidRPr="00370707">
              <w:rPr>
                <w:rFonts w:ascii="Calibri" w:hAnsi="Calibri"/>
                <w:b/>
                <w:i w:val="0"/>
                <w:szCs w:val="20"/>
              </w:rPr>
              <w:t xml:space="preserve"> </w:t>
            </w:r>
          </w:p>
        </w:tc>
        <w:tc>
          <w:tcPr>
            <w:tcW w:w="610"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-585</w:t>
            </w:r>
            <w:r w:rsidR="00C22A9E" w:rsidRPr="00370707">
              <w:rPr>
                <w:rFonts w:ascii="Calibri" w:hAnsi="Calibri"/>
                <w:b/>
                <w:i w:val="0"/>
                <w:szCs w:val="20"/>
              </w:rPr>
              <w:t>.0</w:t>
            </w:r>
            <w:r w:rsidRPr="00370707">
              <w:rPr>
                <w:rFonts w:ascii="Calibri" w:hAnsi="Calibri"/>
                <w:b/>
                <w:i w:val="0"/>
                <w:szCs w:val="20"/>
              </w:rPr>
              <w:t xml:space="preserve"> </w:t>
            </w:r>
          </w:p>
        </w:tc>
        <w:tc>
          <w:tcPr>
            <w:tcW w:w="609" w:type="pct"/>
            <w:shd w:val="clear" w:color="auto" w:fill="D7DDE9"/>
            <w:vAlign w:val="bottom"/>
          </w:tcPr>
          <w:p w:rsidR="007144A4" w:rsidRPr="00370707" w:rsidRDefault="007144A4" w:rsidP="00894C13">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i w:val="0"/>
                <w:szCs w:val="20"/>
              </w:rPr>
            </w:pPr>
            <w:r w:rsidRPr="00370707">
              <w:rPr>
                <w:rFonts w:ascii="Calibri" w:hAnsi="Calibri"/>
                <w:b/>
                <w:i w:val="0"/>
                <w:szCs w:val="20"/>
              </w:rPr>
              <w:t>-2,713</w:t>
            </w:r>
            <w:r w:rsidR="00C22A9E" w:rsidRPr="00370707">
              <w:rPr>
                <w:rFonts w:ascii="Calibri" w:hAnsi="Calibri"/>
                <w:b/>
                <w:i w:val="0"/>
                <w:szCs w:val="20"/>
              </w:rPr>
              <w:t>.0</w:t>
            </w:r>
            <w:r w:rsidRPr="00370707">
              <w:rPr>
                <w:rFonts w:ascii="Calibri" w:hAnsi="Calibri"/>
                <w:b/>
                <w:i w:val="0"/>
                <w:szCs w:val="20"/>
              </w:rPr>
              <w:t xml:space="preserve"> </w:t>
            </w:r>
          </w:p>
        </w:tc>
      </w:tr>
    </w:tbl>
    <w:p w:rsidR="00DD5004" w:rsidRPr="00370707" w:rsidRDefault="00DD5004" w:rsidP="00370707">
      <w:pPr>
        <w:pStyle w:val="Footnotes"/>
        <w:numPr>
          <w:ilvl w:val="0"/>
          <w:numId w:val="32"/>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 xml:space="preserve">A negative number indicates a decrease in revenue or an increase in expenses or net capital investment in accrual and cash terms.  </w:t>
      </w:r>
    </w:p>
    <w:p w:rsidR="00FE57C2" w:rsidRPr="00FE57C2" w:rsidRDefault="00FE57C2" w:rsidP="00370707">
      <w:pPr>
        <w:pStyle w:val="Footnotes"/>
        <w:rPr>
          <w:rFonts w:ascii="Times New Roman" w:eastAsia="Times New Roman" w:hAnsi="Times New Roman"/>
          <w:lang w:eastAsia="en-AU"/>
        </w:rPr>
      </w:pPr>
      <w:r w:rsidRPr="00DB3B7E">
        <w:t>Figures may not sum to totals due to rounding.</w:t>
      </w:r>
    </w:p>
    <w:p w:rsidR="004861D7" w:rsidRPr="00FF5D6B" w:rsidRDefault="004861D7" w:rsidP="00370707">
      <w:pPr>
        <w:pStyle w:val="Footnotes"/>
        <w:numPr>
          <w:ilvl w:val="0"/>
          <w:numId w:val="31"/>
        </w:numPr>
        <w:ind w:left="284" w:hanging="284"/>
      </w:pPr>
      <w:r>
        <w:t>Indicates nil.</w:t>
      </w:r>
    </w:p>
    <w:p w:rsidR="008A7DBE" w:rsidRDefault="008A7DBE" w:rsidP="008A7DBE">
      <w:pPr>
        <w:pStyle w:val="Captionheading"/>
      </w:pPr>
      <w:r>
        <w:t>Table A</w:t>
      </w:r>
      <w:r w:rsidR="00E676CD">
        <w:t>2</w:t>
      </w:r>
      <w:r w:rsidRPr="00FC6579">
        <w:t xml:space="preserve">: </w:t>
      </w:r>
      <w:r>
        <w:t xml:space="preserve">Component </w:t>
      </w:r>
      <w:r w:rsidR="00BF3FDF">
        <w:t>1</w:t>
      </w:r>
      <w:r w:rsidR="009D5A52">
        <w:t xml:space="preserve">: </w:t>
      </w:r>
      <w:r>
        <w:t>Bringing forward</w:t>
      </w:r>
      <w:r w:rsidR="009E1C72">
        <w:t xml:space="preserve"> the</w:t>
      </w:r>
      <w:r>
        <w:t xml:space="preserve"> CCS system</w:t>
      </w:r>
      <w:r w:rsidR="00060DA7">
        <w:t>—</w:t>
      </w:r>
      <w:r>
        <w:t xml:space="preserve">Financial </w:t>
      </w:r>
      <w:proofErr w:type="gramStart"/>
      <w:r>
        <w:t>implications</w:t>
      </w:r>
      <w:r w:rsidRPr="001F7D6A">
        <w:rPr>
          <w:vertAlign w:val="superscript"/>
        </w:rPr>
        <w:t>(</w:t>
      </w:r>
      <w:proofErr w:type="gramEnd"/>
      <w:r w:rsidRPr="001F7D6A">
        <w:rPr>
          <w:vertAlign w:val="superscript"/>
        </w:rPr>
        <w:t>a)(b)</w:t>
      </w:r>
    </w:p>
    <w:tbl>
      <w:tblPr>
        <w:tblStyle w:val="TableGrid"/>
        <w:tblW w:w="4637" w:type="pct"/>
        <w:tblLook w:val="0680" w:firstRow="0" w:lastRow="0" w:firstColumn="1" w:lastColumn="0" w:noHBand="1" w:noVBand="1"/>
      </w:tblPr>
      <w:tblGrid>
        <w:gridCol w:w="3015"/>
        <w:gridCol w:w="940"/>
        <w:gridCol w:w="942"/>
        <w:gridCol w:w="940"/>
        <w:gridCol w:w="942"/>
        <w:gridCol w:w="940"/>
      </w:tblGrid>
      <w:tr w:rsidR="008A7DBE" w:rsidRPr="00370707" w:rsidTr="00AE49E2">
        <w:trPr>
          <w:cantSplit/>
          <w:tblHeader/>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8A7DBE" w:rsidRPr="00370707" w:rsidRDefault="008A7DBE" w:rsidP="00060DA7">
            <w:pPr>
              <w:spacing w:before="70" w:after="70" w:line="240" w:lineRule="auto"/>
              <w:ind w:left="57" w:right="57"/>
              <w:rPr>
                <w:szCs w:val="20"/>
              </w:rPr>
            </w:pPr>
            <w:r w:rsidRPr="00370707">
              <w:rPr>
                <w:szCs w:val="20"/>
              </w:rPr>
              <w:t>($m)</w:t>
            </w:r>
          </w:p>
        </w:tc>
        <w:tc>
          <w:tcPr>
            <w:tcW w:w="609" w:type="pct"/>
            <w:shd w:val="clear" w:color="auto" w:fill="D7DDE9"/>
          </w:tcPr>
          <w:p w:rsidR="008A7DBE" w:rsidRPr="00370707" w:rsidRDefault="008A7DBE" w:rsidP="00060DA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2016–17</w:t>
            </w:r>
          </w:p>
        </w:tc>
        <w:tc>
          <w:tcPr>
            <w:tcW w:w="610" w:type="pct"/>
            <w:shd w:val="clear" w:color="auto" w:fill="D7DDE9"/>
          </w:tcPr>
          <w:p w:rsidR="008A7DBE" w:rsidRPr="00370707" w:rsidRDefault="008A7DBE" w:rsidP="00060DA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2017–18</w:t>
            </w:r>
          </w:p>
        </w:tc>
        <w:tc>
          <w:tcPr>
            <w:tcW w:w="609" w:type="pct"/>
            <w:shd w:val="clear" w:color="auto" w:fill="D7DDE9"/>
          </w:tcPr>
          <w:p w:rsidR="008A7DBE" w:rsidRPr="00370707" w:rsidRDefault="008A7DBE" w:rsidP="00060DA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2018–19</w:t>
            </w:r>
          </w:p>
        </w:tc>
        <w:tc>
          <w:tcPr>
            <w:tcW w:w="610" w:type="pct"/>
            <w:shd w:val="clear" w:color="auto" w:fill="D7DDE9"/>
          </w:tcPr>
          <w:p w:rsidR="008A7DBE" w:rsidRPr="00370707" w:rsidRDefault="008A7DBE" w:rsidP="00060DA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2019–20</w:t>
            </w:r>
          </w:p>
        </w:tc>
        <w:tc>
          <w:tcPr>
            <w:tcW w:w="609" w:type="pct"/>
            <w:shd w:val="clear" w:color="auto" w:fill="D7DDE9"/>
          </w:tcPr>
          <w:p w:rsidR="008A7DBE" w:rsidRPr="00370707" w:rsidRDefault="008A7DBE" w:rsidP="00060DA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Total to 2019–20</w:t>
            </w:r>
          </w:p>
        </w:tc>
      </w:tr>
      <w:tr w:rsidR="008A7DBE" w:rsidRPr="00370707" w:rsidTr="00AE49E2">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8A7DBE" w:rsidRPr="00370707" w:rsidRDefault="000B3847" w:rsidP="00060DA7">
            <w:pPr>
              <w:pStyle w:val="TableTextRight"/>
              <w:jc w:val="left"/>
              <w:rPr>
                <w:b/>
                <w:i w:val="0"/>
                <w:szCs w:val="20"/>
              </w:rPr>
            </w:pPr>
            <w:r w:rsidRPr="00370707">
              <w:rPr>
                <w:b/>
                <w:bCs/>
                <w:i w:val="0"/>
                <w:color w:val="000000"/>
                <w:szCs w:val="20"/>
              </w:rPr>
              <w:t>F</w:t>
            </w:r>
            <w:r w:rsidR="008A7DBE" w:rsidRPr="00370707">
              <w:rPr>
                <w:b/>
                <w:bCs/>
                <w:i w:val="0"/>
                <w:color w:val="000000"/>
                <w:szCs w:val="20"/>
              </w:rPr>
              <w:t>iscal balance</w:t>
            </w:r>
          </w:p>
        </w:tc>
      </w:tr>
      <w:tr w:rsidR="008B0C3E"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8B0C3E" w:rsidRPr="00370707" w:rsidRDefault="008B0C3E" w:rsidP="00060DA7">
            <w:pPr>
              <w:spacing w:before="70" w:after="70" w:line="240" w:lineRule="auto"/>
              <w:ind w:left="57" w:right="57"/>
              <w:rPr>
                <w:szCs w:val="20"/>
              </w:rPr>
            </w:pPr>
            <w:r w:rsidRPr="00370707">
              <w:rPr>
                <w:szCs w:val="20"/>
              </w:rPr>
              <w:t>Administered</w:t>
            </w:r>
          </w:p>
        </w:tc>
        <w:tc>
          <w:tcPr>
            <w:tcW w:w="609"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w:t>
            </w:r>
          </w:p>
        </w:tc>
        <w:tc>
          <w:tcPr>
            <w:tcW w:w="610"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-1,217</w:t>
            </w:r>
            <w:r w:rsidR="00C22A9E" w:rsidRPr="00370707">
              <w:rPr>
                <w:szCs w:val="20"/>
              </w:rPr>
              <w:t>.0</w:t>
            </w:r>
          </w:p>
        </w:tc>
        <w:tc>
          <w:tcPr>
            <w:tcW w:w="609"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-3</w:t>
            </w:r>
            <w:r w:rsidR="00C22A9E" w:rsidRPr="00370707">
              <w:rPr>
                <w:szCs w:val="20"/>
              </w:rPr>
              <w:t>.0</w:t>
            </w:r>
          </w:p>
        </w:tc>
        <w:tc>
          <w:tcPr>
            <w:tcW w:w="610"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78</w:t>
            </w:r>
            <w:r w:rsidR="00C22A9E" w:rsidRPr="00370707">
              <w:rPr>
                <w:szCs w:val="20"/>
              </w:rPr>
              <w:t>.0</w:t>
            </w:r>
          </w:p>
        </w:tc>
        <w:tc>
          <w:tcPr>
            <w:tcW w:w="609"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-1,142</w:t>
            </w:r>
            <w:r w:rsidR="00C22A9E" w:rsidRPr="00370707">
              <w:rPr>
                <w:b/>
                <w:szCs w:val="20"/>
              </w:rPr>
              <w:t>.0</w:t>
            </w:r>
          </w:p>
        </w:tc>
      </w:tr>
      <w:tr w:rsidR="008B0C3E"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8B0C3E" w:rsidRPr="00370707" w:rsidRDefault="008B0C3E" w:rsidP="00060DA7">
            <w:pPr>
              <w:spacing w:before="70" w:after="70" w:line="240" w:lineRule="auto"/>
              <w:ind w:left="57" w:right="57"/>
              <w:rPr>
                <w:szCs w:val="20"/>
              </w:rPr>
            </w:pPr>
            <w:r w:rsidRPr="00370707">
              <w:rPr>
                <w:szCs w:val="20"/>
              </w:rPr>
              <w:t>Departmental</w:t>
            </w:r>
          </w:p>
        </w:tc>
        <w:tc>
          <w:tcPr>
            <w:tcW w:w="609"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w:t>
            </w:r>
          </w:p>
        </w:tc>
        <w:tc>
          <w:tcPr>
            <w:tcW w:w="610"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-8</w:t>
            </w:r>
            <w:r w:rsidR="00C22A9E" w:rsidRPr="00370707">
              <w:rPr>
                <w:szCs w:val="20"/>
              </w:rPr>
              <w:t>.0</w:t>
            </w:r>
          </w:p>
        </w:tc>
        <w:tc>
          <w:tcPr>
            <w:tcW w:w="609"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9</w:t>
            </w:r>
            <w:r w:rsidR="00C22A9E" w:rsidRPr="00370707">
              <w:rPr>
                <w:szCs w:val="20"/>
              </w:rPr>
              <w:t>.0</w:t>
            </w:r>
          </w:p>
        </w:tc>
        <w:tc>
          <w:tcPr>
            <w:tcW w:w="610"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8</w:t>
            </w:r>
            <w:r w:rsidR="00C22A9E" w:rsidRPr="00370707">
              <w:rPr>
                <w:szCs w:val="20"/>
              </w:rPr>
              <w:t>.0</w:t>
            </w:r>
          </w:p>
        </w:tc>
        <w:tc>
          <w:tcPr>
            <w:tcW w:w="609" w:type="pct"/>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9</w:t>
            </w:r>
            <w:r w:rsidR="00C22A9E" w:rsidRPr="00370707">
              <w:rPr>
                <w:b/>
                <w:szCs w:val="20"/>
              </w:rPr>
              <w:t>.0</w:t>
            </w:r>
          </w:p>
        </w:tc>
      </w:tr>
      <w:tr w:rsidR="008B0C3E"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8B0C3E" w:rsidRPr="00370707" w:rsidRDefault="008B0C3E" w:rsidP="00060DA7">
            <w:pPr>
              <w:spacing w:before="70" w:after="70" w:line="240" w:lineRule="auto"/>
              <w:ind w:left="57" w:right="57"/>
              <w:rPr>
                <w:b/>
                <w:szCs w:val="20"/>
              </w:rPr>
            </w:pPr>
            <w:r w:rsidRPr="00370707">
              <w:rPr>
                <w:b/>
                <w:szCs w:val="20"/>
              </w:rPr>
              <w:t xml:space="preserve">Total </w:t>
            </w:r>
          </w:p>
        </w:tc>
        <w:tc>
          <w:tcPr>
            <w:tcW w:w="609" w:type="pct"/>
            <w:shd w:val="clear" w:color="auto" w:fill="D7DDE9"/>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shd w:val="clear" w:color="auto" w:fill="D7DDE9"/>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-1,225</w:t>
            </w:r>
            <w:r w:rsidR="00C22A9E" w:rsidRPr="00370707">
              <w:rPr>
                <w:b/>
                <w:i w:val="0"/>
                <w:szCs w:val="20"/>
              </w:rPr>
              <w:t>.0</w:t>
            </w:r>
          </w:p>
        </w:tc>
        <w:tc>
          <w:tcPr>
            <w:tcW w:w="609" w:type="pct"/>
            <w:shd w:val="clear" w:color="auto" w:fill="D7DDE9"/>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5</w:t>
            </w:r>
            <w:r w:rsidR="00C22A9E" w:rsidRPr="00370707">
              <w:rPr>
                <w:b/>
                <w:i w:val="0"/>
                <w:szCs w:val="20"/>
              </w:rPr>
              <w:t>.0</w:t>
            </w:r>
          </w:p>
        </w:tc>
        <w:tc>
          <w:tcPr>
            <w:tcW w:w="610" w:type="pct"/>
            <w:shd w:val="clear" w:color="auto" w:fill="D7DDE9"/>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86</w:t>
            </w:r>
            <w:r w:rsidR="00C22A9E" w:rsidRPr="00370707">
              <w:rPr>
                <w:b/>
                <w:i w:val="0"/>
                <w:szCs w:val="20"/>
              </w:rPr>
              <w:t>.0</w:t>
            </w:r>
          </w:p>
        </w:tc>
        <w:tc>
          <w:tcPr>
            <w:tcW w:w="609" w:type="pct"/>
            <w:shd w:val="clear" w:color="auto" w:fill="D7DDE9"/>
          </w:tcPr>
          <w:p w:rsidR="008B0C3E" w:rsidRPr="00370707" w:rsidRDefault="008B0C3E"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-1,133</w:t>
            </w:r>
            <w:r w:rsidR="00C22A9E" w:rsidRPr="00370707">
              <w:rPr>
                <w:b/>
                <w:i w:val="0"/>
                <w:szCs w:val="20"/>
              </w:rPr>
              <w:t>.0</w:t>
            </w:r>
          </w:p>
        </w:tc>
      </w:tr>
      <w:tr w:rsidR="008A7DBE" w:rsidRPr="00370707" w:rsidTr="00AE49E2">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8A7DBE" w:rsidRPr="00370707" w:rsidRDefault="000B3847" w:rsidP="00060DA7">
            <w:pPr>
              <w:pStyle w:val="TableTextRight"/>
              <w:jc w:val="left"/>
              <w:rPr>
                <w:b/>
                <w:i w:val="0"/>
                <w:szCs w:val="20"/>
              </w:rPr>
            </w:pPr>
            <w:r w:rsidRPr="00370707">
              <w:rPr>
                <w:b/>
                <w:bCs/>
                <w:i w:val="0"/>
                <w:color w:val="000000"/>
                <w:szCs w:val="20"/>
              </w:rPr>
              <w:t>U</w:t>
            </w:r>
            <w:r w:rsidR="008A7DBE" w:rsidRPr="00370707">
              <w:rPr>
                <w:b/>
                <w:bCs/>
                <w:i w:val="0"/>
                <w:color w:val="000000"/>
                <w:szCs w:val="20"/>
              </w:rPr>
              <w:t>nderlying cash balance</w:t>
            </w:r>
            <w:r w:rsidR="00C22A9E" w:rsidRPr="00370707">
              <w:rPr>
                <w:b/>
                <w:bCs/>
                <w:i w:val="0"/>
                <w:color w:val="000000"/>
                <w:szCs w:val="20"/>
              </w:rPr>
              <w:t>.</w:t>
            </w:r>
          </w:p>
        </w:tc>
      </w:tr>
      <w:tr w:rsidR="000A2912"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0A2912" w:rsidRPr="00370707" w:rsidRDefault="000A2912" w:rsidP="00060DA7">
            <w:pPr>
              <w:spacing w:before="70" w:after="70" w:line="240" w:lineRule="auto"/>
              <w:ind w:left="57" w:right="57"/>
              <w:rPr>
                <w:szCs w:val="20"/>
              </w:rPr>
            </w:pPr>
            <w:r w:rsidRPr="00370707">
              <w:rPr>
                <w:szCs w:val="20"/>
              </w:rPr>
              <w:t>Administered</w:t>
            </w:r>
          </w:p>
        </w:tc>
        <w:tc>
          <w:tcPr>
            <w:tcW w:w="609"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w:t>
            </w:r>
          </w:p>
        </w:tc>
        <w:tc>
          <w:tcPr>
            <w:tcW w:w="610"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-1,135</w:t>
            </w:r>
            <w:r w:rsidR="00C22A9E" w:rsidRPr="00370707">
              <w:rPr>
                <w:szCs w:val="20"/>
              </w:rPr>
              <w:t>.0</w:t>
            </w:r>
          </w:p>
        </w:tc>
        <w:tc>
          <w:tcPr>
            <w:tcW w:w="609"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-78</w:t>
            </w:r>
            <w:r w:rsidR="00C22A9E" w:rsidRPr="00370707">
              <w:rPr>
                <w:szCs w:val="20"/>
              </w:rPr>
              <w:t>.0</w:t>
            </w:r>
          </w:p>
        </w:tc>
        <w:tc>
          <w:tcPr>
            <w:tcW w:w="610"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71</w:t>
            </w:r>
            <w:r w:rsidR="00C22A9E" w:rsidRPr="00370707">
              <w:rPr>
                <w:szCs w:val="20"/>
              </w:rPr>
              <w:t>.0</w:t>
            </w:r>
          </w:p>
        </w:tc>
        <w:tc>
          <w:tcPr>
            <w:tcW w:w="609"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-1,142</w:t>
            </w:r>
            <w:r w:rsidR="00C22A9E" w:rsidRPr="00370707">
              <w:rPr>
                <w:b/>
                <w:szCs w:val="20"/>
              </w:rPr>
              <w:t>.0</w:t>
            </w:r>
          </w:p>
        </w:tc>
      </w:tr>
      <w:tr w:rsidR="000A2912"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0A2912" w:rsidRPr="00370707" w:rsidRDefault="000A2912" w:rsidP="00060DA7">
            <w:pPr>
              <w:spacing w:before="70" w:after="70" w:line="240" w:lineRule="auto"/>
              <w:ind w:left="57" w:right="57"/>
              <w:rPr>
                <w:szCs w:val="20"/>
              </w:rPr>
            </w:pPr>
            <w:r w:rsidRPr="00370707">
              <w:rPr>
                <w:szCs w:val="20"/>
              </w:rPr>
              <w:t>Departmental</w:t>
            </w:r>
          </w:p>
        </w:tc>
        <w:tc>
          <w:tcPr>
            <w:tcW w:w="609"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w:t>
            </w:r>
          </w:p>
        </w:tc>
        <w:tc>
          <w:tcPr>
            <w:tcW w:w="610"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-7</w:t>
            </w:r>
            <w:r w:rsidR="00C22A9E" w:rsidRPr="00370707">
              <w:rPr>
                <w:szCs w:val="20"/>
              </w:rPr>
              <w:t>.0</w:t>
            </w:r>
          </w:p>
        </w:tc>
        <w:tc>
          <w:tcPr>
            <w:tcW w:w="609"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9</w:t>
            </w:r>
            <w:r w:rsidR="00C22A9E" w:rsidRPr="00370707">
              <w:rPr>
                <w:szCs w:val="20"/>
              </w:rPr>
              <w:t>.0</w:t>
            </w:r>
          </w:p>
        </w:tc>
        <w:tc>
          <w:tcPr>
            <w:tcW w:w="610"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8</w:t>
            </w:r>
            <w:r w:rsidR="00C22A9E" w:rsidRPr="00370707">
              <w:rPr>
                <w:szCs w:val="20"/>
              </w:rPr>
              <w:t>.0</w:t>
            </w:r>
          </w:p>
        </w:tc>
        <w:tc>
          <w:tcPr>
            <w:tcW w:w="609" w:type="pct"/>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9</w:t>
            </w:r>
            <w:r w:rsidR="00C22A9E" w:rsidRPr="00370707">
              <w:rPr>
                <w:b/>
                <w:szCs w:val="20"/>
              </w:rPr>
              <w:t>.0</w:t>
            </w:r>
          </w:p>
        </w:tc>
      </w:tr>
      <w:tr w:rsidR="000A2912"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0A2912" w:rsidRPr="00370707" w:rsidRDefault="000A2912" w:rsidP="00060DA7">
            <w:pPr>
              <w:spacing w:before="70" w:after="70" w:line="240" w:lineRule="auto"/>
              <w:ind w:left="57" w:right="57"/>
              <w:rPr>
                <w:b/>
                <w:szCs w:val="20"/>
              </w:rPr>
            </w:pPr>
            <w:r w:rsidRPr="00370707">
              <w:rPr>
                <w:b/>
                <w:szCs w:val="20"/>
              </w:rPr>
              <w:t>Total</w:t>
            </w:r>
          </w:p>
        </w:tc>
        <w:tc>
          <w:tcPr>
            <w:tcW w:w="609" w:type="pct"/>
            <w:shd w:val="clear" w:color="auto" w:fill="D7DDE9"/>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shd w:val="clear" w:color="auto" w:fill="D7DDE9"/>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-1,142</w:t>
            </w:r>
            <w:r w:rsidR="00C22A9E" w:rsidRPr="00370707">
              <w:rPr>
                <w:b/>
                <w:i w:val="0"/>
                <w:szCs w:val="20"/>
              </w:rPr>
              <w:t>.0</w:t>
            </w:r>
          </w:p>
        </w:tc>
        <w:tc>
          <w:tcPr>
            <w:tcW w:w="609" w:type="pct"/>
            <w:shd w:val="clear" w:color="auto" w:fill="D7DDE9"/>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-70</w:t>
            </w:r>
            <w:r w:rsidR="00C22A9E" w:rsidRPr="00370707">
              <w:rPr>
                <w:b/>
                <w:i w:val="0"/>
                <w:szCs w:val="20"/>
              </w:rPr>
              <w:t>.0</w:t>
            </w:r>
          </w:p>
        </w:tc>
        <w:tc>
          <w:tcPr>
            <w:tcW w:w="610" w:type="pct"/>
            <w:shd w:val="clear" w:color="auto" w:fill="D7DDE9"/>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79</w:t>
            </w:r>
            <w:r w:rsidR="00C22A9E" w:rsidRPr="00370707">
              <w:rPr>
                <w:b/>
                <w:i w:val="0"/>
                <w:szCs w:val="20"/>
              </w:rPr>
              <w:t>.0</w:t>
            </w:r>
          </w:p>
        </w:tc>
        <w:tc>
          <w:tcPr>
            <w:tcW w:w="609" w:type="pct"/>
            <w:shd w:val="clear" w:color="auto" w:fill="D7DDE9"/>
          </w:tcPr>
          <w:p w:rsidR="000A2912" w:rsidRPr="00370707" w:rsidRDefault="000A2912" w:rsidP="00060DA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-1,133</w:t>
            </w:r>
            <w:r w:rsidR="00C22A9E" w:rsidRPr="00370707">
              <w:rPr>
                <w:b/>
                <w:i w:val="0"/>
                <w:szCs w:val="20"/>
              </w:rPr>
              <w:t>.0</w:t>
            </w:r>
          </w:p>
        </w:tc>
      </w:tr>
    </w:tbl>
    <w:p w:rsidR="008A7DBE" w:rsidRPr="00370707" w:rsidRDefault="008A7DBE" w:rsidP="00370707">
      <w:pPr>
        <w:pStyle w:val="Footnotes"/>
        <w:numPr>
          <w:ilvl w:val="0"/>
          <w:numId w:val="33"/>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 xml:space="preserve">A negative number indicates a decrease in revenue or an increase in expenses or net capital investment in accrual and cash terms.  </w:t>
      </w:r>
    </w:p>
    <w:p w:rsidR="00FB077C" w:rsidRPr="00FB077C" w:rsidRDefault="00FB077C" w:rsidP="00370707">
      <w:pPr>
        <w:pStyle w:val="Footnotes"/>
        <w:rPr>
          <w:rFonts w:ascii="Times New Roman" w:eastAsia="Times New Roman" w:hAnsi="Times New Roman"/>
          <w:lang w:eastAsia="en-AU"/>
        </w:rPr>
      </w:pPr>
      <w:r w:rsidRPr="00DB3B7E">
        <w:t>Figures may not sum to totals due to rounding.</w:t>
      </w:r>
    </w:p>
    <w:p w:rsidR="008A7DBE" w:rsidRDefault="004861D7" w:rsidP="00BF1033">
      <w:pPr>
        <w:pStyle w:val="Footnotes"/>
        <w:numPr>
          <w:ilvl w:val="0"/>
          <w:numId w:val="31"/>
        </w:numPr>
        <w:ind w:left="284" w:hanging="284"/>
      </w:pPr>
      <w:r>
        <w:t>Indicates nil.</w:t>
      </w:r>
    </w:p>
    <w:p w:rsidR="00E676CD" w:rsidRDefault="00E676CD" w:rsidP="00E676CD">
      <w:pPr>
        <w:pStyle w:val="Captionheading"/>
      </w:pPr>
      <w:r>
        <w:lastRenderedPageBreak/>
        <w:t>Table A3</w:t>
      </w:r>
      <w:r w:rsidRPr="00FC6579">
        <w:t xml:space="preserve">: </w:t>
      </w:r>
      <w:r>
        <w:t xml:space="preserve">Component </w:t>
      </w:r>
      <w:r w:rsidR="00BF3FDF">
        <w:t>2</w:t>
      </w:r>
      <w:r w:rsidR="009D5A52">
        <w:t>:</w:t>
      </w:r>
      <w:r>
        <w:t xml:space="preserve"> Changing </w:t>
      </w:r>
      <w:r w:rsidR="00DF2BD7">
        <w:t xml:space="preserve">the CCS </w:t>
      </w:r>
      <w:r>
        <w:t>activity test</w:t>
      </w:r>
      <w:r w:rsidR="00370707">
        <w:t>—</w:t>
      </w:r>
      <w:r>
        <w:t xml:space="preserve">Financial </w:t>
      </w:r>
      <w:proofErr w:type="gramStart"/>
      <w:r>
        <w:t>implications</w:t>
      </w:r>
      <w:r w:rsidRPr="001F7D6A">
        <w:rPr>
          <w:vertAlign w:val="superscript"/>
        </w:rPr>
        <w:t>(</w:t>
      </w:r>
      <w:proofErr w:type="gramEnd"/>
      <w:r w:rsidRPr="001F7D6A">
        <w:rPr>
          <w:vertAlign w:val="superscript"/>
        </w:rPr>
        <w:t>a)(b)</w:t>
      </w:r>
    </w:p>
    <w:tbl>
      <w:tblPr>
        <w:tblStyle w:val="TableGrid"/>
        <w:tblW w:w="4637" w:type="pct"/>
        <w:tblLook w:val="0680" w:firstRow="0" w:lastRow="0" w:firstColumn="1" w:lastColumn="0" w:noHBand="1" w:noVBand="1"/>
      </w:tblPr>
      <w:tblGrid>
        <w:gridCol w:w="3015"/>
        <w:gridCol w:w="940"/>
        <w:gridCol w:w="942"/>
        <w:gridCol w:w="940"/>
        <w:gridCol w:w="942"/>
        <w:gridCol w:w="940"/>
      </w:tblGrid>
      <w:tr w:rsidR="00E676CD" w:rsidRPr="00370707" w:rsidTr="00AE49E2">
        <w:trPr>
          <w:cantSplit/>
          <w:tblHeader/>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E676CD" w:rsidRPr="00370707" w:rsidRDefault="00E676CD" w:rsidP="00370707">
            <w:pPr>
              <w:spacing w:before="70" w:after="70" w:line="240" w:lineRule="auto"/>
              <w:ind w:left="57" w:right="57"/>
              <w:rPr>
                <w:szCs w:val="20"/>
              </w:rPr>
            </w:pPr>
            <w:r w:rsidRPr="00370707">
              <w:rPr>
                <w:szCs w:val="20"/>
              </w:rPr>
              <w:t>($m)</w:t>
            </w:r>
          </w:p>
        </w:tc>
        <w:tc>
          <w:tcPr>
            <w:tcW w:w="609" w:type="pct"/>
            <w:shd w:val="clear" w:color="auto" w:fill="D7DDE9"/>
          </w:tcPr>
          <w:p w:rsidR="00E676CD" w:rsidRPr="00370707" w:rsidRDefault="00E676CD" w:rsidP="0037070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2016–17</w:t>
            </w:r>
          </w:p>
        </w:tc>
        <w:tc>
          <w:tcPr>
            <w:tcW w:w="610" w:type="pct"/>
            <w:shd w:val="clear" w:color="auto" w:fill="D7DDE9"/>
          </w:tcPr>
          <w:p w:rsidR="00E676CD" w:rsidRPr="00370707" w:rsidRDefault="00E676CD" w:rsidP="0037070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2017–18</w:t>
            </w:r>
          </w:p>
        </w:tc>
        <w:tc>
          <w:tcPr>
            <w:tcW w:w="609" w:type="pct"/>
            <w:shd w:val="clear" w:color="auto" w:fill="D7DDE9"/>
          </w:tcPr>
          <w:p w:rsidR="00E676CD" w:rsidRPr="00370707" w:rsidRDefault="00E676CD" w:rsidP="0037070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2018–19</w:t>
            </w:r>
          </w:p>
        </w:tc>
        <w:tc>
          <w:tcPr>
            <w:tcW w:w="610" w:type="pct"/>
            <w:shd w:val="clear" w:color="auto" w:fill="D7DDE9"/>
          </w:tcPr>
          <w:p w:rsidR="00E676CD" w:rsidRPr="00370707" w:rsidRDefault="00E676CD" w:rsidP="0037070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2019–20</w:t>
            </w:r>
          </w:p>
        </w:tc>
        <w:tc>
          <w:tcPr>
            <w:tcW w:w="609" w:type="pct"/>
            <w:shd w:val="clear" w:color="auto" w:fill="D7DDE9"/>
          </w:tcPr>
          <w:p w:rsidR="00E676CD" w:rsidRPr="00370707" w:rsidRDefault="00E676CD" w:rsidP="00370707">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Total to 2019–20</w:t>
            </w:r>
          </w:p>
        </w:tc>
      </w:tr>
      <w:tr w:rsidR="00E676CD" w:rsidRPr="00370707" w:rsidTr="00AE49E2">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E676CD" w:rsidRPr="00370707" w:rsidRDefault="000B3847" w:rsidP="00370707">
            <w:pPr>
              <w:pStyle w:val="TableTextRight"/>
              <w:jc w:val="left"/>
              <w:rPr>
                <w:b/>
                <w:i w:val="0"/>
                <w:szCs w:val="20"/>
              </w:rPr>
            </w:pPr>
            <w:r w:rsidRPr="00370707">
              <w:rPr>
                <w:b/>
                <w:bCs/>
                <w:i w:val="0"/>
                <w:color w:val="000000"/>
                <w:szCs w:val="20"/>
              </w:rPr>
              <w:t>F</w:t>
            </w:r>
            <w:r w:rsidR="00E676CD" w:rsidRPr="00370707">
              <w:rPr>
                <w:b/>
                <w:bCs/>
                <w:i w:val="0"/>
                <w:color w:val="000000"/>
                <w:szCs w:val="20"/>
              </w:rPr>
              <w:t>iscal balance</w:t>
            </w:r>
          </w:p>
        </w:tc>
      </w:tr>
      <w:tr w:rsidR="007D65CB"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D65CB" w:rsidRPr="00370707" w:rsidRDefault="007D65CB" w:rsidP="00370707">
            <w:pPr>
              <w:spacing w:before="70" w:after="70" w:line="240" w:lineRule="auto"/>
              <w:ind w:left="57" w:right="57"/>
              <w:rPr>
                <w:szCs w:val="20"/>
              </w:rPr>
            </w:pPr>
            <w:r w:rsidRPr="00370707">
              <w:rPr>
                <w:szCs w:val="20"/>
              </w:rPr>
              <w:t>Administered</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-328</w:t>
            </w:r>
            <w:r w:rsidR="00C22A9E" w:rsidRPr="00370707">
              <w:rPr>
                <w:szCs w:val="20"/>
              </w:rPr>
              <w:t>.0</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-364</w:t>
            </w:r>
            <w:r w:rsidR="00C22A9E" w:rsidRPr="00370707">
              <w:rPr>
                <w:szCs w:val="20"/>
              </w:rPr>
              <w:t>.0</w:t>
            </w:r>
          </w:p>
        </w:tc>
        <w:tc>
          <w:tcPr>
            <w:tcW w:w="610"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-407</w:t>
            </w:r>
            <w:r w:rsidR="00C22A9E" w:rsidRPr="00370707">
              <w:rPr>
                <w:szCs w:val="20"/>
              </w:rPr>
              <w:t>.0</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-1,100</w:t>
            </w:r>
            <w:r w:rsidR="00C22A9E" w:rsidRPr="00370707">
              <w:rPr>
                <w:b/>
                <w:szCs w:val="20"/>
              </w:rPr>
              <w:t>.0</w:t>
            </w:r>
          </w:p>
        </w:tc>
      </w:tr>
      <w:tr w:rsidR="007D65CB"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D65CB" w:rsidRPr="00370707" w:rsidRDefault="007D65CB" w:rsidP="00370707">
            <w:pPr>
              <w:spacing w:before="70" w:after="70" w:line="240" w:lineRule="auto"/>
              <w:ind w:left="57" w:right="57"/>
              <w:rPr>
                <w:szCs w:val="20"/>
              </w:rPr>
            </w:pPr>
            <w:r w:rsidRPr="00370707">
              <w:rPr>
                <w:szCs w:val="20"/>
              </w:rPr>
              <w:t>Departmental</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w:t>
            </w:r>
            <w:r w:rsidR="00C22A9E" w:rsidRPr="00370707">
              <w:rPr>
                <w:szCs w:val="20"/>
              </w:rPr>
              <w:t>.0</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w:t>
            </w:r>
            <w:r w:rsidR="00C22A9E" w:rsidRPr="00370707">
              <w:rPr>
                <w:szCs w:val="20"/>
              </w:rPr>
              <w:t>.0</w:t>
            </w:r>
          </w:p>
        </w:tc>
        <w:tc>
          <w:tcPr>
            <w:tcW w:w="610"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70707">
              <w:rPr>
                <w:szCs w:val="20"/>
              </w:rPr>
              <w:t>-2</w:t>
            </w:r>
            <w:r w:rsidR="00C22A9E" w:rsidRPr="00370707">
              <w:rPr>
                <w:szCs w:val="20"/>
              </w:rPr>
              <w:t>.0</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-7</w:t>
            </w:r>
            <w:r w:rsidR="00C22A9E" w:rsidRPr="00370707">
              <w:rPr>
                <w:b/>
                <w:szCs w:val="20"/>
              </w:rPr>
              <w:t>.0</w:t>
            </w:r>
          </w:p>
        </w:tc>
      </w:tr>
      <w:tr w:rsidR="007D65CB"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7D65CB" w:rsidRPr="00370707" w:rsidRDefault="007D65CB" w:rsidP="00370707">
            <w:pPr>
              <w:spacing w:before="70" w:after="70" w:line="240" w:lineRule="auto"/>
              <w:ind w:left="57" w:right="57"/>
              <w:rPr>
                <w:b/>
                <w:szCs w:val="20"/>
              </w:rPr>
            </w:pPr>
            <w:r w:rsidRPr="00370707">
              <w:rPr>
                <w:b/>
                <w:szCs w:val="20"/>
              </w:rPr>
              <w:t xml:space="preserve">Total </w:t>
            </w:r>
          </w:p>
        </w:tc>
        <w:tc>
          <w:tcPr>
            <w:tcW w:w="609" w:type="pct"/>
            <w:shd w:val="clear" w:color="auto" w:fill="D7DDE9"/>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shd w:val="clear" w:color="auto" w:fill="D7DDE9"/>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-330</w:t>
            </w:r>
            <w:r w:rsidR="00C22A9E" w:rsidRPr="00370707">
              <w:rPr>
                <w:b/>
                <w:szCs w:val="20"/>
              </w:rPr>
              <w:t>.0</w:t>
            </w:r>
          </w:p>
        </w:tc>
        <w:tc>
          <w:tcPr>
            <w:tcW w:w="609" w:type="pct"/>
            <w:shd w:val="clear" w:color="auto" w:fill="D7DDE9"/>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-366</w:t>
            </w:r>
            <w:r w:rsidR="00C22A9E" w:rsidRPr="00370707">
              <w:rPr>
                <w:b/>
                <w:szCs w:val="20"/>
              </w:rPr>
              <w:t>.0</w:t>
            </w:r>
          </w:p>
        </w:tc>
        <w:tc>
          <w:tcPr>
            <w:tcW w:w="610" w:type="pct"/>
            <w:shd w:val="clear" w:color="auto" w:fill="D7DDE9"/>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-410</w:t>
            </w:r>
            <w:r w:rsidR="00C22A9E" w:rsidRPr="00370707">
              <w:rPr>
                <w:b/>
                <w:szCs w:val="20"/>
              </w:rPr>
              <w:t>.0</w:t>
            </w:r>
          </w:p>
        </w:tc>
        <w:tc>
          <w:tcPr>
            <w:tcW w:w="609" w:type="pct"/>
            <w:shd w:val="clear" w:color="auto" w:fill="D7DDE9"/>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-1,106</w:t>
            </w:r>
            <w:r w:rsidR="00C22A9E" w:rsidRPr="00370707">
              <w:rPr>
                <w:b/>
                <w:szCs w:val="20"/>
              </w:rPr>
              <w:t>.0</w:t>
            </w:r>
          </w:p>
        </w:tc>
      </w:tr>
      <w:tr w:rsidR="007D65CB" w:rsidRPr="00370707" w:rsidTr="00AE49E2">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7D65CB" w:rsidRPr="00370707" w:rsidRDefault="000B3847" w:rsidP="00370707">
            <w:pPr>
              <w:pStyle w:val="TableTextRight"/>
              <w:jc w:val="left"/>
              <w:rPr>
                <w:b/>
                <w:i w:val="0"/>
                <w:szCs w:val="20"/>
              </w:rPr>
            </w:pPr>
            <w:r w:rsidRPr="00370707">
              <w:rPr>
                <w:b/>
                <w:bCs/>
                <w:i w:val="0"/>
                <w:color w:val="000000"/>
                <w:szCs w:val="20"/>
              </w:rPr>
              <w:t>U</w:t>
            </w:r>
            <w:r w:rsidR="007D65CB" w:rsidRPr="00370707">
              <w:rPr>
                <w:b/>
                <w:bCs/>
                <w:i w:val="0"/>
                <w:color w:val="000000"/>
                <w:szCs w:val="20"/>
              </w:rPr>
              <w:t>nderlying cash balance</w:t>
            </w:r>
          </w:p>
        </w:tc>
      </w:tr>
      <w:tr w:rsidR="007D65CB"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D65CB" w:rsidRPr="00370707" w:rsidRDefault="007D65CB" w:rsidP="00370707">
            <w:pPr>
              <w:spacing w:before="70" w:after="70" w:line="240" w:lineRule="auto"/>
              <w:ind w:left="57" w:right="57"/>
              <w:rPr>
                <w:szCs w:val="20"/>
              </w:rPr>
            </w:pPr>
            <w:r w:rsidRPr="00370707">
              <w:rPr>
                <w:szCs w:val="20"/>
              </w:rPr>
              <w:t>Administered</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-295</w:t>
            </w:r>
            <w:r w:rsidR="00C22A9E" w:rsidRPr="00370707">
              <w:rPr>
                <w:i/>
                <w:color w:val="000000"/>
                <w:szCs w:val="20"/>
              </w:rPr>
              <w:t>.0</w:t>
            </w:r>
          </w:p>
        </w:tc>
        <w:tc>
          <w:tcPr>
            <w:tcW w:w="609"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-361</w:t>
            </w:r>
            <w:r w:rsidR="00C22A9E" w:rsidRPr="00370707">
              <w:rPr>
                <w:i/>
                <w:color w:val="000000"/>
                <w:szCs w:val="20"/>
              </w:rPr>
              <w:t>.0</w:t>
            </w:r>
          </w:p>
        </w:tc>
        <w:tc>
          <w:tcPr>
            <w:tcW w:w="610"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-403</w:t>
            </w:r>
            <w:r w:rsidR="00C22A9E" w:rsidRPr="00370707">
              <w:rPr>
                <w:i/>
                <w:color w:val="000000"/>
                <w:szCs w:val="20"/>
              </w:rPr>
              <w:t>.0</w:t>
            </w:r>
          </w:p>
        </w:tc>
        <w:tc>
          <w:tcPr>
            <w:tcW w:w="609"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-1,059</w:t>
            </w:r>
            <w:r w:rsidR="00C22A9E" w:rsidRPr="00370707">
              <w:rPr>
                <w:b/>
                <w:i/>
                <w:color w:val="000000"/>
                <w:szCs w:val="20"/>
              </w:rPr>
              <w:t>.0</w:t>
            </w:r>
          </w:p>
        </w:tc>
      </w:tr>
      <w:tr w:rsidR="007D65CB"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7D65CB" w:rsidRPr="00370707" w:rsidRDefault="007D65CB" w:rsidP="00370707">
            <w:pPr>
              <w:spacing w:before="70" w:after="70" w:line="240" w:lineRule="auto"/>
              <w:ind w:left="57" w:right="57"/>
              <w:rPr>
                <w:szCs w:val="20"/>
              </w:rPr>
            </w:pPr>
            <w:r w:rsidRPr="00370707">
              <w:rPr>
                <w:szCs w:val="20"/>
              </w:rPr>
              <w:t>Departmental</w:t>
            </w:r>
          </w:p>
        </w:tc>
        <w:tc>
          <w:tcPr>
            <w:tcW w:w="609" w:type="pct"/>
          </w:tcPr>
          <w:p w:rsidR="007D65CB" w:rsidRPr="00370707" w:rsidRDefault="007D65CB" w:rsidP="00370707">
            <w:pPr>
              <w:pStyle w:val="TableTextRight"/>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10"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7D65CB" w:rsidRPr="00370707" w:rsidRDefault="007D65CB" w:rsidP="0037070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-7</w:t>
            </w:r>
            <w:r w:rsidR="00C22A9E" w:rsidRPr="00370707">
              <w:rPr>
                <w:b/>
                <w:i/>
                <w:color w:val="000000"/>
                <w:szCs w:val="20"/>
              </w:rPr>
              <w:t>.0</w:t>
            </w:r>
          </w:p>
        </w:tc>
      </w:tr>
      <w:tr w:rsidR="00C85A8C"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C85A8C" w:rsidRPr="00370707" w:rsidRDefault="00C85A8C" w:rsidP="00370707">
            <w:pPr>
              <w:spacing w:before="70" w:after="70" w:line="240" w:lineRule="auto"/>
              <w:ind w:left="57" w:right="57"/>
              <w:rPr>
                <w:b/>
                <w:szCs w:val="20"/>
              </w:rPr>
            </w:pPr>
            <w:r w:rsidRPr="00370707">
              <w:rPr>
                <w:b/>
                <w:szCs w:val="20"/>
              </w:rPr>
              <w:t>Total</w:t>
            </w:r>
          </w:p>
        </w:tc>
        <w:tc>
          <w:tcPr>
            <w:tcW w:w="609" w:type="pct"/>
            <w:shd w:val="clear" w:color="auto" w:fill="D7DDE9"/>
          </w:tcPr>
          <w:p w:rsidR="00C85A8C" w:rsidRPr="00370707" w:rsidRDefault="00C85A8C" w:rsidP="0037070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shd w:val="clear" w:color="auto" w:fill="D7DDE9"/>
          </w:tcPr>
          <w:p w:rsidR="00C85A8C" w:rsidRPr="00370707" w:rsidRDefault="00C85A8C" w:rsidP="0037070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-298</w:t>
            </w:r>
            <w:r w:rsidR="00C22A9E" w:rsidRPr="00370707">
              <w:rPr>
                <w:b/>
                <w:i w:val="0"/>
                <w:szCs w:val="20"/>
              </w:rPr>
              <w:t>.0</w:t>
            </w:r>
          </w:p>
        </w:tc>
        <w:tc>
          <w:tcPr>
            <w:tcW w:w="609" w:type="pct"/>
            <w:shd w:val="clear" w:color="auto" w:fill="D7DDE9"/>
          </w:tcPr>
          <w:p w:rsidR="00C85A8C" w:rsidRPr="00370707" w:rsidRDefault="00C85A8C" w:rsidP="0037070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-363</w:t>
            </w:r>
            <w:r w:rsidR="00C22A9E" w:rsidRPr="00370707">
              <w:rPr>
                <w:b/>
                <w:i w:val="0"/>
                <w:szCs w:val="20"/>
              </w:rPr>
              <w:t>.0</w:t>
            </w:r>
          </w:p>
        </w:tc>
        <w:tc>
          <w:tcPr>
            <w:tcW w:w="610" w:type="pct"/>
            <w:shd w:val="clear" w:color="auto" w:fill="D7DDE9"/>
          </w:tcPr>
          <w:p w:rsidR="00C85A8C" w:rsidRPr="00370707" w:rsidRDefault="00C85A8C" w:rsidP="0037070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-405</w:t>
            </w:r>
            <w:r w:rsidR="00C22A9E" w:rsidRPr="00370707">
              <w:rPr>
                <w:b/>
                <w:i w:val="0"/>
                <w:szCs w:val="20"/>
              </w:rPr>
              <w:t>.0</w:t>
            </w:r>
          </w:p>
        </w:tc>
        <w:tc>
          <w:tcPr>
            <w:tcW w:w="609" w:type="pct"/>
            <w:shd w:val="clear" w:color="auto" w:fill="D7DDE9"/>
          </w:tcPr>
          <w:p w:rsidR="00C85A8C" w:rsidRPr="00370707" w:rsidRDefault="00C85A8C" w:rsidP="00370707">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-1,066</w:t>
            </w:r>
            <w:r w:rsidR="00C22A9E" w:rsidRPr="00370707">
              <w:rPr>
                <w:b/>
                <w:i w:val="0"/>
                <w:szCs w:val="20"/>
              </w:rPr>
              <w:t>.0</w:t>
            </w:r>
          </w:p>
        </w:tc>
      </w:tr>
    </w:tbl>
    <w:p w:rsidR="00E676CD" w:rsidRPr="00370707" w:rsidRDefault="00E676CD" w:rsidP="00370707">
      <w:pPr>
        <w:pStyle w:val="Footnotes"/>
        <w:numPr>
          <w:ilvl w:val="0"/>
          <w:numId w:val="34"/>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A negative number indicates a decrease in revenue or an increase in expenses or net capital investment in accrual and cash terms.</w:t>
      </w:r>
    </w:p>
    <w:p w:rsidR="00E676CD" w:rsidRPr="00FB077C" w:rsidRDefault="00E676CD" w:rsidP="00370707">
      <w:pPr>
        <w:pStyle w:val="Footnotes"/>
        <w:rPr>
          <w:rFonts w:ascii="Times New Roman" w:eastAsia="Times New Roman" w:hAnsi="Times New Roman"/>
          <w:lang w:eastAsia="en-AU"/>
        </w:rPr>
      </w:pPr>
      <w:r w:rsidRPr="00DB3B7E">
        <w:t>Figures may not sum to totals due to rounding.</w:t>
      </w:r>
    </w:p>
    <w:p w:rsidR="00375FF1" w:rsidRDefault="004861D7" w:rsidP="00370707">
      <w:pPr>
        <w:pStyle w:val="Footnotes"/>
        <w:numPr>
          <w:ilvl w:val="0"/>
          <w:numId w:val="31"/>
        </w:numPr>
        <w:ind w:left="284" w:hanging="284"/>
      </w:pPr>
      <w:r>
        <w:t>Indicates nil.</w:t>
      </w:r>
    </w:p>
    <w:p w:rsidR="00375FF1" w:rsidRDefault="00375FF1" w:rsidP="00FD467E">
      <w:pPr>
        <w:pStyle w:val="Captionheading"/>
        <w:keepLines/>
      </w:pPr>
      <w:r>
        <w:lastRenderedPageBreak/>
        <w:t>Table A4</w:t>
      </w:r>
      <w:r w:rsidRPr="00FC6579">
        <w:t xml:space="preserve">: </w:t>
      </w:r>
      <w:r>
        <w:t xml:space="preserve">Component </w:t>
      </w:r>
      <w:r w:rsidR="00BF3FDF">
        <w:t>3</w:t>
      </w:r>
      <w:r w:rsidR="009D5A52">
        <w:t xml:space="preserve">: </w:t>
      </w:r>
      <w:r w:rsidRPr="00375FF1">
        <w:t>'</w:t>
      </w:r>
      <w:r w:rsidR="000E2725">
        <w:t xml:space="preserve">Reducing </w:t>
      </w:r>
      <w:r w:rsidRPr="00375FF1">
        <w:t>Waitlist</w:t>
      </w:r>
      <w:r w:rsidR="000E2725">
        <w:t>s</w:t>
      </w:r>
      <w:r w:rsidRPr="00375FF1">
        <w:t xml:space="preserve"> Fund'</w:t>
      </w:r>
      <w:r>
        <w:t xml:space="preserve">–Financial </w:t>
      </w:r>
      <w:proofErr w:type="gramStart"/>
      <w:r>
        <w:t>implications</w:t>
      </w:r>
      <w:r w:rsidRPr="001F7D6A">
        <w:rPr>
          <w:vertAlign w:val="superscript"/>
        </w:rPr>
        <w:t>(</w:t>
      </w:r>
      <w:proofErr w:type="gramEnd"/>
      <w:r w:rsidRPr="001F7D6A">
        <w:rPr>
          <w:vertAlign w:val="superscript"/>
        </w:rPr>
        <w:t>a)(b)</w:t>
      </w:r>
    </w:p>
    <w:tbl>
      <w:tblPr>
        <w:tblStyle w:val="TableGrid"/>
        <w:tblW w:w="4637" w:type="pct"/>
        <w:tblLook w:val="0680" w:firstRow="0" w:lastRow="0" w:firstColumn="1" w:lastColumn="0" w:noHBand="1" w:noVBand="1"/>
      </w:tblPr>
      <w:tblGrid>
        <w:gridCol w:w="3015"/>
        <w:gridCol w:w="940"/>
        <w:gridCol w:w="942"/>
        <w:gridCol w:w="940"/>
        <w:gridCol w:w="942"/>
        <w:gridCol w:w="940"/>
      </w:tblGrid>
      <w:tr w:rsidR="00375FF1" w:rsidRPr="00B31810" w:rsidTr="00AE49E2">
        <w:trPr>
          <w:cantSplit/>
          <w:tblHeader/>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375FF1" w:rsidRPr="00A65EA3" w:rsidRDefault="00375FF1" w:rsidP="00FD467E">
            <w:pPr>
              <w:keepNext/>
              <w:keepLines/>
              <w:spacing w:before="0" w:after="0" w:line="240" w:lineRule="auto"/>
              <w:ind w:left="57" w:right="57"/>
            </w:pPr>
            <w:r w:rsidRPr="00A65EA3">
              <w:t>($m)</w:t>
            </w:r>
          </w:p>
        </w:tc>
        <w:tc>
          <w:tcPr>
            <w:tcW w:w="609" w:type="pct"/>
            <w:shd w:val="clear" w:color="auto" w:fill="D7DDE9"/>
          </w:tcPr>
          <w:p w:rsidR="00375FF1" w:rsidRPr="00C24267" w:rsidRDefault="00375FF1" w:rsidP="00FD467E">
            <w:pPr>
              <w:pStyle w:val="TableHeadingCentred"/>
              <w:spacing w:before="0" w:after="0"/>
              <w:cnfStyle w:val="000000000000" w:firstRow="0" w:lastRow="0" w:firstColumn="0" w:lastColumn="0" w:oddVBand="0" w:evenVBand="0" w:oddHBand="0" w:evenHBand="0" w:firstRowFirstColumn="0" w:firstRowLastColumn="0" w:lastRowFirstColumn="0" w:lastRowLastColumn="0"/>
            </w:pPr>
            <w:r w:rsidRPr="00C24267">
              <w:t>2016–17</w:t>
            </w:r>
          </w:p>
        </w:tc>
        <w:tc>
          <w:tcPr>
            <w:tcW w:w="610" w:type="pct"/>
            <w:shd w:val="clear" w:color="auto" w:fill="D7DDE9"/>
          </w:tcPr>
          <w:p w:rsidR="00375FF1" w:rsidRPr="00C24267" w:rsidRDefault="00375FF1" w:rsidP="00FD467E">
            <w:pPr>
              <w:pStyle w:val="TableHeadingCentred"/>
              <w:spacing w:before="0" w:after="0"/>
              <w:cnfStyle w:val="000000000000" w:firstRow="0" w:lastRow="0" w:firstColumn="0" w:lastColumn="0" w:oddVBand="0" w:evenVBand="0" w:oddHBand="0" w:evenHBand="0" w:firstRowFirstColumn="0" w:firstRowLastColumn="0" w:lastRowFirstColumn="0" w:lastRowLastColumn="0"/>
            </w:pPr>
            <w:r w:rsidRPr="00C24267">
              <w:t>2017–18</w:t>
            </w:r>
          </w:p>
        </w:tc>
        <w:tc>
          <w:tcPr>
            <w:tcW w:w="609" w:type="pct"/>
            <w:shd w:val="clear" w:color="auto" w:fill="D7DDE9"/>
          </w:tcPr>
          <w:p w:rsidR="00375FF1" w:rsidRPr="00C24267" w:rsidRDefault="00375FF1" w:rsidP="00FD467E">
            <w:pPr>
              <w:pStyle w:val="TableHeadingCentred"/>
              <w:spacing w:before="0" w:after="0"/>
              <w:cnfStyle w:val="000000000000" w:firstRow="0" w:lastRow="0" w:firstColumn="0" w:lastColumn="0" w:oddVBand="0" w:evenVBand="0" w:oddHBand="0" w:evenHBand="0" w:firstRowFirstColumn="0" w:firstRowLastColumn="0" w:lastRowFirstColumn="0" w:lastRowLastColumn="0"/>
            </w:pPr>
            <w:r w:rsidRPr="00C24267">
              <w:t>2018–19</w:t>
            </w:r>
          </w:p>
        </w:tc>
        <w:tc>
          <w:tcPr>
            <w:tcW w:w="610" w:type="pct"/>
            <w:shd w:val="clear" w:color="auto" w:fill="D7DDE9"/>
          </w:tcPr>
          <w:p w:rsidR="00375FF1" w:rsidRPr="00C24267" w:rsidRDefault="00375FF1" w:rsidP="00FD467E">
            <w:pPr>
              <w:pStyle w:val="TableHeadingCentred"/>
              <w:spacing w:before="0" w:after="0"/>
              <w:cnfStyle w:val="000000000000" w:firstRow="0" w:lastRow="0" w:firstColumn="0" w:lastColumn="0" w:oddVBand="0" w:evenVBand="0" w:oddHBand="0" w:evenHBand="0" w:firstRowFirstColumn="0" w:firstRowLastColumn="0" w:lastRowFirstColumn="0" w:lastRowLastColumn="0"/>
            </w:pPr>
            <w:r w:rsidRPr="00C24267">
              <w:t>2019–20</w:t>
            </w:r>
          </w:p>
        </w:tc>
        <w:tc>
          <w:tcPr>
            <w:tcW w:w="609" w:type="pct"/>
            <w:shd w:val="clear" w:color="auto" w:fill="D7DDE9"/>
          </w:tcPr>
          <w:p w:rsidR="00375FF1" w:rsidRPr="00AE30B5" w:rsidRDefault="00375FF1" w:rsidP="00FD467E">
            <w:pPr>
              <w:pStyle w:val="TableHeadingCentred"/>
              <w:spacing w:before="0" w:after="0"/>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r>
      <w:tr w:rsidR="00375FF1" w:rsidRPr="00370707" w:rsidTr="00630BB0">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808080"/>
            </w:tcBorders>
            <w:shd w:val="clear" w:color="auto" w:fill="E9ECF3"/>
          </w:tcPr>
          <w:p w:rsidR="00375FF1" w:rsidRPr="00370707" w:rsidRDefault="000B3847" w:rsidP="00FD467E">
            <w:pPr>
              <w:pStyle w:val="TableTextRight"/>
              <w:keepNext/>
              <w:keepLines/>
              <w:spacing w:before="0" w:after="0"/>
              <w:jc w:val="left"/>
              <w:rPr>
                <w:b/>
                <w:i w:val="0"/>
                <w:szCs w:val="20"/>
              </w:rPr>
            </w:pPr>
            <w:r w:rsidRPr="00370707">
              <w:rPr>
                <w:b/>
                <w:bCs/>
                <w:i w:val="0"/>
                <w:color w:val="000000"/>
                <w:szCs w:val="20"/>
              </w:rPr>
              <w:t>F</w:t>
            </w:r>
            <w:r w:rsidR="00375FF1" w:rsidRPr="00370707">
              <w:rPr>
                <w:b/>
                <w:bCs/>
                <w:i w:val="0"/>
                <w:color w:val="000000"/>
                <w:szCs w:val="20"/>
              </w:rPr>
              <w:t>iscal balance</w:t>
            </w:r>
          </w:p>
        </w:tc>
      </w:tr>
      <w:tr w:rsidR="00A7062F" w:rsidRPr="00370707" w:rsidTr="00A7062F">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A7062F" w:rsidRPr="00A7062F" w:rsidRDefault="00A7062F" w:rsidP="00A7062F">
            <w:pPr>
              <w:pStyle w:val="TableTextRight"/>
              <w:keepNext/>
              <w:keepLines/>
              <w:spacing w:before="0" w:after="0"/>
              <w:ind w:left="170"/>
              <w:jc w:val="left"/>
              <w:rPr>
                <w:i w:val="0"/>
                <w:szCs w:val="20"/>
              </w:rPr>
            </w:pPr>
            <w:r w:rsidRPr="00A7062F">
              <w:rPr>
                <w:b/>
                <w:i w:val="0"/>
                <w:szCs w:val="20"/>
              </w:rPr>
              <w:t>Administered</w:t>
            </w:r>
          </w:p>
        </w:tc>
      </w:tr>
      <w:tr w:rsidR="00EC2F18"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EC2F18" w:rsidRPr="00370707" w:rsidRDefault="00EC2F18" w:rsidP="00FD467E">
            <w:pPr>
              <w:keepNext/>
              <w:keepLines/>
              <w:spacing w:before="0" w:after="0" w:line="240" w:lineRule="auto"/>
              <w:ind w:left="283" w:right="57"/>
              <w:rPr>
                <w:i/>
                <w:color w:val="000000"/>
                <w:szCs w:val="20"/>
              </w:rPr>
            </w:pPr>
            <w:r w:rsidRPr="00370707">
              <w:rPr>
                <w:i/>
                <w:color w:val="000000"/>
                <w:szCs w:val="20"/>
              </w:rPr>
              <w:t>Capped grants</w:t>
            </w:r>
          </w:p>
        </w:tc>
        <w:tc>
          <w:tcPr>
            <w:tcW w:w="609"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w:t>
            </w:r>
          </w:p>
        </w:tc>
        <w:tc>
          <w:tcPr>
            <w:tcW w:w="610"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-50</w:t>
            </w:r>
            <w:r w:rsidR="00C22A9E" w:rsidRPr="00370707">
              <w:rPr>
                <w:i/>
                <w:color w:val="000000"/>
                <w:szCs w:val="20"/>
              </w:rPr>
              <w:t>.0</w:t>
            </w:r>
          </w:p>
        </w:tc>
        <w:tc>
          <w:tcPr>
            <w:tcW w:w="609"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-50</w:t>
            </w:r>
            <w:r w:rsidR="00C22A9E" w:rsidRPr="00370707">
              <w:rPr>
                <w:i/>
                <w:color w:val="000000"/>
                <w:szCs w:val="20"/>
              </w:rPr>
              <w:t>.0</w:t>
            </w:r>
          </w:p>
        </w:tc>
        <w:tc>
          <w:tcPr>
            <w:tcW w:w="610"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-50</w:t>
            </w:r>
            <w:r w:rsidR="00C22A9E" w:rsidRPr="00370707">
              <w:rPr>
                <w:i/>
                <w:color w:val="000000"/>
                <w:szCs w:val="20"/>
              </w:rPr>
              <w:t>.0</w:t>
            </w:r>
          </w:p>
        </w:tc>
        <w:tc>
          <w:tcPr>
            <w:tcW w:w="609"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-150</w:t>
            </w:r>
            <w:r w:rsidR="00C22A9E" w:rsidRPr="00370707">
              <w:rPr>
                <w:b/>
                <w:i/>
                <w:color w:val="000000"/>
                <w:szCs w:val="20"/>
              </w:rPr>
              <w:t>.0</w:t>
            </w:r>
          </w:p>
        </w:tc>
      </w:tr>
      <w:tr w:rsidR="00EC2F18"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EC2F18" w:rsidRPr="00370707" w:rsidRDefault="00EC2F18" w:rsidP="00FD467E">
            <w:pPr>
              <w:keepNext/>
              <w:keepLines/>
              <w:spacing w:before="0" w:after="0" w:line="240" w:lineRule="auto"/>
              <w:ind w:left="283" w:right="57"/>
              <w:rPr>
                <w:i/>
                <w:color w:val="000000"/>
                <w:szCs w:val="20"/>
              </w:rPr>
            </w:pPr>
            <w:r w:rsidRPr="00370707">
              <w:rPr>
                <w:i/>
                <w:color w:val="000000"/>
                <w:szCs w:val="20"/>
              </w:rPr>
              <w:t xml:space="preserve">Flow-on to child care system </w:t>
            </w:r>
          </w:p>
        </w:tc>
        <w:tc>
          <w:tcPr>
            <w:tcW w:w="609"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w:t>
            </w:r>
          </w:p>
        </w:tc>
        <w:tc>
          <w:tcPr>
            <w:tcW w:w="610"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-39</w:t>
            </w:r>
            <w:r w:rsidR="00C22A9E" w:rsidRPr="00370707">
              <w:rPr>
                <w:i/>
                <w:color w:val="000000"/>
                <w:szCs w:val="20"/>
              </w:rPr>
              <w:t>.0</w:t>
            </w:r>
          </w:p>
        </w:tc>
        <w:tc>
          <w:tcPr>
            <w:tcW w:w="609"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-123</w:t>
            </w:r>
            <w:r w:rsidR="00C22A9E" w:rsidRPr="00370707">
              <w:rPr>
                <w:i/>
                <w:color w:val="000000"/>
                <w:szCs w:val="20"/>
              </w:rPr>
              <w:t>.0</w:t>
            </w:r>
          </w:p>
        </w:tc>
        <w:tc>
          <w:tcPr>
            <w:tcW w:w="610"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-215</w:t>
            </w:r>
            <w:r w:rsidR="00C22A9E" w:rsidRPr="00370707">
              <w:rPr>
                <w:i/>
                <w:color w:val="000000"/>
                <w:szCs w:val="20"/>
              </w:rPr>
              <w:t>.0</w:t>
            </w:r>
          </w:p>
        </w:tc>
        <w:tc>
          <w:tcPr>
            <w:tcW w:w="609" w:type="pct"/>
          </w:tcPr>
          <w:p w:rsidR="00EC2F18" w:rsidRPr="00370707" w:rsidRDefault="00EC2F18"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-377</w:t>
            </w:r>
            <w:r w:rsidR="00C22A9E" w:rsidRPr="00370707">
              <w:rPr>
                <w:b/>
                <w:i/>
                <w:color w:val="000000"/>
                <w:szCs w:val="20"/>
              </w:rPr>
              <w:t>.0</w:t>
            </w:r>
          </w:p>
        </w:tc>
      </w:tr>
      <w:tr w:rsidR="006F1249" w:rsidRPr="00370707" w:rsidTr="00630BB0">
        <w:trPr>
          <w:cantSplit/>
        </w:trPr>
        <w:tc>
          <w:tcPr>
            <w:cnfStyle w:val="001000000000" w:firstRow="0" w:lastRow="0" w:firstColumn="1" w:lastColumn="0" w:oddVBand="0" w:evenVBand="0" w:oddHBand="0" w:evenHBand="0" w:firstRowFirstColumn="0" w:firstRowLastColumn="0" w:lastRowFirstColumn="0" w:lastRowLastColumn="0"/>
            <w:tcW w:w="1953" w:type="pct"/>
            <w:tcBorders>
              <w:bottom w:val="single" w:sz="4" w:space="0" w:color="808080"/>
            </w:tcBorders>
          </w:tcPr>
          <w:p w:rsidR="006F1249" w:rsidRPr="00370707" w:rsidRDefault="006F1249" w:rsidP="00FD467E">
            <w:pPr>
              <w:keepNext/>
              <w:keepLines/>
              <w:spacing w:before="0" w:after="0" w:line="240" w:lineRule="auto"/>
              <w:ind w:left="170" w:right="57"/>
              <w:rPr>
                <w:b/>
                <w:szCs w:val="20"/>
              </w:rPr>
            </w:pPr>
            <w:r w:rsidRPr="00370707">
              <w:rPr>
                <w:b/>
                <w:szCs w:val="20"/>
              </w:rPr>
              <w:t>Total administered</w:t>
            </w:r>
          </w:p>
        </w:tc>
        <w:tc>
          <w:tcPr>
            <w:tcW w:w="609" w:type="pct"/>
            <w:tcBorders>
              <w:bottom w:val="single" w:sz="4" w:space="0" w:color="808080"/>
            </w:tcBorders>
          </w:tcPr>
          <w:p w:rsidR="006F1249" w:rsidRPr="00370707" w:rsidRDefault="006F1249"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tcBorders>
              <w:bottom w:val="single" w:sz="4" w:space="0" w:color="808080"/>
            </w:tcBorders>
          </w:tcPr>
          <w:p w:rsidR="006F1249" w:rsidRPr="00370707" w:rsidRDefault="006F1249"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color w:val="000000"/>
                <w:szCs w:val="20"/>
              </w:rPr>
            </w:pPr>
            <w:r w:rsidRPr="00370707">
              <w:rPr>
                <w:b/>
                <w:color w:val="000000"/>
                <w:szCs w:val="20"/>
              </w:rPr>
              <w:t>-89</w:t>
            </w:r>
            <w:r w:rsidR="00C22A9E" w:rsidRPr="00370707">
              <w:rPr>
                <w:b/>
                <w:color w:val="000000"/>
                <w:szCs w:val="20"/>
              </w:rPr>
              <w:t>.0</w:t>
            </w:r>
          </w:p>
        </w:tc>
        <w:tc>
          <w:tcPr>
            <w:tcW w:w="609" w:type="pct"/>
            <w:tcBorders>
              <w:bottom w:val="single" w:sz="4" w:space="0" w:color="808080"/>
            </w:tcBorders>
          </w:tcPr>
          <w:p w:rsidR="006F1249" w:rsidRPr="00370707" w:rsidRDefault="006F1249"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color w:val="000000"/>
                <w:szCs w:val="20"/>
              </w:rPr>
            </w:pPr>
            <w:r w:rsidRPr="00370707">
              <w:rPr>
                <w:b/>
                <w:color w:val="000000"/>
                <w:szCs w:val="20"/>
              </w:rPr>
              <w:t>-173</w:t>
            </w:r>
            <w:r w:rsidR="00C22A9E" w:rsidRPr="00370707">
              <w:rPr>
                <w:b/>
                <w:color w:val="000000"/>
                <w:szCs w:val="20"/>
              </w:rPr>
              <w:t>.0</w:t>
            </w:r>
          </w:p>
        </w:tc>
        <w:tc>
          <w:tcPr>
            <w:tcW w:w="610" w:type="pct"/>
            <w:tcBorders>
              <w:bottom w:val="single" w:sz="4" w:space="0" w:color="808080"/>
            </w:tcBorders>
          </w:tcPr>
          <w:p w:rsidR="006F1249" w:rsidRPr="00370707" w:rsidRDefault="006F1249"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color w:val="000000"/>
                <w:szCs w:val="20"/>
              </w:rPr>
            </w:pPr>
            <w:r w:rsidRPr="00370707">
              <w:rPr>
                <w:b/>
                <w:color w:val="000000"/>
                <w:szCs w:val="20"/>
              </w:rPr>
              <w:t>-265</w:t>
            </w:r>
            <w:r w:rsidR="00C22A9E" w:rsidRPr="00370707">
              <w:rPr>
                <w:b/>
                <w:color w:val="000000"/>
                <w:szCs w:val="20"/>
              </w:rPr>
              <w:t>.0</w:t>
            </w:r>
          </w:p>
        </w:tc>
        <w:tc>
          <w:tcPr>
            <w:tcW w:w="609" w:type="pct"/>
            <w:tcBorders>
              <w:bottom w:val="single" w:sz="4" w:space="0" w:color="808080"/>
            </w:tcBorders>
          </w:tcPr>
          <w:p w:rsidR="006F1249" w:rsidRPr="00370707" w:rsidRDefault="006F1249"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color w:val="000000"/>
                <w:szCs w:val="20"/>
              </w:rPr>
            </w:pPr>
            <w:r w:rsidRPr="00370707">
              <w:rPr>
                <w:b/>
                <w:color w:val="000000"/>
                <w:szCs w:val="20"/>
              </w:rPr>
              <w:t>-527</w:t>
            </w:r>
            <w:r w:rsidR="00C22A9E" w:rsidRPr="00370707">
              <w:rPr>
                <w:b/>
                <w:color w:val="000000"/>
                <w:szCs w:val="20"/>
              </w:rPr>
              <w:t>.0</w:t>
            </w:r>
          </w:p>
        </w:tc>
      </w:tr>
      <w:tr w:rsidR="00A7062F" w:rsidRPr="00370707" w:rsidTr="00A7062F">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A7062F" w:rsidRPr="00A7062F" w:rsidRDefault="00A7062F" w:rsidP="00A7062F">
            <w:pPr>
              <w:pStyle w:val="TableTextRight"/>
              <w:keepNext/>
              <w:keepLines/>
              <w:spacing w:before="0" w:after="0"/>
              <w:ind w:left="170"/>
              <w:jc w:val="left"/>
              <w:rPr>
                <w:i w:val="0"/>
                <w:szCs w:val="20"/>
              </w:rPr>
            </w:pPr>
            <w:r w:rsidRPr="00A7062F">
              <w:rPr>
                <w:b/>
                <w:i w:val="0"/>
                <w:szCs w:val="20"/>
              </w:rPr>
              <w:t>Departmental</w:t>
            </w:r>
          </w:p>
        </w:tc>
      </w:tr>
      <w:tr w:rsidR="00872EE6"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872EE6" w:rsidRPr="00370707" w:rsidRDefault="00872EE6" w:rsidP="00FD467E">
            <w:pPr>
              <w:keepNext/>
              <w:keepLines/>
              <w:spacing w:before="0" w:after="0" w:line="240" w:lineRule="auto"/>
              <w:ind w:left="283" w:right="57"/>
              <w:rPr>
                <w:i/>
                <w:color w:val="000000"/>
                <w:szCs w:val="20"/>
              </w:rPr>
            </w:pPr>
            <w:r w:rsidRPr="00370707">
              <w:rPr>
                <w:i/>
                <w:color w:val="000000"/>
                <w:szCs w:val="20"/>
              </w:rPr>
              <w:t>Departmental - DHS</w:t>
            </w:r>
          </w:p>
        </w:tc>
        <w:tc>
          <w:tcPr>
            <w:tcW w:w="609"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872EE6" w:rsidRPr="00370707" w:rsidRDefault="00531BC7"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w:t>
            </w:r>
          </w:p>
        </w:tc>
        <w:tc>
          <w:tcPr>
            <w:tcW w:w="609"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-1</w:t>
            </w:r>
            <w:r w:rsidR="00C22A9E" w:rsidRPr="00370707">
              <w:rPr>
                <w:i/>
                <w:color w:val="000000"/>
                <w:szCs w:val="20"/>
              </w:rPr>
              <w:t>.0</w:t>
            </w:r>
          </w:p>
        </w:tc>
        <w:tc>
          <w:tcPr>
            <w:tcW w:w="610"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-4</w:t>
            </w:r>
            <w:r w:rsidR="00C22A9E" w:rsidRPr="00370707">
              <w:rPr>
                <w:b/>
                <w:i/>
                <w:color w:val="000000"/>
                <w:szCs w:val="20"/>
              </w:rPr>
              <w:t>.0</w:t>
            </w:r>
          </w:p>
        </w:tc>
      </w:tr>
      <w:tr w:rsidR="00872EE6"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872EE6" w:rsidRPr="00370707" w:rsidRDefault="00872EE6" w:rsidP="00FD467E">
            <w:pPr>
              <w:keepNext/>
              <w:keepLines/>
              <w:spacing w:before="0" w:after="0" w:line="240" w:lineRule="auto"/>
              <w:ind w:left="283" w:right="57"/>
              <w:rPr>
                <w:i/>
                <w:color w:val="000000"/>
                <w:szCs w:val="20"/>
              </w:rPr>
            </w:pPr>
            <w:r w:rsidRPr="00370707">
              <w:rPr>
                <w:i/>
                <w:color w:val="000000"/>
                <w:szCs w:val="20"/>
              </w:rPr>
              <w:t xml:space="preserve">Departmental – DET </w:t>
            </w:r>
          </w:p>
        </w:tc>
        <w:tc>
          <w:tcPr>
            <w:tcW w:w="609"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10"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872EE6" w:rsidRPr="00370707" w:rsidRDefault="00872EE6"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-5</w:t>
            </w:r>
            <w:r w:rsidR="00C22A9E" w:rsidRPr="00370707">
              <w:rPr>
                <w:b/>
                <w:i/>
                <w:color w:val="000000"/>
                <w:szCs w:val="20"/>
              </w:rPr>
              <w:t>.0</w:t>
            </w:r>
          </w:p>
        </w:tc>
      </w:tr>
      <w:tr w:rsidR="00872EE6"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872EE6" w:rsidRPr="00370707" w:rsidRDefault="00872EE6" w:rsidP="00FD467E">
            <w:pPr>
              <w:keepNext/>
              <w:keepLines/>
              <w:spacing w:before="0" w:after="0" w:line="240" w:lineRule="auto"/>
              <w:ind w:left="170" w:right="57"/>
              <w:rPr>
                <w:b/>
                <w:szCs w:val="20"/>
              </w:rPr>
            </w:pPr>
            <w:r w:rsidRPr="00370707">
              <w:rPr>
                <w:b/>
                <w:szCs w:val="20"/>
              </w:rPr>
              <w:t>Total departmental</w:t>
            </w:r>
          </w:p>
        </w:tc>
        <w:tc>
          <w:tcPr>
            <w:tcW w:w="609"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-2</w:t>
            </w:r>
            <w:r w:rsidR="00C22A9E" w:rsidRPr="00370707">
              <w:rPr>
                <w:b/>
                <w:i w:val="0"/>
                <w:szCs w:val="20"/>
              </w:rPr>
              <w:t>.0</w:t>
            </w:r>
          </w:p>
        </w:tc>
        <w:tc>
          <w:tcPr>
            <w:tcW w:w="609"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-2</w:t>
            </w:r>
            <w:r w:rsidR="00C22A9E" w:rsidRPr="00370707">
              <w:rPr>
                <w:b/>
                <w:i w:val="0"/>
                <w:szCs w:val="20"/>
              </w:rPr>
              <w:t>.0</w:t>
            </w:r>
          </w:p>
        </w:tc>
        <w:tc>
          <w:tcPr>
            <w:tcW w:w="610"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r w:rsidR="0066329C" w:rsidRPr="00370707">
              <w:rPr>
                <w:b/>
                <w:i w:val="0"/>
                <w:szCs w:val="20"/>
              </w:rPr>
              <w:t>4</w:t>
            </w:r>
            <w:r w:rsidR="00C22A9E" w:rsidRPr="00370707">
              <w:rPr>
                <w:b/>
                <w:i w:val="0"/>
                <w:szCs w:val="20"/>
              </w:rPr>
              <w:t>.0</w:t>
            </w:r>
          </w:p>
        </w:tc>
        <w:tc>
          <w:tcPr>
            <w:tcW w:w="609" w:type="pct"/>
          </w:tcPr>
          <w:p w:rsidR="00872EE6" w:rsidRPr="00370707" w:rsidRDefault="00872EE6"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r w:rsidR="009A5D14" w:rsidRPr="00370707">
              <w:rPr>
                <w:b/>
                <w:i w:val="0"/>
                <w:szCs w:val="20"/>
              </w:rPr>
              <w:t>9</w:t>
            </w:r>
            <w:r w:rsidR="00C22A9E" w:rsidRPr="00370707">
              <w:rPr>
                <w:b/>
                <w:i w:val="0"/>
                <w:szCs w:val="20"/>
              </w:rPr>
              <w:t>.0</w:t>
            </w:r>
          </w:p>
        </w:tc>
      </w:tr>
      <w:tr w:rsidR="0066329C"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66329C" w:rsidRPr="00370707" w:rsidRDefault="0066329C" w:rsidP="00FD467E">
            <w:pPr>
              <w:keepNext/>
              <w:keepLines/>
              <w:spacing w:before="0" w:after="0" w:line="240" w:lineRule="auto"/>
              <w:ind w:left="57" w:right="57"/>
              <w:rPr>
                <w:b/>
                <w:szCs w:val="20"/>
              </w:rPr>
            </w:pPr>
            <w:r w:rsidRPr="00370707">
              <w:rPr>
                <w:b/>
                <w:szCs w:val="20"/>
              </w:rPr>
              <w:t xml:space="preserve">Total </w:t>
            </w:r>
          </w:p>
        </w:tc>
        <w:tc>
          <w:tcPr>
            <w:tcW w:w="609" w:type="pct"/>
            <w:shd w:val="clear" w:color="auto" w:fill="D7DDE9"/>
          </w:tcPr>
          <w:p w:rsidR="0066329C" w:rsidRPr="00370707" w:rsidRDefault="0066329C"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shd w:val="clear" w:color="auto" w:fill="D7DDE9"/>
          </w:tcPr>
          <w:p w:rsidR="0066329C" w:rsidRPr="00370707" w:rsidRDefault="0066329C"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-91</w:t>
            </w:r>
            <w:r w:rsidR="00C22A9E" w:rsidRPr="00370707">
              <w:rPr>
                <w:b/>
                <w:i w:val="0"/>
                <w:szCs w:val="20"/>
              </w:rPr>
              <w:t>.0</w:t>
            </w:r>
          </w:p>
        </w:tc>
        <w:tc>
          <w:tcPr>
            <w:tcW w:w="609" w:type="pct"/>
            <w:shd w:val="clear" w:color="auto" w:fill="D7DDE9"/>
          </w:tcPr>
          <w:p w:rsidR="0066329C" w:rsidRPr="00370707" w:rsidRDefault="0066329C"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-176</w:t>
            </w:r>
            <w:r w:rsidR="00C22A9E" w:rsidRPr="00370707">
              <w:rPr>
                <w:b/>
                <w:i w:val="0"/>
                <w:szCs w:val="20"/>
              </w:rPr>
              <w:t>.0</w:t>
            </w:r>
          </w:p>
        </w:tc>
        <w:tc>
          <w:tcPr>
            <w:tcW w:w="610" w:type="pct"/>
            <w:shd w:val="clear" w:color="auto" w:fill="D7DDE9"/>
          </w:tcPr>
          <w:p w:rsidR="0066329C" w:rsidRPr="00370707" w:rsidRDefault="0066329C"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-268</w:t>
            </w:r>
            <w:r w:rsidR="00C22A9E" w:rsidRPr="00370707">
              <w:rPr>
                <w:b/>
                <w:i w:val="0"/>
                <w:szCs w:val="20"/>
              </w:rPr>
              <w:t>.0</w:t>
            </w:r>
          </w:p>
        </w:tc>
        <w:tc>
          <w:tcPr>
            <w:tcW w:w="609" w:type="pct"/>
            <w:shd w:val="clear" w:color="auto" w:fill="D7DDE9"/>
          </w:tcPr>
          <w:p w:rsidR="0066329C" w:rsidRPr="00370707" w:rsidRDefault="0066329C"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-536</w:t>
            </w:r>
            <w:r w:rsidR="00C22A9E" w:rsidRPr="00370707">
              <w:rPr>
                <w:b/>
                <w:i w:val="0"/>
                <w:szCs w:val="20"/>
              </w:rPr>
              <w:t>.0</w:t>
            </w:r>
          </w:p>
        </w:tc>
      </w:tr>
      <w:tr w:rsidR="00872EE6" w:rsidRPr="00370707" w:rsidTr="00630BB0">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808080"/>
            </w:tcBorders>
            <w:shd w:val="clear" w:color="auto" w:fill="E9ECF3"/>
          </w:tcPr>
          <w:p w:rsidR="00872EE6" w:rsidRPr="00370707" w:rsidRDefault="000B3847" w:rsidP="00FD467E">
            <w:pPr>
              <w:pStyle w:val="TableTextRight"/>
              <w:keepNext/>
              <w:keepLines/>
              <w:spacing w:before="0" w:after="0"/>
              <w:jc w:val="left"/>
              <w:rPr>
                <w:b/>
                <w:i w:val="0"/>
                <w:szCs w:val="20"/>
              </w:rPr>
            </w:pPr>
            <w:r w:rsidRPr="00370707">
              <w:rPr>
                <w:b/>
                <w:bCs/>
                <w:i w:val="0"/>
                <w:color w:val="000000"/>
                <w:szCs w:val="20"/>
              </w:rPr>
              <w:t>U</w:t>
            </w:r>
            <w:r w:rsidR="00872EE6" w:rsidRPr="00370707">
              <w:rPr>
                <w:b/>
                <w:bCs/>
                <w:i w:val="0"/>
                <w:color w:val="000000"/>
                <w:szCs w:val="20"/>
              </w:rPr>
              <w:t>nderlying cash balance</w:t>
            </w:r>
          </w:p>
        </w:tc>
      </w:tr>
      <w:tr w:rsidR="00A7062F" w:rsidRPr="00370707" w:rsidTr="00A7062F">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A7062F" w:rsidRPr="00A7062F" w:rsidRDefault="00A7062F" w:rsidP="00A7062F">
            <w:pPr>
              <w:pStyle w:val="TableTextRight"/>
              <w:keepNext/>
              <w:keepLines/>
              <w:spacing w:before="0" w:after="0"/>
              <w:ind w:left="170"/>
              <w:jc w:val="left"/>
              <w:rPr>
                <w:i w:val="0"/>
                <w:szCs w:val="20"/>
              </w:rPr>
            </w:pPr>
            <w:r w:rsidRPr="00A7062F">
              <w:rPr>
                <w:b/>
                <w:i w:val="0"/>
                <w:szCs w:val="20"/>
              </w:rPr>
              <w:t>Administered</w:t>
            </w:r>
          </w:p>
        </w:tc>
      </w:tr>
      <w:tr w:rsidR="00BA79AF"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BA79AF" w:rsidRPr="00370707" w:rsidRDefault="00BA79AF" w:rsidP="00FD467E">
            <w:pPr>
              <w:keepNext/>
              <w:keepLines/>
              <w:spacing w:before="0" w:after="0" w:line="240" w:lineRule="auto"/>
              <w:ind w:left="283" w:right="57"/>
              <w:rPr>
                <w:i/>
                <w:color w:val="000000"/>
                <w:szCs w:val="20"/>
              </w:rPr>
            </w:pPr>
            <w:r w:rsidRPr="00370707">
              <w:rPr>
                <w:i/>
                <w:color w:val="000000"/>
                <w:szCs w:val="20"/>
              </w:rPr>
              <w:t>Capped grants</w:t>
            </w:r>
          </w:p>
        </w:tc>
        <w:tc>
          <w:tcPr>
            <w:tcW w:w="609"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w:t>
            </w:r>
          </w:p>
        </w:tc>
        <w:tc>
          <w:tcPr>
            <w:tcW w:w="610"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-50</w:t>
            </w:r>
            <w:r w:rsidR="00C22A9E" w:rsidRPr="00370707">
              <w:rPr>
                <w:i/>
                <w:color w:val="000000"/>
                <w:szCs w:val="20"/>
              </w:rPr>
              <w:t>.0</w:t>
            </w:r>
          </w:p>
        </w:tc>
        <w:tc>
          <w:tcPr>
            <w:tcW w:w="609"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-50</w:t>
            </w:r>
            <w:r w:rsidR="00C22A9E" w:rsidRPr="00370707">
              <w:rPr>
                <w:i/>
                <w:color w:val="000000"/>
                <w:szCs w:val="20"/>
              </w:rPr>
              <w:t>.0</w:t>
            </w:r>
          </w:p>
        </w:tc>
        <w:tc>
          <w:tcPr>
            <w:tcW w:w="610"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-50</w:t>
            </w:r>
            <w:r w:rsidR="00C22A9E" w:rsidRPr="00370707">
              <w:rPr>
                <w:i/>
                <w:color w:val="000000"/>
                <w:szCs w:val="20"/>
              </w:rPr>
              <w:t>.0</w:t>
            </w:r>
          </w:p>
        </w:tc>
        <w:tc>
          <w:tcPr>
            <w:tcW w:w="609"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-150</w:t>
            </w:r>
            <w:r w:rsidR="00C22A9E" w:rsidRPr="00370707">
              <w:rPr>
                <w:b/>
                <w:i/>
                <w:color w:val="000000"/>
                <w:szCs w:val="20"/>
              </w:rPr>
              <w:t>.0</w:t>
            </w:r>
          </w:p>
        </w:tc>
      </w:tr>
      <w:tr w:rsidR="00BA79AF"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BA79AF" w:rsidRPr="00370707" w:rsidRDefault="00BA79AF" w:rsidP="00FD467E">
            <w:pPr>
              <w:keepNext/>
              <w:keepLines/>
              <w:spacing w:before="0" w:after="0" w:line="240" w:lineRule="auto"/>
              <w:ind w:left="283" w:right="57"/>
              <w:rPr>
                <w:i/>
                <w:color w:val="000000"/>
                <w:szCs w:val="20"/>
              </w:rPr>
            </w:pPr>
            <w:r w:rsidRPr="00370707">
              <w:rPr>
                <w:i/>
                <w:color w:val="000000"/>
                <w:szCs w:val="20"/>
              </w:rPr>
              <w:t xml:space="preserve">Flow-on to child care system </w:t>
            </w:r>
          </w:p>
        </w:tc>
        <w:tc>
          <w:tcPr>
            <w:tcW w:w="609"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w:t>
            </w:r>
          </w:p>
        </w:tc>
        <w:tc>
          <w:tcPr>
            <w:tcW w:w="610"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-35</w:t>
            </w:r>
            <w:r w:rsidR="00C22A9E" w:rsidRPr="00370707">
              <w:rPr>
                <w:i/>
                <w:color w:val="000000"/>
                <w:szCs w:val="20"/>
              </w:rPr>
              <w:t>.0</w:t>
            </w:r>
          </w:p>
        </w:tc>
        <w:tc>
          <w:tcPr>
            <w:tcW w:w="609"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-115</w:t>
            </w:r>
            <w:r w:rsidR="00C22A9E" w:rsidRPr="00370707">
              <w:rPr>
                <w:i/>
                <w:color w:val="000000"/>
                <w:szCs w:val="20"/>
              </w:rPr>
              <w:t>.0</w:t>
            </w:r>
          </w:p>
        </w:tc>
        <w:tc>
          <w:tcPr>
            <w:tcW w:w="610"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-206</w:t>
            </w:r>
            <w:r w:rsidR="00C22A9E" w:rsidRPr="00370707">
              <w:rPr>
                <w:i/>
                <w:color w:val="000000"/>
                <w:szCs w:val="20"/>
              </w:rPr>
              <w:t>.0</w:t>
            </w:r>
          </w:p>
        </w:tc>
        <w:tc>
          <w:tcPr>
            <w:tcW w:w="609" w:type="pct"/>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-355</w:t>
            </w:r>
            <w:r w:rsidR="00C22A9E" w:rsidRPr="00370707">
              <w:rPr>
                <w:b/>
                <w:i/>
                <w:color w:val="000000"/>
                <w:szCs w:val="20"/>
              </w:rPr>
              <w:t>.0</w:t>
            </w:r>
          </w:p>
        </w:tc>
      </w:tr>
      <w:tr w:rsidR="00BA79AF" w:rsidRPr="00370707" w:rsidTr="00630BB0">
        <w:trPr>
          <w:cantSplit/>
        </w:trPr>
        <w:tc>
          <w:tcPr>
            <w:cnfStyle w:val="001000000000" w:firstRow="0" w:lastRow="0" w:firstColumn="1" w:lastColumn="0" w:oddVBand="0" w:evenVBand="0" w:oddHBand="0" w:evenHBand="0" w:firstRowFirstColumn="0" w:firstRowLastColumn="0" w:lastRowFirstColumn="0" w:lastRowLastColumn="0"/>
            <w:tcW w:w="1953" w:type="pct"/>
            <w:tcBorders>
              <w:bottom w:val="single" w:sz="4" w:space="0" w:color="808080"/>
            </w:tcBorders>
          </w:tcPr>
          <w:p w:rsidR="00BA79AF" w:rsidRPr="00370707" w:rsidRDefault="00BA79AF" w:rsidP="00FD467E">
            <w:pPr>
              <w:keepNext/>
              <w:keepLines/>
              <w:spacing w:before="0" w:after="0" w:line="240" w:lineRule="auto"/>
              <w:ind w:left="170" w:right="57"/>
              <w:rPr>
                <w:b/>
                <w:szCs w:val="20"/>
              </w:rPr>
            </w:pPr>
            <w:r w:rsidRPr="00370707">
              <w:rPr>
                <w:b/>
                <w:szCs w:val="20"/>
              </w:rPr>
              <w:t>Total administered</w:t>
            </w:r>
          </w:p>
        </w:tc>
        <w:tc>
          <w:tcPr>
            <w:tcW w:w="609" w:type="pct"/>
            <w:tcBorders>
              <w:bottom w:val="single" w:sz="4" w:space="0" w:color="808080"/>
            </w:tcBorders>
          </w:tcPr>
          <w:p w:rsidR="00BA79AF" w:rsidRPr="00370707" w:rsidRDefault="00BA79AF"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tcBorders>
              <w:bottom w:val="single" w:sz="4" w:space="0" w:color="808080"/>
            </w:tcBorders>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-85</w:t>
            </w:r>
            <w:r w:rsidR="00C22A9E" w:rsidRPr="00370707">
              <w:rPr>
                <w:b/>
                <w:szCs w:val="20"/>
              </w:rPr>
              <w:t>.0</w:t>
            </w:r>
          </w:p>
        </w:tc>
        <w:tc>
          <w:tcPr>
            <w:tcW w:w="609" w:type="pct"/>
            <w:tcBorders>
              <w:bottom w:val="single" w:sz="4" w:space="0" w:color="808080"/>
            </w:tcBorders>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-165</w:t>
            </w:r>
            <w:r w:rsidR="00C22A9E" w:rsidRPr="00370707">
              <w:rPr>
                <w:b/>
                <w:szCs w:val="20"/>
              </w:rPr>
              <w:t>.0</w:t>
            </w:r>
          </w:p>
        </w:tc>
        <w:tc>
          <w:tcPr>
            <w:tcW w:w="610" w:type="pct"/>
            <w:tcBorders>
              <w:bottom w:val="single" w:sz="4" w:space="0" w:color="808080"/>
            </w:tcBorders>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-256</w:t>
            </w:r>
            <w:r w:rsidR="00C22A9E" w:rsidRPr="00370707">
              <w:rPr>
                <w:b/>
                <w:szCs w:val="20"/>
              </w:rPr>
              <w:t>.0</w:t>
            </w:r>
          </w:p>
        </w:tc>
        <w:tc>
          <w:tcPr>
            <w:tcW w:w="609" w:type="pct"/>
            <w:tcBorders>
              <w:bottom w:val="single" w:sz="4" w:space="0" w:color="808080"/>
            </w:tcBorders>
          </w:tcPr>
          <w:p w:rsidR="00BA79AF" w:rsidRPr="00370707" w:rsidRDefault="00BA79AF"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-505</w:t>
            </w:r>
            <w:r w:rsidR="00C22A9E" w:rsidRPr="00370707">
              <w:rPr>
                <w:b/>
                <w:szCs w:val="20"/>
              </w:rPr>
              <w:t>.0</w:t>
            </w:r>
          </w:p>
        </w:tc>
      </w:tr>
      <w:tr w:rsidR="00A7062F" w:rsidRPr="00370707" w:rsidTr="00A7062F">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A7062F" w:rsidRPr="00A7062F" w:rsidRDefault="00A7062F" w:rsidP="00A7062F">
            <w:pPr>
              <w:pStyle w:val="TableTextRight"/>
              <w:keepNext/>
              <w:keepLines/>
              <w:spacing w:before="0" w:after="0"/>
              <w:ind w:left="170"/>
              <w:jc w:val="left"/>
              <w:rPr>
                <w:b/>
                <w:i w:val="0"/>
                <w:szCs w:val="20"/>
              </w:rPr>
            </w:pPr>
            <w:r w:rsidRPr="00A7062F">
              <w:rPr>
                <w:b/>
                <w:i w:val="0"/>
                <w:szCs w:val="20"/>
              </w:rPr>
              <w:t>Departmental</w:t>
            </w:r>
          </w:p>
        </w:tc>
      </w:tr>
      <w:tr w:rsidR="00CB3830"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CB3830" w:rsidRPr="00370707" w:rsidRDefault="00CB3830" w:rsidP="00FD467E">
            <w:pPr>
              <w:keepNext/>
              <w:keepLines/>
              <w:spacing w:before="0" w:after="0" w:line="240" w:lineRule="auto"/>
              <w:ind w:left="283" w:right="57"/>
              <w:rPr>
                <w:i/>
                <w:color w:val="000000"/>
                <w:szCs w:val="20"/>
              </w:rPr>
            </w:pPr>
            <w:r w:rsidRPr="00370707">
              <w:rPr>
                <w:i/>
                <w:color w:val="000000"/>
                <w:szCs w:val="20"/>
              </w:rPr>
              <w:t>Departmental - DHS</w:t>
            </w:r>
          </w:p>
        </w:tc>
        <w:tc>
          <w:tcPr>
            <w:tcW w:w="609"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CB3830" w:rsidRPr="00370707" w:rsidRDefault="00531BC7"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w:t>
            </w:r>
          </w:p>
        </w:tc>
        <w:tc>
          <w:tcPr>
            <w:tcW w:w="609"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-1</w:t>
            </w:r>
            <w:r w:rsidR="00C22A9E" w:rsidRPr="00370707">
              <w:rPr>
                <w:i/>
                <w:color w:val="000000"/>
                <w:szCs w:val="20"/>
              </w:rPr>
              <w:t>.0</w:t>
            </w:r>
          </w:p>
        </w:tc>
        <w:tc>
          <w:tcPr>
            <w:tcW w:w="610"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-4</w:t>
            </w:r>
            <w:r w:rsidR="00C22A9E" w:rsidRPr="00370707">
              <w:rPr>
                <w:b/>
                <w:i/>
                <w:color w:val="000000"/>
                <w:szCs w:val="20"/>
              </w:rPr>
              <w:t>.0</w:t>
            </w:r>
          </w:p>
        </w:tc>
      </w:tr>
      <w:tr w:rsidR="00CB3830"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CB3830" w:rsidRPr="00370707" w:rsidRDefault="00CB3830" w:rsidP="00FD467E">
            <w:pPr>
              <w:keepNext/>
              <w:keepLines/>
              <w:spacing w:before="0" w:after="0" w:line="240" w:lineRule="auto"/>
              <w:ind w:left="283" w:right="57"/>
              <w:rPr>
                <w:i/>
                <w:color w:val="000000"/>
                <w:szCs w:val="20"/>
              </w:rPr>
            </w:pPr>
            <w:r w:rsidRPr="00370707">
              <w:rPr>
                <w:i/>
                <w:color w:val="000000"/>
                <w:szCs w:val="20"/>
              </w:rPr>
              <w:t xml:space="preserve">Departmental – DET </w:t>
            </w:r>
          </w:p>
        </w:tc>
        <w:tc>
          <w:tcPr>
            <w:tcW w:w="609"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i w:val="0"/>
                <w:szCs w:val="20"/>
              </w:rPr>
            </w:pPr>
            <w:r w:rsidRPr="00370707">
              <w:rPr>
                <w:i w:val="0"/>
                <w:szCs w:val="20"/>
              </w:rPr>
              <w:t>-</w:t>
            </w:r>
          </w:p>
        </w:tc>
        <w:tc>
          <w:tcPr>
            <w:tcW w:w="610"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10"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i/>
                <w:color w:val="000000"/>
                <w:szCs w:val="20"/>
              </w:rPr>
            </w:pPr>
            <w:r w:rsidRPr="00370707">
              <w:rPr>
                <w:i/>
                <w:color w:val="000000"/>
                <w:szCs w:val="20"/>
              </w:rPr>
              <w:t>-2</w:t>
            </w:r>
            <w:r w:rsidR="00C22A9E" w:rsidRPr="00370707">
              <w:rPr>
                <w:i/>
                <w:color w:val="000000"/>
                <w:szCs w:val="20"/>
              </w:rPr>
              <w:t>.0</w:t>
            </w:r>
          </w:p>
        </w:tc>
        <w:tc>
          <w:tcPr>
            <w:tcW w:w="609" w:type="pct"/>
          </w:tcPr>
          <w:p w:rsidR="00CB3830" w:rsidRPr="00370707" w:rsidRDefault="00CB3830"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i/>
                <w:color w:val="000000"/>
                <w:szCs w:val="20"/>
              </w:rPr>
            </w:pPr>
            <w:r w:rsidRPr="00370707">
              <w:rPr>
                <w:b/>
                <w:i/>
                <w:color w:val="000000"/>
                <w:szCs w:val="20"/>
              </w:rPr>
              <w:t>-5</w:t>
            </w:r>
            <w:r w:rsidR="00C22A9E" w:rsidRPr="00370707">
              <w:rPr>
                <w:b/>
                <w:i/>
                <w:color w:val="000000"/>
                <w:szCs w:val="20"/>
              </w:rPr>
              <w:t>.0</w:t>
            </w:r>
          </w:p>
        </w:tc>
      </w:tr>
      <w:tr w:rsidR="00CB3830"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tcPr>
          <w:p w:rsidR="00CB3830" w:rsidRPr="00370707" w:rsidRDefault="00CB3830" w:rsidP="00FD467E">
            <w:pPr>
              <w:keepNext/>
              <w:keepLines/>
              <w:spacing w:before="0" w:after="0" w:line="240" w:lineRule="auto"/>
              <w:ind w:left="170" w:right="57"/>
              <w:rPr>
                <w:b/>
                <w:szCs w:val="20"/>
              </w:rPr>
            </w:pPr>
            <w:r w:rsidRPr="00370707">
              <w:rPr>
                <w:b/>
                <w:szCs w:val="20"/>
              </w:rPr>
              <w:t>Total departmental</w:t>
            </w:r>
          </w:p>
        </w:tc>
        <w:tc>
          <w:tcPr>
            <w:tcW w:w="609"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-2</w:t>
            </w:r>
            <w:r w:rsidR="00C22A9E" w:rsidRPr="00370707">
              <w:rPr>
                <w:b/>
                <w:i w:val="0"/>
                <w:szCs w:val="20"/>
              </w:rPr>
              <w:t>.0</w:t>
            </w:r>
          </w:p>
        </w:tc>
        <w:tc>
          <w:tcPr>
            <w:tcW w:w="609"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-2</w:t>
            </w:r>
            <w:r w:rsidR="00C22A9E" w:rsidRPr="00370707">
              <w:rPr>
                <w:b/>
                <w:i w:val="0"/>
                <w:szCs w:val="20"/>
              </w:rPr>
              <w:t>.0</w:t>
            </w:r>
          </w:p>
        </w:tc>
        <w:tc>
          <w:tcPr>
            <w:tcW w:w="610"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-4</w:t>
            </w:r>
            <w:r w:rsidR="00C22A9E" w:rsidRPr="00370707">
              <w:rPr>
                <w:b/>
                <w:i w:val="0"/>
                <w:szCs w:val="20"/>
              </w:rPr>
              <w:t>.0</w:t>
            </w:r>
          </w:p>
        </w:tc>
        <w:tc>
          <w:tcPr>
            <w:tcW w:w="609" w:type="pct"/>
          </w:tcPr>
          <w:p w:rsidR="00CB3830" w:rsidRPr="00370707" w:rsidRDefault="00CB3830"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-9</w:t>
            </w:r>
            <w:r w:rsidR="00C22A9E" w:rsidRPr="00370707">
              <w:rPr>
                <w:b/>
                <w:i w:val="0"/>
                <w:szCs w:val="20"/>
              </w:rPr>
              <w:t>.0</w:t>
            </w:r>
          </w:p>
        </w:tc>
      </w:tr>
      <w:tr w:rsidR="00FC6657" w:rsidRPr="00370707" w:rsidTr="00AE49E2">
        <w:trPr>
          <w:cantSplit/>
        </w:trPr>
        <w:tc>
          <w:tcPr>
            <w:cnfStyle w:val="001000000000" w:firstRow="0" w:lastRow="0" w:firstColumn="1" w:lastColumn="0" w:oddVBand="0" w:evenVBand="0" w:oddHBand="0" w:evenHBand="0" w:firstRowFirstColumn="0" w:firstRowLastColumn="0" w:lastRowFirstColumn="0" w:lastRowLastColumn="0"/>
            <w:tcW w:w="1953" w:type="pct"/>
            <w:shd w:val="clear" w:color="auto" w:fill="D7DDE9"/>
          </w:tcPr>
          <w:p w:rsidR="00FC6657" w:rsidRPr="00370707" w:rsidRDefault="00FC6657" w:rsidP="00FD467E">
            <w:pPr>
              <w:keepNext/>
              <w:keepLines/>
              <w:spacing w:before="0" w:after="0" w:line="240" w:lineRule="auto"/>
              <w:ind w:left="57" w:right="57"/>
              <w:rPr>
                <w:b/>
                <w:szCs w:val="20"/>
              </w:rPr>
            </w:pPr>
            <w:r w:rsidRPr="00370707">
              <w:rPr>
                <w:b/>
                <w:szCs w:val="20"/>
              </w:rPr>
              <w:t>Total</w:t>
            </w:r>
          </w:p>
        </w:tc>
        <w:tc>
          <w:tcPr>
            <w:tcW w:w="609" w:type="pct"/>
            <w:shd w:val="clear" w:color="auto" w:fill="D7DDE9"/>
          </w:tcPr>
          <w:p w:rsidR="00FC6657" w:rsidRPr="00370707" w:rsidRDefault="00FC6657" w:rsidP="00FD467E">
            <w:pPr>
              <w:pStyle w:val="TableTextRight"/>
              <w:keepNext/>
              <w:keepLines/>
              <w:spacing w:before="0" w:after="0"/>
              <w:cnfStyle w:val="000000000000" w:firstRow="0" w:lastRow="0" w:firstColumn="0" w:lastColumn="0" w:oddVBand="0" w:evenVBand="0" w:oddHBand="0" w:evenHBand="0" w:firstRowFirstColumn="0" w:firstRowLastColumn="0" w:lastRowFirstColumn="0" w:lastRowLastColumn="0"/>
              <w:rPr>
                <w:b/>
                <w:i w:val="0"/>
                <w:szCs w:val="20"/>
              </w:rPr>
            </w:pPr>
            <w:r w:rsidRPr="00370707">
              <w:rPr>
                <w:b/>
                <w:i w:val="0"/>
                <w:szCs w:val="20"/>
              </w:rPr>
              <w:t>-</w:t>
            </w:r>
          </w:p>
        </w:tc>
        <w:tc>
          <w:tcPr>
            <w:tcW w:w="610" w:type="pct"/>
            <w:shd w:val="clear" w:color="auto" w:fill="D7DDE9"/>
          </w:tcPr>
          <w:p w:rsidR="00FC6657" w:rsidRPr="00370707" w:rsidRDefault="00FC6657"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-87</w:t>
            </w:r>
            <w:r w:rsidR="00C22A9E" w:rsidRPr="00370707">
              <w:rPr>
                <w:b/>
                <w:szCs w:val="20"/>
              </w:rPr>
              <w:t>.0</w:t>
            </w:r>
          </w:p>
        </w:tc>
        <w:tc>
          <w:tcPr>
            <w:tcW w:w="609" w:type="pct"/>
            <w:shd w:val="clear" w:color="auto" w:fill="D7DDE9"/>
          </w:tcPr>
          <w:p w:rsidR="00FC6657" w:rsidRPr="00370707" w:rsidRDefault="00FC6657"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-167</w:t>
            </w:r>
            <w:r w:rsidR="00C22A9E" w:rsidRPr="00370707">
              <w:rPr>
                <w:b/>
                <w:szCs w:val="20"/>
              </w:rPr>
              <w:t>.0</w:t>
            </w:r>
          </w:p>
        </w:tc>
        <w:tc>
          <w:tcPr>
            <w:tcW w:w="610" w:type="pct"/>
            <w:shd w:val="clear" w:color="auto" w:fill="D7DDE9"/>
          </w:tcPr>
          <w:p w:rsidR="00FC6657" w:rsidRPr="00370707" w:rsidRDefault="00FC6657"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-259</w:t>
            </w:r>
            <w:r w:rsidR="00C22A9E" w:rsidRPr="00370707">
              <w:rPr>
                <w:b/>
                <w:szCs w:val="20"/>
              </w:rPr>
              <w:t>.0</w:t>
            </w:r>
          </w:p>
        </w:tc>
        <w:tc>
          <w:tcPr>
            <w:tcW w:w="609" w:type="pct"/>
            <w:shd w:val="clear" w:color="auto" w:fill="D7DDE9"/>
          </w:tcPr>
          <w:p w:rsidR="00FC6657" w:rsidRPr="00370707" w:rsidRDefault="00FC6657" w:rsidP="00FD467E">
            <w:pPr>
              <w:keepNext/>
              <w:keepLines/>
              <w:spacing w:before="0" w:after="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70707">
              <w:rPr>
                <w:b/>
                <w:szCs w:val="20"/>
              </w:rPr>
              <w:t>-514</w:t>
            </w:r>
            <w:r w:rsidR="00C22A9E" w:rsidRPr="00370707">
              <w:rPr>
                <w:b/>
                <w:szCs w:val="20"/>
              </w:rPr>
              <w:t>.0</w:t>
            </w:r>
          </w:p>
        </w:tc>
      </w:tr>
    </w:tbl>
    <w:p w:rsidR="00375FF1" w:rsidRPr="00370707" w:rsidRDefault="00375FF1" w:rsidP="00FD467E">
      <w:pPr>
        <w:pStyle w:val="Footnotes"/>
        <w:keepNext/>
        <w:keepLines/>
        <w:numPr>
          <w:ilvl w:val="0"/>
          <w:numId w:val="35"/>
        </w:numPr>
        <w:ind w:left="284" w:hanging="284"/>
        <w:rPr>
          <w:rFonts w:ascii="Calibri" w:hAnsi="Calibri"/>
        </w:rPr>
      </w:pPr>
      <w:r w:rsidRPr="00DB3B7E">
        <w:t xml:space="preserve">A positive number indicates an increase in revenue or decrease in expenses or net capital investment in accrual and cash terms. </w:t>
      </w:r>
      <w:r>
        <w:t xml:space="preserve"> </w:t>
      </w:r>
      <w:r w:rsidRPr="00DB3B7E">
        <w:t xml:space="preserve">A negative number indicates a decrease in revenue or an increase in expenses or net capital investment in accrual and cash terms.  </w:t>
      </w:r>
    </w:p>
    <w:p w:rsidR="00375FF1" w:rsidRPr="00370707" w:rsidRDefault="00375FF1" w:rsidP="00FD467E">
      <w:pPr>
        <w:pStyle w:val="Footnotes"/>
        <w:keepNext/>
        <w:keepLines/>
        <w:numPr>
          <w:ilvl w:val="0"/>
          <w:numId w:val="35"/>
        </w:numPr>
        <w:ind w:left="284" w:hanging="284"/>
        <w:rPr>
          <w:rFonts w:ascii="Times New Roman" w:eastAsia="Times New Roman" w:hAnsi="Times New Roman"/>
          <w:lang w:eastAsia="en-AU"/>
        </w:rPr>
      </w:pPr>
      <w:r w:rsidRPr="00DB3B7E">
        <w:t>Figures may not sum to totals due to rounding.</w:t>
      </w:r>
    </w:p>
    <w:p w:rsidR="00712084" w:rsidRDefault="00712084" w:rsidP="00FD467E">
      <w:pPr>
        <w:pStyle w:val="Footnotes"/>
        <w:keepNext/>
        <w:keepLines/>
        <w:numPr>
          <w:ilvl w:val="0"/>
          <w:numId w:val="0"/>
        </w:numPr>
        <w:ind w:left="284" w:hanging="284"/>
      </w:pPr>
      <w:r>
        <w:t>..</w:t>
      </w:r>
      <w:r w:rsidR="00370707">
        <w:tab/>
      </w:r>
      <w:r>
        <w:t>Not zero but rounded to zero.</w:t>
      </w:r>
    </w:p>
    <w:p w:rsidR="001F7D6A" w:rsidRPr="00606BE7" w:rsidRDefault="00B228F9" w:rsidP="00370707">
      <w:pPr>
        <w:pStyle w:val="Footnotes"/>
        <w:numPr>
          <w:ilvl w:val="0"/>
          <w:numId w:val="31"/>
        </w:numPr>
        <w:ind w:left="284" w:hanging="284"/>
      </w:pPr>
      <w:r>
        <w:t>Indicates nil.</w:t>
      </w:r>
    </w:p>
    <w:sectPr w:rsidR="001F7D6A" w:rsidRPr="00606BE7" w:rsidSect="00606BE7">
      <w:headerReference w:type="first" r:id="rId15"/>
      <w:footerReference w:type="first" r:id="rId16"/>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E2" w:rsidRDefault="00AE49E2" w:rsidP="008F588A">
      <w:pPr>
        <w:spacing w:line="240" w:lineRule="auto"/>
      </w:pPr>
      <w:r>
        <w:separator/>
      </w:r>
    </w:p>
    <w:p w:rsidR="00AE49E2" w:rsidRDefault="00AE49E2"/>
  </w:endnote>
  <w:endnote w:type="continuationSeparator" w:id="0">
    <w:p w:rsidR="00AE49E2" w:rsidRDefault="00AE49E2" w:rsidP="008F588A">
      <w:pPr>
        <w:spacing w:line="240" w:lineRule="auto"/>
      </w:pPr>
      <w:r>
        <w:continuationSeparator/>
      </w:r>
    </w:p>
    <w:p w:rsidR="00AE49E2" w:rsidRDefault="00AE4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Pr="00C24267" w:rsidRDefault="00AE49E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3E7FAD">
      <w:rPr>
        <w:noProof/>
      </w:rPr>
      <w:t>7</w:t>
    </w:r>
    <w:r w:rsidRPr="00C24267">
      <w:fldChar w:fldCharType="end"/>
    </w:r>
    <w:r w:rsidRPr="00C24267">
      <w:t xml:space="preserve"> of </w:t>
    </w:r>
    <w:r w:rsidR="003E7FAD">
      <w:fldChar w:fldCharType="begin"/>
    </w:r>
    <w:r w:rsidR="003E7FAD">
      <w:instrText xml:space="preserve"> NUMPAGES  \* Arabic  \* MERGEFORMAT </w:instrText>
    </w:r>
    <w:r w:rsidR="003E7FAD">
      <w:fldChar w:fldCharType="separate"/>
    </w:r>
    <w:r w:rsidR="003E7FAD">
      <w:rPr>
        <w:noProof/>
      </w:rPr>
      <w:t>7</w:t>
    </w:r>
    <w:r w:rsidR="003E7FA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Pr="00C24267" w:rsidRDefault="00AE49E2" w:rsidP="00C24267">
    <w:pPr>
      <w:pStyle w:val="Letterfooter"/>
    </w:pPr>
    <w:r w:rsidRPr="00C24267">
      <w:t>Parliamentary Budget Office   PO Box 6010   Parliament House   Canberra ACT 2600</w:t>
    </w:r>
  </w:p>
  <w:p w:rsidR="00AE49E2" w:rsidRPr="00C24267" w:rsidRDefault="00AE49E2"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Pr="00C24267" w:rsidRDefault="00AE49E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3E7FAD">
      <w:rPr>
        <w:noProof/>
      </w:rPr>
      <w:t>2</w:t>
    </w:r>
    <w:r w:rsidRPr="00C24267">
      <w:fldChar w:fldCharType="end"/>
    </w:r>
    <w:r w:rsidRPr="00C24267">
      <w:t xml:space="preserve"> of </w:t>
    </w:r>
    <w:r w:rsidR="003E7FAD">
      <w:fldChar w:fldCharType="begin"/>
    </w:r>
    <w:r w:rsidR="003E7FAD">
      <w:instrText xml:space="preserve"> NUMPAGES  \* Arabic  \* MERGEFORMAT </w:instrText>
    </w:r>
    <w:r w:rsidR="003E7FAD">
      <w:fldChar w:fldCharType="separate"/>
    </w:r>
    <w:r w:rsidR="003E7FAD">
      <w:rPr>
        <w:noProof/>
      </w:rPr>
      <w:t>7</w:t>
    </w:r>
    <w:r w:rsidR="003E7FAD">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Pr="00C24267" w:rsidRDefault="00AE49E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3E7FAD">
      <w:rPr>
        <w:noProof/>
      </w:rPr>
      <w:t>5</w:t>
    </w:r>
    <w:r w:rsidRPr="00C24267">
      <w:fldChar w:fldCharType="end"/>
    </w:r>
    <w:r w:rsidRPr="00C24267">
      <w:t xml:space="preserve"> of </w:t>
    </w:r>
    <w:r w:rsidR="003E7FAD">
      <w:fldChar w:fldCharType="begin"/>
    </w:r>
    <w:r w:rsidR="003E7FAD">
      <w:instrText xml:space="preserve"> NUMPAGES  \* Arabic  \* MERGEFORMAT </w:instrText>
    </w:r>
    <w:r w:rsidR="003E7FAD">
      <w:fldChar w:fldCharType="separate"/>
    </w:r>
    <w:r w:rsidR="003E7FAD">
      <w:rPr>
        <w:noProof/>
      </w:rPr>
      <w:t>7</w:t>
    </w:r>
    <w:r w:rsidR="003E7FA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E2" w:rsidRDefault="00AE49E2" w:rsidP="00931D90">
      <w:pPr>
        <w:spacing w:line="240" w:lineRule="auto"/>
      </w:pPr>
      <w:r>
        <w:separator/>
      </w:r>
    </w:p>
  </w:footnote>
  <w:footnote w:type="continuationSeparator" w:id="0">
    <w:p w:rsidR="00AE49E2" w:rsidRDefault="00AE49E2" w:rsidP="008F588A">
      <w:pPr>
        <w:spacing w:line="240" w:lineRule="auto"/>
      </w:pPr>
      <w:r>
        <w:continuationSeparator/>
      </w:r>
    </w:p>
    <w:p w:rsidR="00AE49E2" w:rsidRDefault="00AE49E2"/>
  </w:footnote>
  <w:footnote w:id="1">
    <w:p w:rsidR="00AE49E2" w:rsidRPr="00951F4B" w:rsidRDefault="00AE49E2">
      <w:pPr>
        <w:pStyle w:val="FootnoteText"/>
        <w:rPr>
          <w:rFonts w:ascii="Calibri" w:hAnsi="Calibri"/>
        </w:rPr>
      </w:pPr>
      <w:r>
        <w:rPr>
          <w:rStyle w:val="FootnoteReference"/>
        </w:rPr>
        <w:footnoteRef/>
      </w:r>
      <w:r>
        <w:t xml:space="preserve"> </w:t>
      </w:r>
      <w:r w:rsidRPr="006277A7">
        <w:rPr>
          <w:rFonts w:asciiTheme="minorHAnsi" w:hAnsiTheme="minorHAnsi"/>
        </w:rPr>
        <w:t xml:space="preserve">Announced at the 2015-16 Budget, the Community Child Care Fund will provide additional support </w:t>
      </w:r>
      <w:r w:rsidRPr="00951F4B">
        <w:rPr>
          <w:rFonts w:ascii="Calibri" w:hAnsi="Calibri"/>
        </w:rPr>
        <w:t>to increase the supply of child care places in areas of high unmet demand.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Default="00AE49E2" w:rsidP="00CB40E1">
    <w:pPr>
      <w:pStyle w:val="Header"/>
    </w:pPr>
    <w:r>
      <w:rPr>
        <w:noProof/>
        <w:lang w:eastAsia="en-AU"/>
      </w:rPr>
      <w:drawing>
        <wp:inline distT="0" distB="0" distL="0" distR="0" wp14:anchorId="34ADF1DE" wp14:editId="1024A473">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AE49E2" w:rsidRPr="00DA1C8A" w:rsidRDefault="00AE49E2"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Pr="00C17112" w:rsidRDefault="00AE49E2" w:rsidP="00C17112">
    <w:pPr>
      <w:pStyle w:val="Header"/>
    </w:pPr>
    <w:r>
      <w:rPr>
        <w:noProof/>
        <w:lang w:eastAsia="en-AU"/>
      </w:rPr>
      <w:drawing>
        <wp:inline distT="0" distB="0" distL="0" distR="0" wp14:anchorId="6F04BA23" wp14:editId="2365D351">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2" w:rsidRPr="00A815F6" w:rsidRDefault="00AE49E2" w:rsidP="00A81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2CF60478"/>
    <w:multiLevelType w:val="hybridMultilevel"/>
    <w:tmpl w:val="40FC8170"/>
    <w:lvl w:ilvl="0" w:tplc="91CE37C0">
      <w:start w:val="2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E45E35"/>
    <w:multiLevelType w:val="hybridMultilevel"/>
    <w:tmpl w:val="555E5CA8"/>
    <w:lvl w:ilvl="0" w:tplc="04FA38DC">
      <w:start w:val="1"/>
      <w:numFmt w:val="lowerLetter"/>
      <w:pStyle w:val="Footnotes"/>
      <w:lvlText w:val="(%1)"/>
      <w:lvlJc w:val="left"/>
      <w:pPr>
        <w:ind w:left="360" w:hanging="360"/>
      </w:pPr>
      <w:rPr>
        <w:rFonts w:ascii="Calibri" w:hAnsi="Calibri"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9">
    <w:nsid w:val="387B7ABA"/>
    <w:multiLevelType w:val="hybridMultilevel"/>
    <w:tmpl w:val="0004F682"/>
    <w:lvl w:ilvl="0" w:tplc="F54E42C8">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abstractNum w:abstractNumId="10">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80262ED"/>
    <w:multiLevelType w:val="hybridMultilevel"/>
    <w:tmpl w:val="CED41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3A1961"/>
    <w:multiLevelType w:val="hybridMultilevel"/>
    <w:tmpl w:val="9F3C5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9EA63D9"/>
    <w:multiLevelType w:val="hybridMultilevel"/>
    <w:tmpl w:val="92E4AE7E"/>
    <w:lvl w:ilvl="0" w:tplc="CC7AE5C8">
      <w:start w:val="1"/>
      <w:numFmt w:val="lowerLetter"/>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3"/>
  </w:num>
  <w:num w:numId="2">
    <w:abstractNumId w:val="6"/>
  </w:num>
  <w:num w:numId="3">
    <w:abstractNumId w:val="4"/>
  </w:num>
  <w:num w:numId="4">
    <w:abstractNumId w:val="5"/>
  </w:num>
  <w:num w:numId="5">
    <w:abstractNumId w:val="13"/>
  </w:num>
  <w:num w:numId="6">
    <w:abstractNumId w:val="8"/>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
  </w:num>
  <w:num w:numId="12">
    <w:abstractNumId w:val="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0"/>
  </w:num>
  <w:num w:numId="18">
    <w:abstractNumId w:val="2"/>
  </w:num>
  <w:num w:numId="19">
    <w:abstractNumId w:val="14"/>
  </w:num>
  <w:num w:numId="20">
    <w:abstractNumId w:val="12"/>
  </w:num>
  <w:num w:numId="21">
    <w:abstractNumId w:val="1"/>
  </w:num>
  <w:num w:numId="22">
    <w:abstractNumId w:val="8"/>
    <w:lvlOverride w:ilvl="0">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lvlOverride w:ilvl="0">
      <w:startOverride w:val="1"/>
    </w:lvlOverride>
  </w:num>
  <w:num w:numId="27">
    <w:abstractNumId w:val="15"/>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7"/>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7E"/>
    <w:rsid w:val="00002D5D"/>
    <w:rsid w:val="00004AFF"/>
    <w:rsid w:val="00015FB2"/>
    <w:rsid w:val="00023747"/>
    <w:rsid w:val="00024933"/>
    <w:rsid w:val="00040DCE"/>
    <w:rsid w:val="00060DA7"/>
    <w:rsid w:val="00060F22"/>
    <w:rsid w:val="00087C75"/>
    <w:rsid w:val="00096F3A"/>
    <w:rsid w:val="000A06D9"/>
    <w:rsid w:val="000A2912"/>
    <w:rsid w:val="000A5439"/>
    <w:rsid w:val="000A6FB3"/>
    <w:rsid w:val="000B3847"/>
    <w:rsid w:val="000B3E3C"/>
    <w:rsid w:val="000B5465"/>
    <w:rsid w:val="000C1A75"/>
    <w:rsid w:val="000D4C03"/>
    <w:rsid w:val="000D623C"/>
    <w:rsid w:val="000E2725"/>
    <w:rsid w:val="00107FD6"/>
    <w:rsid w:val="00113CB3"/>
    <w:rsid w:val="00123A6D"/>
    <w:rsid w:val="00125FBA"/>
    <w:rsid w:val="001278D0"/>
    <w:rsid w:val="001407A0"/>
    <w:rsid w:val="00141EE6"/>
    <w:rsid w:val="0014239B"/>
    <w:rsid w:val="001672E4"/>
    <w:rsid w:val="00183346"/>
    <w:rsid w:val="00184C1D"/>
    <w:rsid w:val="00185E1E"/>
    <w:rsid w:val="001A02D1"/>
    <w:rsid w:val="001A3B47"/>
    <w:rsid w:val="001A3E4F"/>
    <w:rsid w:val="001B3F8C"/>
    <w:rsid w:val="001F6FE1"/>
    <w:rsid w:val="001F7D6A"/>
    <w:rsid w:val="002039C6"/>
    <w:rsid w:val="00220BE5"/>
    <w:rsid w:val="002233A1"/>
    <w:rsid w:val="002402CC"/>
    <w:rsid w:val="002422A3"/>
    <w:rsid w:val="00245EA7"/>
    <w:rsid w:val="00274928"/>
    <w:rsid w:val="0028331A"/>
    <w:rsid w:val="002B6816"/>
    <w:rsid w:val="002C22AF"/>
    <w:rsid w:val="002C2D4B"/>
    <w:rsid w:val="002D2F63"/>
    <w:rsid w:val="002D3FAE"/>
    <w:rsid w:val="002E24E7"/>
    <w:rsid w:val="002E3B5A"/>
    <w:rsid w:val="00302BBC"/>
    <w:rsid w:val="00306C72"/>
    <w:rsid w:val="00315A63"/>
    <w:rsid w:val="00315E34"/>
    <w:rsid w:val="0032483C"/>
    <w:rsid w:val="00326DE2"/>
    <w:rsid w:val="0033107E"/>
    <w:rsid w:val="00354545"/>
    <w:rsid w:val="003577EE"/>
    <w:rsid w:val="00357F8D"/>
    <w:rsid w:val="00361A7F"/>
    <w:rsid w:val="0036742B"/>
    <w:rsid w:val="00370707"/>
    <w:rsid w:val="00372AEB"/>
    <w:rsid w:val="00375FF1"/>
    <w:rsid w:val="003766A3"/>
    <w:rsid w:val="00384521"/>
    <w:rsid w:val="00384B91"/>
    <w:rsid w:val="00397AEC"/>
    <w:rsid w:val="003A2195"/>
    <w:rsid w:val="003B0777"/>
    <w:rsid w:val="003B474B"/>
    <w:rsid w:val="003C0B5D"/>
    <w:rsid w:val="003C3C44"/>
    <w:rsid w:val="003C485B"/>
    <w:rsid w:val="003D7744"/>
    <w:rsid w:val="003E2FDA"/>
    <w:rsid w:val="003E4F5F"/>
    <w:rsid w:val="003E7FAD"/>
    <w:rsid w:val="003F096A"/>
    <w:rsid w:val="003F35B2"/>
    <w:rsid w:val="003F73CA"/>
    <w:rsid w:val="00410A2C"/>
    <w:rsid w:val="00414C2A"/>
    <w:rsid w:val="004154E0"/>
    <w:rsid w:val="004357ED"/>
    <w:rsid w:val="0044039A"/>
    <w:rsid w:val="00440E32"/>
    <w:rsid w:val="00452F76"/>
    <w:rsid w:val="00461597"/>
    <w:rsid w:val="004707DD"/>
    <w:rsid w:val="00477659"/>
    <w:rsid w:val="00485374"/>
    <w:rsid w:val="004861D7"/>
    <w:rsid w:val="0049587E"/>
    <w:rsid w:val="004A78B9"/>
    <w:rsid w:val="004C283B"/>
    <w:rsid w:val="004D13ED"/>
    <w:rsid w:val="004D5525"/>
    <w:rsid w:val="004D63D8"/>
    <w:rsid w:val="004D7436"/>
    <w:rsid w:val="004F63E4"/>
    <w:rsid w:val="005035DA"/>
    <w:rsid w:val="00505607"/>
    <w:rsid w:val="00507897"/>
    <w:rsid w:val="00514C31"/>
    <w:rsid w:val="00515A85"/>
    <w:rsid w:val="00515F9F"/>
    <w:rsid w:val="00527298"/>
    <w:rsid w:val="00531BC7"/>
    <w:rsid w:val="00545F24"/>
    <w:rsid w:val="00547476"/>
    <w:rsid w:val="005526C8"/>
    <w:rsid w:val="00552879"/>
    <w:rsid w:val="0055581F"/>
    <w:rsid w:val="0056229A"/>
    <w:rsid w:val="00563A5F"/>
    <w:rsid w:val="005646A8"/>
    <w:rsid w:val="00566B6E"/>
    <w:rsid w:val="00570154"/>
    <w:rsid w:val="00570B5A"/>
    <w:rsid w:val="005750E7"/>
    <w:rsid w:val="00584C63"/>
    <w:rsid w:val="00587422"/>
    <w:rsid w:val="005B117D"/>
    <w:rsid w:val="005B1A4A"/>
    <w:rsid w:val="005B7B75"/>
    <w:rsid w:val="005C21C9"/>
    <w:rsid w:val="005C530D"/>
    <w:rsid w:val="005C6967"/>
    <w:rsid w:val="005C7740"/>
    <w:rsid w:val="005E3562"/>
    <w:rsid w:val="005E5B35"/>
    <w:rsid w:val="005F7DE0"/>
    <w:rsid w:val="00606BE7"/>
    <w:rsid w:val="006149CD"/>
    <w:rsid w:val="00615B0E"/>
    <w:rsid w:val="006277A7"/>
    <w:rsid w:val="00630BB0"/>
    <w:rsid w:val="00640346"/>
    <w:rsid w:val="006415C4"/>
    <w:rsid w:val="00644393"/>
    <w:rsid w:val="00646252"/>
    <w:rsid w:val="00651589"/>
    <w:rsid w:val="00660385"/>
    <w:rsid w:val="00662E65"/>
    <w:rsid w:val="0066329C"/>
    <w:rsid w:val="0066665A"/>
    <w:rsid w:val="0067755F"/>
    <w:rsid w:val="00692DD8"/>
    <w:rsid w:val="006A0791"/>
    <w:rsid w:val="006D66C3"/>
    <w:rsid w:val="006E27A1"/>
    <w:rsid w:val="006F0CE9"/>
    <w:rsid w:val="006F1249"/>
    <w:rsid w:val="006F60CD"/>
    <w:rsid w:val="00702B93"/>
    <w:rsid w:val="00712084"/>
    <w:rsid w:val="007144A4"/>
    <w:rsid w:val="007202A8"/>
    <w:rsid w:val="007229A9"/>
    <w:rsid w:val="00745553"/>
    <w:rsid w:val="00762F31"/>
    <w:rsid w:val="00782D3F"/>
    <w:rsid w:val="00795555"/>
    <w:rsid w:val="007B029A"/>
    <w:rsid w:val="007B72B4"/>
    <w:rsid w:val="007D33AA"/>
    <w:rsid w:val="007D3577"/>
    <w:rsid w:val="007D64CD"/>
    <w:rsid w:val="007D65CB"/>
    <w:rsid w:val="007E6B23"/>
    <w:rsid w:val="007F7BCF"/>
    <w:rsid w:val="008014BE"/>
    <w:rsid w:val="008030EC"/>
    <w:rsid w:val="00811D6D"/>
    <w:rsid w:val="00817E8E"/>
    <w:rsid w:val="00833946"/>
    <w:rsid w:val="00841C3A"/>
    <w:rsid w:val="00844776"/>
    <w:rsid w:val="008617D2"/>
    <w:rsid w:val="00864BA5"/>
    <w:rsid w:val="008726BE"/>
    <w:rsid w:val="00872EE6"/>
    <w:rsid w:val="008850D9"/>
    <w:rsid w:val="008908AF"/>
    <w:rsid w:val="008914CF"/>
    <w:rsid w:val="00894C13"/>
    <w:rsid w:val="00895E3E"/>
    <w:rsid w:val="00897F92"/>
    <w:rsid w:val="008A0814"/>
    <w:rsid w:val="008A4578"/>
    <w:rsid w:val="008A7DBE"/>
    <w:rsid w:val="008B0C3E"/>
    <w:rsid w:val="008C03C3"/>
    <w:rsid w:val="008C3AEF"/>
    <w:rsid w:val="008D1C46"/>
    <w:rsid w:val="008D3909"/>
    <w:rsid w:val="008D6ECA"/>
    <w:rsid w:val="008F16AC"/>
    <w:rsid w:val="008F588A"/>
    <w:rsid w:val="009004B9"/>
    <w:rsid w:val="00902D2D"/>
    <w:rsid w:val="009074EA"/>
    <w:rsid w:val="009128EE"/>
    <w:rsid w:val="00915804"/>
    <w:rsid w:val="009210FD"/>
    <w:rsid w:val="009303A0"/>
    <w:rsid w:val="00931D90"/>
    <w:rsid w:val="00936DC3"/>
    <w:rsid w:val="00946FDF"/>
    <w:rsid w:val="00951F4B"/>
    <w:rsid w:val="00957285"/>
    <w:rsid w:val="009573AF"/>
    <w:rsid w:val="00977D7B"/>
    <w:rsid w:val="00984540"/>
    <w:rsid w:val="009958F0"/>
    <w:rsid w:val="009963ED"/>
    <w:rsid w:val="009A5D14"/>
    <w:rsid w:val="009C11E2"/>
    <w:rsid w:val="009D4063"/>
    <w:rsid w:val="009D5A52"/>
    <w:rsid w:val="009E1C72"/>
    <w:rsid w:val="00A06CF6"/>
    <w:rsid w:val="00A0756E"/>
    <w:rsid w:val="00A24500"/>
    <w:rsid w:val="00A41690"/>
    <w:rsid w:val="00A41BD3"/>
    <w:rsid w:val="00A449C2"/>
    <w:rsid w:val="00A46F97"/>
    <w:rsid w:val="00A56A6D"/>
    <w:rsid w:val="00A643ED"/>
    <w:rsid w:val="00A6587D"/>
    <w:rsid w:val="00A65EA3"/>
    <w:rsid w:val="00A7062F"/>
    <w:rsid w:val="00A7322F"/>
    <w:rsid w:val="00A815F6"/>
    <w:rsid w:val="00A96505"/>
    <w:rsid w:val="00AA3D6F"/>
    <w:rsid w:val="00AB363E"/>
    <w:rsid w:val="00AB489F"/>
    <w:rsid w:val="00AB55AE"/>
    <w:rsid w:val="00AB595A"/>
    <w:rsid w:val="00AB6F7D"/>
    <w:rsid w:val="00AC7878"/>
    <w:rsid w:val="00AD493E"/>
    <w:rsid w:val="00AD5692"/>
    <w:rsid w:val="00AE30B5"/>
    <w:rsid w:val="00AE49E2"/>
    <w:rsid w:val="00AE5755"/>
    <w:rsid w:val="00B06055"/>
    <w:rsid w:val="00B127AB"/>
    <w:rsid w:val="00B228F9"/>
    <w:rsid w:val="00B44D8A"/>
    <w:rsid w:val="00B53C7C"/>
    <w:rsid w:val="00B5421C"/>
    <w:rsid w:val="00B73AC8"/>
    <w:rsid w:val="00B747A7"/>
    <w:rsid w:val="00B9298E"/>
    <w:rsid w:val="00B935B5"/>
    <w:rsid w:val="00BA2BBF"/>
    <w:rsid w:val="00BA5049"/>
    <w:rsid w:val="00BA65B2"/>
    <w:rsid w:val="00BA79AF"/>
    <w:rsid w:val="00BC559C"/>
    <w:rsid w:val="00BD03CF"/>
    <w:rsid w:val="00BF1033"/>
    <w:rsid w:val="00BF3FDF"/>
    <w:rsid w:val="00C17112"/>
    <w:rsid w:val="00C22A9E"/>
    <w:rsid w:val="00C24267"/>
    <w:rsid w:val="00C31BFF"/>
    <w:rsid w:val="00C6302C"/>
    <w:rsid w:val="00C63A68"/>
    <w:rsid w:val="00C670F2"/>
    <w:rsid w:val="00C73735"/>
    <w:rsid w:val="00C773F9"/>
    <w:rsid w:val="00C85A8C"/>
    <w:rsid w:val="00C87A90"/>
    <w:rsid w:val="00C97839"/>
    <w:rsid w:val="00CA12A0"/>
    <w:rsid w:val="00CA5D42"/>
    <w:rsid w:val="00CB3830"/>
    <w:rsid w:val="00CB40E1"/>
    <w:rsid w:val="00CD3009"/>
    <w:rsid w:val="00CD5B5C"/>
    <w:rsid w:val="00CF6DB6"/>
    <w:rsid w:val="00CF7D9A"/>
    <w:rsid w:val="00D04DA6"/>
    <w:rsid w:val="00D1099F"/>
    <w:rsid w:val="00D134CA"/>
    <w:rsid w:val="00D23D69"/>
    <w:rsid w:val="00D35329"/>
    <w:rsid w:val="00D471AB"/>
    <w:rsid w:val="00D52D5F"/>
    <w:rsid w:val="00D72037"/>
    <w:rsid w:val="00D747D2"/>
    <w:rsid w:val="00D805AE"/>
    <w:rsid w:val="00D9055D"/>
    <w:rsid w:val="00D949A3"/>
    <w:rsid w:val="00DA1506"/>
    <w:rsid w:val="00DA1C8A"/>
    <w:rsid w:val="00DA3B55"/>
    <w:rsid w:val="00DB44F0"/>
    <w:rsid w:val="00DB489A"/>
    <w:rsid w:val="00DD109E"/>
    <w:rsid w:val="00DD3E18"/>
    <w:rsid w:val="00DD438D"/>
    <w:rsid w:val="00DD5004"/>
    <w:rsid w:val="00DE7C65"/>
    <w:rsid w:val="00DF2BD7"/>
    <w:rsid w:val="00E12103"/>
    <w:rsid w:val="00E15AAE"/>
    <w:rsid w:val="00E21184"/>
    <w:rsid w:val="00E40B8B"/>
    <w:rsid w:val="00E5015D"/>
    <w:rsid w:val="00E50812"/>
    <w:rsid w:val="00E51A70"/>
    <w:rsid w:val="00E55309"/>
    <w:rsid w:val="00E5742E"/>
    <w:rsid w:val="00E676CD"/>
    <w:rsid w:val="00E82BA2"/>
    <w:rsid w:val="00E92883"/>
    <w:rsid w:val="00EA265F"/>
    <w:rsid w:val="00EA5685"/>
    <w:rsid w:val="00EB0552"/>
    <w:rsid w:val="00EB1D7E"/>
    <w:rsid w:val="00EC0B83"/>
    <w:rsid w:val="00EC2F18"/>
    <w:rsid w:val="00EC6A59"/>
    <w:rsid w:val="00ED43FF"/>
    <w:rsid w:val="00ED7A4D"/>
    <w:rsid w:val="00EE6600"/>
    <w:rsid w:val="00EF1D6A"/>
    <w:rsid w:val="00EF2E51"/>
    <w:rsid w:val="00EF66D9"/>
    <w:rsid w:val="00F10147"/>
    <w:rsid w:val="00F21865"/>
    <w:rsid w:val="00F24A5D"/>
    <w:rsid w:val="00F31E24"/>
    <w:rsid w:val="00F31E79"/>
    <w:rsid w:val="00F34818"/>
    <w:rsid w:val="00F4535C"/>
    <w:rsid w:val="00F52474"/>
    <w:rsid w:val="00F5529D"/>
    <w:rsid w:val="00F5669E"/>
    <w:rsid w:val="00F75D33"/>
    <w:rsid w:val="00F84BA7"/>
    <w:rsid w:val="00F954CF"/>
    <w:rsid w:val="00F97DFF"/>
    <w:rsid w:val="00FB077C"/>
    <w:rsid w:val="00FB3901"/>
    <w:rsid w:val="00FB696A"/>
    <w:rsid w:val="00FB7CAF"/>
    <w:rsid w:val="00FC6579"/>
    <w:rsid w:val="00FC6657"/>
    <w:rsid w:val="00FD3FB3"/>
    <w:rsid w:val="00FD467E"/>
    <w:rsid w:val="00FE1053"/>
    <w:rsid w:val="00FE57C2"/>
    <w:rsid w:val="00FE6644"/>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A41690"/>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A41690"/>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paragraph" w:customStyle="1" w:styleId="Bullet4">
    <w:name w:val="Bullet 4"/>
    <w:basedOn w:val="Normal"/>
    <w:qFormat/>
    <w:rsid w:val="0036742B"/>
    <w:pPr>
      <w:spacing w:before="120" w:after="0" w:line="240" w:lineRule="auto"/>
      <w:ind w:left="1135" w:hanging="284"/>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36742B"/>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6742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6742B"/>
    <w:rPr>
      <w:vertAlign w:val="superscript"/>
    </w:rPr>
  </w:style>
  <w:style w:type="character" w:styleId="CommentReference">
    <w:name w:val="annotation reference"/>
    <w:basedOn w:val="DefaultParagraphFont"/>
    <w:uiPriority w:val="99"/>
    <w:semiHidden/>
    <w:unhideWhenUsed/>
    <w:rsid w:val="00477659"/>
    <w:rPr>
      <w:sz w:val="16"/>
      <w:szCs w:val="16"/>
    </w:rPr>
  </w:style>
  <w:style w:type="paragraph" w:styleId="CommentText">
    <w:name w:val="annotation text"/>
    <w:basedOn w:val="Normal"/>
    <w:link w:val="CommentTextChar"/>
    <w:uiPriority w:val="99"/>
    <w:semiHidden/>
    <w:unhideWhenUsed/>
    <w:rsid w:val="00477659"/>
    <w:pPr>
      <w:spacing w:line="240" w:lineRule="auto"/>
    </w:pPr>
    <w:rPr>
      <w:sz w:val="20"/>
      <w:szCs w:val="20"/>
    </w:rPr>
  </w:style>
  <w:style w:type="character" w:customStyle="1" w:styleId="CommentTextChar">
    <w:name w:val="Comment Text Char"/>
    <w:basedOn w:val="DefaultParagraphFont"/>
    <w:link w:val="CommentText"/>
    <w:uiPriority w:val="99"/>
    <w:semiHidden/>
    <w:rsid w:val="00477659"/>
    <w:rPr>
      <w:sz w:val="20"/>
      <w:szCs w:val="20"/>
    </w:rPr>
  </w:style>
  <w:style w:type="paragraph" w:styleId="CommentSubject">
    <w:name w:val="annotation subject"/>
    <w:basedOn w:val="CommentText"/>
    <w:next w:val="CommentText"/>
    <w:link w:val="CommentSubjectChar"/>
    <w:uiPriority w:val="99"/>
    <w:semiHidden/>
    <w:unhideWhenUsed/>
    <w:rsid w:val="00477659"/>
    <w:rPr>
      <w:b/>
      <w:bCs/>
    </w:rPr>
  </w:style>
  <w:style w:type="character" w:customStyle="1" w:styleId="CommentSubjectChar">
    <w:name w:val="Comment Subject Char"/>
    <w:basedOn w:val="CommentTextChar"/>
    <w:link w:val="CommentSubject"/>
    <w:uiPriority w:val="99"/>
    <w:semiHidden/>
    <w:rsid w:val="00477659"/>
    <w:rPr>
      <w:b/>
      <w:bCs/>
      <w:sz w:val="20"/>
      <w:szCs w:val="20"/>
    </w:rPr>
  </w:style>
  <w:style w:type="paragraph" w:styleId="Revision">
    <w:name w:val="Revision"/>
    <w:hidden/>
    <w:uiPriority w:val="99"/>
    <w:semiHidden/>
    <w:rsid w:val="004776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A41690"/>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A41690"/>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paragraph" w:customStyle="1" w:styleId="Bullet4">
    <w:name w:val="Bullet 4"/>
    <w:basedOn w:val="Normal"/>
    <w:qFormat/>
    <w:rsid w:val="0036742B"/>
    <w:pPr>
      <w:spacing w:before="120" w:after="0" w:line="240" w:lineRule="auto"/>
      <w:ind w:left="1135" w:hanging="284"/>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36742B"/>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6742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6742B"/>
    <w:rPr>
      <w:vertAlign w:val="superscript"/>
    </w:rPr>
  </w:style>
  <w:style w:type="character" w:styleId="CommentReference">
    <w:name w:val="annotation reference"/>
    <w:basedOn w:val="DefaultParagraphFont"/>
    <w:uiPriority w:val="99"/>
    <w:semiHidden/>
    <w:unhideWhenUsed/>
    <w:rsid w:val="00477659"/>
    <w:rPr>
      <w:sz w:val="16"/>
      <w:szCs w:val="16"/>
    </w:rPr>
  </w:style>
  <w:style w:type="paragraph" w:styleId="CommentText">
    <w:name w:val="annotation text"/>
    <w:basedOn w:val="Normal"/>
    <w:link w:val="CommentTextChar"/>
    <w:uiPriority w:val="99"/>
    <w:semiHidden/>
    <w:unhideWhenUsed/>
    <w:rsid w:val="00477659"/>
    <w:pPr>
      <w:spacing w:line="240" w:lineRule="auto"/>
    </w:pPr>
    <w:rPr>
      <w:sz w:val="20"/>
      <w:szCs w:val="20"/>
    </w:rPr>
  </w:style>
  <w:style w:type="character" w:customStyle="1" w:styleId="CommentTextChar">
    <w:name w:val="Comment Text Char"/>
    <w:basedOn w:val="DefaultParagraphFont"/>
    <w:link w:val="CommentText"/>
    <w:uiPriority w:val="99"/>
    <w:semiHidden/>
    <w:rsid w:val="00477659"/>
    <w:rPr>
      <w:sz w:val="20"/>
      <w:szCs w:val="20"/>
    </w:rPr>
  </w:style>
  <w:style w:type="paragraph" w:styleId="CommentSubject">
    <w:name w:val="annotation subject"/>
    <w:basedOn w:val="CommentText"/>
    <w:next w:val="CommentText"/>
    <w:link w:val="CommentSubjectChar"/>
    <w:uiPriority w:val="99"/>
    <w:semiHidden/>
    <w:unhideWhenUsed/>
    <w:rsid w:val="00477659"/>
    <w:rPr>
      <w:b/>
      <w:bCs/>
    </w:rPr>
  </w:style>
  <w:style w:type="character" w:customStyle="1" w:styleId="CommentSubjectChar">
    <w:name w:val="Comment Subject Char"/>
    <w:basedOn w:val="CommentTextChar"/>
    <w:link w:val="CommentSubject"/>
    <w:uiPriority w:val="99"/>
    <w:semiHidden/>
    <w:rsid w:val="00477659"/>
    <w:rPr>
      <w:b/>
      <w:bCs/>
      <w:sz w:val="20"/>
      <w:szCs w:val="20"/>
    </w:rPr>
  </w:style>
  <w:style w:type="paragraph" w:styleId="Revision">
    <w:name w:val="Revision"/>
    <w:hidden/>
    <w:uiPriority w:val="99"/>
    <w:semiHidden/>
    <w:rsid w:val="00477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9700">
      <w:bodyDiv w:val="1"/>
      <w:marLeft w:val="0"/>
      <w:marRight w:val="0"/>
      <w:marTop w:val="0"/>
      <w:marBottom w:val="0"/>
      <w:divBdr>
        <w:top w:val="none" w:sz="0" w:space="0" w:color="auto"/>
        <w:left w:val="none" w:sz="0" w:space="0" w:color="auto"/>
        <w:bottom w:val="none" w:sz="0" w:space="0" w:color="auto"/>
        <w:right w:val="none" w:sz="0" w:space="0" w:color="auto"/>
      </w:divBdr>
    </w:div>
    <w:div w:id="417945063">
      <w:bodyDiv w:val="1"/>
      <w:marLeft w:val="0"/>
      <w:marRight w:val="0"/>
      <w:marTop w:val="0"/>
      <w:marBottom w:val="0"/>
      <w:divBdr>
        <w:top w:val="none" w:sz="0" w:space="0" w:color="auto"/>
        <w:left w:val="none" w:sz="0" w:space="0" w:color="auto"/>
        <w:bottom w:val="none" w:sz="0" w:space="0" w:color="auto"/>
        <w:right w:val="none" w:sz="0" w:space="0" w:color="auto"/>
      </w:divBdr>
    </w:div>
    <w:div w:id="543561340">
      <w:bodyDiv w:val="1"/>
      <w:marLeft w:val="0"/>
      <w:marRight w:val="0"/>
      <w:marTop w:val="0"/>
      <w:marBottom w:val="0"/>
      <w:divBdr>
        <w:top w:val="none" w:sz="0" w:space="0" w:color="auto"/>
        <w:left w:val="none" w:sz="0" w:space="0" w:color="auto"/>
        <w:bottom w:val="none" w:sz="0" w:space="0" w:color="auto"/>
        <w:right w:val="none" w:sz="0" w:space="0" w:color="auto"/>
      </w:divBdr>
    </w:div>
    <w:div w:id="552734811">
      <w:bodyDiv w:val="1"/>
      <w:marLeft w:val="0"/>
      <w:marRight w:val="0"/>
      <w:marTop w:val="0"/>
      <w:marBottom w:val="0"/>
      <w:divBdr>
        <w:top w:val="none" w:sz="0" w:space="0" w:color="auto"/>
        <w:left w:val="none" w:sz="0" w:space="0" w:color="auto"/>
        <w:bottom w:val="none" w:sz="0" w:space="0" w:color="auto"/>
        <w:right w:val="none" w:sz="0" w:space="0" w:color="auto"/>
      </w:divBdr>
    </w:div>
    <w:div w:id="21231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4850497-03E0-4D81-AED8-82AC5D90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387</TotalTime>
  <Pages>7</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PBO - GRN030 - A new assistance payment for Childcare - 29 June 2016</vt:lpstr>
    </vt:vector>
  </TitlesOfParts>
  <Company>Parliament of Australia</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GRN030 - A new assistance payment for Childcare - 29 June 2016</dc:title>
  <dc:creator>Parliamentary Budget Office</dc:creator>
  <cp:lastModifiedBy>Milligan, Louise (PBO)</cp:lastModifiedBy>
  <cp:revision>239</cp:revision>
  <cp:lastPrinted>2016-06-29T03:38:00Z</cp:lastPrinted>
  <dcterms:created xsi:type="dcterms:W3CDTF">2016-06-28T02:38:00Z</dcterms:created>
  <dcterms:modified xsi:type="dcterms:W3CDTF">2016-06-29T05:36:00Z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