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34015C" w:rsidP="002473AF">
      <w:pPr>
        <w:spacing w:before="1560"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Senator Richard Di Natale</w:t>
      </w:r>
    </w:p>
    <w:p w:rsidR="002473AF" w:rsidRPr="00002D5D" w:rsidRDefault="002473AF" w:rsidP="002473AF">
      <w:pPr>
        <w:spacing w:before="0" w:after="0" w:line="240" w:lineRule="auto"/>
        <w:rPr>
          <w:rFonts w:ascii="Times New Roman" w:hAnsi="Times New Roman" w:cs="Times New Roman"/>
          <w:sz w:val="24"/>
          <w:szCs w:val="24"/>
        </w:rPr>
      </w:pPr>
      <w:r w:rsidRPr="002473AF">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2473AF" w:rsidRPr="006C473F">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proofErr w:type="gramStart"/>
      <w:r w:rsidR="00276A93" w:rsidRPr="00276A93">
        <w:rPr>
          <w:i/>
        </w:rPr>
        <w:t>Securing</w:t>
      </w:r>
      <w:proofErr w:type="gramEnd"/>
      <w:r w:rsidR="00276A93" w:rsidRPr="00276A93">
        <w:rPr>
          <w:i/>
        </w:rPr>
        <w:t xml:space="preserve"> the </w:t>
      </w:r>
      <w:r w:rsidR="004F60DD">
        <w:rPr>
          <w:i/>
        </w:rPr>
        <w:t>f</w:t>
      </w:r>
      <w:r w:rsidR="00276A93" w:rsidRPr="00276A93">
        <w:rPr>
          <w:i/>
        </w:rPr>
        <w:t xml:space="preserve">uture of </w:t>
      </w:r>
      <w:r w:rsidR="004F60DD">
        <w:rPr>
          <w:i/>
        </w:rPr>
        <w:t>f</w:t>
      </w:r>
      <w:r w:rsidR="00276A93" w:rsidRPr="00276A93">
        <w:rPr>
          <w:i/>
        </w:rPr>
        <w:t xml:space="preserve">arming </w:t>
      </w:r>
      <w:r w:rsidRPr="00002D5D">
        <w:t xml:space="preserve">(letter of </w:t>
      </w:r>
      <w:r w:rsidR="00CA3339">
        <w:t xml:space="preserve">27 </w:t>
      </w:r>
      <w:r w:rsidR="002473AF">
        <w:t xml:space="preserve">June </w:t>
      </w:r>
      <w:r w:rsidRPr="00002D5D">
        <w:t>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If you have any queries about this costing, please</w:t>
      </w:r>
      <w:r w:rsidR="00F75D33">
        <w:t xml:space="preserve"> contact Colin </w:t>
      </w:r>
      <w:r w:rsidRPr="00002D5D">
        <w:t>Brown on (02)</w:t>
      </w:r>
      <w:r w:rsidR="00E6697B">
        <w:t> </w:t>
      </w:r>
      <w:r w:rsidRPr="00002D5D">
        <w:t>6277</w:t>
      </w:r>
      <w:r w:rsidR="00E6697B">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441065" w:rsidP="00441065">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2473AF">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CellMar>
          <w:left w:w="113" w:type="dxa"/>
          <w:right w:w="113" w:type="dxa"/>
        </w:tblCellMar>
        <w:tblLook w:val="04A0" w:firstRow="1" w:lastRow="0" w:firstColumn="1" w:lastColumn="0" w:noHBand="0" w:noVBand="1"/>
      </w:tblPr>
      <w:tblGrid>
        <w:gridCol w:w="3005"/>
        <w:gridCol w:w="5335"/>
      </w:tblGrid>
      <w:tr w:rsidR="004D5525" w:rsidTr="005623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Default="004D5525" w:rsidP="00441065">
            <w:pPr>
              <w:pStyle w:val="BodyText"/>
              <w:spacing w:after="114"/>
              <w:ind w:left="0" w:right="0"/>
            </w:pPr>
            <w:r>
              <w:t>Name of proposal:</w:t>
            </w:r>
          </w:p>
        </w:tc>
        <w:tc>
          <w:tcPr>
            <w:tcW w:w="5335" w:type="dxa"/>
          </w:tcPr>
          <w:p w:rsidR="004D5525" w:rsidRDefault="00276A93" w:rsidP="00441065">
            <w:pPr>
              <w:pStyle w:val="BodyText"/>
              <w:spacing w:after="114"/>
              <w:ind w:left="0" w:right="0"/>
              <w:cnfStyle w:val="100000000000" w:firstRow="1" w:lastRow="0" w:firstColumn="0" w:lastColumn="0" w:oddVBand="0" w:evenVBand="0" w:oddHBand="0" w:evenHBand="0" w:firstRowFirstColumn="0" w:firstRowLastColumn="0" w:lastRowFirstColumn="0" w:lastRowLastColumn="0"/>
            </w:pPr>
            <w:r w:rsidRPr="004A708D">
              <w:t xml:space="preserve">Securing the </w:t>
            </w:r>
            <w:r w:rsidR="004F60DD">
              <w:t>f</w:t>
            </w:r>
            <w:r w:rsidRPr="004A708D">
              <w:t xml:space="preserve">uture of </w:t>
            </w:r>
            <w:r w:rsidR="004F60DD">
              <w:t>f</w:t>
            </w:r>
            <w:r w:rsidRPr="004A708D">
              <w:t>arming</w:t>
            </w:r>
          </w:p>
        </w:tc>
      </w:tr>
      <w:tr w:rsidR="004D5525" w:rsidTr="00562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rsidR="004D5525" w:rsidRDefault="004D5525" w:rsidP="00441065">
            <w:pPr>
              <w:pStyle w:val="BodyText"/>
              <w:spacing w:after="114"/>
              <w:ind w:left="0" w:right="0"/>
            </w:pPr>
            <w:r>
              <w:t>Summary of proposal:</w:t>
            </w:r>
          </w:p>
        </w:tc>
        <w:tc>
          <w:tcPr>
            <w:tcW w:w="5335" w:type="dxa"/>
          </w:tcPr>
          <w:p w:rsidR="003345E5" w:rsidRDefault="003345E5" w:rsidP="00441065">
            <w:pPr>
              <w:ind w:left="0" w:right="0"/>
              <w:cnfStyle w:val="000000100000" w:firstRow="0" w:lastRow="0" w:firstColumn="0" w:lastColumn="0" w:oddVBand="0" w:evenVBand="0" w:oddHBand="1" w:evenHBand="0" w:firstRowFirstColumn="0" w:firstRowLastColumn="0" w:lastRowFirstColumn="0" w:lastRowLastColumn="0"/>
            </w:pPr>
            <w:r w:rsidRPr="00721639">
              <w:t xml:space="preserve">The proposal </w:t>
            </w:r>
            <w:r w:rsidR="004F60DD">
              <w:t>has</w:t>
            </w:r>
            <w:r>
              <w:t xml:space="preserve"> the following</w:t>
            </w:r>
            <w:r w:rsidR="00CA7CBE">
              <w:t xml:space="preserve"> components</w:t>
            </w:r>
            <w:r w:rsidRPr="00721639">
              <w:t>:</w:t>
            </w:r>
          </w:p>
          <w:p w:rsidR="003345E5" w:rsidRPr="004A708D" w:rsidRDefault="003345E5" w:rsidP="00441065">
            <w:pPr>
              <w:ind w:left="0" w:right="0"/>
              <w:cnfStyle w:val="000000100000" w:firstRow="0" w:lastRow="0" w:firstColumn="0" w:lastColumn="0" w:oddVBand="0" w:evenVBand="0" w:oddHBand="1" w:evenHBand="0" w:firstRowFirstColumn="0" w:firstRowLastColumn="0" w:lastRowFirstColumn="0" w:lastRowLastColumn="0"/>
              <w:rPr>
                <w:u w:val="single"/>
              </w:rPr>
            </w:pPr>
            <w:r>
              <w:rPr>
                <w:u w:val="single"/>
              </w:rPr>
              <w:t>Component 1</w:t>
            </w:r>
            <w:r w:rsidR="003264D8">
              <w:rPr>
                <w:u w:val="single"/>
              </w:rPr>
              <w:t>: H</w:t>
            </w:r>
            <w:r w:rsidR="003264D8" w:rsidRPr="003264D8">
              <w:rPr>
                <w:u w:val="single"/>
              </w:rPr>
              <w:t>elping our soils survive</w:t>
            </w:r>
          </w:p>
          <w:p w:rsidR="003345E5" w:rsidRDefault="003345E5" w:rsidP="00441065">
            <w:pPr>
              <w:pStyle w:val="Bullet1"/>
              <w:cnfStyle w:val="000000100000" w:firstRow="0" w:lastRow="0" w:firstColumn="0" w:lastColumn="0" w:oddVBand="0" w:evenVBand="0" w:oddHBand="1" w:evenHBand="0" w:firstRowFirstColumn="0" w:firstRowLastColumn="0" w:lastRowFirstColumn="0" w:lastRowLastColumn="0"/>
            </w:pPr>
            <w:r>
              <w:t>T</w:t>
            </w:r>
            <w:r w:rsidRPr="00064879">
              <w:t xml:space="preserve">his component </w:t>
            </w:r>
            <w:r w:rsidRPr="00792BBB">
              <w:t>would</w:t>
            </w:r>
            <w:r w:rsidRPr="00064879">
              <w:t xml:space="preserve"> provide capped funding </w:t>
            </w:r>
            <w:r w:rsidR="00504244" w:rsidRPr="00064879">
              <w:t xml:space="preserve">of </w:t>
            </w:r>
            <w:r w:rsidRPr="00064879">
              <w:t>$</w:t>
            </w:r>
            <w:r w:rsidR="00CA3339" w:rsidRPr="00064879">
              <w:t>25</w:t>
            </w:r>
            <w:r w:rsidRPr="00064879">
              <w:t> million</w:t>
            </w:r>
            <w:r w:rsidR="004F60DD" w:rsidRPr="00064879">
              <w:t xml:space="preserve"> (including administration costs)</w:t>
            </w:r>
            <w:r w:rsidRPr="00064879">
              <w:t xml:space="preserve"> </w:t>
            </w:r>
            <w:r w:rsidR="00CA3339" w:rsidRPr="00064879">
              <w:t xml:space="preserve">per year </w:t>
            </w:r>
            <w:r w:rsidRPr="00064879">
              <w:t>over</w:t>
            </w:r>
            <w:r w:rsidR="00CA7CBE" w:rsidRPr="00064879">
              <w:t xml:space="preserve"> the period</w:t>
            </w:r>
            <w:r w:rsidRPr="00064879">
              <w:t xml:space="preserve"> 2017</w:t>
            </w:r>
            <w:r w:rsidRPr="00064879">
              <w:noBreakHyphen/>
              <w:t>18 to 2020</w:t>
            </w:r>
            <w:r w:rsidRPr="00064879">
              <w:noBreakHyphen/>
              <w:t xml:space="preserve">21 to improve research and investment in soil quality through </w:t>
            </w:r>
            <w:r w:rsidR="00A33040" w:rsidRPr="00064879">
              <w:t>a</w:t>
            </w:r>
            <w:r w:rsidRPr="00064879">
              <w:t xml:space="preserve"> National Soil H</w:t>
            </w:r>
            <w:r w:rsidRPr="00721639">
              <w:t>ealth Strategy.</w:t>
            </w:r>
          </w:p>
          <w:p w:rsidR="00A33040" w:rsidRDefault="003345E5" w:rsidP="00441065">
            <w:pPr>
              <w:ind w:left="0" w:right="0"/>
              <w:cnfStyle w:val="000000100000" w:firstRow="0" w:lastRow="0" w:firstColumn="0" w:lastColumn="0" w:oddVBand="0" w:evenVBand="0" w:oddHBand="1" w:evenHBand="0" w:firstRowFirstColumn="0" w:firstRowLastColumn="0" w:lastRowFirstColumn="0" w:lastRowLastColumn="0"/>
              <w:rPr>
                <w:u w:val="single"/>
              </w:rPr>
            </w:pPr>
            <w:r w:rsidRPr="004A708D">
              <w:rPr>
                <w:u w:val="single"/>
              </w:rPr>
              <w:t xml:space="preserve">Component </w:t>
            </w:r>
            <w:r w:rsidR="00A33040">
              <w:rPr>
                <w:u w:val="single"/>
              </w:rPr>
              <w:t>2</w:t>
            </w:r>
            <w:r w:rsidR="003264D8">
              <w:rPr>
                <w:u w:val="single"/>
              </w:rPr>
              <w:t xml:space="preserve">: </w:t>
            </w:r>
            <w:r w:rsidR="003264D8" w:rsidRPr="003264D8">
              <w:rPr>
                <w:u w:val="single"/>
              </w:rPr>
              <w:t>Helping farmers sell direct</w:t>
            </w:r>
            <w:r w:rsidR="003264D8">
              <w:rPr>
                <w:u w:val="single"/>
              </w:rPr>
              <w:t xml:space="preserve"> </w:t>
            </w:r>
          </w:p>
          <w:p w:rsidR="003345E5" w:rsidRPr="00721639" w:rsidRDefault="003345E5" w:rsidP="00441065">
            <w:pPr>
              <w:pStyle w:val="Bullet1"/>
              <w:cnfStyle w:val="000000100000" w:firstRow="0" w:lastRow="0" w:firstColumn="0" w:lastColumn="0" w:oddVBand="0" w:evenVBand="0" w:oddHBand="1" w:evenHBand="0" w:firstRowFirstColumn="0" w:firstRowLastColumn="0" w:lastRowFirstColumn="0" w:lastRowLastColumn="0"/>
            </w:pPr>
            <w:r>
              <w:t xml:space="preserve">This </w:t>
            </w:r>
            <w:r w:rsidRPr="00792BBB">
              <w:t>component</w:t>
            </w:r>
            <w:r>
              <w:t xml:space="preserve"> would </w:t>
            </w:r>
            <w:r w:rsidRPr="00721639">
              <w:t xml:space="preserve">provide </w:t>
            </w:r>
            <w:r w:rsidR="00D74A1B">
              <w:t xml:space="preserve">grants of </w:t>
            </w:r>
            <w:r w:rsidR="00CA7CBE">
              <w:t>$</w:t>
            </w:r>
            <w:r w:rsidR="00CA3339">
              <w:t>2</w:t>
            </w:r>
            <w:r w:rsidR="00CA7CBE">
              <w:t>0 million</w:t>
            </w:r>
            <w:r w:rsidR="00D74A1B">
              <w:t xml:space="preserve"> (including administration costs)</w:t>
            </w:r>
            <w:r w:rsidR="00064879">
              <w:t xml:space="preserve"> per </w:t>
            </w:r>
            <w:r w:rsidR="00CA3339">
              <w:t>year</w:t>
            </w:r>
            <w:r w:rsidR="00CA7CBE">
              <w:t xml:space="preserve"> over the period </w:t>
            </w:r>
            <w:r>
              <w:t>2017</w:t>
            </w:r>
            <w:r w:rsidRPr="00721639">
              <w:noBreakHyphen/>
              <w:t>1</w:t>
            </w:r>
            <w:r>
              <w:t>8</w:t>
            </w:r>
            <w:r w:rsidRPr="00721639">
              <w:t xml:space="preserve"> to 20</w:t>
            </w:r>
            <w:r>
              <w:t>20</w:t>
            </w:r>
            <w:r w:rsidRPr="00721639">
              <w:noBreakHyphen/>
              <w:t>2</w:t>
            </w:r>
            <w:r>
              <w:t>1</w:t>
            </w:r>
            <w:r w:rsidRPr="00721639">
              <w:t xml:space="preserve"> to connect farmers and local communities.</w:t>
            </w:r>
          </w:p>
          <w:p w:rsidR="003345E5" w:rsidRDefault="003345E5" w:rsidP="00441065">
            <w:pPr>
              <w:ind w:left="0" w:right="0"/>
              <w:cnfStyle w:val="000000100000" w:firstRow="0" w:lastRow="0" w:firstColumn="0" w:lastColumn="0" w:oddVBand="0" w:evenVBand="0" w:oddHBand="1" w:evenHBand="0" w:firstRowFirstColumn="0" w:firstRowLastColumn="0" w:lastRowFirstColumn="0" w:lastRowLastColumn="0"/>
              <w:rPr>
                <w:u w:val="single"/>
              </w:rPr>
            </w:pPr>
            <w:r w:rsidRPr="004A708D">
              <w:rPr>
                <w:u w:val="single"/>
              </w:rPr>
              <w:t xml:space="preserve">Component </w:t>
            </w:r>
            <w:r>
              <w:rPr>
                <w:u w:val="single"/>
              </w:rPr>
              <w:t>3</w:t>
            </w:r>
            <w:r w:rsidR="003264D8">
              <w:rPr>
                <w:u w:val="single"/>
              </w:rPr>
              <w:t xml:space="preserve">: </w:t>
            </w:r>
            <w:r w:rsidR="003264D8" w:rsidRPr="003264D8">
              <w:rPr>
                <w:u w:val="single"/>
              </w:rPr>
              <w:t>Saying no to corporate control</w:t>
            </w:r>
          </w:p>
          <w:p w:rsidR="003345E5" w:rsidRDefault="003345E5" w:rsidP="00441065">
            <w:pPr>
              <w:pStyle w:val="Bullet1"/>
              <w:cnfStyle w:val="000000100000" w:firstRow="0" w:lastRow="0" w:firstColumn="0" w:lastColumn="0" w:oddVBand="0" w:evenVBand="0" w:oddHBand="1" w:evenHBand="0" w:firstRowFirstColumn="0" w:firstRowLastColumn="0" w:lastRowFirstColumn="0" w:lastRowLastColumn="0"/>
            </w:pPr>
            <w:r>
              <w:t xml:space="preserve">This component would </w:t>
            </w:r>
            <w:r w:rsidRPr="00792BBB">
              <w:t>provide</w:t>
            </w:r>
            <w:r w:rsidRPr="00721639">
              <w:t xml:space="preserve"> fu</w:t>
            </w:r>
            <w:r w:rsidR="00F37057">
              <w:t>nding</w:t>
            </w:r>
            <w:r w:rsidRPr="00721639">
              <w:t>:</w:t>
            </w:r>
          </w:p>
          <w:p w:rsidR="003345E5" w:rsidRPr="00721639" w:rsidRDefault="00555D88">
            <w:pPr>
              <w:pStyle w:val="Bullet2"/>
              <w:cnfStyle w:val="000000100000" w:firstRow="0" w:lastRow="0" w:firstColumn="0" w:lastColumn="0" w:oddVBand="0" w:evenVBand="0" w:oddHBand="1" w:evenHBand="0" w:firstRowFirstColumn="0" w:firstRowLastColumn="0" w:lastRowFirstColumn="0" w:lastRowLastColumn="0"/>
            </w:pPr>
            <w:r>
              <w:t xml:space="preserve">of </w:t>
            </w:r>
            <w:r w:rsidR="003345E5" w:rsidRPr="00721639">
              <w:t>$</w:t>
            </w:r>
            <w:r w:rsidR="000A5FED">
              <w:t>2</w:t>
            </w:r>
            <w:r w:rsidR="003345E5" w:rsidRPr="00721639">
              <w:t> million</w:t>
            </w:r>
            <w:r w:rsidR="003345E5">
              <w:t xml:space="preserve"> </w:t>
            </w:r>
            <w:r w:rsidR="003345E5" w:rsidRPr="00721639">
              <w:t xml:space="preserve">for the establishment of an independent </w:t>
            </w:r>
            <w:r w:rsidR="003345E5">
              <w:t>r</w:t>
            </w:r>
            <w:r w:rsidR="003345E5" w:rsidRPr="00721639">
              <w:t xml:space="preserve">esearch and </w:t>
            </w:r>
            <w:r w:rsidR="003345E5">
              <w:t>d</w:t>
            </w:r>
            <w:r w:rsidR="003345E5" w:rsidRPr="00721639">
              <w:t>evelopment group tasked with scoping the establishment of a genetically-modified (GM) contamination clean-up</w:t>
            </w:r>
            <w:r w:rsidR="003345E5">
              <w:t xml:space="preserve"> fund</w:t>
            </w:r>
          </w:p>
          <w:p w:rsidR="003345E5" w:rsidRDefault="00555D88">
            <w:pPr>
              <w:pStyle w:val="Bullet2"/>
              <w:cnfStyle w:val="000000100000" w:firstRow="0" w:lastRow="0" w:firstColumn="0" w:lastColumn="0" w:oddVBand="0" w:evenVBand="0" w:oddHBand="1" w:evenHBand="0" w:firstRowFirstColumn="0" w:firstRowLastColumn="0" w:lastRowFirstColumn="0" w:lastRowLastColumn="0"/>
            </w:pPr>
            <w:r>
              <w:t xml:space="preserve">of </w:t>
            </w:r>
            <w:r w:rsidR="003345E5" w:rsidRPr="00721639">
              <w:t>$</w:t>
            </w:r>
            <w:r w:rsidR="000A5FED">
              <w:t>2</w:t>
            </w:r>
            <w:r w:rsidR="003345E5" w:rsidRPr="00721639">
              <w:t xml:space="preserve"> million </w:t>
            </w:r>
            <w:r w:rsidR="00CA7CBE">
              <w:t>f</w:t>
            </w:r>
            <w:r w:rsidR="003345E5" w:rsidRPr="00721639">
              <w:t>or an inquiry into the assessment procedures for GM crops and products</w:t>
            </w:r>
          </w:p>
          <w:p w:rsidR="003345E5" w:rsidRDefault="00555D88">
            <w:pPr>
              <w:pStyle w:val="Bullet2"/>
              <w:cnfStyle w:val="000000100000" w:firstRow="0" w:lastRow="0" w:firstColumn="0" w:lastColumn="0" w:oddVBand="0" w:evenVBand="0" w:oddHBand="1" w:evenHBand="0" w:firstRowFirstColumn="0" w:firstRowLastColumn="0" w:lastRowFirstColumn="0" w:lastRowLastColumn="0"/>
            </w:pPr>
            <w:proofErr w:type="gramStart"/>
            <w:r>
              <w:t>for</w:t>
            </w:r>
            <w:proofErr w:type="gramEnd"/>
            <w:r>
              <w:t xml:space="preserve"> i</w:t>
            </w:r>
            <w:r w:rsidR="003345E5">
              <w:t>mplement</w:t>
            </w:r>
            <w:r w:rsidR="00F37057">
              <w:t xml:space="preserve">ation of </w:t>
            </w:r>
            <w:r w:rsidR="003345E5">
              <w:t>c</w:t>
            </w:r>
            <w:r w:rsidR="003345E5" w:rsidRPr="00721639">
              <w:t xml:space="preserve">omprehensive, mandatory labelling for foods </w:t>
            </w:r>
            <w:r w:rsidR="003345E5" w:rsidRPr="00792BBB">
              <w:t>containing</w:t>
            </w:r>
            <w:r w:rsidR="003345E5" w:rsidRPr="00721639">
              <w:t xml:space="preserve"> any ingredient, additive or processing aid</w:t>
            </w:r>
            <w:r w:rsidR="00792BBB">
              <w:t>,</w:t>
            </w:r>
            <w:r w:rsidR="003345E5" w:rsidRPr="00721639">
              <w:t xml:space="preserve"> or other constituent </w:t>
            </w:r>
            <w:r w:rsidR="00792BBB" w:rsidRPr="00721639">
              <w:t>produc</w:t>
            </w:r>
            <w:r w:rsidR="00792BBB">
              <w:t>t</w:t>
            </w:r>
            <w:r w:rsidR="00792BBB" w:rsidRPr="00721639">
              <w:t xml:space="preserve"> </w:t>
            </w:r>
            <w:r w:rsidR="003345E5" w:rsidRPr="00721639">
              <w:t xml:space="preserve">using </w:t>
            </w:r>
            <w:r w:rsidR="000A5FED">
              <w:t>genetic modification</w:t>
            </w:r>
            <w:r w:rsidR="003345E5" w:rsidRPr="00721639">
              <w:t>.</w:t>
            </w:r>
          </w:p>
          <w:p w:rsidR="004D5525" w:rsidRDefault="003345E5" w:rsidP="00441065">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t xml:space="preserve">The proposal would have effect from </w:t>
            </w:r>
            <w:r w:rsidR="00CF0353">
              <w:t>1 July 2017.</w:t>
            </w:r>
          </w:p>
        </w:tc>
      </w:tr>
      <w:tr w:rsidR="004D5525" w:rsidTr="005623B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41065">
            <w:pPr>
              <w:pStyle w:val="BodyText"/>
              <w:spacing w:after="114"/>
              <w:ind w:left="0" w:right="0"/>
            </w:pPr>
            <w:r>
              <w:t>Person/party requesting costing:</w:t>
            </w:r>
          </w:p>
        </w:tc>
        <w:tc>
          <w:tcPr>
            <w:tcW w:w="5335" w:type="dxa"/>
          </w:tcPr>
          <w:p w:rsidR="00CF0353" w:rsidRDefault="00376E63" w:rsidP="00441065">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376E63">
              <w:t>Senator Richard Di Natale, Australian Greens</w:t>
            </w:r>
          </w:p>
        </w:tc>
      </w:tr>
      <w:tr w:rsidR="00265B3B" w:rsidTr="00562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265B3B" w:rsidRDefault="00265B3B" w:rsidP="00441065">
            <w:pPr>
              <w:pStyle w:val="BodyText"/>
              <w:keepNext/>
              <w:keepLines/>
              <w:spacing w:after="114"/>
              <w:ind w:left="0" w:right="0"/>
            </w:pPr>
            <w:r>
              <w:lastRenderedPageBreak/>
              <w:t>Date of public release of policy:</w:t>
            </w:r>
          </w:p>
        </w:tc>
        <w:tc>
          <w:tcPr>
            <w:tcW w:w="5335" w:type="dxa"/>
          </w:tcPr>
          <w:p w:rsidR="00265B3B" w:rsidRDefault="00CA3339" w:rsidP="00441065">
            <w:pPr>
              <w:pStyle w:val="BodyText"/>
              <w:keepNext/>
              <w:keepLines/>
              <w:spacing w:after="114"/>
              <w:ind w:left="0" w:right="0"/>
              <w:cnfStyle w:val="000000100000" w:firstRow="0" w:lastRow="0" w:firstColumn="0" w:lastColumn="0" w:oddVBand="0" w:evenVBand="0" w:oddHBand="1" w:evenHBand="0" w:firstRowFirstColumn="0" w:firstRowLastColumn="0" w:lastRowFirstColumn="0" w:lastRowLastColumn="0"/>
            </w:pPr>
            <w:r>
              <w:t xml:space="preserve">20 </w:t>
            </w:r>
            <w:r w:rsidR="00265B3B">
              <w:t>June 2016</w:t>
            </w:r>
          </w:p>
          <w:p w:rsidR="00792BBB" w:rsidRDefault="00FA7A6F" w:rsidP="00792BBB">
            <w:pPr>
              <w:pStyle w:val="BodyText"/>
              <w:numPr>
                <w:ilvl w:val="0"/>
                <w:numId w:val="38"/>
              </w:numPr>
              <w:spacing w:after="114"/>
              <w:ind w:left="454" w:right="0" w:hanging="454"/>
              <w:cnfStyle w:val="000000100000" w:firstRow="0" w:lastRow="0" w:firstColumn="0" w:lastColumn="0" w:oddVBand="0" w:evenVBand="0" w:oddHBand="1" w:evenHBand="0" w:firstRowFirstColumn="0" w:firstRowLastColumn="0" w:lastRowFirstColumn="0" w:lastRowLastColumn="0"/>
            </w:pPr>
            <w:hyperlink r:id="rId13" w:history="1">
              <w:r w:rsidR="00792BBB" w:rsidRPr="00C32B75">
                <w:rPr>
                  <w:rStyle w:val="Hyperlink"/>
                </w:rPr>
                <w:t>http://greens.org.au/news/wa/greens-announce-package-help-farmers-sell-direct</w:t>
              </w:r>
            </w:hyperlink>
          </w:p>
          <w:p w:rsidR="00792BBB" w:rsidRDefault="00FA7A6F" w:rsidP="00792BBB">
            <w:pPr>
              <w:pStyle w:val="BodyText"/>
              <w:numPr>
                <w:ilvl w:val="0"/>
                <w:numId w:val="38"/>
              </w:numPr>
              <w:spacing w:after="114"/>
              <w:ind w:left="454" w:right="0" w:hanging="454"/>
              <w:cnfStyle w:val="000000100000" w:firstRow="0" w:lastRow="0" w:firstColumn="0" w:lastColumn="0" w:oddVBand="0" w:evenVBand="0" w:oddHBand="1" w:evenHBand="0" w:firstRowFirstColumn="0" w:firstRowLastColumn="0" w:lastRowFirstColumn="0" w:lastRowLastColumn="0"/>
            </w:pPr>
            <w:hyperlink r:id="rId14" w:history="1">
              <w:r w:rsidR="00792BBB" w:rsidRPr="00C32B75">
                <w:rPr>
                  <w:rStyle w:val="Hyperlink"/>
                </w:rPr>
                <w:t>http://greens.org.au/local-food</w:t>
              </w:r>
            </w:hyperlink>
          </w:p>
          <w:p w:rsidR="00792BBB" w:rsidRDefault="00FA7A6F" w:rsidP="00792BBB">
            <w:pPr>
              <w:pStyle w:val="BodyText"/>
              <w:numPr>
                <w:ilvl w:val="0"/>
                <w:numId w:val="38"/>
              </w:numPr>
              <w:spacing w:after="114"/>
              <w:ind w:left="454" w:right="0" w:hanging="454"/>
              <w:cnfStyle w:val="000000100000" w:firstRow="0" w:lastRow="0" w:firstColumn="0" w:lastColumn="0" w:oddVBand="0" w:evenVBand="0" w:oddHBand="1" w:evenHBand="0" w:firstRowFirstColumn="0" w:firstRowLastColumn="0" w:lastRowFirstColumn="0" w:lastRowLastColumn="0"/>
            </w:pPr>
            <w:hyperlink r:id="rId15" w:history="1">
              <w:r w:rsidR="00792BBB" w:rsidRPr="00C32B75">
                <w:rPr>
                  <w:rStyle w:val="Hyperlink"/>
                </w:rPr>
                <w:t>http://greens.org.au/soil-health</w:t>
              </w:r>
            </w:hyperlink>
          </w:p>
          <w:p w:rsidR="00792BBB" w:rsidRPr="00C17112" w:rsidRDefault="00FA7A6F" w:rsidP="00441065">
            <w:pPr>
              <w:pStyle w:val="BodyText"/>
              <w:keepNext/>
              <w:keepLines/>
              <w:numPr>
                <w:ilvl w:val="0"/>
                <w:numId w:val="38"/>
              </w:numPr>
              <w:spacing w:after="114"/>
              <w:ind w:left="454" w:right="0" w:hanging="454"/>
              <w:cnfStyle w:val="000000100000" w:firstRow="0" w:lastRow="0" w:firstColumn="0" w:lastColumn="0" w:oddVBand="0" w:evenVBand="0" w:oddHBand="1" w:evenHBand="0" w:firstRowFirstColumn="0" w:firstRowLastColumn="0" w:lastRowFirstColumn="0" w:lastRowLastColumn="0"/>
            </w:pPr>
            <w:hyperlink r:id="rId16" w:history="1">
              <w:r w:rsidR="00792BBB" w:rsidRPr="00C32B75">
                <w:rPr>
                  <w:rStyle w:val="Hyperlink"/>
                </w:rPr>
                <w:t>http://greens.org.au/food-system</w:t>
              </w:r>
            </w:hyperlink>
          </w:p>
        </w:tc>
      </w:tr>
      <w:tr w:rsidR="004D5525" w:rsidTr="005623B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41065">
            <w:pPr>
              <w:pStyle w:val="BodyText"/>
              <w:keepNext/>
              <w:keepLines/>
              <w:spacing w:after="114"/>
              <w:ind w:left="0" w:right="0"/>
            </w:pPr>
            <w:r>
              <w:t>Date costing request received:</w:t>
            </w:r>
          </w:p>
        </w:tc>
        <w:tc>
          <w:tcPr>
            <w:tcW w:w="5335" w:type="dxa"/>
          </w:tcPr>
          <w:p w:rsidR="004D5525" w:rsidRDefault="00CA3339" w:rsidP="00441065">
            <w:pPr>
              <w:pStyle w:val="BodyText"/>
              <w:keepNext/>
              <w:keepLines/>
              <w:spacing w:after="114"/>
              <w:ind w:left="0" w:right="0"/>
              <w:cnfStyle w:val="000000000000" w:firstRow="0" w:lastRow="0" w:firstColumn="0" w:lastColumn="0" w:oddVBand="0" w:evenVBand="0" w:oddHBand="0" w:evenHBand="0" w:firstRowFirstColumn="0" w:firstRowLastColumn="0" w:lastRowFirstColumn="0" w:lastRowLastColumn="0"/>
            </w:pPr>
            <w:r>
              <w:t xml:space="preserve">27 </w:t>
            </w:r>
            <w:r w:rsidR="00376E63">
              <w:t>June 2016</w:t>
            </w:r>
          </w:p>
        </w:tc>
      </w:tr>
      <w:tr w:rsidR="004D5525" w:rsidTr="00562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41065">
            <w:pPr>
              <w:pStyle w:val="BodyText"/>
              <w:spacing w:after="114"/>
              <w:ind w:left="0" w:right="0"/>
            </w:pPr>
            <w:r>
              <w:t>Date costing completed</w:t>
            </w:r>
            <w:r w:rsidR="00E6697B">
              <w:t>:</w:t>
            </w:r>
          </w:p>
        </w:tc>
        <w:tc>
          <w:tcPr>
            <w:tcW w:w="5335" w:type="dxa"/>
          </w:tcPr>
          <w:p w:rsidR="004D5525" w:rsidRPr="00C17112" w:rsidRDefault="00CA3339" w:rsidP="00441065">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t xml:space="preserve">28 </w:t>
            </w:r>
            <w:r w:rsidR="00376E63">
              <w:t>June 2016</w:t>
            </w:r>
          </w:p>
        </w:tc>
      </w:tr>
      <w:tr w:rsidR="004D5525" w:rsidTr="005623B5">
        <w:tc>
          <w:tcPr>
            <w:cnfStyle w:val="001000000000" w:firstRow="0" w:lastRow="0" w:firstColumn="1" w:lastColumn="0" w:oddVBand="0" w:evenVBand="0" w:oddHBand="0" w:evenHBand="0" w:firstRowFirstColumn="0" w:firstRowLastColumn="0" w:lastRowFirstColumn="0" w:lastRowLastColumn="0"/>
            <w:tcW w:w="3005" w:type="dxa"/>
          </w:tcPr>
          <w:p w:rsidR="004D5525" w:rsidRPr="00220BE5" w:rsidRDefault="004D5525" w:rsidP="00441065">
            <w:pPr>
              <w:pStyle w:val="BodyText"/>
              <w:spacing w:after="114"/>
              <w:ind w:left="0" w:right="0"/>
            </w:pPr>
            <w:r w:rsidRPr="00220BE5">
              <w:t>Expiry date for the costing:</w:t>
            </w:r>
          </w:p>
        </w:tc>
        <w:tc>
          <w:tcPr>
            <w:tcW w:w="5335" w:type="dxa"/>
          </w:tcPr>
          <w:p w:rsidR="004D5525" w:rsidRPr="00220BE5" w:rsidRDefault="001216C6" w:rsidP="00441065">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t>R</w:t>
            </w:r>
            <w:r w:rsidR="004D5525" w:rsidRPr="00220BE5">
              <w:t xml:space="preserve">elease of </w:t>
            </w:r>
            <w:r w:rsidR="00220BE5">
              <w:t xml:space="preserve">the next economic and fiscal </w:t>
            </w:r>
            <w:r w:rsidR="00046839">
              <w:t>outlook report</w:t>
            </w:r>
          </w:p>
        </w:tc>
      </w:tr>
    </w:tbl>
    <w:p w:rsidR="0055581F" w:rsidRPr="00002D5D" w:rsidRDefault="008030EC" w:rsidP="00FC6579">
      <w:pPr>
        <w:pStyle w:val="Heading2"/>
      </w:pPr>
      <w:r w:rsidRPr="00002D5D">
        <w:t>Costing overview</w:t>
      </w:r>
    </w:p>
    <w:p w:rsidR="003345E5" w:rsidRDefault="003345E5" w:rsidP="003345E5">
      <w:r>
        <w:t>The proposal would be expected to decrease the fiscal and underlying cash balances by $14</w:t>
      </w:r>
      <w:r w:rsidR="00284738">
        <w:t>3.5</w:t>
      </w:r>
      <w:r>
        <w:t> million over the 2016</w:t>
      </w:r>
      <w:r w:rsidR="001216C6">
        <w:noBreakHyphen/>
        <w:t>17 Budget forward estimates</w:t>
      </w:r>
      <w:r w:rsidR="00CA7CBE">
        <w:t xml:space="preserve"> period</w:t>
      </w:r>
      <w:r w:rsidR="001216C6">
        <w:t xml:space="preserve">.  </w:t>
      </w:r>
      <w:r>
        <w:t>Th</w:t>
      </w:r>
      <w:r w:rsidR="001216C6">
        <w:t>es</w:t>
      </w:r>
      <w:r>
        <w:t>e impacts are due to an increase in administered expenses of $1</w:t>
      </w:r>
      <w:r w:rsidR="00284738">
        <w:t>37.3</w:t>
      </w:r>
      <w:r>
        <w:t xml:space="preserve"> million and an increase in departmental expenses of $</w:t>
      </w:r>
      <w:r w:rsidR="00284738">
        <w:t>6.2</w:t>
      </w:r>
      <w:r>
        <w:t xml:space="preserve"> million. </w:t>
      </w:r>
      <w:r w:rsidR="000A60C5">
        <w:t xml:space="preserve"> Detailed </w:t>
      </w:r>
      <w:r>
        <w:t>financial implications</w:t>
      </w:r>
      <w:r w:rsidR="00CF0353">
        <w:t xml:space="preserve"> over the period </w:t>
      </w:r>
      <w:r w:rsidR="00822316">
        <w:t>2016</w:t>
      </w:r>
      <w:r w:rsidR="00822316">
        <w:noBreakHyphen/>
        <w:t>17 to 2020</w:t>
      </w:r>
      <w:r w:rsidR="00822316">
        <w:noBreakHyphen/>
      </w:r>
      <w:r w:rsidR="00CF0353">
        <w:t>21, at which point funding for the proposal would terminate,</w:t>
      </w:r>
      <w:r>
        <w:t xml:space="preserve"> are at </w:t>
      </w:r>
      <w:r w:rsidR="00284738">
        <w:rPr>
          <w:u w:val="single"/>
        </w:rPr>
        <w:t>Attachment </w:t>
      </w:r>
      <w:r w:rsidRPr="00BA6D7B">
        <w:rPr>
          <w:u w:val="single"/>
        </w:rPr>
        <w:t>A</w:t>
      </w:r>
      <w:r>
        <w:t>.</w:t>
      </w:r>
    </w:p>
    <w:p w:rsidR="003345E5" w:rsidRDefault="003345E5" w:rsidP="00441065">
      <w:pPr>
        <w:pStyle w:val="Tableheading0"/>
        <w:spacing w:before="114" w:after="114" w:line="300" w:lineRule="atLeast"/>
        <w:jc w:val="left"/>
        <w:rPr>
          <w:rFonts w:asciiTheme="minorHAnsi" w:eastAsiaTheme="minorHAnsi" w:hAnsiTheme="minorHAnsi" w:cstheme="minorBidi"/>
          <w:b w:val="0"/>
          <w:bCs w:val="0"/>
          <w:color w:val="auto"/>
          <w:spacing w:val="0"/>
          <w:sz w:val="22"/>
          <w:szCs w:val="22"/>
          <w:lang w:eastAsia="en-US"/>
        </w:rPr>
      </w:pPr>
      <w:r w:rsidRPr="003345E5">
        <w:rPr>
          <w:rFonts w:asciiTheme="minorHAnsi" w:eastAsiaTheme="minorHAnsi" w:hAnsiTheme="minorHAnsi" w:cstheme="minorBidi"/>
          <w:b w:val="0"/>
          <w:bCs w:val="0"/>
          <w:color w:val="auto"/>
          <w:spacing w:val="0"/>
          <w:sz w:val="22"/>
          <w:szCs w:val="22"/>
          <w:lang w:eastAsia="en-US"/>
        </w:rPr>
        <w:t>Component</w:t>
      </w:r>
      <w:r w:rsidR="000A60C5">
        <w:rPr>
          <w:rFonts w:asciiTheme="minorHAnsi" w:eastAsiaTheme="minorHAnsi" w:hAnsiTheme="minorHAnsi" w:cstheme="minorBidi"/>
          <w:b w:val="0"/>
          <w:bCs w:val="0"/>
          <w:color w:val="auto"/>
          <w:spacing w:val="0"/>
          <w:sz w:val="22"/>
          <w:szCs w:val="22"/>
          <w:lang w:eastAsia="en-US"/>
        </w:rPr>
        <w:t>s</w:t>
      </w:r>
      <w:r w:rsidRPr="003345E5">
        <w:rPr>
          <w:rFonts w:asciiTheme="minorHAnsi" w:eastAsiaTheme="minorHAnsi" w:hAnsiTheme="minorHAnsi" w:cstheme="minorBidi"/>
          <w:b w:val="0"/>
          <w:bCs w:val="0"/>
          <w:color w:val="auto"/>
          <w:spacing w:val="0"/>
          <w:sz w:val="22"/>
          <w:szCs w:val="22"/>
          <w:lang w:eastAsia="en-US"/>
        </w:rPr>
        <w:t xml:space="preserve"> 1 and 2 </w:t>
      </w:r>
      <w:r w:rsidR="000A60C5">
        <w:rPr>
          <w:rFonts w:asciiTheme="minorHAnsi" w:eastAsiaTheme="minorHAnsi" w:hAnsiTheme="minorHAnsi" w:cstheme="minorBidi"/>
          <w:b w:val="0"/>
          <w:bCs w:val="0"/>
          <w:color w:val="auto"/>
          <w:spacing w:val="0"/>
          <w:sz w:val="22"/>
          <w:szCs w:val="22"/>
          <w:lang w:eastAsia="en-US"/>
        </w:rPr>
        <w:t xml:space="preserve">of </w:t>
      </w:r>
      <w:r w:rsidRPr="003345E5">
        <w:rPr>
          <w:rFonts w:asciiTheme="minorHAnsi" w:eastAsiaTheme="minorHAnsi" w:hAnsiTheme="minorHAnsi" w:cstheme="minorBidi"/>
          <w:b w:val="0"/>
          <w:bCs w:val="0"/>
          <w:color w:val="auto"/>
          <w:spacing w:val="0"/>
          <w:sz w:val="22"/>
          <w:szCs w:val="22"/>
          <w:lang w:eastAsia="en-US"/>
        </w:rPr>
        <w:t xml:space="preserve">this costing </w:t>
      </w:r>
      <w:r w:rsidR="000A60C5">
        <w:rPr>
          <w:rFonts w:asciiTheme="minorHAnsi" w:eastAsiaTheme="minorHAnsi" w:hAnsiTheme="minorHAnsi" w:cstheme="minorBidi"/>
          <w:b w:val="0"/>
          <w:bCs w:val="0"/>
          <w:color w:val="auto"/>
          <w:spacing w:val="0"/>
          <w:sz w:val="22"/>
          <w:szCs w:val="22"/>
          <w:lang w:eastAsia="en-US"/>
        </w:rPr>
        <w:t>are</w:t>
      </w:r>
      <w:r w:rsidRPr="003345E5">
        <w:rPr>
          <w:rFonts w:asciiTheme="minorHAnsi" w:eastAsiaTheme="minorHAnsi" w:hAnsiTheme="minorHAnsi" w:cstheme="minorBidi"/>
          <w:b w:val="0"/>
          <w:bCs w:val="0"/>
          <w:color w:val="auto"/>
          <w:spacing w:val="0"/>
          <w:sz w:val="22"/>
          <w:szCs w:val="22"/>
          <w:lang w:eastAsia="en-US"/>
        </w:rPr>
        <w:t xml:space="preserve"> considered to be of high reliability as the estimates are based on capped administered funding with departmental expenditure based on similar sized grant programs.  Component 3 is considered to be of medium reliability due to the uncertainty of the scope of implementing labelling for GM foods.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E6697B">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CD7A25" w:rsidTr="00CD7A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CD7A25" w:rsidRDefault="00CA5D42" w:rsidP="00CD7A25">
            <w:pPr>
              <w:pStyle w:val="TableText"/>
              <w:keepNext/>
              <w:keepLines/>
              <w:spacing w:line="240" w:lineRule="auto"/>
              <w:ind w:left="57" w:right="57"/>
              <w:rPr>
                <w:rFonts w:ascii="Calibri" w:hAnsi="Calibri"/>
                <w:b w:val="0"/>
                <w:szCs w:val="20"/>
              </w:rPr>
            </w:pPr>
            <w:r w:rsidRPr="00CD7A25">
              <w:rPr>
                <w:rFonts w:ascii="Calibri" w:hAnsi="Calibri"/>
                <w:b w:val="0"/>
                <w:szCs w:val="20"/>
              </w:rPr>
              <w:t>Impact on</w:t>
            </w:r>
            <w:r w:rsidR="00461597" w:rsidRPr="00CD7A25">
              <w:rPr>
                <w:rFonts w:ascii="Calibri" w:hAnsi="Calibri"/>
                <w:b w:val="0"/>
                <w:szCs w:val="20"/>
              </w:rPr>
              <w:t xml:space="preserve"> ($m)</w:t>
            </w:r>
          </w:p>
        </w:tc>
        <w:tc>
          <w:tcPr>
            <w:tcW w:w="682" w:type="pct"/>
            <w:vAlign w:val="center"/>
          </w:tcPr>
          <w:p w:rsidR="00CA5D42" w:rsidRPr="00CD7A25" w:rsidRDefault="00CA5D42" w:rsidP="00CD7A25">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D7A25">
              <w:rPr>
                <w:rFonts w:ascii="Calibri" w:hAnsi="Calibri"/>
                <w:b w:val="0"/>
                <w:sz w:val="20"/>
                <w:szCs w:val="20"/>
              </w:rPr>
              <w:t>2016–17</w:t>
            </w:r>
          </w:p>
        </w:tc>
        <w:tc>
          <w:tcPr>
            <w:tcW w:w="682" w:type="pct"/>
            <w:vAlign w:val="center"/>
          </w:tcPr>
          <w:p w:rsidR="00CA5D42" w:rsidRPr="00CD7A25" w:rsidRDefault="00CA5D42" w:rsidP="00CD7A25">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D7A25">
              <w:rPr>
                <w:rFonts w:ascii="Calibri" w:hAnsi="Calibri"/>
                <w:b w:val="0"/>
                <w:sz w:val="20"/>
                <w:szCs w:val="20"/>
              </w:rPr>
              <w:t>2017–18</w:t>
            </w:r>
          </w:p>
        </w:tc>
        <w:tc>
          <w:tcPr>
            <w:tcW w:w="682" w:type="pct"/>
            <w:vAlign w:val="center"/>
          </w:tcPr>
          <w:p w:rsidR="00CA5D42" w:rsidRPr="00CD7A25" w:rsidRDefault="00CA5D42" w:rsidP="00CD7A25">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D7A25">
              <w:rPr>
                <w:rFonts w:ascii="Calibri" w:hAnsi="Calibri"/>
                <w:b w:val="0"/>
                <w:sz w:val="20"/>
                <w:szCs w:val="20"/>
              </w:rPr>
              <w:t>2018–19</w:t>
            </w:r>
          </w:p>
        </w:tc>
        <w:tc>
          <w:tcPr>
            <w:tcW w:w="682" w:type="pct"/>
            <w:vAlign w:val="center"/>
          </w:tcPr>
          <w:p w:rsidR="00CA5D42" w:rsidRPr="00CD7A25" w:rsidRDefault="00CA5D42" w:rsidP="00CD7A25">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CD7A25">
              <w:rPr>
                <w:rFonts w:ascii="Calibri" w:hAnsi="Calibri"/>
                <w:b w:val="0"/>
                <w:sz w:val="20"/>
                <w:szCs w:val="20"/>
              </w:rPr>
              <w:t>2019–20</w:t>
            </w:r>
          </w:p>
        </w:tc>
        <w:tc>
          <w:tcPr>
            <w:tcW w:w="681" w:type="pct"/>
            <w:vAlign w:val="center"/>
          </w:tcPr>
          <w:p w:rsidR="00CA5D42" w:rsidRPr="00CD7A25" w:rsidRDefault="00CA5D42" w:rsidP="00CD7A25">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CD7A25">
              <w:rPr>
                <w:rFonts w:ascii="Calibri" w:hAnsi="Calibri"/>
                <w:sz w:val="20"/>
                <w:szCs w:val="20"/>
              </w:rPr>
              <w:t>Total</w:t>
            </w:r>
          </w:p>
        </w:tc>
      </w:tr>
      <w:tr w:rsidR="00284738" w:rsidRPr="00CD7A25" w:rsidTr="00CD7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284738" w:rsidRPr="00CD7A25" w:rsidRDefault="00284738" w:rsidP="00CD7A25">
            <w:pPr>
              <w:pStyle w:val="TableTextCentred"/>
              <w:keepNext/>
              <w:keepLines/>
              <w:spacing w:line="240" w:lineRule="auto"/>
              <w:ind w:left="57" w:right="57"/>
              <w:jc w:val="left"/>
              <w:rPr>
                <w:rFonts w:ascii="Calibri" w:hAnsi="Calibri"/>
                <w:szCs w:val="20"/>
              </w:rPr>
            </w:pPr>
            <w:r w:rsidRPr="00CD7A25">
              <w:rPr>
                <w:rFonts w:ascii="Calibri" w:hAnsi="Calibri"/>
                <w:szCs w:val="20"/>
              </w:rPr>
              <w:t>Fiscal balance</w:t>
            </w:r>
          </w:p>
        </w:tc>
        <w:tc>
          <w:tcPr>
            <w:tcW w:w="682" w:type="pct"/>
            <w:vAlign w:val="center"/>
          </w:tcPr>
          <w:p w:rsidR="00284738" w:rsidRPr="00CD7A25" w:rsidRDefault="00284738" w:rsidP="00CD7A25">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CD7A25">
              <w:rPr>
                <w:bCs/>
                <w:color w:val="000000"/>
                <w:sz w:val="20"/>
                <w:szCs w:val="20"/>
              </w:rPr>
              <w:t>-</w:t>
            </w:r>
          </w:p>
        </w:tc>
        <w:tc>
          <w:tcPr>
            <w:tcW w:w="682" w:type="pct"/>
            <w:vAlign w:val="center"/>
          </w:tcPr>
          <w:p w:rsidR="00284738" w:rsidRPr="00CD7A25" w:rsidRDefault="00284738" w:rsidP="00CD7A25">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CD7A25">
              <w:rPr>
                <w:bCs/>
                <w:color w:val="000000"/>
                <w:sz w:val="20"/>
                <w:szCs w:val="20"/>
              </w:rPr>
              <w:t>-50.0</w:t>
            </w:r>
          </w:p>
        </w:tc>
        <w:tc>
          <w:tcPr>
            <w:tcW w:w="682" w:type="pct"/>
            <w:vAlign w:val="center"/>
          </w:tcPr>
          <w:p w:rsidR="00284738" w:rsidRPr="00CD7A25" w:rsidRDefault="00284738" w:rsidP="00CD7A25">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CD7A25">
              <w:rPr>
                <w:bCs/>
                <w:color w:val="000000"/>
                <w:sz w:val="20"/>
                <w:szCs w:val="20"/>
              </w:rPr>
              <w:t>-48.4</w:t>
            </w:r>
          </w:p>
        </w:tc>
        <w:tc>
          <w:tcPr>
            <w:tcW w:w="682" w:type="pct"/>
            <w:vAlign w:val="center"/>
          </w:tcPr>
          <w:p w:rsidR="00284738" w:rsidRPr="00CD7A25" w:rsidRDefault="00284738" w:rsidP="00CD7A25">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CD7A25">
              <w:rPr>
                <w:bCs/>
                <w:color w:val="000000"/>
                <w:sz w:val="20"/>
                <w:szCs w:val="20"/>
              </w:rPr>
              <w:t>-45.0</w:t>
            </w:r>
          </w:p>
        </w:tc>
        <w:tc>
          <w:tcPr>
            <w:tcW w:w="681" w:type="pct"/>
            <w:vAlign w:val="center"/>
          </w:tcPr>
          <w:p w:rsidR="00284738" w:rsidRPr="00CD7A25" w:rsidRDefault="00284738" w:rsidP="00CD7A25">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CD7A25">
              <w:rPr>
                <w:b/>
                <w:bCs/>
                <w:color w:val="000000"/>
                <w:sz w:val="20"/>
                <w:szCs w:val="20"/>
              </w:rPr>
              <w:t>-143.5</w:t>
            </w:r>
          </w:p>
        </w:tc>
      </w:tr>
      <w:tr w:rsidR="00284738" w:rsidRPr="00CD7A25" w:rsidTr="00CD7A25">
        <w:tc>
          <w:tcPr>
            <w:cnfStyle w:val="001000000000" w:firstRow="0" w:lastRow="0" w:firstColumn="1" w:lastColumn="0" w:oddVBand="0" w:evenVBand="0" w:oddHBand="0" w:evenHBand="0" w:firstRowFirstColumn="0" w:firstRowLastColumn="0" w:lastRowFirstColumn="0" w:lastRowLastColumn="0"/>
            <w:tcW w:w="1591" w:type="pct"/>
            <w:vAlign w:val="center"/>
          </w:tcPr>
          <w:p w:rsidR="00284738" w:rsidRPr="00CD7A25" w:rsidRDefault="00284738" w:rsidP="00CD7A25">
            <w:pPr>
              <w:pStyle w:val="TableTextCentred"/>
              <w:keepNext/>
              <w:keepLines/>
              <w:spacing w:line="240" w:lineRule="auto"/>
              <w:ind w:left="57" w:right="57"/>
              <w:jc w:val="left"/>
              <w:rPr>
                <w:rFonts w:ascii="Calibri" w:hAnsi="Calibri"/>
                <w:szCs w:val="20"/>
              </w:rPr>
            </w:pPr>
            <w:r w:rsidRPr="00CD7A25">
              <w:rPr>
                <w:rFonts w:ascii="Calibri" w:hAnsi="Calibri"/>
                <w:szCs w:val="20"/>
              </w:rPr>
              <w:t>Underlying cash balance</w:t>
            </w:r>
          </w:p>
        </w:tc>
        <w:tc>
          <w:tcPr>
            <w:tcW w:w="682" w:type="pct"/>
            <w:vAlign w:val="center"/>
          </w:tcPr>
          <w:p w:rsidR="00284738" w:rsidRPr="00CD7A25" w:rsidRDefault="00284738" w:rsidP="00CD7A2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CD7A25">
              <w:rPr>
                <w:bCs/>
                <w:color w:val="000000"/>
                <w:sz w:val="20"/>
                <w:szCs w:val="20"/>
              </w:rPr>
              <w:t>-</w:t>
            </w:r>
          </w:p>
        </w:tc>
        <w:tc>
          <w:tcPr>
            <w:tcW w:w="682" w:type="pct"/>
            <w:vAlign w:val="center"/>
          </w:tcPr>
          <w:p w:rsidR="00284738" w:rsidRPr="00CD7A25" w:rsidRDefault="00284738" w:rsidP="00CD7A2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CD7A25">
              <w:rPr>
                <w:bCs/>
                <w:color w:val="000000"/>
                <w:sz w:val="20"/>
                <w:szCs w:val="20"/>
              </w:rPr>
              <w:t>-50.0</w:t>
            </w:r>
          </w:p>
        </w:tc>
        <w:tc>
          <w:tcPr>
            <w:tcW w:w="682" w:type="pct"/>
            <w:vAlign w:val="center"/>
          </w:tcPr>
          <w:p w:rsidR="00284738" w:rsidRPr="00CD7A25" w:rsidRDefault="00284738" w:rsidP="00CD7A2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CD7A25">
              <w:rPr>
                <w:bCs/>
                <w:color w:val="000000"/>
                <w:sz w:val="20"/>
                <w:szCs w:val="20"/>
              </w:rPr>
              <w:t>-48.4</w:t>
            </w:r>
          </w:p>
        </w:tc>
        <w:tc>
          <w:tcPr>
            <w:tcW w:w="682" w:type="pct"/>
            <w:vAlign w:val="center"/>
          </w:tcPr>
          <w:p w:rsidR="00284738" w:rsidRPr="00CD7A25" w:rsidRDefault="00284738" w:rsidP="00CD7A2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Cs/>
                <w:color w:val="000000"/>
                <w:sz w:val="20"/>
                <w:szCs w:val="20"/>
              </w:rPr>
            </w:pPr>
            <w:r w:rsidRPr="00CD7A25">
              <w:rPr>
                <w:bCs/>
                <w:color w:val="000000"/>
                <w:sz w:val="20"/>
                <w:szCs w:val="20"/>
              </w:rPr>
              <w:t>-45.0</w:t>
            </w:r>
          </w:p>
        </w:tc>
        <w:tc>
          <w:tcPr>
            <w:tcW w:w="681" w:type="pct"/>
            <w:vAlign w:val="center"/>
          </w:tcPr>
          <w:p w:rsidR="00284738" w:rsidRPr="00CD7A25" w:rsidRDefault="00284738" w:rsidP="00CD7A2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CD7A25">
              <w:rPr>
                <w:b/>
                <w:bCs/>
                <w:color w:val="000000"/>
                <w:sz w:val="20"/>
                <w:szCs w:val="20"/>
              </w:rPr>
              <w:t>-143.5</w:t>
            </w:r>
          </w:p>
        </w:tc>
      </w:tr>
    </w:tbl>
    <w:p w:rsidR="00E6697B" w:rsidRDefault="00E6697B" w:rsidP="00E6697B">
      <w:pPr>
        <w:pStyle w:val="Footnotes"/>
        <w:keepNext/>
        <w:keepLines/>
        <w:numPr>
          <w:ilvl w:val="0"/>
          <w:numId w:val="7"/>
        </w:numPr>
        <w:ind w:left="284" w:hanging="284"/>
      </w:pPr>
      <w:r>
        <w:t>A positive number represents an increase in the relevant budget balance</w:t>
      </w:r>
      <w:r w:rsidR="00DB33A2">
        <w:t>;</w:t>
      </w:r>
      <w:r>
        <w:t xml:space="preserve"> a negative number represents a decrease.</w:t>
      </w:r>
    </w:p>
    <w:p w:rsidR="00E6697B" w:rsidRDefault="00E6697B" w:rsidP="00E6697B">
      <w:pPr>
        <w:pStyle w:val="Footnotes"/>
        <w:keepNext/>
        <w:keepLines/>
        <w:numPr>
          <w:ilvl w:val="0"/>
          <w:numId w:val="7"/>
        </w:numPr>
        <w:ind w:left="284" w:hanging="284"/>
      </w:pPr>
      <w:r>
        <w:t>Figures may not sum to totals due to rounding.</w:t>
      </w:r>
    </w:p>
    <w:p w:rsidR="00E6697B" w:rsidRDefault="00E6697B" w:rsidP="00F7482D">
      <w:pPr>
        <w:pStyle w:val="Footnotes"/>
        <w:keepNext/>
        <w:keepLines/>
        <w:numPr>
          <w:ilvl w:val="0"/>
          <w:numId w:val="37"/>
        </w:numPr>
        <w:ind w:left="284" w:hanging="284"/>
      </w:pPr>
      <w:r>
        <w:t>Indicates nil.</w:t>
      </w:r>
    </w:p>
    <w:p w:rsidR="005E3562" w:rsidRPr="00FC6579" w:rsidRDefault="005E3562" w:rsidP="00E40B8B">
      <w:pPr>
        <w:pStyle w:val="Heading2"/>
      </w:pPr>
      <w:r w:rsidRPr="00FC6579">
        <w:t>Methodology</w:t>
      </w:r>
    </w:p>
    <w:p w:rsidR="00846BA5" w:rsidRDefault="00EF4A4B" w:rsidP="00846BA5">
      <w:r>
        <w:t>Departme</w:t>
      </w:r>
      <w:r w:rsidR="00F7482D">
        <w:t>ntal expenditure estimates for C</w:t>
      </w:r>
      <w:r w:rsidR="006045E0" w:rsidRPr="003345E5">
        <w:t>omponent</w:t>
      </w:r>
      <w:r>
        <w:t>s</w:t>
      </w:r>
      <w:r w:rsidR="006045E0" w:rsidRPr="003345E5">
        <w:t xml:space="preserve"> 1 and 2</w:t>
      </w:r>
      <w:r w:rsidR="006045E0">
        <w:t xml:space="preserve"> </w:t>
      </w:r>
      <w:r w:rsidR="00846BA5">
        <w:t xml:space="preserve">are </w:t>
      </w:r>
      <w:r>
        <w:t xml:space="preserve">included </w:t>
      </w:r>
      <w:r w:rsidR="00846BA5">
        <w:t>within the capped funding amounts as specified in the request.  These estimates are based on other like programs and the estimates account for the net effect of indexation parameters and the efficiency dividend, in accordance with the Department of Finance’s costing practices.</w:t>
      </w:r>
    </w:p>
    <w:p w:rsidR="00E33B2F" w:rsidRDefault="00846BA5" w:rsidP="00846BA5">
      <w:r>
        <w:lastRenderedPageBreak/>
        <w:t xml:space="preserve">Administered expenditure estimates </w:t>
      </w:r>
      <w:r w:rsidR="00E51970">
        <w:t>for C</w:t>
      </w:r>
      <w:r w:rsidR="00D47A0B">
        <w:t xml:space="preserve">omponents 1 and 2 </w:t>
      </w:r>
      <w:r>
        <w:t>are the remainder of the capped funding amounts after allowing for the estimated departmental expenditure.</w:t>
      </w:r>
    </w:p>
    <w:p w:rsidR="00E33B2F" w:rsidRDefault="00EF4A4B" w:rsidP="00E33B2F">
      <w:r>
        <w:t>A</w:t>
      </w:r>
      <w:r w:rsidR="006045E0">
        <w:t xml:space="preserve">dministered and departmental expenditure estimates </w:t>
      </w:r>
      <w:r>
        <w:t>fo</w:t>
      </w:r>
      <w:r w:rsidR="001A0881">
        <w:t>r C</w:t>
      </w:r>
      <w:r>
        <w:t xml:space="preserve">omponent 3 </w:t>
      </w:r>
      <w:r w:rsidR="006045E0">
        <w:t>were based on the estimates for a</w:t>
      </w:r>
      <w:r w:rsidR="00E33B2F">
        <w:t xml:space="preserve"> 2012-13 Budget measure related to implementing recommendations from the review of food labelling.</w:t>
      </w:r>
    </w:p>
    <w:p w:rsidR="005E3562" w:rsidRPr="00FC6579" w:rsidRDefault="005E3562" w:rsidP="00E40B8B">
      <w:pPr>
        <w:pStyle w:val="Heading2"/>
      </w:pPr>
      <w:r w:rsidRPr="00FC6579">
        <w:t>Data sources</w:t>
      </w:r>
    </w:p>
    <w:p w:rsidR="00E33B2F" w:rsidRPr="0072091A" w:rsidRDefault="00E33B2F" w:rsidP="0072091A">
      <w:pPr>
        <w:pStyle w:val="Bullet1"/>
      </w:pPr>
      <w:r w:rsidRPr="0072091A">
        <w:t>The Department of Finance provided indexation parameters.</w:t>
      </w:r>
    </w:p>
    <w:p w:rsidR="0072091A" w:rsidRDefault="00E33B2F" w:rsidP="0072091A">
      <w:pPr>
        <w:pStyle w:val="Bullet1"/>
        <w:sectPr w:rsidR="0072091A" w:rsidSect="00DB33A2">
          <w:headerReference w:type="first" r:id="rId17"/>
          <w:footerReference w:type="first" r:id="rId18"/>
          <w:pgSz w:w="11906" w:h="16838"/>
          <w:pgMar w:top="1361" w:right="1797" w:bottom="1276" w:left="1797" w:header="709" w:footer="709" w:gutter="0"/>
          <w:cols w:space="708"/>
          <w:titlePg/>
          <w:docGrid w:linePitch="360"/>
        </w:sectPr>
      </w:pPr>
      <w:r w:rsidRPr="0072091A">
        <w:t>2012-13 Budget Paper No. 2.</w:t>
      </w:r>
    </w:p>
    <w:p w:rsidR="00EF4A4B" w:rsidRPr="00EF4A4B" w:rsidRDefault="002338AC" w:rsidP="005623B5">
      <w:pPr>
        <w:pStyle w:val="Heading1"/>
      </w:pPr>
      <w:r w:rsidRPr="00FC6579">
        <w:lastRenderedPageBreak/>
        <w:t xml:space="preserve">Attachment </w:t>
      </w:r>
      <w:r w:rsidR="00E33B2F">
        <w:t>A</w:t>
      </w:r>
      <w:r w:rsidRPr="00FC6579">
        <w:t>:</w:t>
      </w:r>
      <w:r w:rsidR="00E33B2F">
        <w:t xml:space="preserve"> Securing the future of farming</w:t>
      </w:r>
      <w:r>
        <w:t>—financial</w:t>
      </w:r>
      <w:r w:rsidR="0072091A">
        <w:t> </w:t>
      </w:r>
      <w:r>
        <w:t>implications</w:t>
      </w:r>
    </w:p>
    <w:p w:rsidR="001216C6" w:rsidRPr="00E11E14" w:rsidRDefault="00EA265F" w:rsidP="00E11E14">
      <w:pPr>
        <w:pStyle w:val="Captionheading"/>
        <w:rPr>
          <w:vertAlign w:val="superscript"/>
        </w:rPr>
      </w:pPr>
      <w:r w:rsidRPr="00FC5643">
        <w:t xml:space="preserve">Table </w:t>
      </w:r>
      <w:r w:rsidR="00E33B2F">
        <w:t>A</w:t>
      </w:r>
      <w:r>
        <w:t>1</w:t>
      </w:r>
      <w:r w:rsidR="00D47A0B" w:rsidRPr="00FC5643">
        <w:t>:</w:t>
      </w:r>
      <w:r w:rsidR="00F561C9">
        <w:t xml:space="preserve"> All components – </w:t>
      </w:r>
      <w:r w:rsidR="008E0223" w:rsidRPr="004A708D">
        <w:t xml:space="preserve">Securing the </w:t>
      </w:r>
      <w:r w:rsidR="008E0223">
        <w:t>f</w:t>
      </w:r>
      <w:r w:rsidR="008E0223" w:rsidRPr="004A708D">
        <w:t xml:space="preserve">uture of </w:t>
      </w:r>
      <w:r w:rsidR="008E0223">
        <w:t>f</w:t>
      </w:r>
      <w:r w:rsidR="008E0223" w:rsidRPr="004A708D">
        <w:t>arming</w:t>
      </w:r>
      <w:r w:rsidR="00F561C9">
        <w:t>—F</w:t>
      </w:r>
      <w:r w:rsidR="00E33B2F">
        <w:t xml:space="preserve">inancial </w:t>
      </w:r>
      <w:proofErr w:type="gramStart"/>
      <w:r w:rsidR="00E33B2F">
        <w:t>implications</w:t>
      </w:r>
      <w:r w:rsidR="00E11E14">
        <w:rPr>
          <w:vertAlign w:val="superscript"/>
        </w:rPr>
        <w:t>(</w:t>
      </w:r>
      <w:proofErr w:type="gramEnd"/>
      <w:r w:rsidR="00E11E14">
        <w:rPr>
          <w:vertAlign w:val="superscript"/>
        </w:rPr>
        <w:t>a)</w:t>
      </w:r>
      <w:r w:rsidR="00E6697B">
        <w:rPr>
          <w:vertAlign w:val="superscript"/>
        </w:rPr>
        <w:t>(b)</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078"/>
        <w:gridCol w:w="890"/>
        <w:gridCol w:w="892"/>
        <w:gridCol w:w="892"/>
        <w:gridCol w:w="892"/>
        <w:gridCol w:w="894"/>
        <w:gridCol w:w="892"/>
        <w:gridCol w:w="892"/>
      </w:tblGrid>
      <w:tr w:rsidR="00E11E14" w:rsidRPr="00012D00" w:rsidTr="004E7D6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Text"/>
              <w:keepNext/>
              <w:keepLines/>
              <w:spacing w:line="240" w:lineRule="auto"/>
              <w:ind w:left="57" w:right="57"/>
              <w:rPr>
                <w:rFonts w:ascii="Calibri" w:hAnsi="Calibri"/>
                <w:b w:val="0"/>
                <w:szCs w:val="20"/>
              </w:rPr>
            </w:pPr>
            <w:r w:rsidRPr="00012D00">
              <w:rPr>
                <w:rFonts w:ascii="Calibri" w:hAnsi="Calibri"/>
                <w:b w:val="0"/>
                <w:szCs w:val="20"/>
              </w:rPr>
              <w:t>($m)</w:t>
            </w:r>
          </w:p>
        </w:tc>
        <w:tc>
          <w:tcPr>
            <w:tcW w:w="535"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012D00">
              <w:rPr>
                <w:b w:val="0"/>
              </w:rPr>
              <w:t>2016–17</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012D00">
              <w:rPr>
                <w:b w:val="0"/>
              </w:rPr>
              <w:t>2017–18</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012D00">
              <w:rPr>
                <w:b w:val="0"/>
              </w:rPr>
              <w:t>2018–19</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012D00">
              <w:rPr>
                <w:b w:val="0"/>
              </w:rPr>
              <w:t>2019–20</w:t>
            </w:r>
          </w:p>
        </w:tc>
        <w:tc>
          <w:tcPr>
            <w:tcW w:w="537"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vertAlign w:val="superscript"/>
              </w:rPr>
            </w:pPr>
            <w:r w:rsidRPr="00012D00">
              <w:t>Total</w:t>
            </w:r>
            <w:r w:rsidRPr="00012D00">
              <w:rPr>
                <w:szCs w:val="20"/>
              </w:rPr>
              <w:t xml:space="preserve"> to 2019–20</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012D00">
              <w:rPr>
                <w:b w:val="0"/>
              </w:rPr>
              <w:t>2020–21</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012D00" w:rsidRDefault="00E11E14" w:rsidP="004E7D63">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vertAlign w:val="superscript"/>
              </w:rPr>
            </w:pPr>
            <w:r w:rsidRPr="00012D00">
              <w:t>Total</w:t>
            </w:r>
            <w:r w:rsidRPr="00012D00">
              <w:rPr>
                <w:szCs w:val="20"/>
              </w:rPr>
              <w:t xml:space="preserve"> to 2020–21</w:t>
            </w:r>
          </w:p>
        </w:tc>
      </w:tr>
      <w:tr w:rsidR="00E11E14" w:rsidRPr="00EF1D6A" w:rsidTr="004E7D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788184"/>
              <w:left w:val="single" w:sz="4" w:space="0" w:color="788184"/>
              <w:bottom w:val="single" w:sz="4" w:space="0" w:color="788184"/>
              <w:right w:val="single" w:sz="4" w:space="0" w:color="788184"/>
            </w:tcBorders>
            <w:shd w:val="clear" w:color="auto" w:fill="E9ECF3"/>
            <w:vAlign w:val="center"/>
          </w:tcPr>
          <w:p w:rsidR="00E11E14" w:rsidRPr="00012D00" w:rsidRDefault="00015E47" w:rsidP="004E7D63">
            <w:pPr>
              <w:pStyle w:val="TableHeadingCentred"/>
              <w:ind w:left="57" w:right="57"/>
              <w:jc w:val="left"/>
              <w:rPr>
                <w:b/>
              </w:rPr>
            </w:pPr>
            <w:r w:rsidRPr="00012D00">
              <w:rPr>
                <w:b/>
              </w:rPr>
              <w:t>Impact on fiscal and underlying cash balances</w:t>
            </w:r>
          </w:p>
        </w:tc>
      </w:tr>
      <w:tr w:rsidR="00284738" w:rsidRPr="0066665A" w:rsidTr="004E7D63">
        <w:trPr>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284738" w:rsidRPr="00E33B2F" w:rsidRDefault="00284738" w:rsidP="004E7D63">
            <w:pPr>
              <w:spacing w:before="70" w:after="70" w:line="240" w:lineRule="auto"/>
              <w:ind w:left="57" w:right="57"/>
              <w:rPr>
                <w:color w:val="000000"/>
                <w:sz w:val="20"/>
                <w:szCs w:val="20"/>
              </w:rPr>
            </w:pPr>
            <w:r w:rsidRPr="00E33B2F">
              <w:rPr>
                <w:color w:val="000000"/>
                <w:sz w:val="20"/>
                <w:szCs w:val="20"/>
              </w:rPr>
              <w:t>Administered</w:t>
            </w:r>
          </w:p>
        </w:tc>
        <w:tc>
          <w:tcPr>
            <w:tcW w:w="535"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-47.8</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-46.4</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-43.4</w:t>
            </w:r>
          </w:p>
        </w:tc>
        <w:tc>
          <w:tcPr>
            <w:tcW w:w="537"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000000" w:firstRow="0" w:lastRow="0" w:firstColumn="0" w:lastColumn="0" w:oddVBand="0" w:evenVBand="0" w:oddHBand="0" w:evenHBand="0" w:firstRowFirstColumn="0" w:firstRowLastColumn="0" w:lastRowFirstColumn="0" w:lastRowLastColumn="0"/>
              <w:rPr>
                <w:b/>
                <w:bCs/>
              </w:rPr>
            </w:pPr>
            <w:r w:rsidRPr="007618B9">
              <w:rPr>
                <w:b/>
                <w:bCs/>
              </w:rPr>
              <w:t>-137.3</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-43.4</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bCs/>
              </w:rPr>
            </w:pPr>
            <w:r w:rsidRPr="007618B9">
              <w:rPr>
                <w:rFonts w:ascii="Calibri" w:hAnsi="Calibri"/>
                <w:b/>
                <w:bCs/>
              </w:rPr>
              <w:t>-180.7</w:t>
            </w:r>
          </w:p>
        </w:tc>
      </w:tr>
      <w:tr w:rsidR="00284738" w:rsidRPr="0066665A" w:rsidTr="004E7D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284738" w:rsidRPr="00E33B2F" w:rsidRDefault="00284738" w:rsidP="004E7D63">
            <w:pPr>
              <w:spacing w:before="70" w:after="70" w:line="240" w:lineRule="auto"/>
              <w:ind w:left="57" w:right="57"/>
              <w:rPr>
                <w:color w:val="000000"/>
                <w:sz w:val="20"/>
                <w:szCs w:val="20"/>
              </w:rPr>
            </w:pPr>
            <w:r w:rsidRPr="00E33B2F">
              <w:rPr>
                <w:color w:val="000000"/>
                <w:sz w:val="20"/>
                <w:szCs w:val="20"/>
              </w:rPr>
              <w:t>Departmental</w:t>
            </w:r>
          </w:p>
        </w:tc>
        <w:tc>
          <w:tcPr>
            <w:tcW w:w="535"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-2.3</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-2.1</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-1.6</w:t>
            </w:r>
          </w:p>
        </w:tc>
        <w:tc>
          <w:tcPr>
            <w:tcW w:w="537"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100000" w:firstRow="0" w:lastRow="0" w:firstColumn="0" w:lastColumn="0" w:oddVBand="0" w:evenVBand="0" w:oddHBand="1" w:evenHBand="0" w:firstRowFirstColumn="0" w:firstRowLastColumn="0" w:lastRowFirstColumn="0" w:lastRowLastColumn="0"/>
              <w:rPr>
                <w:b/>
                <w:bCs/>
              </w:rPr>
            </w:pPr>
            <w:r w:rsidRPr="007618B9">
              <w:rPr>
                <w:b/>
                <w:bCs/>
              </w:rPr>
              <w:t>-6.2</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-1.6</w:t>
            </w:r>
          </w:p>
        </w:tc>
        <w:tc>
          <w:tcPr>
            <w:tcW w:w="536" w:type="pct"/>
            <w:tcBorders>
              <w:top w:val="single" w:sz="4" w:space="0" w:color="788184"/>
              <w:left w:val="single" w:sz="4" w:space="0" w:color="788184"/>
              <w:bottom w:val="single" w:sz="4" w:space="0" w:color="788184"/>
              <w:right w:val="single" w:sz="4" w:space="0" w:color="788184"/>
            </w:tcBorders>
            <w:vAlign w:val="bottom"/>
          </w:tcPr>
          <w:p w:rsidR="00284738" w:rsidRPr="007618B9" w:rsidRDefault="00284738" w:rsidP="007618B9">
            <w:pPr>
              <w:pStyle w:val="TableTextRight"/>
              <w:cnfStyle w:val="000000100000" w:firstRow="0" w:lastRow="0" w:firstColumn="0" w:lastColumn="0" w:oddVBand="0" w:evenVBand="0" w:oddHBand="1" w:evenHBand="0" w:firstRowFirstColumn="0" w:firstRowLastColumn="0" w:lastRowFirstColumn="0" w:lastRowLastColumn="0"/>
              <w:rPr>
                <w:rFonts w:ascii="Calibri" w:hAnsi="Calibri"/>
                <w:b/>
                <w:bCs/>
              </w:rPr>
            </w:pPr>
            <w:r w:rsidRPr="007618B9">
              <w:rPr>
                <w:rFonts w:ascii="Calibri" w:hAnsi="Calibri"/>
                <w:b/>
                <w:bCs/>
              </w:rPr>
              <w:t>-7.8</w:t>
            </w:r>
          </w:p>
        </w:tc>
      </w:tr>
      <w:tr w:rsidR="00284738" w:rsidRPr="0055406D" w:rsidTr="004E7D63">
        <w:trPr>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284738" w:rsidRPr="00E33B2F" w:rsidRDefault="00284738" w:rsidP="004E7D63">
            <w:pPr>
              <w:spacing w:before="70" w:after="70" w:line="240" w:lineRule="auto"/>
              <w:ind w:left="57" w:right="57"/>
              <w:rPr>
                <w:color w:val="000000"/>
                <w:sz w:val="20"/>
                <w:szCs w:val="20"/>
              </w:rPr>
            </w:pPr>
            <w:r w:rsidRPr="00E33B2F">
              <w:rPr>
                <w:b/>
                <w:bCs/>
                <w:color w:val="000000"/>
                <w:sz w:val="20"/>
                <w:szCs w:val="20"/>
              </w:rPr>
              <w:t>Total</w:t>
            </w:r>
          </w:p>
        </w:tc>
        <w:tc>
          <w:tcPr>
            <w:tcW w:w="535"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284738" w:rsidRPr="002F4E23" w:rsidRDefault="00284738" w:rsidP="004E7D6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284738" w:rsidRPr="002F4E23" w:rsidRDefault="00284738" w:rsidP="004E7D6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-50.0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284738" w:rsidRPr="002F4E23" w:rsidRDefault="00284738" w:rsidP="004E7D6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-48.4</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284738" w:rsidRPr="002F4E23" w:rsidRDefault="00284738" w:rsidP="004E7D6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-45.0</w:t>
            </w:r>
          </w:p>
        </w:tc>
        <w:tc>
          <w:tcPr>
            <w:tcW w:w="537"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284738" w:rsidRPr="00012D00" w:rsidRDefault="00284738" w:rsidP="004E7D6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012D00">
              <w:rPr>
                <w:b/>
                <w:bCs/>
                <w:color w:val="000000"/>
                <w:sz w:val="20"/>
                <w:szCs w:val="20"/>
              </w:rPr>
              <w:t>-143.5</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284738" w:rsidRPr="002F4E23" w:rsidRDefault="00284738" w:rsidP="004E7D6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-45.0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284738" w:rsidRPr="00012D00" w:rsidRDefault="00284738" w:rsidP="004E7D63">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012D00">
              <w:rPr>
                <w:rFonts w:ascii="Calibri" w:hAnsi="Calibri"/>
                <w:b/>
                <w:bCs/>
                <w:color w:val="000000"/>
                <w:sz w:val="20"/>
                <w:szCs w:val="20"/>
              </w:rPr>
              <w:t>-188.5</w:t>
            </w:r>
          </w:p>
        </w:tc>
      </w:tr>
    </w:tbl>
    <w:p w:rsidR="00A842C6" w:rsidRPr="001A0884" w:rsidRDefault="00A842C6" w:rsidP="00441065">
      <w:pPr>
        <w:pStyle w:val="Footnotes"/>
        <w:numPr>
          <w:ilvl w:val="0"/>
          <w:numId w:val="30"/>
        </w:numPr>
        <w:ind w:left="284" w:hanging="284"/>
      </w:pPr>
      <w:r w:rsidRPr="001A0884">
        <w:t xml:space="preserve">A </w:t>
      </w:r>
      <w:r w:rsidR="001A0884" w:rsidRPr="00DB33A2">
        <w:t>positive number indicates an increase in revenue or decrease in expenses or net capital investment in accrual and cash terms. A negative number indicates a decrease in revenue or an increase in expenses or net capital investment in accrual and cash terms</w:t>
      </w:r>
      <w:r w:rsidR="001A0884" w:rsidRPr="001A0884">
        <w:t>.</w:t>
      </w:r>
    </w:p>
    <w:p w:rsidR="00A842C6" w:rsidRPr="00CA5D42" w:rsidRDefault="00A842C6" w:rsidP="00441065">
      <w:pPr>
        <w:pStyle w:val="Footnotes"/>
        <w:numPr>
          <w:ilvl w:val="0"/>
          <w:numId w:val="30"/>
        </w:numPr>
        <w:ind w:left="284" w:hanging="284"/>
      </w:pPr>
      <w:r>
        <w:t>Figures may not sum to totals due to rounding.</w:t>
      </w:r>
    </w:p>
    <w:p w:rsidR="00A842C6" w:rsidRDefault="00A842C6" w:rsidP="00441065">
      <w:pPr>
        <w:pStyle w:val="Footnotes"/>
        <w:numPr>
          <w:ilvl w:val="0"/>
          <w:numId w:val="37"/>
        </w:numPr>
        <w:ind w:left="284" w:hanging="284"/>
      </w:pPr>
      <w:r>
        <w:t>Indicates nil.</w:t>
      </w:r>
    </w:p>
    <w:p w:rsidR="005E0257" w:rsidRDefault="005E0257" w:rsidP="005E0257">
      <w:pPr>
        <w:pStyle w:val="Captionheading"/>
        <w:rPr>
          <w:vertAlign w:val="superscript"/>
        </w:rPr>
      </w:pPr>
      <w:r w:rsidRPr="00FC5643">
        <w:t xml:space="preserve">Table </w:t>
      </w:r>
      <w:r w:rsidR="00E33B2F">
        <w:t>A</w:t>
      </w:r>
      <w:r>
        <w:t>2</w:t>
      </w:r>
      <w:r w:rsidRPr="00FC5643">
        <w:t xml:space="preserve">: </w:t>
      </w:r>
      <w:r w:rsidR="00E33B2F">
        <w:t>Component 1</w:t>
      </w:r>
      <w:r w:rsidR="003264D8">
        <w:t>:</w:t>
      </w:r>
      <w:r w:rsidR="00E33B2F">
        <w:t xml:space="preserve"> </w:t>
      </w:r>
      <w:r w:rsidR="003264D8" w:rsidRPr="003264D8">
        <w:t>Helping our soils survive</w:t>
      </w:r>
      <w:r w:rsidR="003226CD">
        <w:t>—F</w:t>
      </w:r>
      <w:r w:rsidR="00E33B2F">
        <w:t xml:space="preserve">inancial </w:t>
      </w:r>
      <w:proofErr w:type="gramStart"/>
      <w:r w:rsidR="00E33B2F">
        <w:t>implications</w:t>
      </w:r>
      <w:r w:rsidR="00E11E14">
        <w:rPr>
          <w:vertAlign w:val="superscript"/>
        </w:rPr>
        <w:t>(</w:t>
      </w:r>
      <w:proofErr w:type="gramEnd"/>
      <w:r w:rsidR="00E11E14">
        <w:rPr>
          <w:vertAlign w:val="superscript"/>
        </w:rPr>
        <w:t>a)</w:t>
      </w:r>
      <w:r w:rsidR="00E6697B">
        <w:rPr>
          <w:vertAlign w:val="superscript"/>
        </w:rPr>
        <w:t>(b)</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078"/>
        <w:gridCol w:w="890"/>
        <w:gridCol w:w="892"/>
        <w:gridCol w:w="892"/>
        <w:gridCol w:w="892"/>
        <w:gridCol w:w="894"/>
        <w:gridCol w:w="892"/>
        <w:gridCol w:w="892"/>
      </w:tblGrid>
      <w:tr w:rsidR="00E11E14" w:rsidRPr="007618B9" w:rsidTr="007618B9">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Text"/>
              <w:keepNext/>
              <w:keepLines/>
              <w:spacing w:line="240" w:lineRule="auto"/>
              <w:ind w:left="57" w:right="57"/>
              <w:rPr>
                <w:rFonts w:ascii="Calibri" w:hAnsi="Calibri"/>
                <w:b w:val="0"/>
                <w:szCs w:val="20"/>
              </w:rPr>
            </w:pPr>
            <w:r w:rsidRPr="007618B9">
              <w:rPr>
                <w:rFonts w:ascii="Calibri" w:hAnsi="Calibri"/>
                <w:b w:val="0"/>
                <w:szCs w:val="20"/>
              </w:rPr>
              <w:t>($m)</w:t>
            </w:r>
          </w:p>
        </w:tc>
        <w:tc>
          <w:tcPr>
            <w:tcW w:w="535"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2016–17</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2017–18</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2018–19</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2019–20</w:t>
            </w:r>
          </w:p>
        </w:tc>
        <w:tc>
          <w:tcPr>
            <w:tcW w:w="537"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vertAlign w:val="superscript"/>
              </w:rPr>
            </w:pPr>
            <w:r w:rsidRPr="007618B9">
              <w:t>Total</w:t>
            </w:r>
            <w:r w:rsidRPr="007618B9">
              <w:rPr>
                <w:szCs w:val="20"/>
              </w:rPr>
              <w:t xml:space="preserve"> to 2019–20</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2020–21</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7618B9">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vertAlign w:val="superscript"/>
              </w:rPr>
            </w:pPr>
            <w:r w:rsidRPr="007618B9">
              <w:t>Total</w:t>
            </w:r>
            <w:r w:rsidRPr="007618B9">
              <w:rPr>
                <w:szCs w:val="20"/>
              </w:rPr>
              <w:t xml:space="preserve"> to 2020–21</w:t>
            </w:r>
          </w:p>
        </w:tc>
      </w:tr>
      <w:tr w:rsidR="00E11E14" w:rsidRPr="00EF1D6A" w:rsidTr="007618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788184"/>
              <w:left w:val="single" w:sz="4" w:space="0" w:color="788184"/>
              <w:bottom w:val="single" w:sz="4" w:space="0" w:color="788184"/>
              <w:right w:val="single" w:sz="4" w:space="0" w:color="788184"/>
            </w:tcBorders>
            <w:shd w:val="clear" w:color="auto" w:fill="E9ECF3"/>
            <w:vAlign w:val="center"/>
          </w:tcPr>
          <w:p w:rsidR="00E11E14" w:rsidRPr="007618B9" w:rsidRDefault="00015E47" w:rsidP="007618B9">
            <w:pPr>
              <w:pStyle w:val="TableHeadingCentred"/>
              <w:ind w:left="57" w:right="57"/>
              <w:jc w:val="left"/>
              <w:rPr>
                <w:b/>
              </w:rPr>
            </w:pPr>
            <w:r w:rsidRPr="007618B9">
              <w:rPr>
                <w:b/>
              </w:rPr>
              <w:t>Impact on fiscal and underlying cash balances</w:t>
            </w:r>
          </w:p>
        </w:tc>
      </w:tr>
      <w:tr w:rsidR="007F285B" w:rsidRPr="0066665A" w:rsidTr="007618B9">
        <w:trPr>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7F285B" w:rsidRPr="00E33B2F" w:rsidRDefault="007F285B" w:rsidP="007618B9">
            <w:pPr>
              <w:spacing w:before="70" w:after="70" w:line="240" w:lineRule="auto"/>
              <w:ind w:left="57" w:right="57"/>
              <w:rPr>
                <w:color w:val="000000"/>
                <w:sz w:val="20"/>
                <w:szCs w:val="20"/>
              </w:rPr>
            </w:pPr>
            <w:r w:rsidRPr="00E33B2F">
              <w:rPr>
                <w:color w:val="000000"/>
                <w:sz w:val="20"/>
                <w:szCs w:val="20"/>
              </w:rPr>
              <w:t>Administered</w:t>
            </w:r>
          </w:p>
        </w:tc>
        <w:tc>
          <w:tcPr>
            <w:tcW w:w="535"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-24.1</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-24.1</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-24.1</w:t>
            </w:r>
          </w:p>
        </w:tc>
        <w:tc>
          <w:tcPr>
            <w:tcW w:w="537"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000000" w:firstRow="0" w:lastRow="0" w:firstColumn="0" w:lastColumn="0" w:oddVBand="0" w:evenVBand="0" w:oddHBand="0" w:evenHBand="0" w:firstRowFirstColumn="0" w:firstRowLastColumn="0" w:lastRowFirstColumn="0" w:lastRowLastColumn="0"/>
              <w:rPr>
                <w:b/>
              </w:rPr>
            </w:pPr>
            <w:r w:rsidRPr="007618B9">
              <w:rPr>
                <w:b/>
              </w:rPr>
              <w:t>-72.2</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000000" w:firstRow="0" w:lastRow="0" w:firstColumn="0" w:lastColumn="0" w:oddVBand="0" w:evenVBand="0" w:oddHBand="0" w:evenHBand="0" w:firstRowFirstColumn="0" w:firstRowLastColumn="0" w:lastRowFirstColumn="0" w:lastRowLastColumn="0"/>
            </w:pPr>
            <w:r w:rsidRPr="007618B9">
              <w:t>-24.1</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000000" w:firstRow="0" w:lastRow="0" w:firstColumn="0" w:lastColumn="0" w:oddVBand="0" w:evenVBand="0" w:oddHBand="0" w:evenHBand="0" w:firstRowFirstColumn="0" w:firstRowLastColumn="0" w:lastRowFirstColumn="0" w:lastRowLastColumn="0"/>
              <w:rPr>
                <w:rFonts w:ascii="Calibri" w:hAnsi="Calibri"/>
                <w:b/>
              </w:rPr>
            </w:pPr>
            <w:r w:rsidRPr="007618B9">
              <w:rPr>
                <w:rFonts w:ascii="Calibri" w:hAnsi="Calibri"/>
                <w:b/>
              </w:rPr>
              <w:t>-96.3</w:t>
            </w:r>
          </w:p>
        </w:tc>
      </w:tr>
      <w:tr w:rsidR="007F285B" w:rsidRPr="0066665A" w:rsidTr="007618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7F285B" w:rsidRPr="00E33B2F" w:rsidRDefault="007F285B" w:rsidP="007618B9">
            <w:pPr>
              <w:spacing w:before="70" w:after="70" w:line="240" w:lineRule="auto"/>
              <w:ind w:left="57" w:right="57"/>
              <w:rPr>
                <w:color w:val="000000"/>
                <w:sz w:val="20"/>
                <w:szCs w:val="20"/>
              </w:rPr>
            </w:pPr>
            <w:r w:rsidRPr="00E33B2F">
              <w:rPr>
                <w:color w:val="000000"/>
                <w:sz w:val="20"/>
                <w:szCs w:val="20"/>
              </w:rPr>
              <w:t>Departmental</w:t>
            </w:r>
          </w:p>
        </w:tc>
        <w:tc>
          <w:tcPr>
            <w:tcW w:w="535"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-0.9</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-0.9</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-0.9</w:t>
            </w:r>
          </w:p>
        </w:tc>
        <w:tc>
          <w:tcPr>
            <w:tcW w:w="537"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100000" w:firstRow="0" w:lastRow="0" w:firstColumn="0" w:lastColumn="0" w:oddVBand="0" w:evenVBand="0" w:oddHBand="1" w:evenHBand="0" w:firstRowFirstColumn="0" w:firstRowLastColumn="0" w:lastRowFirstColumn="0" w:lastRowLastColumn="0"/>
              <w:rPr>
                <w:b/>
              </w:rPr>
            </w:pPr>
            <w:r w:rsidRPr="007618B9">
              <w:rPr>
                <w:b/>
              </w:rPr>
              <w:t>-2.8</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100000" w:firstRow="0" w:lastRow="0" w:firstColumn="0" w:lastColumn="0" w:oddVBand="0" w:evenVBand="0" w:oddHBand="1" w:evenHBand="0" w:firstRowFirstColumn="0" w:firstRowLastColumn="0" w:lastRowFirstColumn="0" w:lastRowLastColumn="0"/>
            </w:pPr>
            <w:r w:rsidRPr="007618B9">
              <w:t>-0.9</w:t>
            </w:r>
          </w:p>
        </w:tc>
        <w:tc>
          <w:tcPr>
            <w:tcW w:w="536" w:type="pct"/>
            <w:tcBorders>
              <w:top w:val="single" w:sz="4" w:space="0" w:color="788184"/>
              <w:left w:val="single" w:sz="4" w:space="0" w:color="788184"/>
              <w:bottom w:val="single" w:sz="4" w:space="0" w:color="788184"/>
              <w:right w:val="single" w:sz="4" w:space="0" w:color="788184"/>
            </w:tcBorders>
            <w:vAlign w:val="center"/>
          </w:tcPr>
          <w:p w:rsidR="007F285B" w:rsidRPr="007618B9" w:rsidRDefault="007F285B" w:rsidP="007618B9">
            <w:pPr>
              <w:pStyle w:val="TableTextRight"/>
              <w:cnfStyle w:val="000000100000" w:firstRow="0" w:lastRow="0" w:firstColumn="0" w:lastColumn="0" w:oddVBand="0" w:evenVBand="0" w:oddHBand="1" w:evenHBand="0" w:firstRowFirstColumn="0" w:firstRowLastColumn="0" w:lastRowFirstColumn="0" w:lastRowLastColumn="0"/>
              <w:rPr>
                <w:rFonts w:ascii="Calibri" w:hAnsi="Calibri"/>
                <w:b/>
              </w:rPr>
            </w:pPr>
            <w:r w:rsidRPr="007618B9">
              <w:rPr>
                <w:rFonts w:ascii="Calibri" w:hAnsi="Calibri"/>
                <w:b/>
              </w:rPr>
              <w:t>-3.7</w:t>
            </w:r>
          </w:p>
        </w:tc>
      </w:tr>
      <w:tr w:rsidR="007F285B" w:rsidRPr="0055406D" w:rsidTr="007618B9">
        <w:trPr>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E33B2F" w:rsidRDefault="007F285B" w:rsidP="007618B9">
            <w:pPr>
              <w:spacing w:before="70" w:after="70" w:line="240" w:lineRule="auto"/>
              <w:ind w:left="57" w:right="57"/>
              <w:rPr>
                <w:color w:val="000000"/>
                <w:sz w:val="20"/>
                <w:szCs w:val="20"/>
              </w:rPr>
            </w:pPr>
            <w:r w:rsidRPr="00E33B2F">
              <w:rPr>
                <w:b/>
                <w:bCs/>
                <w:color w:val="000000"/>
                <w:sz w:val="20"/>
                <w:szCs w:val="20"/>
              </w:rPr>
              <w:t>Total</w:t>
            </w:r>
          </w:p>
        </w:tc>
        <w:tc>
          <w:tcPr>
            <w:tcW w:w="535"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7F285B" w:rsidRDefault="007F285B" w:rsidP="007618B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7F285B">
              <w:rPr>
                <w:b/>
                <w:bCs/>
                <w:color w:val="000000"/>
                <w:sz w:val="20"/>
                <w:szCs w:val="20"/>
              </w:rPr>
              <w:t>-</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7F285B" w:rsidRDefault="007F285B" w:rsidP="007618B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7F285B">
              <w:rPr>
                <w:b/>
                <w:bCs/>
                <w:color w:val="000000"/>
                <w:sz w:val="20"/>
                <w:szCs w:val="20"/>
              </w:rPr>
              <w:t>-25.0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7F285B" w:rsidRDefault="007F285B" w:rsidP="007618B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7F285B">
              <w:rPr>
                <w:b/>
                <w:bCs/>
                <w:color w:val="000000"/>
                <w:sz w:val="20"/>
                <w:szCs w:val="20"/>
              </w:rPr>
              <w:t>-25.0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7F285B" w:rsidRDefault="007F285B" w:rsidP="007618B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7F285B">
              <w:rPr>
                <w:b/>
                <w:bCs/>
                <w:color w:val="000000"/>
                <w:sz w:val="20"/>
                <w:szCs w:val="20"/>
              </w:rPr>
              <w:t>-25.0</w:t>
            </w:r>
          </w:p>
        </w:tc>
        <w:tc>
          <w:tcPr>
            <w:tcW w:w="537"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7618B9" w:rsidRDefault="007F285B" w:rsidP="007618B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7618B9">
              <w:rPr>
                <w:b/>
                <w:bCs/>
                <w:color w:val="000000"/>
                <w:sz w:val="20"/>
                <w:szCs w:val="20"/>
              </w:rPr>
              <w:t>-75.0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7F285B" w:rsidRDefault="007F285B" w:rsidP="007618B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7F285B">
              <w:rPr>
                <w:b/>
                <w:bCs/>
                <w:color w:val="000000"/>
                <w:sz w:val="20"/>
                <w:szCs w:val="20"/>
              </w:rPr>
              <w:t>-25.0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7618B9" w:rsidRDefault="007F285B" w:rsidP="007618B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7618B9">
              <w:rPr>
                <w:rFonts w:ascii="Calibri" w:hAnsi="Calibri"/>
                <w:b/>
                <w:color w:val="000000"/>
                <w:sz w:val="20"/>
                <w:szCs w:val="20"/>
              </w:rPr>
              <w:t>-100.0</w:t>
            </w:r>
          </w:p>
        </w:tc>
      </w:tr>
    </w:tbl>
    <w:p w:rsidR="00A842C6" w:rsidRDefault="00A842C6" w:rsidP="00441065">
      <w:pPr>
        <w:pStyle w:val="Footnotes"/>
        <w:numPr>
          <w:ilvl w:val="0"/>
          <w:numId w:val="31"/>
        </w:numPr>
        <w:ind w:left="284" w:hanging="284"/>
      </w:pPr>
      <w:r>
        <w:t xml:space="preserve">A </w:t>
      </w:r>
      <w:r w:rsidR="001A0884" w:rsidRPr="00F66E1A">
        <w:t>positive number indicates an increase in revenue or decrease in expenses or net capital investment in accrual and cash terms. A negative number indicates a decrease in revenue or an increase in expenses or net capital investment in accrual and cash terms</w:t>
      </w:r>
      <w:r w:rsidR="001A0884">
        <w:t>.</w:t>
      </w:r>
    </w:p>
    <w:p w:rsidR="00A842C6" w:rsidRPr="00CA5D42" w:rsidRDefault="00A842C6" w:rsidP="00441065">
      <w:pPr>
        <w:pStyle w:val="Footnotes"/>
        <w:numPr>
          <w:ilvl w:val="0"/>
          <w:numId w:val="30"/>
        </w:numPr>
        <w:ind w:left="284" w:hanging="284"/>
      </w:pPr>
      <w:r>
        <w:t>Figures may not sum to totals due to rounding.</w:t>
      </w:r>
    </w:p>
    <w:p w:rsidR="00A842C6" w:rsidRDefault="00A842C6" w:rsidP="00441065">
      <w:pPr>
        <w:pStyle w:val="Footnotes"/>
        <w:numPr>
          <w:ilvl w:val="0"/>
          <w:numId w:val="37"/>
        </w:numPr>
        <w:ind w:left="284" w:hanging="284"/>
      </w:pPr>
      <w:r>
        <w:t>Indicates nil.</w:t>
      </w:r>
    </w:p>
    <w:p w:rsidR="00E33B2F" w:rsidRDefault="00E33B2F" w:rsidP="00B62C78">
      <w:pPr>
        <w:pStyle w:val="Captionheading"/>
        <w:keepLines/>
        <w:rPr>
          <w:vertAlign w:val="superscript"/>
        </w:rPr>
      </w:pPr>
      <w:r w:rsidRPr="00FC5643">
        <w:lastRenderedPageBreak/>
        <w:t xml:space="preserve">Table </w:t>
      </w:r>
      <w:r>
        <w:t>A3</w:t>
      </w:r>
      <w:r w:rsidRPr="00FC5643">
        <w:t xml:space="preserve">: </w:t>
      </w:r>
      <w:r>
        <w:t>Component 2</w:t>
      </w:r>
      <w:r w:rsidR="003264D8">
        <w:t xml:space="preserve">: </w:t>
      </w:r>
      <w:r w:rsidR="003264D8" w:rsidRPr="003264D8">
        <w:t>Helping farmers sell direct</w:t>
      </w:r>
      <w:r w:rsidR="00555D88">
        <w:t>—</w:t>
      </w:r>
      <w:r>
        <w:t xml:space="preserve">financial </w:t>
      </w:r>
      <w:proofErr w:type="gramStart"/>
      <w:r w:rsidR="00914722">
        <w:t>implications</w:t>
      </w:r>
      <w:r w:rsidR="00914722">
        <w:rPr>
          <w:vertAlign w:val="superscript"/>
        </w:rPr>
        <w:t>(</w:t>
      </w:r>
      <w:proofErr w:type="gramEnd"/>
      <w:r w:rsidR="00E11E14">
        <w:rPr>
          <w:vertAlign w:val="superscript"/>
        </w:rPr>
        <w:t>a)</w:t>
      </w:r>
      <w:r w:rsidR="00AF7835">
        <w:rPr>
          <w:vertAlign w:val="superscript"/>
        </w:rPr>
        <w:t>(b)</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078"/>
        <w:gridCol w:w="890"/>
        <w:gridCol w:w="892"/>
        <w:gridCol w:w="892"/>
        <w:gridCol w:w="892"/>
        <w:gridCol w:w="894"/>
        <w:gridCol w:w="892"/>
        <w:gridCol w:w="892"/>
      </w:tblGrid>
      <w:tr w:rsidR="00E11E14" w:rsidRPr="007618B9" w:rsidTr="00AD56F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Text"/>
              <w:keepNext/>
              <w:keepLines/>
              <w:spacing w:line="240" w:lineRule="auto"/>
              <w:ind w:left="57" w:right="57"/>
              <w:rPr>
                <w:rFonts w:ascii="Calibri" w:hAnsi="Calibri"/>
                <w:b w:val="0"/>
                <w:szCs w:val="20"/>
              </w:rPr>
            </w:pPr>
            <w:r w:rsidRPr="007618B9">
              <w:rPr>
                <w:rFonts w:ascii="Calibri" w:hAnsi="Calibri"/>
                <w:b w:val="0"/>
                <w:szCs w:val="20"/>
              </w:rPr>
              <w:t>($m)</w:t>
            </w:r>
          </w:p>
        </w:tc>
        <w:tc>
          <w:tcPr>
            <w:tcW w:w="535"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2016–17</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2017–18</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2018–19</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2019–20</w:t>
            </w:r>
          </w:p>
        </w:tc>
        <w:tc>
          <w:tcPr>
            <w:tcW w:w="537"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vertAlign w:val="superscript"/>
              </w:rPr>
            </w:pPr>
            <w:r w:rsidRPr="007618B9">
              <w:t>Total</w:t>
            </w:r>
            <w:r w:rsidRPr="007618B9">
              <w:rPr>
                <w:szCs w:val="20"/>
              </w:rPr>
              <w:t xml:space="preserve"> to 2019–20</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HeadingCentred"/>
              <w:ind w:left="57" w:right="57"/>
              <w:cnfStyle w:val="100000000000" w:firstRow="1" w:lastRow="0" w:firstColumn="0" w:lastColumn="0" w:oddVBand="0" w:evenVBand="0" w:oddHBand="0" w:evenHBand="0" w:firstRowFirstColumn="0" w:firstRowLastColumn="0" w:lastRowFirstColumn="0" w:lastRowLastColumn="0"/>
              <w:rPr>
                <w:b w:val="0"/>
                <w:szCs w:val="20"/>
              </w:rPr>
            </w:pPr>
            <w:r w:rsidRPr="007618B9">
              <w:rPr>
                <w:b w:val="0"/>
              </w:rPr>
              <w:t>2020–21</w:t>
            </w:r>
          </w:p>
        </w:tc>
        <w:tc>
          <w:tcPr>
            <w:tcW w:w="536" w:type="pct"/>
            <w:tcBorders>
              <w:top w:val="single" w:sz="4" w:space="0" w:color="788184"/>
              <w:left w:val="single" w:sz="4" w:space="0" w:color="788184"/>
              <w:bottom w:val="single" w:sz="4" w:space="0" w:color="788184"/>
              <w:right w:val="single" w:sz="4" w:space="0" w:color="788184"/>
            </w:tcBorders>
            <w:vAlign w:val="center"/>
          </w:tcPr>
          <w:p w:rsidR="00E11E14" w:rsidRPr="007618B9" w:rsidRDefault="00E11E14" w:rsidP="00B62C78">
            <w:pPr>
              <w:pStyle w:val="TableHeadingCentred"/>
              <w:ind w:left="57" w:right="57"/>
              <w:cnfStyle w:val="100000000000" w:firstRow="1" w:lastRow="0" w:firstColumn="0" w:lastColumn="0" w:oddVBand="0" w:evenVBand="0" w:oddHBand="0" w:evenHBand="0" w:firstRowFirstColumn="0" w:firstRowLastColumn="0" w:lastRowFirstColumn="0" w:lastRowLastColumn="0"/>
              <w:rPr>
                <w:szCs w:val="20"/>
                <w:vertAlign w:val="superscript"/>
              </w:rPr>
            </w:pPr>
            <w:r w:rsidRPr="007618B9">
              <w:t>Total</w:t>
            </w:r>
            <w:r w:rsidRPr="007618B9">
              <w:rPr>
                <w:szCs w:val="20"/>
              </w:rPr>
              <w:t xml:space="preserve"> to 2020–21</w:t>
            </w:r>
          </w:p>
        </w:tc>
      </w:tr>
      <w:tr w:rsidR="00E11E14" w:rsidRPr="00EF1D6A" w:rsidTr="00AD56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788184"/>
              <w:left w:val="single" w:sz="4" w:space="0" w:color="788184"/>
              <w:bottom w:val="single" w:sz="4" w:space="0" w:color="788184"/>
              <w:right w:val="single" w:sz="4" w:space="0" w:color="788184"/>
            </w:tcBorders>
            <w:shd w:val="clear" w:color="auto" w:fill="E9ECF3"/>
          </w:tcPr>
          <w:p w:rsidR="00E11E14" w:rsidRPr="007618B9" w:rsidRDefault="00015E47" w:rsidP="00B62C78">
            <w:pPr>
              <w:pStyle w:val="TableHeadingCentred"/>
              <w:ind w:left="57" w:right="57"/>
              <w:jc w:val="left"/>
              <w:rPr>
                <w:b/>
              </w:rPr>
            </w:pPr>
            <w:r w:rsidRPr="007618B9">
              <w:rPr>
                <w:b/>
              </w:rPr>
              <w:t>Impact on fiscal and underlying cash balances</w:t>
            </w:r>
          </w:p>
        </w:tc>
      </w:tr>
      <w:tr w:rsidR="007F285B" w:rsidRPr="0066665A" w:rsidTr="00660AF1">
        <w:trPr>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7F285B" w:rsidRPr="00E33B2F" w:rsidRDefault="007F285B" w:rsidP="00B62C78">
            <w:pPr>
              <w:keepNext/>
              <w:keepLines/>
              <w:spacing w:before="70" w:after="70" w:line="240" w:lineRule="auto"/>
              <w:ind w:left="57" w:right="57"/>
              <w:rPr>
                <w:color w:val="000000"/>
                <w:sz w:val="20"/>
                <w:szCs w:val="20"/>
              </w:rPr>
            </w:pPr>
            <w:r w:rsidRPr="00E33B2F">
              <w:rPr>
                <w:color w:val="000000"/>
                <w:sz w:val="20"/>
                <w:szCs w:val="20"/>
              </w:rPr>
              <w:t>Administered</w:t>
            </w:r>
          </w:p>
        </w:tc>
        <w:tc>
          <w:tcPr>
            <w:tcW w:w="535"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7618B9">
              <w:rPr>
                <w:i/>
                <w:iCs/>
                <w:color w:val="000000"/>
                <w:sz w:val="20"/>
                <w:szCs w:val="20"/>
              </w:rPr>
              <w:t>-</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7618B9">
              <w:rPr>
                <w:i/>
                <w:iCs/>
                <w:color w:val="000000"/>
                <w:sz w:val="20"/>
                <w:szCs w:val="20"/>
              </w:rPr>
              <w:t>-19.3</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7618B9">
              <w:rPr>
                <w:i/>
                <w:iCs/>
                <w:color w:val="000000"/>
                <w:sz w:val="20"/>
                <w:szCs w:val="20"/>
              </w:rPr>
              <w:t>-19.3</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7618B9">
              <w:rPr>
                <w:i/>
                <w:iCs/>
                <w:color w:val="000000"/>
                <w:sz w:val="20"/>
                <w:szCs w:val="20"/>
              </w:rPr>
              <w:t>-19.3</w:t>
            </w:r>
          </w:p>
        </w:tc>
        <w:tc>
          <w:tcPr>
            <w:tcW w:w="537"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iCs/>
                <w:color w:val="000000"/>
                <w:sz w:val="20"/>
                <w:szCs w:val="20"/>
              </w:rPr>
            </w:pPr>
            <w:r w:rsidRPr="007618B9">
              <w:rPr>
                <w:b/>
                <w:bCs/>
                <w:i/>
                <w:iCs/>
                <w:color w:val="000000"/>
                <w:sz w:val="20"/>
                <w:szCs w:val="20"/>
              </w:rPr>
              <w:t>-57.8</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7618B9">
              <w:rPr>
                <w:i/>
                <w:iCs/>
                <w:color w:val="000000"/>
                <w:sz w:val="20"/>
                <w:szCs w:val="20"/>
              </w:rPr>
              <w:t>-19.3</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7618B9">
              <w:rPr>
                <w:rFonts w:ascii="Calibri" w:hAnsi="Calibri"/>
                <w:b/>
                <w:bCs/>
                <w:i/>
                <w:color w:val="000000"/>
                <w:sz w:val="20"/>
                <w:szCs w:val="20"/>
              </w:rPr>
              <w:t>-77.1</w:t>
            </w:r>
          </w:p>
        </w:tc>
      </w:tr>
      <w:tr w:rsidR="007F285B" w:rsidRPr="0066665A" w:rsidTr="00660A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vAlign w:val="center"/>
          </w:tcPr>
          <w:p w:rsidR="007F285B" w:rsidRPr="00E33B2F" w:rsidRDefault="007F285B" w:rsidP="00B62C78">
            <w:pPr>
              <w:keepNext/>
              <w:keepLines/>
              <w:spacing w:before="70" w:after="70" w:line="240" w:lineRule="auto"/>
              <w:ind w:left="57" w:right="57"/>
              <w:rPr>
                <w:color w:val="000000"/>
                <w:sz w:val="20"/>
                <w:szCs w:val="20"/>
              </w:rPr>
            </w:pPr>
            <w:r w:rsidRPr="00E33B2F">
              <w:rPr>
                <w:color w:val="000000"/>
                <w:sz w:val="20"/>
                <w:szCs w:val="20"/>
              </w:rPr>
              <w:t>Departmental</w:t>
            </w:r>
          </w:p>
        </w:tc>
        <w:tc>
          <w:tcPr>
            <w:tcW w:w="535"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iCs/>
                <w:color w:val="000000"/>
                <w:sz w:val="20"/>
                <w:szCs w:val="20"/>
              </w:rPr>
            </w:pPr>
            <w:r w:rsidRPr="007618B9">
              <w:rPr>
                <w:i/>
                <w:iCs/>
                <w:color w:val="000000"/>
                <w:sz w:val="20"/>
                <w:szCs w:val="20"/>
              </w:rPr>
              <w:t>-</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iCs/>
                <w:color w:val="000000"/>
                <w:sz w:val="20"/>
                <w:szCs w:val="20"/>
              </w:rPr>
            </w:pPr>
            <w:r w:rsidRPr="007618B9">
              <w:rPr>
                <w:i/>
                <w:iCs/>
                <w:color w:val="000000"/>
                <w:sz w:val="20"/>
                <w:szCs w:val="20"/>
              </w:rPr>
              <w:t>-0.7</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iCs/>
                <w:color w:val="000000"/>
                <w:sz w:val="20"/>
                <w:szCs w:val="20"/>
              </w:rPr>
            </w:pPr>
            <w:r w:rsidRPr="007618B9">
              <w:rPr>
                <w:i/>
                <w:iCs/>
                <w:color w:val="000000"/>
                <w:sz w:val="20"/>
                <w:szCs w:val="20"/>
              </w:rPr>
              <w:t>-0.7</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iCs/>
                <w:color w:val="000000"/>
                <w:sz w:val="20"/>
                <w:szCs w:val="20"/>
              </w:rPr>
            </w:pPr>
            <w:r w:rsidRPr="007618B9">
              <w:rPr>
                <w:i/>
                <w:iCs/>
                <w:color w:val="000000"/>
                <w:sz w:val="20"/>
                <w:szCs w:val="20"/>
              </w:rPr>
              <w:t>-0.7</w:t>
            </w:r>
          </w:p>
        </w:tc>
        <w:tc>
          <w:tcPr>
            <w:tcW w:w="537"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bCs/>
                <w:i/>
                <w:iCs/>
                <w:color w:val="000000"/>
                <w:sz w:val="20"/>
                <w:szCs w:val="20"/>
              </w:rPr>
            </w:pPr>
            <w:r w:rsidRPr="007618B9">
              <w:rPr>
                <w:b/>
                <w:bCs/>
                <w:i/>
                <w:iCs/>
                <w:color w:val="000000"/>
                <w:sz w:val="20"/>
                <w:szCs w:val="20"/>
              </w:rPr>
              <w:t>-2.2</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i/>
                <w:iCs/>
                <w:color w:val="000000"/>
                <w:sz w:val="20"/>
                <w:szCs w:val="20"/>
              </w:rPr>
            </w:pPr>
            <w:r w:rsidRPr="007618B9">
              <w:rPr>
                <w:i/>
                <w:iCs/>
                <w:color w:val="000000"/>
                <w:sz w:val="20"/>
                <w:szCs w:val="20"/>
              </w:rPr>
              <w:t>-0.7</w:t>
            </w:r>
          </w:p>
        </w:tc>
        <w:tc>
          <w:tcPr>
            <w:tcW w:w="536" w:type="pct"/>
            <w:tcBorders>
              <w:top w:val="single" w:sz="4" w:space="0" w:color="788184"/>
              <w:left w:val="single" w:sz="4" w:space="0" w:color="788184"/>
              <w:bottom w:val="single" w:sz="4" w:space="0" w:color="788184"/>
              <w:right w:val="single" w:sz="4" w:space="0" w:color="788184"/>
            </w:tcBorders>
            <w:vAlign w:val="bottom"/>
          </w:tcPr>
          <w:p w:rsidR="007F285B" w:rsidRPr="007618B9" w:rsidRDefault="007F285B" w:rsidP="00B62C78">
            <w:pPr>
              <w:keepNext/>
              <w:keepLines/>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bCs/>
                <w:i/>
                <w:color w:val="000000"/>
                <w:sz w:val="20"/>
                <w:szCs w:val="20"/>
              </w:rPr>
            </w:pPr>
            <w:r w:rsidRPr="007618B9">
              <w:rPr>
                <w:rFonts w:ascii="Calibri" w:hAnsi="Calibri"/>
                <w:b/>
                <w:bCs/>
                <w:i/>
                <w:color w:val="000000"/>
                <w:sz w:val="20"/>
                <w:szCs w:val="20"/>
              </w:rPr>
              <w:t>-2.9</w:t>
            </w:r>
          </w:p>
        </w:tc>
      </w:tr>
      <w:tr w:rsidR="007F285B" w:rsidRPr="0055406D" w:rsidTr="00660AF1">
        <w:trPr>
          <w:cantSplit/>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7F285B" w:rsidRPr="00E33B2F" w:rsidRDefault="007F285B" w:rsidP="00B62C78">
            <w:pPr>
              <w:keepNext/>
              <w:keepLines/>
              <w:spacing w:before="70" w:after="70" w:line="240" w:lineRule="auto"/>
              <w:ind w:left="57" w:right="57"/>
              <w:rPr>
                <w:color w:val="000000"/>
                <w:sz w:val="20"/>
                <w:szCs w:val="20"/>
              </w:rPr>
            </w:pPr>
            <w:r w:rsidRPr="00E33B2F">
              <w:rPr>
                <w:b/>
                <w:bCs/>
                <w:color w:val="000000"/>
                <w:sz w:val="20"/>
                <w:szCs w:val="20"/>
              </w:rPr>
              <w:t>Total</w:t>
            </w:r>
          </w:p>
        </w:tc>
        <w:tc>
          <w:tcPr>
            <w:tcW w:w="535"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7F285B" w:rsidRPr="002F4E23"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7F285B" w:rsidRPr="002F4E23"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-20.0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7F285B" w:rsidRPr="002F4E23"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-20.0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7F285B" w:rsidRPr="002F4E23"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-20.0</w:t>
            </w:r>
          </w:p>
        </w:tc>
        <w:tc>
          <w:tcPr>
            <w:tcW w:w="537"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7618B9">
              <w:rPr>
                <w:b/>
                <w:bCs/>
                <w:color w:val="000000"/>
                <w:sz w:val="20"/>
                <w:szCs w:val="20"/>
              </w:rPr>
              <w:t>-60.0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7F285B" w:rsidRPr="002F4E23"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-20.0</w:t>
            </w:r>
          </w:p>
        </w:tc>
        <w:tc>
          <w:tcPr>
            <w:tcW w:w="536"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7F285B" w:rsidRPr="007618B9" w:rsidRDefault="007F285B" w:rsidP="00B62C78">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7618B9">
              <w:rPr>
                <w:rFonts w:ascii="Calibri" w:hAnsi="Calibri"/>
                <w:b/>
                <w:bCs/>
                <w:color w:val="000000"/>
                <w:sz w:val="20"/>
                <w:szCs w:val="20"/>
              </w:rPr>
              <w:t>-80.0</w:t>
            </w:r>
          </w:p>
        </w:tc>
      </w:tr>
    </w:tbl>
    <w:p w:rsidR="00A842C6" w:rsidRDefault="001A0884" w:rsidP="00441065">
      <w:pPr>
        <w:pStyle w:val="Footnotes"/>
        <w:numPr>
          <w:ilvl w:val="0"/>
          <w:numId w:val="34"/>
        </w:numPr>
        <w:ind w:left="284" w:hanging="284"/>
      </w:pPr>
      <w:r w:rsidRPr="001A0884">
        <w:t>A positive number indicates an increase in revenue or decrease in expenses or net capital</w:t>
      </w:r>
      <w:r w:rsidRPr="00F66E1A">
        <w:t xml:space="preserve"> investment in accrual and cash terms. A negative number indicates a decrease in revenue or an increase in expenses or net capital investment in accrual and cash terms</w:t>
      </w:r>
      <w:r>
        <w:t>.</w:t>
      </w:r>
    </w:p>
    <w:p w:rsidR="00A842C6" w:rsidRPr="00CA5D42" w:rsidRDefault="00A842C6" w:rsidP="00441065">
      <w:pPr>
        <w:pStyle w:val="Footnotes"/>
        <w:numPr>
          <w:ilvl w:val="0"/>
          <w:numId w:val="30"/>
        </w:numPr>
        <w:ind w:left="284" w:hanging="284"/>
      </w:pPr>
      <w:r>
        <w:t>Figures may not sum to totals due to rounding.</w:t>
      </w:r>
    </w:p>
    <w:p w:rsidR="00391F49" w:rsidRDefault="00391F49" w:rsidP="00441065">
      <w:pPr>
        <w:pStyle w:val="Footnotes"/>
        <w:numPr>
          <w:ilvl w:val="0"/>
          <w:numId w:val="37"/>
        </w:numPr>
        <w:ind w:left="284" w:hanging="284"/>
      </w:pPr>
      <w:r>
        <w:t>Indicates nil.</w:t>
      </w:r>
    </w:p>
    <w:p w:rsidR="006525FE" w:rsidRPr="00E30FB5" w:rsidRDefault="006525FE" w:rsidP="006525FE">
      <w:pPr>
        <w:pStyle w:val="Captionheading"/>
        <w:rPr>
          <w:vertAlign w:val="superscript"/>
        </w:rPr>
      </w:pPr>
      <w:r w:rsidRPr="00FC5643">
        <w:t xml:space="preserve">Table </w:t>
      </w:r>
      <w:r>
        <w:t>A</w:t>
      </w:r>
      <w:r w:rsidR="00022826">
        <w:t>4</w:t>
      </w:r>
      <w:r w:rsidRPr="00FC5643">
        <w:t xml:space="preserve">: </w:t>
      </w:r>
      <w:r>
        <w:t xml:space="preserve">Component </w:t>
      </w:r>
      <w:r w:rsidR="00022826">
        <w:t>3</w:t>
      </w:r>
      <w:r w:rsidR="003264D8">
        <w:t xml:space="preserve">: </w:t>
      </w:r>
      <w:r w:rsidR="003264D8" w:rsidRPr="003264D8">
        <w:t>Saying no to corporate control</w:t>
      </w:r>
      <w:r w:rsidR="00555D88">
        <w:t>—</w:t>
      </w:r>
      <w:r>
        <w:t xml:space="preserve">financial </w:t>
      </w:r>
      <w:proofErr w:type="gramStart"/>
      <w:r>
        <w:t>implications</w:t>
      </w:r>
      <w:r w:rsidR="005E73BD">
        <w:rPr>
          <w:vertAlign w:val="superscript"/>
        </w:rPr>
        <w:t>(</w:t>
      </w:r>
      <w:proofErr w:type="gramEnd"/>
      <w:r w:rsidR="005E73BD">
        <w:rPr>
          <w:vertAlign w:val="superscript"/>
        </w:rPr>
        <w:t>a)</w:t>
      </w:r>
      <w:r w:rsidR="00046839">
        <w:rPr>
          <w:vertAlign w:val="superscript"/>
        </w:rPr>
        <w:t>(b)</w:t>
      </w:r>
    </w:p>
    <w:tbl>
      <w:tblPr>
        <w:tblStyle w:val="TableGrid"/>
        <w:tblW w:w="4943" w:type="pct"/>
        <w:tblLayout w:type="fixed"/>
        <w:tblLook w:val="0680" w:firstRow="0" w:lastRow="0" w:firstColumn="1" w:lastColumn="0" w:noHBand="1" w:noVBand="1"/>
      </w:tblPr>
      <w:tblGrid>
        <w:gridCol w:w="1987"/>
        <w:gridCol w:w="891"/>
        <w:gridCol w:w="892"/>
        <w:gridCol w:w="892"/>
        <w:gridCol w:w="892"/>
        <w:gridCol w:w="892"/>
        <w:gridCol w:w="892"/>
        <w:gridCol w:w="889"/>
      </w:tblGrid>
      <w:tr w:rsidR="005E73BD" w:rsidRPr="00DB33A2" w:rsidTr="000010A2">
        <w:trPr>
          <w:cantSplit/>
          <w:tblHeader/>
        </w:trPr>
        <w:tc>
          <w:tcPr>
            <w:cnfStyle w:val="001000000000" w:firstRow="0" w:lastRow="0" w:firstColumn="1" w:lastColumn="0" w:oddVBand="0" w:evenVBand="0" w:oddHBand="0" w:evenHBand="0" w:firstRowFirstColumn="0" w:firstRowLastColumn="0" w:lastRowFirstColumn="0" w:lastRowLastColumn="0"/>
            <w:tcW w:w="1208" w:type="pct"/>
            <w:shd w:val="clear" w:color="auto" w:fill="D7DDE9"/>
            <w:vAlign w:val="center"/>
          </w:tcPr>
          <w:p w:rsidR="005E73BD" w:rsidRPr="00DB33A2" w:rsidRDefault="005E73BD" w:rsidP="000010A2">
            <w:pPr>
              <w:spacing w:before="70" w:after="70" w:line="240" w:lineRule="auto"/>
              <w:ind w:left="57" w:right="57"/>
              <w:rPr>
                <w:sz w:val="20"/>
                <w:szCs w:val="20"/>
              </w:rPr>
            </w:pPr>
            <w:r w:rsidRPr="00DB33A2">
              <w:rPr>
                <w:sz w:val="20"/>
                <w:szCs w:val="20"/>
              </w:rPr>
              <w:t>($m)</w:t>
            </w:r>
          </w:p>
        </w:tc>
        <w:tc>
          <w:tcPr>
            <w:tcW w:w="542" w:type="pct"/>
            <w:shd w:val="clear" w:color="auto" w:fill="D7DDE9"/>
            <w:vAlign w:val="center"/>
          </w:tcPr>
          <w:p w:rsidR="005E73BD" w:rsidRPr="00DB33A2" w:rsidRDefault="005E73BD" w:rsidP="000010A2">
            <w:pPr>
              <w:pStyle w:val="TableHeadingCentred"/>
              <w:keepNext w:val="0"/>
              <w:keepLines w:val="0"/>
              <w:ind w:left="57" w:right="57"/>
              <w:cnfStyle w:val="000000000000" w:firstRow="0" w:lastRow="0" w:firstColumn="0" w:lastColumn="0" w:oddVBand="0" w:evenVBand="0" w:oddHBand="0" w:evenHBand="0" w:firstRowFirstColumn="0" w:firstRowLastColumn="0" w:lastRowFirstColumn="0" w:lastRowLastColumn="0"/>
              <w:rPr>
                <w:szCs w:val="20"/>
              </w:rPr>
            </w:pPr>
            <w:r w:rsidRPr="00DB33A2">
              <w:rPr>
                <w:szCs w:val="20"/>
              </w:rPr>
              <w:t>2016–17</w:t>
            </w:r>
          </w:p>
        </w:tc>
        <w:tc>
          <w:tcPr>
            <w:tcW w:w="542" w:type="pct"/>
            <w:shd w:val="clear" w:color="auto" w:fill="D7DDE9"/>
            <w:vAlign w:val="center"/>
          </w:tcPr>
          <w:p w:rsidR="005E73BD" w:rsidRPr="00DB33A2" w:rsidRDefault="005E73BD" w:rsidP="000010A2">
            <w:pPr>
              <w:pStyle w:val="TableHeadingCentred"/>
              <w:keepNext w:val="0"/>
              <w:keepLines w:val="0"/>
              <w:ind w:left="57" w:right="57"/>
              <w:cnfStyle w:val="000000000000" w:firstRow="0" w:lastRow="0" w:firstColumn="0" w:lastColumn="0" w:oddVBand="0" w:evenVBand="0" w:oddHBand="0" w:evenHBand="0" w:firstRowFirstColumn="0" w:firstRowLastColumn="0" w:lastRowFirstColumn="0" w:lastRowLastColumn="0"/>
              <w:rPr>
                <w:szCs w:val="20"/>
              </w:rPr>
            </w:pPr>
            <w:r w:rsidRPr="00DB33A2">
              <w:rPr>
                <w:szCs w:val="20"/>
              </w:rPr>
              <w:t>2017–18</w:t>
            </w:r>
          </w:p>
        </w:tc>
        <w:tc>
          <w:tcPr>
            <w:tcW w:w="542" w:type="pct"/>
            <w:shd w:val="clear" w:color="auto" w:fill="D7DDE9"/>
            <w:vAlign w:val="center"/>
          </w:tcPr>
          <w:p w:rsidR="005E73BD" w:rsidRPr="00DB33A2" w:rsidRDefault="005E73BD" w:rsidP="000010A2">
            <w:pPr>
              <w:pStyle w:val="TableHeadingCentred"/>
              <w:keepNext w:val="0"/>
              <w:keepLines w:val="0"/>
              <w:ind w:left="57" w:right="57"/>
              <w:cnfStyle w:val="000000000000" w:firstRow="0" w:lastRow="0" w:firstColumn="0" w:lastColumn="0" w:oddVBand="0" w:evenVBand="0" w:oddHBand="0" w:evenHBand="0" w:firstRowFirstColumn="0" w:firstRowLastColumn="0" w:lastRowFirstColumn="0" w:lastRowLastColumn="0"/>
              <w:rPr>
                <w:szCs w:val="20"/>
              </w:rPr>
            </w:pPr>
            <w:r w:rsidRPr="00DB33A2">
              <w:rPr>
                <w:szCs w:val="20"/>
              </w:rPr>
              <w:t>2018–19</w:t>
            </w:r>
          </w:p>
        </w:tc>
        <w:tc>
          <w:tcPr>
            <w:tcW w:w="542" w:type="pct"/>
            <w:shd w:val="clear" w:color="auto" w:fill="D7DDE9"/>
            <w:vAlign w:val="center"/>
          </w:tcPr>
          <w:p w:rsidR="005E73BD" w:rsidRPr="00DB33A2" w:rsidRDefault="005E73BD" w:rsidP="000010A2">
            <w:pPr>
              <w:pStyle w:val="TableHeadingCentred"/>
              <w:keepNext w:val="0"/>
              <w:keepLines w:val="0"/>
              <w:ind w:left="57" w:right="57"/>
              <w:cnfStyle w:val="000000000000" w:firstRow="0" w:lastRow="0" w:firstColumn="0" w:lastColumn="0" w:oddVBand="0" w:evenVBand="0" w:oddHBand="0" w:evenHBand="0" w:firstRowFirstColumn="0" w:firstRowLastColumn="0" w:lastRowFirstColumn="0" w:lastRowLastColumn="0"/>
              <w:rPr>
                <w:szCs w:val="20"/>
              </w:rPr>
            </w:pPr>
            <w:r w:rsidRPr="00DB33A2">
              <w:rPr>
                <w:szCs w:val="20"/>
              </w:rPr>
              <w:t>2019–20</w:t>
            </w:r>
          </w:p>
        </w:tc>
        <w:tc>
          <w:tcPr>
            <w:tcW w:w="542" w:type="pct"/>
            <w:shd w:val="clear" w:color="auto" w:fill="D7DDE9"/>
            <w:vAlign w:val="center"/>
          </w:tcPr>
          <w:p w:rsidR="005E73BD" w:rsidRPr="00DB33A2" w:rsidRDefault="005E73BD" w:rsidP="000010A2">
            <w:pPr>
              <w:pStyle w:val="TableHeadingCentred"/>
              <w:keepNext w:val="0"/>
              <w:keepLines w:val="0"/>
              <w:ind w:left="57" w:right="57"/>
              <w:cnfStyle w:val="000000000000" w:firstRow="0" w:lastRow="0" w:firstColumn="0" w:lastColumn="0" w:oddVBand="0" w:evenVBand="0" w:oddHBand="0" w:evenHBand="0" w:firstRowFirstColumn="0" w:firstRowLastColumn="0" w:lastRowFirstColumn="0" w:lastRowLastColumn="0"/>
              <w:rPr>
                <w:b/>
                <w:szCs w:val="20"/>
              </w:rPr>
            </w:pPr>
            <w:r w:rsidRPr="00DB33A2">
              <w:rPr>
                <w:b/>
                <w:szCs w:val="20"/>
              </w:rPr>
              <w:t>Total to 2019–20</w:t>
            </w:r>
          </w:p>
        </w:tc>
        <w:tc>
          <w:tcPr>
            <w:tcW w:w="542" w:type="pct"/>
            <w:shd w:val="clear" w:color="auto" w:fill="D7DDE9"/>
            <w:vAlign w:val="center"/>
          </w:tcPr>
          <w:p w:rsidR="005E73BD" w:rsidRPr="00DB33A2" w:rsidRDefault="005E73BD" w:rsidP="000010A2">
            <w:pPr>
              <w:pStyle w:val="TableHeadingCentred"/>
              <w:keepNext w:val="0"/>
              <w:keepLines w:val="0"/>
              <w:ind w:left="57" w:right="57"/>
              <w:cnfStyle w:val="000000000000" w:firstRow="0" w:lastRow="0" w:firstColumn="0" w:lastColumn="0" w:oddVBand="0" w:evenVBand="0" w:oddHBand="0" w:evenHBand="0" w:firstRowFirstColumn="0" w:firstRowLastColumn="0" w:lastRowFirstColumn="0" w:lastRowLastColumn="0"/>
              <w:rPr>
                <w:szCs w:val="20"/>
              </w:rPr>
            </w:pPr>
            <w:r w:rsidRPr="00DB33A2">
              <w:rPr>
                <w:szCs w:val="20"/>
              </w:rPr>
              <w:t>2020–21</w:t>
            </w:r>
          </w:p>
        </w:tc>
        <w:tc>
          <w:tcPr>
            <w:tcW w:w="540" w:type="pct"/>
            <w:shd w:val="clear" w:color="auto" w:fill="D7DDE9"/>
            <w:vAlign w:val="center"/>
          </w:tcPr>
          <w:p w:rsidR="005E73BD" w:rsidRPr="00DB33A2" w:rsidRDefault="005E73BD" w:rsidP="000010A2">
            <w:pPr>
              <w:pStyle w:val="TableHeadingCentred"/>
              <w:ind w:left="57" w:right="57"/>
              <w:cnfStyle w:val="000000000000" w:firstRow="0" w:lastRow="0" w:firstColumn="0" w:lastColumn="0" w:oddVBand="0" w:evenVBand="0" w:oddHBand="0" w:evenHBand="0" w:firstRowFirstColumn="0" w:firstRowLastColumn="0" w:lastRowFirstColumn="0" w:lastRowLastColumn="0"/>
              <w:rPr>
                <w:b/>
                <w:szCs w:val="20"/>
                <w:vertAlign w:val="superscript"/>
              </w:rPr>
            </w:pPr>
            <w:r w:rsidRPr="00DB33A2">
              <w:rPr>
                <w:b/>
                <w:szCs w:val="20"/>
              </w:rPr>
              <w:t>Total to 2020–21</w:t>
            </w:r>
          </w:p>
        </w:tc>
      </w:tr>
      <w:tr w:rsidR="005E73BD" w:rsidRPr="00DB33A2" w:rsidTr="000010A2">
        <w:trPr>
          <w:cantSplit/>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E9ECF3"/>
            <w:vAlign w:val="center"/>
          </w:tcPr>
          <w:p w:rsidR="005E73BD" w:rsidRPr="00DB33A2" w:rsidRDefault="00015E47" w:rsidP="000010A2">
            <w:pPr>
              <w:pStyle w:val="TableTextRight"/>
              <w:jc w:val="left"/>
              <w:rPr>
                <w:b/>
                <w:i w:val="0"/>
                <w:szCs w:val="20"/>
              </w:rPr>
            </w:pPr>
            <w:r w:rsidRPr="00015E47">
              <w:rPr>
                <w:b/>
                <w:i w:val="0"/>
                <w:szCs w:val="20"/>
              </w:rPr>
              <w:t>Impact on fiscal and underlying cash balances</w:t>
            </w:r>
          </w:p>
        </w:tc>
      </w:tr>
      <w:tr w:rsidR="005E73BD" w:rsidRPr="00DB33A2" w:rsidTr="000010A2">
        <w:trPr>
          <w:cantSplit/>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E9ECF3"/>
            <w:vAlign w:val="center"/>
          </w:tcPr>
          <w:p w:rsidR="005E73BD" w:rsidRPr="00DB33A2" w:rsidRDefault="005E73BD" w:rsidP="000010A2">
            <w:pPr>
              <w:pStyle w:val="TableTextRight"/>
              <w:jc w:val="left"/>
              <w:rPr>
                <w:b/>
                <w:i w:val="0"/>
                <w:szCs w:val="20"/>
              </w:rPr>
            </w:pPr>
            <w:r w:rsidRPr="00DB33A2">
              <w:rPr>
                <w:b/>
                <w:i w:val="0"/>
                <w:szCs w:val="20"/>
              </w:rPr>
              <w:t>Administered</w:t>
            </w:r>
          </w:p>
        </w:tc>
      </w:tr>
      <w:tr w:rsidR="00123485" w:rsidRPr="00DB33A2" w:rsidTr="000010A2">
        <w:trPr>
          <w:cantSplit/>
        </w:trPr>
        <w:tc>
          <w:tcPr>
            <w:cnfStyle w:val="001000000000" w:firstRow="0" w:lastRow="0" w:firstColumn="1" w:lastColumn="0" w:oddVBand="0" w:evenVBand="0" w:oddHBand="0" w:evenHBand="0" w:firstRowFirstColumn="0" w:firstRowLastColumn="0" w:lastRowFirstColumn="0" w:lastRowLastColumn="0"/>
            <w:tcW w:w="1208" w:type="pct"/>
            <w:vAlign w:val="center"/>
          </w:tcPr>
          <w:p w:rsidR="00123485" w:rsidRPr="00D47A0B" w:rsidRDefault="00123485" w:rsidP="000010A2">
            <w:pPr>
              <w:spacing w:before="70" w:after="70" w:line="240" w:lineRule="auto"/>
              <w:ind w:left="57" w:right="57"/>
              <w:rPr>
                <w:color w:val="000000"/>
                <w:sz w:val="20"/>
                <w:szCs w:val="20"/>
              </w:rPr>
            </w:pPr>
            <w:r w:rsidRPr="00D47A0B">
              <w:rPr>
                <w:color w:val="000000"/>
                <w:sz w:val="20"/>
                <w:szCs w:val="20"/>
              </w:rPr>
              <w:t>R&amp;D on GM clean up</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-1.0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-1.0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iCs/>
                <w:color w:val="000000"/>
                <w:sz w:val="20"/>
                <w:szCs w:val="20"/>
              </w:rPr>
            </w:pPr>
            <w:r w:rsidRPr="00D47A0B">
              <w:rPr>
                <w:b/>
                <w:i/>
                <w:iCs/>
                <w:color w:val="000000"/>
                <w:sz w:val="20"/>
                <w:szCs w:val="20"/>
              </w:rPr>
              <w:t>-2.0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0"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D47A0B">
              <w:rPr>
                <w:rFonts w:ascii="Calibri" w:hAnsi="Calibri"/>
                <w:b/>
                <w:bCs/>
                <w:i/>
                <w:color w:val="000000"/>
                <w:sz w:val="20"/>
                <w:szCs w:val="20"/>
              </w:rPr>
              <w:t>-2.0</w:t>
            </w:r>
          </w:p>
        </w:tc>
      </w:tr>
      <w:tr w:rsidR="00123485" w:rsidRPr="00DB33A2" w:rsidTr="000010A2">
        <w:trPr>
          <w:cantSplit/>
        </w:trPr>
        <w:tc>
          <w:tcPr>
            <w:cnfStyle w:val="001000000000" w:firstRow="0" w:lastRow="0" w:firstColumn="1" w:lastColumn="0" w:oddVBand="0" w:evenVBand="0" w:oddHBand="0" w:evenHBand="0" w:firstRowFirstColumn="0" w:firstRowLastColumn="0" w:lastRowFirstColumn="0" w:lastRowLastColumn="0"/>
            <w:tcW w:w="1208" w:type="pct"/>
            <w:vAlign w:val="center"/>
          </w:tcPr>
          <w:p w:rsidR="00123485" w:rsidRPr="00D47A0B" w:rsidRDefault="00123485" w:rsidP="000010A2">
            <w:pPr>
              <w:spacing w:before="70" w:after="70" w:line="240" w:lineRule="auto"/>
              <w:ind w:left="57" w:right="57"/>
              <w:rPr>
                <w:color w:val="000000"/>
                <w:sz w:val="20"/>
                <w:szCs w:val="20"/>
              </w:rPr>
            </w:pPr>
            <w:r w:rsidRPr="00D47A0B">
              <w:rPr>
                <w:color w:val="000000"/>
                <w:sz w:val="20"/>
                <w:szCs w:val="20"/>
              </w:rPr>
              <w:t>Inquiry into GM assessment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-1.0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-1.0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iCs/>
                <w:color w:val="000000"/>
                <w:sz w:val="20"/>
                <w:szCs w:val="20"/>
              </w:rPr>
            </w:pPr>
            <w:r w:rsidRPr="00D47A0B">
              <w:rPr>
                <w:b/>
                <w:i/>
                <w:iCs/>
                <w:color w:val="000000"/>
                <w:sz w:val="20"/>
                <w:szCs w:val="20"/>
              </w:rPr>
              <w:t>-2.0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0"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D47A0B">
              <w:rPr>
                <w:rFonts w:ascii="Calibri" w:hAnsi="Calibri"/>
                <w:b/>
                <w:bCs/>
                <w:i/>
                <w:color w:val="000000"/>
                <w:sz w:val="20"/>
                <w:szCs w:val="20"/>
              </w:rPr>
              <w:t>-2.0</w:t>
            </w:r>
          </w:p>
        </w:tc>
      </w:tr>
      <w:tr w:rsidR="00123485" w:rsidRPr="00DB33A2" w:rsidTr="000010A2">
        <w:trPr>
          <w:cantSplit/>
        </w:trPr>
        <w:tc>
          <w:tcPr>
            <w:cnfStyle w:val="001000000000" w:firstRow="0" w:lastRow="0" w:firstColumn="1" w:lastColumn="0" w:oddVBand="0" w:evenVBand="0" w:oddHBand="0" w:evenHBand="0" w:firstRowFirstColumn="0" w:firstRowLastColumn="0" w:lastRowFirstColumn="0" w:lastRowLastColumn="0"/>
            <w:tcW w:w="1208" w:type="pct"/>
            <w:vAlign w:val="center"/>
          </w:tcPr>
          <w:p w:rsidR="00123485" w:rsidRPr="00D47A0B" w:rsidRDefault="00123485" w:rsidP="000010A2">
            <w:pPr>
              <w:spacing w:before="70" w:after="70" w:line="240" w:lineRule="auto"/>
              <w:ind w:left="57" w:right="57"/>
              <w:rPr>
                <w:color w:val="000000"/>
                <w:sz w:val="20"/>
                <w:szCs w:val="20"/>
              </w:rPr>
            </w:pPr>
            <w:r w:rsidRPr="00D47A0B">
              <w:rPr>
                <w:color w:val="000000"/>
                <w:sz w:val="20"/>
                <w:szCs w:val="20"/>
              </w:rPr>
              <w:t>Mandatory food labelling</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-2.4</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-1.0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iCs/>
                <w:color w:val="000000"/>
                <w:sz w:val="20"/>
                <w:szCs w:val="20"/>
              </w:rPr>
            </w:pPr>
            <w:r w:rsidRPr="00D47A0B">
              <w:rPr>
                <w:b/>
                <w:i/>
                <w:iCs/>
                <w:color w:val="000000"/>
                <w:sz w:val="20"/>
                <w:szCs w:val="20"/>
              </w:rPr>
              <w:t>-3.3</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0"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D47A0B">
              <w:rPr>
                <w:rFonts w:ascii="Calibri" w:hAnsi="Calibri"/>
                <w:b/>
                <w:bCs/>
                <w:i/>
                <w:color w:val="000000"/>
                <w:sz w:val="20"/>
                <w:szCs w:val="20"/>
              </w:rPr>
              <w:t>-3.3</w:t>
            </w:r>
          </w:p>
        </w:tc>
      </w:tr>
      <w:tr w:rsidR="00123485" w:rsidRPr="00DB33A2" w:rsidTr="000010A2">
        <w:trPr>
          <w:cantSplit/>
        </w:trPr>
        <w:tc>
          <w:tcPr>
            <w:cnfStyle w:val="001000000000" w:firstRow="0" w:lastRow="0" w:firstColumn="1" w:lastColumn="0" w:oddVBand="0" w:evenVBand="0" w:oddHBand="0" w:evenHBand="0" w:firstRowFirstColumn="0" w:firstRowLastColumn="0" w:lastRowFirstColumn="0" w:lastRowLastColumn="0"/>
            <w:tcW w:w="1208" w:type="pct"/>
            <w:shd w:val="clear" w:color="auto" w:fill="D7DDE9"/>
            <w:vAlign w:val="center"/>
          </w:tcPr>
          <w:p w:rsidR="00123485" w:rsidRPr="00D47A0B" w:rsidRDefault="00123485" w:rsidP="000010A2">
            <w:pPr>
              <w:pStyle w:val="TableTextRight"/>
              <w:jc w:val="left"/>
              <w:rPr>
                <w:b/>
                <w:i w:val="0"/>
                <w:szCs w:val="20"/>
              </w:rPr>
            </w:pPr>
            <w:r w:rsidRPr="00D47A0B">
              <w:rPr>
                <w:b/>
                <w:i w:val="0"/>
                <w:szCs w:val="20"/>
              </w:rPr>
              <w:t xml:space="preserve">Total </w:t>
            </w:r>
            <w:r w:rsidR="00D47A0B" w:rsidRPr="005623B5">
              <w:rPr>
                <w:b/>
                <w:i w:val="0"/>
                <w:szCs w:val="20"/>
              </w:rPr>
              <w:t>- a</w:t>
            </w:r>
            <w:r w:rsidRPr="00D47A0B">
              <w:rPr>
                <w:b/>
                <w:i w:val="0"/>
                <w:szCs w:val="20"/>
              </w:rPr>
              <w:t>dministered</w:t>
            </w:r>
          </w:p>
        </w:tc>
        <w:tc>
          <w:tcPr>
            <w:tcW w:w="542" w:type="pct"/>
            <w:shd w:val="clear" w:color="auto" w:fill="D7DDE9"/>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D47A0B">
              <w:rPr>
                <w:rFonts w:ascii="Calibri" w:hAnsi="Calibri"/>
                <w:b/>
                <w:color w:val="000000"/>
                <w:sz w:val="20"/>
                <w:szCs w:val="20"/>
              </w:rPr>
              <w:t>-</w:t>
            </w:r>
          </w:p>
        </w:tc>
        <w:tc>
          <w:tcPr>
            <w:tcW w:w="542" w:type="pct"/>
            <w:shd w:val="clear" w:color="auto" w:fill="D7DDE9"/>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D47A0B">
              <w:rPr>
                <w:rFonts w:ascii="Calibri" w:hAnsi="Calibri"/>
                <w:b/>
                <w:color w:val="000000"/>
                <w:sz w:val="20"/>
                <w:szCs w:val="20"/>
              </w:rPr>
              <w:t>-4.4</w:t>
            </w:r>
          </w:p>
        </w:tc>
        <w:tc>
          <w:tcPr>
            <w:tcW w:w="542" w:type="pct"/>
            <w:shd w:val="clear" w:color="auto" w:fill="D7DDE9"/>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D47A0B">
              <w:rPr>
                <w:rFonts w:ascii="Calibri" w:hAnsi="Calibri"/>
                <w:b/>
                <w:color w:val="000000"/>
                <w:sz w:val="20"/>
                <w:szCs w:val="20"/>
              </w:rPr>
              <w:t>-3.0</w:t>
            </w:r>
          </w:p>
        </w:tc>
        <w:tc>
          <w:tcPr>
            <w:tcW w:w="542" w:type="pct"/>
            <w:shd w:val="clear" w:color="auto" w:fill="D7DDE9"/>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D47A0B">
              <w:rPr>
                <w:rFonts w:ascii="Calibri" w:hAnsi="Calibri"/>
                <w:b/>
                <w:color w:val="000000"/>
                <w:sz w:val="20"/>
                <w:szCs w:val="20"/>
              </w:rPr>
              <w:t>-</w:t>
            </w:r>
          </w:p>
        </w:tc>
        <w:tc>
          <w:tcPr>
            <w:tcW w:w="542" w:type="pct"/>
            <w:shd w:val="clear" w:color="auto" w:fill="D7DDE9"/>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D47A0B">
              <w:rPr>
                <w:rFonts w:ascii="Calibri" w:hAnsi="Calibri"/>
                <w:b/>
                <w:bCs/>
                <w:color w:val="000000"/>
                <w:sz w:val="20"/>
                <w:szCs w:val="20"/>
              </w:rPr>
              <w:t>-7.3</w:t>
            </w:r>
          </w:p>
        </w:tc>
        <w:tc>
          <w:tcPr>
            <w:tcW w:w="542" w:type="pct"/>
            <w:shd w:val="clear" w:color="auto" w:fill="D7DDE9"/>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D47A0B">
              <w:rPr>
                <w:rFonts w:ascii="Calibri" w:hAnsi="Calibri"/>
                <w:b/>
                <w:color w:val="000000"/>
                <w:sz w:val="20"/>
                <w:szCs w:val="20"/>
              </w:rPr>
              <w:t>-</w:t>
            </w:r>
          </w:p>
        </w:tc>
        <w:tc>
          <w:tcPr>
            <w:tcW w:w="540" w:type="pct"/>
            <w:shd w:val="clear" w:color="auto" w:fill="D7DDE9"/>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D47A0B">
              <w:rPr>
                <w:rFonts w:ascii="Calibri" w:hAnsi="Calibri"/>
                <w:b/>
                <w:bCs/>
                <w:color w:val="000000"/>
                <w:sz w:val="20"/>
                <w:szCs w:val="20"/>
              </w:rPr>
              <w:t>-7.3</w:t>
            </w:r>
          </w:p>
        </w:tc>
      </w:tr>
      <w:tr w:rsidR="005E73BD" w:rsidRPr="00DB33A2" w:rsidTr="000010A2">
        <w:trPr>
          <w:cantSplit/>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E9ECF3"/>
            <w:vAlign w:val="center"/>
          </w:tcPr>
          <w:p w:rsidR="005E73BD" w:rsidRPr="002F4E23" w:rsidRDefault="005E73BD" w:rsidP="000010A2">
            <w:pPr>
              <w:pStyle w:val="TableTextRight"/>
              <w:jc w:val="left"/>
              <w:rPr>
                <w:b/>
                <w:i w:val="0"/>
                <w:szCs w:val="20"/>
              </w:rPr>
            </w:pPr>
            <w:r w:rsidRPr="002F4E23">
              <w:rPr>
                <w:b/>
                <w:i w:val="0"/>
                <w:szCs w:val="20"/>
              </w:rPr>
              <w:t>Departmental</w:t>
            </w:r>
          </w:p>
        </w:tc>
      </w:tr>
      <w:tr w:rsidR="00284738" w:rsidRPr="00D47A0B" w:rsidTr="000010A2">
        <w:trPr>
          <w:cantSplit/>
        </w:trPr>
        <w:tc>
          <w:tcPr>
            <w:cnfStyle w:val="001000000000" w:firstRow="0" w:lastRow="0" w:firstColumn="1" w:lastColumn="0" w:oddVBand="0" w:evenVBand="0" w:oddHBand="0" w:evenHBand="0" w:firstRowFirstColumn="0" w:firstRowLastColumn="0" w:lastRowFirstColumn="0" w:lastRowLastColumn="0"/>
            <w:tcW w:w="1208" w:type="pct"/>
            <w:vAlign w:val="center"/>
          </w:tcPr>
          <w:p w:rsidR="00284738" w:rsidRPr="00D47A0B" w:rsidRDefault="00284738" w:rsidP="000010A2">
            <w:pPr>
              <w:spacing w:before="70" w:after="70" w:line="240" w:lineRule="auto"/>
              <w:ind w:left="57" w:right="57"/>
              <w:rPr>
                <w:color w:val="000000"/>
                <w:sz w:val="20"/>
                <w:szCs w:val="20"/>
              </w:rPr>
            </w:pPr>
            <w:r w:rsidRPr="00D47A0B">
              <w:rPr>
                <w:color w:val="000000"/>
                <w:sz w:val="20"/>
                <w:szCs w:val="20"/>
              </w:rPr>
              <w:t>R&amp;D on GM clean up</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iCs/>
                <w:color w:val="000000"/>
                <w:sz w:val="20"/>
                <w:szCs w:val="20"/>
              </w:rPr>
            </w:pPr>
            <w:r w:rsidRPr="00D47A0B">
              <w:rPr>
                <w:b/>
                <w:i/>
                <w:iCs/>
                <w:color w:val="000000"/>
                <w:sz w:val="20"/>
                <w:szCs w:val="20"/>
              </w:rPr>
              <w:t>-0.1</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0"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D47A0B">
              <w:rPr>
                <w:rFonts w:ascii="Calibri" w:hAnsi="Calibri"/>
                <w:b/>
                <w:bCs/>
                <w:i/>
                <w:color w:val="000000"/>
                <w:sz w:val="20"/>
                <w:szCs w:val="20"/>
              </w:rPr>
              <w:t>-0.1</w:t>
            </w:r>
          </w:p>
        </w:tc>
      </w:tr>
      <w:tr w:rsidR="00284738" w:rsidRPr="00D47A0B" w:rsidTr="000010A2">
        <w:trPr>
          <w:cantSplit/>
        </w:trPr>
        <w:tc>
          <w:tcPr>
            <w:cnfStyle w:val="001000000000" w:firstRow="0" w:lastRow="0" w:firstColumn="1" w:lastColumn="0" w:oddVBand="0" w:evenVBand="0" w:oddHBand="0" w:evenHBand="0" w:firstRowFirstColumn="0" w:firstRowLastColumn="0" w:lastRowFirstColumn="0" w:lastRowLastColumn="0"/>
            <w:tcW w:w="1208" w:type="pct"/>
            <w:vAlign w:val="center"/>
          </w:tcPr>
          <w:p w:rsidR="00284738" w:rsidRPr="00D47A0B" w:rsidRDefault="00284738" w:rsidP="000010A2">
            <w:pPr>
              <w:spacing w:before="70" w:after="70" w:line="240" w:lineRule="auto"/>
              <w:ind w:left="57" w:right="57"/>
              <w:rPr>
                <w:color w:val="000000"/>
                <w:sz w:val="20"/>
                <w:szCs w:val="20"/>
              </w:rPr>
            </w:pPr>
            <w:r w:rsidRPr="00D47A0B">
              <w:rPr>
                <w:color w:val="000000"/>
                <w:sz w:val="20"/>
                <w:szCs w:val="20"/>
              </w:rPr>
              <w:t>Inquiry into GM assessment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284738" w:rsidRPr="00D47A0B" w:rsidRDefault="000010A2"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Pr>
                <w:i/>
                <w:iCs/>
                <w:color w:val="000000"/>
                <w:sz w:val="20"/>
                <w:szCs w:val="20"/>
              </w:rPr>
              <w: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iCs/>
                <w:color w:val="000000"/>
                <w:sz w:val="20"/>
                <w:szCs w:val="20"/>
              </w:rPr>
            </w:pPr>
            <w:r w:rsidRPr="00D47A0B">
              <w:rPr>
                <w:b/>
                <w:i/>
                <w:iCs/>
                <w:color w:val="000000"/>
                <w:sz w:val="20"/>
                <w:szCs w:val="20"/>
              </w:rPr>
              <w:t>-0.1</w:t>
            </w:r>
          </w:p>
        </w:tc>
        <w:tc>
          <w:tcPr>
            <w:tcW w:w="542"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0" w:type="pct"/>
            <w:vAlign w:val="center"/>
          </w:tcPr>
          <w:p w:rsidR="00284738" w:rsidRPr="00D47A0B"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D47A0B">
              <w:rPr>
                <w:rFonts w:ascii="Calibri" w:hAnsi="Calibri"/>
                <w:b/>
                <w:bCs/>
                <w:i/>
                <w:color w:val="000000"/>
                <w:sz w:val="20"/>
                <w:szCs w:val="20"/>
              </w:rPr>
              <w:t>-0.1</w:t>
            </w:r>
          </w:p>
        </w:tc>
      </w:tr>
      <w:tr w:rsidR="00123485" w:rsidRPr="00D47A0B" w:rsidTr="000010A2">
        <w:trPr>
          <w:cantSplit/>
        </w:trPr>
        <w:tc>
          <w:tcPr>
            <w:cnfStyle w:val="001000000000" w:firstRow="0" w:lastRow="0" w:firstColumn="1" w:lastColumn="0" w:oddVBand="0" w:evenVBand="0" w:oddHBand="0" w:evenHBand="0" w:firstRowFirstColumn="0" w:firstRowLastColumn="0" w:lastRowFirstColumn="0" w:lastRowLastColumn="0"/>
            <w:tcW w:w="1208" w:type="pct"/>
            <w:vAlign w:val="center"/>
          </w:tcPr>
          <w:p w:rsidR="00123485" w:rsidRPr="00D47A0B" w:rsidRDefault="00123485" w:rsidP="000010A2">
            <w:pPr>
              <w:spacing w:before="70" w:after="70" w:line="240" w:lineRule="auto"/>
              <w:ind w:left="57" w:right="57"/>
              <w:rPr>
                <w:color w:val="000000"/>
                <w:sz w:val="20"/>
                <w:szCs w:val="20"/>
              </w:rPr>
            </w:pPr>
            <w:r w:rsidRPr="00D47A0B">
              <w:rPr>
                <w:color w:val="000000"/>
                <w:sz w:val="20"/>
                <w:szCs w:val="20"/>
              </w:rPr>
              <w:t>Mandatory food labelling</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-0.6</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-0.4</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iCs/>
                <w:color w:val="000000"/>
                <w:sz w:val="20"/>
                <w:szCs w:val="20"/>
              </w:rPr>
            </w:pPr>
            <w:r w:rsidRPr="00D47A0B">
              <w:rPr>
                <w:b/>
                <w:i/>
                <w:iCs/>
                <w:color w:val="000000"/>
                <w:sz w:val="20"/>
                <w:szCs w:val="20"/>
              </w:rPr>
              <w:t>-1.0</w:t>
            </w:r>
          </w:p>
        </w:tc>
        <w:tc>
          <w:tcPr>
            <w:tcW w:w="542"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D47A0B">
              <w:rPr>
                <w:i/>
                <w:iCs/>
                <w:color w:val="000000"/>
                <w:sz w:val="20"/>
                <w:szCs w:val="20"/>
              </w:rPr>
              <w:t>-</w:t>
            </w:r>
          </w:p>
        </w:tc>
        <w:tc>
          <w:tcPr>
            <w:tcW w:w="540" w:type="pct"/>
            <w:vAlign w:val="center"/>
          </w:tcPr>
          <w:p w:rsidR="00123485" w:rsidRPr="00D47A0B"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D47A0B">
              <w:rPr>
                <w:rFonts w:ascii="Calibri" w:hAnsi="Calibri"/>
                <w:b/>
                <w:bCs/>
                <w:i/>
                <w:color w:val="000000"/>
                <w:sz w:val="20"/>
                <w:szCs w:val="20"/>
              </w:rPr>
              <w:t>-1.0</w:t>
            </w:r>
          </w:p>
        </w:tc>
      </w:tr>
      <w:tr w:rsidR="00284738" w:rsidRPr="00DB33A2" w:rsidTr="000010A2">
        <w:trPr>
          <w:cantSplit/>
        </w:trPr>
        <w:tc>
          <w:tcPr>
            <w:cnfStyle w:val="001000000000" w:firstRow="0" w:lastRow="0" w:firstColumn="1" w:lastColumn="0" w:oddVBand="0" w:evenVBand="0" w:oddHBand="0" w:evenHBand="0" w:firstRowFirstColumn="0" w:firstRowLastColumn="0" w:lastRowFirstColumn="0" w:lastRowLastColumn="0"/>
            <w:tcW w:w="1208" w:type="pct"/>
            <w:shd w:val="clear" w:color="auto" w:fill="D7DDE9"/>
            <w:vAlign w:val="center"/>
          </w:tcPr>
          <w:p w:rsidR="00284738" w:rsidRPr="00DB33A2" w:rsidRDefault="00284738" w:rsidP="000010A2">
            <w:pPr>
              <w:pStyle w:val="TableTextRight"/>
              <w:jc w:val="left"/>
              <w:rPr>
                <w:b/>
                <w:i w:val="0"/>
                <w:szCs w:val="20"/>
              </w:rPr>
            </w:pPr>
            <w:r w:rsidRPr="00DB33A2">
              <w:rPr>
                <w:b/>
                <w:i w:val="0"/>
                <w:szCs w:val="20"/>
              </w:rPr>
              <w:t xml:space="preserve">Total </w:t>
            </w:r>
            <w:r w:rsidR="00D47A0B">
              <w:rPr>
                <w:b/>
                <w:i w:val="0"/>
                <w:szCs w:val="20"/>
              </w:rPr>
              <w:t>- d</w:t>
            </w:r>
            <w:r w:rsidRPr="00DB33A2">
              <w:rPr>
                <w:b/>
                <w:i w:val="0"/>
                <w:szCs w:val="20"/>
              </w:rPr>
              <w:t>epartmental</w:t>
            </w:r>
          </w:p>
        </w:tc>
        <w:tc>
          <w:tcPr>
            <w:tcW w:w="542" w:type="pct"/>
            <w:shd w:val="clear" w:color="auto" w:fill="D7DDE9"/>
            <w:vAlign w:val="center"/>
          </w:tcPr>
          <w:p w:rsidR="00284738" w:rsidRPr="002F4E23"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F4E23">
              <w:rPr>
                <w:rFonts w:ascii="Calibri" w:hAnsi="Calibri"/>
                <w:b/>
                <w:color w:val="000000"/>
                <w:sz w:val="20"/>
                <w:szCs w:val="20"/>
              </w:rPr>
              <w:t>-</w:t>
            </w:r>
          </w:p>
        </w:tc>
        <w:tc>
          <w:tcPr>
            <w:tcW w:w="542" w:type="pct"/>
            <w:shd w:val="clear" w:color="auto" w:fill="D7DDE9"/>
            <w:vAlign w:val="center"/>
          </w:tcPr>
          <w:p w:rsidR="00284738" w:rsidRPr="002F4E23"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F4E23">
              <w:rPr>
                <w:rFonts w:ascii="Calibri" w:hAnsi="Calibri"/>
                <w:b/>
                <w:color w:val="000000"/>
                <w:sz w:val="20"/>
                <w:szCs w:val="20"/>
              </w:rPr>
              <w:t>-0.7</w:t>
            </w:r>
          </w:p>
        </w:tc>
        <w:tc>
          <w:tcPr>
            <w:tcW w:w="542" w:type="pct"/>
            <w:shd w:val="clear" w:color="auto" w:fill="D7DDE9"/>
            <w:vAlign w:val="center"/>
          </w:tcPr>
          <w:p w:rsidR="00284738" w:rsidRPr="002F4E23"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F4E23">
              <w:rPr>
                <w:rFonts w:ascii="Calibri" w:hAnsi="Calibri"/>
                <w:b/>
                <w:color w:val="000000"/>
                <w:sz w:val="20"/>
                <w:szCs w:val="20"/>
              </w:rPr>
              <w:t>-0.5</w:t>
            </w:r>
          </w:p>
        </w:tc>
        <w:tc>
          <w:tcPr>
            <w:tcW w:w="542" w:type="pct"/>
            <w:shd w:val="clear" w:color="auto" w:fill="D7DDE9"/>
            <w:vAlign w:val="center"/>
          </w:tcPr>
          <w:p w:rsidR="00284738" w:rsidRPr="002F4E23"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F4E23">
              <w:rPr>
                <w:rFonts w:ascii="Calibri" w:hAnsi="Calibri"/>
                <w:b/>
                <w:color w:val="000000"/>
                <w:sz w:val="20"/>
                <w:szCs w:val="20"/>
              </w:rPr>
              <w:t>-</w:t>
            </w:r>
          </w:p>
        </w:tc>
        <w:tc>
          <w:tcPr>
            <w:tcW w:w="542" w:type="pct"/>
            <w:shd w:val="clear" w:color="auto" w:fill="D7DDE9"/>
            <w:vAlign w:val="center"/>
          </w:tcPr>
          <w:p w:rsidR="00284738" w:rsidRPr="002F4E23"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2F4E23">
              <w:rPr>
                <w:rFonts w:ascii="Calibri" w:hAnsi="Calibri"/>
                <w:b/>
                <w:bCs/>
                <w:color w:val="000000"/>
                <w:sz w:val="20"/>
                <w:szCs w:val="20"/>
              </w:rPr>
              <w:t>-1.2</w:t>
            </w:r>
          </w:p>
        </w:tc>
        <w:tc>
          <w:tcPr>
            <w:tcW w:w="542" w:type="pct"/>
            <w:shd w:val="clear" w:color="auto" w:fill="D7DDE9"/>
            <w:vAlign w:val="center"/>
          </w:tcPr>
          <w:p w:rsidR="00284738" w:rsidRPr="002F4E23"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F4E23">
              <w:rPr>
                <w:rFonts w:ascii="Calibri" w:hAnsi="Calibri"/>
                <w:b/>
                <w:color w:val="000000"/>
                <w:sz w:val="20"/>
                <w:szCs w:val="20"/>
              </w:rPr>
              <w:t>-</w:t>
            </w:r>
          </w:p>
        </w:tc>
        <w:tc>
          <w:tcPr>
            <w:tcW w:w="540" w:type="pct"/>
            <w:shd w:val="clear" w:color="auto" w:fill="D7DDE9"/>
            <w:vAlign w:val="center"/>
          </w:tcPr>
          <w:p w:rsidR="00284738" w:rsidRPr="002F4E23" w:rsidRDefault="00284738"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0"/>
                <w:szCs w:val="20"/>
              </w:rPr>
            </w:pPr>
            <w:r w:rsidRPr="002F4E23">
              <w:rPr>
                <w:rFonts w:ascii="Calibri" w:hAnsi="Calibri"/>
                <w:b/>
                <w:bCs/>
                <w:color w:val="000000"/>
                <w:sz w:val="20"/>
                <w:szCs w:val="20"/>
              </w:rPr>
              <w:t>-1.2</w:t>
            </w:r>
          </w:p>
        </w:tc>
      </w:tr>
      <w:tr w:rsidR="00123485" w:rsidRPr="00DB33A2" w:rsidTr="000010A2">
        <w:trPr>
          <w:cantSplit/>
        </w:trPr>
        <w:tc>
          <w:tcPr>
            <w:cnfStyle w:val="001000000000" w:firstRow="0" w:lastRow="0" w:firstColumn="1" w:lastColumn="0" w:oddVBand="0" w:evenVBand="0" w:oddHBand="0" w:evenHBand="0" w:firstRowFirstColumn="0" w:firstRowLastColumn="0" w:lastRowFirstColumn="0" w:lastRowLastColumn="0"/>
            <w:tcW w:w="1208" w:type="pct"/>
            <w:shd w:val="clear" w:color="auto" w:fill="D7DDE9"/>
            <w:vAlign w:val="center"/>
          </w:tcPr>
          <w:p w:rsidR="00123485" w:rsidRPr="00DB33A2" w:rsidRDefault="00123485" w:rsidP="000010A2">
            <w:pPr>
              <w:pStyle w:val="TableTextRight"/>
              <w:jc w:val="left"/>
              <w:rPr>
                <w:b/>
                <w:i w:val="0"/>
                <w:szCs w:val="20"/>
              </w:rPr>
            </w:pPr>
            <w:r>
              <w:rPr>
                <w:b/>
                <w:i w:val="0"/>
                <w:szCs w:val="20"/>
              </w:rPr>
              <w:t>Total</w:t>
            </w:r>
          </w:p>
        </w:tc>
        <w:tc>
          <w:tcPr>
            <w:tcW w:w="542" w:type="pct"/>
            <w:shd w:val="clear" w:color="auto" w:fill="D7DDE9"/>
            <w:vAlign w:val="center"/>
          </w:tcPr>
          <w:p w:rsidR="00123485" w:rsidRPr="002F4E23"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w:t>
            </w:r>
          </w:p>
        </w:tc>
        <w:tc>
          <w:tcPr>
            <w:tcW w:w="542" w:type="pct"/>
            <w:shd w:val="clear" w:color="auto" w:fill="D7DDE9"/>
            <w:vAlign w:val="center"/>
          </w:tcPr>
          <w:p w:rsidR="00123485" w:rsidRPr="002F4E23"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-5.0</w:t>
            </w:r>
          </w:p>
        </w:tc>
        <w:tc>
          <w:tcPr>
            <w:tcW w:w="542" w:type="pct"/>
            <w:shd w:val="clear" w:color="auto" w:fill="D7DDE9"/>
            <w:vAlign w:val="center"/>
          </w:tcPr>
          <w:p w:rsidR="00123485" w:rsidRPr="002F4E23"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-3.4</w:t>
            </w:r>
          </w:p>
        </w:tc>
        <w:tc>
          <w:tcPr>
            <w:tcW w:w="542" w:type="pct"/>
            <w:shd w:val="clear" w:color="auto" w:fill="D7DDE9"/>
            <w:vAlign w:val="center"/>
          </w:tcPr>
          <w:p w:rsidR="00123485" w:rsidRPr="002F4E23"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w:t>
            </w:r>
          </w:p>
        </w:tc>
        <w:tc>
          <w:tcPr>
            <w:tcW w:w="542" w:type="pct"/>
            <w:shd w:val="clear" w:color="auto" w:fill="D7DDE9"/>
            <w:vAlign w:val="center"/>
          </w:tcPr>
          <w:p w:rsidR="00123485" w:rsidRPr="002F4E23"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-8.</w:t>
            </w:r>
            <w:r w:rsidR="00284738" w:rsidRPr="002F4E23">
              <w:rPr>
                <w:b/>
                <w:bCs/>
                <w:color w:val="000000"/>
                <w:sz w:val="20"/>
                <w:szCs w:val="20"/>
              </w:rPr>
              <w:t>5</w:t>
            </w:r>
          </w:p>
        </w:tc>
        <w:tc>
          <w:tcPr>
            <w:tcW w:w="542" w:type="pct"/>
            <w:shd w:val="clear" w:color="auto" w:fill="D7DDE9"/>
            <w:vAlign w:val="center"/>
          </w:tcPr>
          <w:p w:rsidR="00123485" w:rsidRPr="002F4E23"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2F4E23">
              <w:rPr>
                <w:b/>
                <w:bCs/>
                <w:color w:val="000000"/>
                <w:sz w:val="20"/>
                <w:szCs w:val="20"/>
              </w:rPr>
              <w:t>-</w:t>
            </w:r>
          </w:p>
        </w:tc>
        <w:tc>
          <w:tcPr>
            <w:tcW w:w="540" w:type="pct"/>
            <w:shd w:val="clear" w:color="auto" w:fill="D7DDE9"/>
            <w:vAlign w:val="center"/>
          </w:tcPr>
          <w:p w:rsidR="00123485" w:rsidRPr="002F4E23" w:rsidRDefault="00123485" w:rsidP="000010A2">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bCs/>
                <w:i/>
                <w:color w:val="000000"/>
                <w:sz w:val="20"/>
                <w:szCs w:val="20"/>
              </w:rPr>
            </w:pPr>
            <w:r w:rsidRPr="002F4E23">
              <w:rPr>
                <w:rFonts w:ascii="Calibri" w:hAnsi="Calibri"/>
                <w:b/>
                <w:bCs/>
                <w:i/>
                <w:color w:val="000000"/>
                <w:sz w:val="20"/>
                <w:szCs w:val="20"/>
              </w:rPr>
              <w:t>-8.</w:t>
            </w:r>
            <w:r w:rsidR="00284738" w:rsidRPr="002F4E23">
              <w:rPr>
                <w:rFonts w:ascii="Calibri" w:hAnsi="Calibri"/>
                <w:b/>
                <w:bCs/>
                <w:i/>
                <w:color w:val="000000"/>
                <w:sz w:val="20"/>
                <w:szCs w:val="20"/>
              </w:rPr>
              <w:t>5</w:t>
            </w:r>
          </w:p>
        </w:tc>
      </w:tr>
    </w:tbl>
    <w:p w:rsidR="001A0884" w:rsidRDefault="001A0884" w:rsidP="00441065">
      <w:pPr>
        <w:pStyle w:val="Footnotes"/>
        <w:numPr>
          <w:ilvl w:val="0"/>
          <w:numId w:val="35"/>
        </w:numPr>
        <w:ind w:left="284" w:hanging="284"/>
      </w:pPr>
      <w:r w:rsidRPr="00F66E1A">
        <w:t>A positive number indicates an increase in revenue or decrease in expenses or net capital investment in accrual and cash terms. A negative number indicates a decrease in revenue or an increase in expenses or net capital investment in accrual and cash terms</w:t>
      </w:r>
      <w:r>
        <w:t>.</w:t>
      </w:r>
    </w:p>
    <w:p w:rsidR="00C87904" w:rsidRDefault="005E73BD" w:rsidP="00441065">
      <w:pPr>
        <w:pStyle w:val="Footnotes"/>
        <w:numPr>
          <w:ilvl w:val="0"/>
          <w:numId w:val="30"/>
        </w:numPr>
        <w:ind w:left="284" w:hanging="284"/>
      </w:pPr>
      <w:r>
        <w:t>Figures may not sum to totals due to rounding.</w:t>
      </w:r>
    </w:p>
    <w:p w:rsidR="00123485" w:rsidRPr="00FC6579" w:rsidRDefault="00C87904" w:rsidP="00441065">
      <w:pPr>
        <w:pStyle w:val="Footnotes"/>
        <w:numPr>
          <w:ilvl w:val="0"/>
          <w:numId w:val="37"/>
        </w:numPr>
        <w:ind w:left="284" w:hanging="284"/>
      </w:pPr>
      <w:r>
        <w:t>Indicates nil</w:t>
      </w:r>
      <w:proofErr w:type="gramStart"/>
      <w:r w:rsidR="00123485">
        <w:t xml:space="preserve">; </w:t>
      </w:r>
      <w:r w:rsidR="00123485" w:rsidRPr="00123485">
        <w:t>..</w:t>
      </w:r>
      <w:proofErr w:type="gramEnd"/>
      <w:r w:rsidR="00123485" w:rsidRPr="00123485">
        <w:t xml:space="preserve"> </w:t>
      </w:r>
      <w:proofErr w:type="gramStart"/>
      <w:r w:rsidR="00123485" w:rsidRPr="00123485">
        <w:t>indicates</w:t>
      </w:r>
      <w:proofErr w:type="gramEnd"/>
      <w:r w:rsidR="00123485" w:rsidRPr="00123485">
        <w:t xml:space="preserve"> the value is not zero, but rounded to zero.</w:t>
      </w:r>
    </w:p>
    <w:sectPr w:rsidR="00123485" w:rsidRPr="00FC6579" w:rsidSect="00DB33A2">
      <w:headerReference w:type="first" r:id="rId19"/>
      <w:pgSz w:w="11906" w:h="16838"/>
      <w:pgMar w:top="1361" w:right="1797"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AC" w:rsidRDefault="002338AC" w:rsidP="008F588A">
      <w:pPr>
        <w:spacing w:line="240" w:lineRule="auto"/>
      </w:pPr>
      <w:r>
        <w:separator/>
      </w:r>
    </w:p>
    <w:p w:rsidR="002338AC" w:rsidRDefault="002338AC"/>
  </w:endnote>
  <w:endnote w:type="continuationSeparator" w:id="0">
    <w:p w:rsidR="002338AC" w:rsidRDefault="002338AC" w:rsidP="008F588A">
      <w:pPr>
        <w:spacing w:line="240" w:lineRule="auto"/>
      </w:pPr>
      <w:r>
        <w:continuationSeparator/>
      </w:r>
    </w:p>
    <w:p w:rsidR="002338AC" w:rsidRDefault="00233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24267" w:rsidRDefault="002338AC"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FA7A6F">
      <w:rPr>
        <w:noProof/>
      </w:rPr>
      <w:t>4</w:t>
    </w:r>
    <w:r w:rsidRPr="00C24267">
      <w:fldChar w:fldCharType="end"/>
    </w:r>
    <w:r w:rsidRPr="00C24267">
      <w:t xml:space="preserve"> of </w:t>
    </w:r>
    <w:fldSimple w:instr=" NUMPAGES  \* Arabic  \* MERGEFORMAT ">
      <w:r w:rsidR="00FA7A6F">
        <w:rPr>
          <w:noProof/>
        </w:rPr>
        <w:t>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24267" w:rsidRDefault="002338AC" w:rsidP="00C24267">
    <w:pPr>
      <w:pStyle w:val="Letterfooter"/>
    </w:pPr>
    <w:r w:rsidRPr="00C24267">
      <w:t>Parliamentary Budget Office   PO Box 6010   Parliament House   Canberra ACT 2600</w:t>
    </w:r>
  </w:p>
  <w:p w:rsidR="002338AC" w:rsidRPr="00C24267" w:rsidRDefault="002338AC"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C24267" w:rsidRDefault="002338AC"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FA7A6F">
      <w:rPr>
        <w:noProof/>
      </w:rPr>
      <w:t>2</w:t>
    </w:r>
    <w:r w:rsidRPr="00C24267">
      <w:fldChar w:fldCharType="end"/>
    </w:r>
    <w:r w:rsidRPr="00C24267">
      <w:t xml:space="preserve"> of </w:t>
    </w:r>
    <w:fldSimple w:instr=" NUMPAGES  \* Arabic  \* MERGEFORMAT ">
      <w:r w:rsidR="00FA7A6F">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AC" w:rsidRDefault="002338AC" w:rsidP="008F588A">
      <w:pPr>
        <w:spacing w:line="240" w:lineRule="auto"/>
      </w:pPr>
      <w:r>
        <w:separator/>
      </w:r>
    </w:p>
    <w:p w:rsidR="002338AC" w:rsidRDefault="002338AC"/>
  </w:footnote>
  <w:footnote w:type="continuationSeparator" w:id="0">
    <w:p w:rsidR="002338AC" w:rsidRDefault="002338AC" w:rsidP="008F588A">
      <w:pPr>
        <w:spacing w:line="240" w:lineRule="auto"/>
      </w:pPr>
      <w:r>
        <w:continuationSeparator/>
      </w:r>
    </w:p>
    <w:p w:rsidR="002338AC" w:rsidRDefault="002338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Default="002338AC" w:rsidP="00CB40E1">
    <w:pPr>
      <w:pStyle w:val="Header"/>
    </w:pPr>
    <w:r>
      <w:rPr>
        <w:noProof/>
        <w:lang w:eastAsia="en-AU"/>
      </w:rPr>
      <w:drawing>
        <wp:inline distT="0" distB="0" distL="0" distR="0" wp14:anchorId="1A9A7771" wp14:editId="32E4EF5C">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2338AC" w:rsidRPr="00DA1C8A" w:rsidRDefault="002338AC"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AC" w:rsidRPr="0072091A" w:rsidRDefault="0072091A" w:rsidP="0072091A">
    <w:pPr>
      <w:pStyle w:val="Header"/>
    </w:pPr>
    <w:r>
      <w:rPr>
        <w:noProof/>
        <w:lang w:eastAsia="en-AU"/>
      </w:rPr>
      <w:drawing>
        <wp:inline distT="0" distB="0" distL="0" distR="0" wp14:anchorId="7E35FB85" wp14:editId="77FF089C">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91A" w:rsidRPr="0072091A" w:rsidRDefault="0072091A" w:rsidP="00720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FF4CC9"/>
    <w:multiLevelType w:val="hybridMultilevel"/>
    <w:tmpl w:val="16C4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nsid w:val="19B73236"/>
    <w:multiLevelType w:val="hybridMultilevel"/>
    <w:tmpl w:val="1E68D966"/>
    <w:lvl w:ilvl="0" w:tplc="9500CCE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8">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9">
    <w:nsid w:val="1FD32C15"/>
    <w:multiLevelType w:val="hybridMultilevel"/>
    <w:tmpl w:val="0C5A278E"/>
    <w:lvl w:ilvl="0" w:tplc="E6841618">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11">
    <w:nsid w:val="354E25AB"/>
    <w:multiLevelType w:val="hybridMultilevel"/>
    <w:tmpl w:val="8F566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5DC2E04"/>
    <w:multiLevelType w:val="hybridMultilevel"/>
    <w:tmpl w:val="B082E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D0D63D2"/>
    <w:multiLevelType w:val="hybridMultilevel"/>
    <w:tmpl w:val="4FAC0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6">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15"/>
  </w:num>
  <w:num w:numId="6">
    <w:abstractNumId w:val="10"/>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
  </w:num>
  <w:num w:numId="12">
    <w:abstractNumId w:val="0"/>
  </w:num>
  <w:num w:numId="13">
    <w:abstractNumId w:val="3"/>
  </w:num>
  <w:num w:numId="14">
    <w:abstractNumId w:val="11"/>
  </w:num>
  <w:num w:numId="15">
    <w:abstractNumId w:val="14"/>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3"/>
  </w:num>
  <w:num w:numId="20">
    <w:abstractNumId w:val="2"/>
  </w:num>
  <w:num w:numId="21">
    <w:abstractNumId w:val="16"/>
  </w:num>
  <w:num w:numId="22">
    <w:abstractNumId w:val="9"/>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
  </w:num>
  <w:num w:numId="37">
    <w:abstractNumId w:val="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20"/>
    <w:rsid w:val="000010A2"/>
    <w:rsid w:val="00002D5D"/>
    <w:rsid w:val="00012D00"/>
    <w:rsid w:val="00015E47"/>
    <w:rsid w:val="00022826"/>
    <w:rsid w:val="00040DCE"/>
    <w:rsid w:val="00046839"/>
    <w:rsid w:val="00064879"/>
    <w:rsid w:val="00096F3A"/>
    <w:rsid w:val="000A5FED"/>
    <w:rsid w:val="000A60C5"/>
    <w:rsid w:val="000C1A75"/>
    <w:rsid w:val="001216C6"/>
    <w:rsid w:val="00123485"/>
    <w:rsid w:val="001278D0"/>
    <w:rsid w:val="0014239B"/>
    <w:rsid w:val="001A02D1"/>
    <w:rsid w:val="001A0881"/>
    <w:rsid w:val="001A0884"/>
    <w:rsid w:val="00201A78"/>
    <w:rsid w:val="00220BE5"/>
    <w:rsid w:val="002338AC"/>
    <w:rsid w:val="002422A3"/>
    <w:rsid w:val="002473AF"/>
    <w:rsid w:val="00265B3B"/>
    <w:rsid w:val="00276A93"/>
    <w:rsid w:val="00284738"/>
    <w:rsid w:val="002F4E23"/>
    <w:rsid w:val="00315E34"/>
    <w:rsid w:val="00321247"/>
    <w:rsid w:val="003226CD"/>
    <w:rsid w:val="003264D8"/>
    <w:rsid w:val="00326DE2"/>
    <w:rsid w:val="003345E5"/>
    <w:rsid w:val="0034015C"/>
    <w:rsid w:val="00376E63"/>
    <w:rsid w:val="00391F49"/>
    <w:rsid w:val="003B1203"/>
    <w:rsid w:val="003F2879"/>
    <w:rsid w:val="003F73CA"/>
    <w:rsid w:val="00440E32"/>
    <w:rsid w:val="00441065"/>
    <w:rsid w:val="00461597"/>
    <w:rsid w:val="004C283B"/>
    <w:rsid w:val="004D13ED"/>
    <w:rsid w:val="004D5525"/>
    <w:rsid w:val="004E5DDD"/>
    <w:rsid w:val="004E7D63"/>
    <w:rsid w:val="004F60DD"/>
    <w:rsid w:val="005035DA"/>
    <w:rsid w:val="00504244"/>
    <w:rsid w:val="00507897"/>
    <w:rsid w:val="00515A85"/>
    <w:rsid w:val="00542905"/>
    <w:rsid w:val="00545F24"/>
    <w:rsid w:val="0055581F"/>
    <w:rsid w:val="00555D88"/>
    <w:rsid w:val="0056229A"/>
    <w:rsid w:val="005623B5"/>
    <w:rsid w:val="00570154"/>
    <w:rsid w:val="00570B5A"/>
    <w:rsid w:val="005C6967"/>
    <w:rsid w:val="005E0257"/>
    <w:rsid w:val="005E3562"/>
    <w:rsid w:val="005E73BD"/>
    <w:rsid w:val="005F7DE0"/>
    <w:rsid w:val="006045E0"/>
    <w:rsid w:val="00640346"/>
    <w:rsid w:val="006525FE"/>
    <w:rsid w:val="00660385"/>
    <w:rsid w:val="00662E65"/>
    <w:rsid w:val="0066665A"/>
    <w:rsid w:val="00692DD8"/>
    <w:rsid w:val="006F0CE9"/>
    <w:rsid w:val="00700EEE"/>
    <w:rsid w:val="007202A8"/>
    <w:rsid w:val="0072091A"/>
    <w:rsid w:val="007618B9"/>
    <w:rsid w:val="00792BBB"/>
    <w:rsid w:val="00793B4E"/>
    <w:rsid w:val="007B029A"/>
    <w:rsid w:val="007B1A91"/>
    <w:rsid w:val="007D33AA"/>
    <w:rsid w:val="007E0EEA"/>
    <w:rsid w:val="007F285B"/>
    <w:rsid w:val="007F7BCF"/>
    <w:rsid w:val="008030EC"/>
    <w:rsid w:val="00811D6D"/>
    <w:rsid w:val="00822316"/>
    <w:rsid w:val="00844776"/>
    <w:rsid w:val="00846BA5"/>
    <w:rsid w:val="008522FE"/>
    <w:rsid w:val="008850D9"/>
    <w:rsid w:val="008A4578"/>
    <w:rsid w:val="008C03C3"/>
    <w:rsid w:val="008D3909"/>
    <w:rsid w:val="008E0223"/>
    <w:rsid w:val="008F588A"/>
    <w:rsid w:val="00902B20"/>
    <w:rsid w:val="00902D2D"/>
    <w:rsid w:val="00914722"/>
    <w:rsid w:val="00915804"/>
    <w:rsid w:val="00927557"/>
    <w:rsid w:val="00954FFB"/>
    <w:rsid w:val="00957285"/>
    <w:rsid w:val="009573AF"/>
    <w:rsid w:val="009963ED"/>
    <w:rsid w:val="009D4063"/>
    <w:rsid w:val="00A33040"/>
    <w:rsid w:val="00A41BD3"/>
    <w:rsid w:val="00A449C2"/>
    <w:rsid w:val="00A842C6"/>
    <w:rsid w:val="00AA3D6F"/>
    <w:rsid w:val="00AB6F7D"/>
    <w:rsid w:val="00AC7878"/>
    <w:rsid w:val="00AD493E"/>
    <w:rsid w:val="00AF7835"/>
    <w:rsid w:val="00B06055"/>
    <w:rsid w:val="00B34436"/>
    <w:rsid w:val="00B44D8A"/>
    <w:rsid w:val="00B62C78"/>
    <w:rsid w:val="00B73AC8"/>
    <w:rsid w:val="00B747A7"/>
    <w:rsid w:val="00BC559C"/>
    <w:rsid w:val="00BF6446"/>
    <w:rsid w:val="00C17112"/>
    <w:rsid w:val="00C2334B"/>
    <w:rsid w:val="00C24267"/>
    <w:rsid w:val="00C75BEF"/>
    <w:rsid w:val="00C87904"/>
    <w:rsid w:val="00CA3339"/>
    <w:rsid w:val="00CA5D42"/>
    <w:rsid w:val="00CA7CBE"/>
    <w:rsid w:val="00CB40E1"/>
    <w:rsid w:val="00CD7A25"/>
    <w:rsid w:val="00CF0353"/>
    <w:rsid w:val="00CF6DB6"/>
    <w:rsid w:val="00D134CA"/>
    <w:rsid w:val="00D45FC6"/>
    <w:rsid w:val="00D47A0B"/>
    <w:rsid w:val="00D74A1B"/>
    <w:rsid w:val="00DA1C8A"/>
    <w:rsid w:val="00DB33A2"/>
    <w:rsid w:val="00DB44F0"/>
    <w:rsid w:val="00DD109E"/>
    <w:rsid w:val="00DD3E18"/>
    <w:rsid w:val="00E11E14"/>
    <w:rsid w:val="00E12103"/>
    <w:rsid w:val="00E15AAE"/>
    <w:rsid w:val="00E21184"/>
    <w:rsid w:val="00E33B2F"/>
    <w:rsid w:val="00E40B8B"/>
    <w:rsid w:val="00E45F50"/>
    <w:rsid w:val="00E51970"/>
    <w:rsid w:val="00E5742E"/>
    <w:rsid w:val="00E6697B"/>
    <w:rsid w:val="00EA265F"/>
    <w:rsid w:val="00ED43FF"/>
    <w:rsid w:val="00EF1D6A"/>
    <w:rsid w:val="00EF2E51"/>
    <w:rsid w:val="00EF4A4B"/>
    <w:rsid w:val="00F10FA2"/>
    <w:rsid w:val="00F31E24"/>
    <w:rsid w:val="00F37057"/>
    <w:rsid w:val="00F52474"/>
    <w:rsid w:val="00F561C9"/>
    <w:rsid w:val="00F5669E"/>
    <w:rsid w:val="00F609EB"/>
    <w:rsid w:val="00F7482D"/>
    <w:rsid w:val="00F75D33"/>
    <w:rsid w:val="00F87C10"/>
    <w:rsid w:val="00F92BDB"/>
    <w:rsid w:val="00F954CF"/>
    <w:rsid w:val="00FA7A6F"/>
    <w:rsid w:val="00FC6579"/>
    <w:rsid w:val="00FD3FB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064879"/>
    <w:rPr>
      <w:rFonts w:eastAsia="Times New Roman" w:cs="Times New Roman"/>
      <w:spacing w:val="0"/>
      <w:lang w:eastAsia="en-AU"/>
    </w:rPr>
  </w:style>
  <w:style w:type="paragraph" w:customStyle="1" w:styleId="Bullet2">
    <w:name w:val="Bullet 2"/>
    <w:basedOn w:val="ListBullet2"/>
    <w:link w:val="Bullet2Char"/>
    <w:qFormat/>
    <w:rsid w:val="00064879"/>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064879"/>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064879"/>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7618B9"/>
    <w:pPr>
      <w:spacing w:line="240" w:lineRule="auto"/>
      <w:ind w:left="57" w:right="57"/>
      <w:jc w:val="right"/>
    </w:pPr>
    <w:rPr>
      <w:i/>
    </w:rPr>
  </w:style>
  <w:style w:type="paragraph" w:customStyle="1" w:styleId="Proformatext">
    <w:name w:val="Pro forma text"/>
    <w:basedOn w:val="Normal"/>
    <w:rsid w:val="002338AC"/>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2338AC"/>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2338AC"/>
    <w:rPr>
      <w:rFonts w:ascii="Times New Roman" w:eastAsia="Times New Roman" w:hAnsi="Times New Roman" w:cs="Times New Roman"/>
      <w:b/>
      <w:bCs/>
      <w:color w:val="1F497D" w:themeColor="text2"/>
      <w:spacing w:val="-4"/>
      <w:sz w:val="24"/>
      <w:szCs w:val="20"/>
      <w:lang w:eastAsia="en-AU"/>
    </w:rPr>
  </w:style>
  <w:style w:type="paragraph" w:customStyle="1" w:styleId="Bullet4">
    <w:name w:val="Bullet 4"/>
    <w:basedOn w:val="Normal"/>
    <w:qFormat/>
    <w:rsid w:val="003345E5"/>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E6697B"/>
    <w:rPr>
      <w:sz w:val="16"/>
      <w:szCs w:val="16"/>
    </w:rPr>
  </w:style>
  <w:style w:type="paragraph" w:styleId="CommentText">
    <w:name w:val="annotation text"/>
    <w:basedOn w:val="Normal"/>
    <w:link w:val="CommentTextChar"/>
    <w:uiPriority w:val="99"/>
    <w:semiHidden/>
    <w:unhideWhenUsed/>
    <w:rsid w:val="00E6697B"/>
    <w:pPr>
      <w:spacing w:line="240" w:lineRule="auto"/>
    </w:pPr>
    <w:rPr>
      <w:sz w:val="20"/>
      <w:szCs w:val="20"/>
    </w:rPr>
  </w:style>
  <w:style w:type="character" w:customStyle="1" w:styleId="CommentTextChar">
    <w:name w:val="Comment Text Char"/>
    <w:basedOn w:val="DefaultParagraphFont"/>
    <w:link w:val="CommentText"/>
    <w:uiPriority w:val="99"/>
    <w:semiHidden/>
    <w:rsid w:val="00E6697B"/>
    <w:rPr>
      <w:sz w:val="20"/>
      <w:szCs w:val="20"/>
    </w:rPr>
  </w:style>
  <w:style w:type="paragraph" w:styleId="CommentSubject">
    <w:name w:val="annotation subject"/>
    <w:basedOn w:val="CommentText"/>
    <w:next w:val="CommentText"/>
    <w:link w:val="CommentSubjectChar"/>
    <w:uiPriority w:val="99"/>
    <w:semiHidden/>
    <w:unhideWhenUsed/>
    <w:rsid w:val="00E6697B"/>
    <w:rPr>
      <w:b/>
      <w:bCs/>
    </w:rPr>
  </w:style>
  <w:style w:type="character" w:customStyle="1" w:styleId="CommentSubjectChar">
    <w:name w:val="Comment Subject Char"/>
    <w:basedOn w:val="CommentTextChar"/>
    <w:link w:val="CommentSubject"/>
    <w:uiPriority w:val="99"/>
    <w:semiHidden/>
    <w:rsid w:val="00E6697B"/>
    <w:rPr>
      <w:b/>
      <w:bCs/>
      <w:sz w:val="20"/>
      <w:szCs w:val="20"/>
    </w:rPr>
  </w:style>
  <w:style w:type="paragraph" w:styleId="Revision">
    <w:name w:val="Revision"/>
    <w:hidden/>
    <w:uiPriority w:val="99"/>
    <w:semiHidden/>
    <w:rsid w:val="00E669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064879"/>
    <w:rPr>
      <w:rFonts w:eastAsia="Times New Roman" w:cs="Times New Roman"/>
      <w:spacing w:val="0"/>
      <w:lang w:eastAsia="en-AU"/>
    </w:rPr>
  </w:style>
  <w:style w:type="paragraph" w:customStyle="1" w:styleId="Bullet2">
    <w:name w:val="Bullet 2"/>
    <w:basedOn w:val="ListBullet2"/>
    <w:link w:val="Bullet2Char"/>
    <w:qFormat/>
    <w:rsid w:val="00064879"/>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064879"/>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064879"/>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7618B9"/>
    <w:pPr>
      <w:spacing w:line="240" w:lineRule="auto"/>
      <w:ind w:left="57" w:right="57"/>
      <w:jc w:val="right"/>
    </w:pPr>
    <w:rPr>
      <w:i/>
    </w:rPr>
  </w:style>
  <w:style w:type="paragraph" w:customStyle="1" w:styleId="Proformatext">
    <w:name w:val="Pro forma text"/>
    <w:basedOn w:val="Normal"/>
    <w:rsid w:val="002338AC"/>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2338AC"/>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2338AC"/>
    <w:rPr>
      <w:rFonts w:ascii="Times New Roman" w:eastAsia="Times New Roman" w:hAnsi="Times New Roman" w:cs="Times New Roman"/>
      <w:b/>
      <w:bCs/>
      <w:color w:val="1F497D" w:themeColor="text2"/>
      <w:spacing w:val="-4"/>
      <w:sz w:val="24"/>
      <w:szCs w:val="20"/>
      <w:lang w:eastAsia="en-AU"/>
    </w:rPr>
  </w:style>
  <w:style w:type="paragraph" w:customStyle="1" w:styleId="Bullet4">
    <w:name w:val="Bullet 4"/>
    <w:basedOn w:val="Normal"/>
    <w:qFormat/>
    <w:rsid w:val="003345E5"/>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E6697B"/>
    <w:rPr>
      <w:sz w:val="16"/>
      <w:szCs w:val="16"/>
    </w:rPr>
  </w:style>
  <w:style w:type="paragraph" w:styleId="CommentText">
    <w:name w:val="annotation text"/>
    <w:basedOn w:val="Normal"/>
    <w:link w:val="CommentTextChar"/>
    <w:uiPriority w:val="99"/>
    <w:semiHidden/>
    <w:unhideWhenUsed/>
    <w:rsid w:val="00E6697B"/>
    <w:pPr>
      <w:spacing w:line="240" w:lineRule="auto"/>
    </w:pPr>
    <w:rPr>
      <w:sz w:val="20"/>
      <w:szCs w:val="20"/>
    </w:rPr>
  </w:style>
  <w:style w:type="character" w:customStyle="1" w:styleId="CommentTextChar">
    <w:name w:val="Comment Text Char"/>
    <w:basedOn w:val="DefaultParagraphFont"/>
    <w:link w:val="CommentText"/>
    <w:uiPriority w:val="99"/>
    <w:semiHidden/>
    <w:rsid w:val="00E6697B"/>
    <w:rPr>
      <w:sz w:val="20"/>
      <w:szCs w:val="20"/>
    </w:rPr>
  </w:style>
  <w:style w:type="paragraph" w:styleId="CommentSubject">
    <w:name w:val="annotation subject"/>
    <w:basedOn w:val="CommentText"/>
    <w:next w:val="CommentText"/>
    <w:link w:val="CommentSubjectChar"/>
    <w:uiPriority w:val="99"/>
    <w:semiHidden/>
    <w:unhideWhenUsed/>
    <w:rsid w:val="00E6697B"/>
    <w:rPr>
      <w:b/>
      <w:bCs/>
    </w:rPr>
  </w:style>
  <w:style w:type="character" w:customStyle="1" w:styleId="CommentSubjectChar">
    <w:name w:val="Comment Subject Char"/>
    <w:basedOn w:val="CommentTextChar"/>
    <w:link w:val="CommentSubject"/>
    <w:uiPriority w:val="99"/>
    <w:semiHidden/>
    <w:rsid w:val="00E6697B"/>
    <w:rPr>
      <w:b/>
      <w:bCs/>
      <w:sz w:val="20"/>
      <w:szCs w:val="20"/>
    </w:rPr>
  </w:style>
  <w:style w:type="paragraph" w:styleId="Revision">
    <w:name w:val="Revision"/>
    <w:hidden/>
    <w:uiPriority w:val="99"/>
    <w:semiHidden/>
    <w:rsid w:val="00E66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news/wa/greens-announce-package-help-farmers-sell-direc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greens.org.au/food-syste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greens.org.au/soil-health" TargetMode="Externa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greens.org.au/local-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0BD6-1A8A-4C93-BAB0-64347723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0</TotalTime>
  <Pages>6</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Policy costing minute—during the caretaker period for a general election</vt:lpstr>
    </vt:vector>
  </TitlesOfParts>
  <Company>Parliament of Australia</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GRN027 - Securing the Future of Farming - 28 June 2016</dc:title>
  <dc:creator>Parliamentary Budget Office</dc:creator>
  <cp:lastModifiedBy>Milligan, Louise (PBO)</cp:lastModifiedBy>
  <cp:revision>3</cp:revision>
  <cp:lastPrinted>2016-06-28T08:18:00Z</cp:lastPrinted>
  <dcterms:created xsi:type="dcterms:W3CDTF">2016-06-29T03:41:00Z</dcterms:created>
  <dcterms:modified xsi:type="dcterms:W3CDTF">2016-06-29T03:44:00Z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