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5431D4" w:rsidP="00C17112">
      <w:pPr>
        <w:spacing w:before="1560" w:after="0" w:line="240" w:lineRule="auto"/>
        <w:rPr>
          <w:rFonts w:ascii="Times New Roman" w:hAnsi="Times New Roman" w:cs="Times New Roman"/>
          <w:sz w:val="24"/>
          <w:szCs w:val="24"/>
        </w:rPr>
      </w:pPr>
      <w:r>
        <w:rPr>
          <w:rFonts w:ascii="Times New Roman" w:hAnsi="Times New Roman" w:cs="Times New Roman"/>
          <w:sz w:val="24"/>
          <w:szCs w:val="24"/>
        </w:rPr>
        <w:t>Senator</w:t>
      </w:r>
      <w:r w:rsidR="00040DCE" w:rsidRPr="00002D5D">
        <w:rPr>
          <w:rFonts w:ascii="Times New Roman" w:hAnsi="Times New Roman" w:cs="Times New Roman"/>
          <w:sz w:val="24"/>
          <w:szCs w:val="24"/>
        </w:rPr>
        <w:t xml:space="preserve"> </w:t>
      </w:r>
      <w:r>
        <w:rPr>
          <w:rFonts w:ascii="Times New Roman" w:hAnsi="Times New Roman" w:cs="Times New Roman"/>
          <w:sz w:val="24"/>
          <w:szCs w:val="24"/>
        </w:rPr>
        <w:t>Richard</w:t>
      </w:r>
      <w:r w:rsidR="00040DCE" w:rsidRPr="00002D5D">
        <w:rPr>
          <w:rFonts w:ascii="Times New Roman" w:hAnsi="Times New Roman" w:cs="Times New Roman"/>
          <w:sz w:val="24"/>
          <w:szCs w:val="24"/>
        </w:rPr>
        <w:t xml:space="preserve"> </w:t>
      </w:r>
      <w:r>
        <w:rPr>
          <w:rFonts w:ascii="Times New Roman" w:hAnsi="Times New Roman" w:cs="Times New Roman"/>
          <w:sz w:val="24"/>
          <w:szCs w:val="24"/>
        </w:rPr>
        <w:t>Di Natale</w:t>
      </w:r>
    </w:p>
    <w:p w:rsidR="00040DCE" w:rsidRPr="00002D5D" w:rsidRDefault="005431D4"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5431D4">
        <w:rPr>
          <w:rFonts w:ascii="Times New Roman" w:hAnsi="Times New Roman" w:cs="Times New Roman"/>
          <w:sz w:val="24"/>
          <w:szCs w:val="24"/>
        </w:rPr>
        <w:t>Senator</w:t>
      </w:r>
      <w:r w:rsidRPr="00002D5D">
        <w:rPr>
          <w:rFonts w:ascii="Times New Roman" w:hAnsi="Times New Roman" w:cs="Times New Roman"/>
          <w:sz w:val="24"/>
          <w:szCs w:val="24"/>
        </w:rPr>
        <w:t xml:space="preserve"> </w:t>
      </w:r>
      <w:r w:rsidR="005431D4">
        <w:rPr>
          <w:rFonts w:ascii="Times New Roman" w:hAnsi="Times New Roman" w:cs="Times New Roman"/>
          <w:sz w:val="24"/>
          <w:szCs w:val="24"/>
        </w:rPr>
        <w:t>Di Natale</w:t>
      </w:r>
    </w:p>
    <w:p w:rsidR="00040DCE" w:rsidRPr="00002D5D" w:rsidRDefault="00040DCE" w:rsidP="00C17112">
      <w:pPr>
        <w:pStyle w:val="Lettertext"/>
      </w:pPr>
      <w:r w:rsidRPr="00002D5D">
        <w:t xml:space="preserve">Please find attached a response to your costing request, </w:t>
      </w:r>
      <w:r w:rsidR="008C7CD3">
        <w:rPr>
          <w:i/>
        </w:rPr>
        <w:t>No new coal or gas mines</w:t>
      </w:r>
      <w:r w:rsidRPr="00002D5D">
        <w:t xml:space="preserve"> (letter of </w:t>
      </w:r>
      <w:r w:rsidR="008C7CD3">
        <w:t>27 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490A5B" w:rsidP="00490A5B">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5431D4">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ayout w:type="fixed"/>
        <w:tblLook w:val="04A0" w:firstRow="1" w:lastRow="0" w:firstColumn="1" w:lastColumn="0" w:noHBand="0" w:noVBand="1"/>
      </w:tblPr>
      <w:tblGrid>
        <w:gridCol w:w="3005"/>
        <w:gridCol w:w="5335"/>
      </w:tblGrid>
      <w:tr w:rsidR="00B80BD2" w:rsidRPr="00CE42A6" w:rsidTr="00B80BD2">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CE42A6" w:rsidRDefault="004D5525" w:rsidP="004D5525">
            <w:pPr>
              <w:pStyle w:val="BodyText"/>
              <w:rPr>
                <w:sz w:val="22"/>
              </w:rPr>
            </w:pPr>
            <w:r w:rsidRPr="00CE42A6">
              <w:rPr>
                <w:sz w:val="22"/>
              </w:rPr>
              <w:t>Name of proposal:</w:t>
            </w:r>
          </w:p>
        </w:tc>
        <w:tc>
          <w:tcPr>
            <w:tcW w:w="5335" w:type="dxa"/>
          </w:tcPr>
          <w:p w:rsidR="004D5525" w:rsidRPr="00CE42A6" w:rsidRDefault="008C7CD3" w:rsidP="00B80BD2">
            <w:pPr>
              <w:pStyle w:val="BodyText"/>
              <w:rPr>
                <w:sz w:val="22"/>
              </w:rPr>
            </w:pPr>
            <w:r w:rsidRPr="00CE42A6">
              <w:rPr>
                <w:sz w:val="22"/>
              </w:rPr>
              <w:t>No new coal or gas mines</w:t>
            </w:r>
          </w:p>
        </w:tc>
      </w:tr>
      <w:tr w:rsidR="004D5525" w:rsidTr="00B80BD2">
        <w:tc>
          <w:tcPr>
            <w:tcW w:w="3005" w:type="dxa"/>
          </w:tcPr>
          <w:p w:rsidR="004D5525" w:rsidRDefault="004D5525" w:rsidP="004D5525">
            <w:pPr>
              <w:pStyle w:val="BodyText"/>
            </w:pPr>
            <w:r>
              <w:t>Summary of proposal:</w:t>
            </w:r>
          </w:p>
        </w:tc>
        <w:tc>
          <w:tcPr>
            <w:tcW w:w="5335" w:type="dxa"/>
          </w:tcPr>
          <w:p w:rsidR="008C7CD3" w:rsidRPr="00232206" w:rsidRDefault="008C7CD3" w:rsidP="008C7CD3">
            <w:r w:rsidRPr="00232206">
              <w:t>The proposal would:</w:t>
            </w:r>
          </w:p>
          <w:p w:rsidR="008C7CD3" w:rsidRPr="00232206" w:rsidRDefault="008C7CD3" w:rsidP="00324311">
            <w:pPr>
              <w:pStyle w:val="Footnotes"/>
              <w:ind w:left="454" w:hanging="454"/>
              <w:rPr>
                <w:sz w:val="22"/>
                <w:szCs w:val="22"/>
              </w:rPr>
            </w:pPr>
            <w:r w:rsidRPr="00232206">
              <w:rPr>
                <w:sz w:val="22"/>
                <w:szCs w:val="22"/>
              </w:rPr>
              <w:t>prohibit the extraction of thermal coal for export from:</w:t>
            </w:r>
          </w:p>
          <w:p w:rsidR="008C7CD3" w:rsidRPr="00232206" w:rsidRDefault="008C7CD3" w:rsidP="00324311">
            <w:pPr>
              <w:pStyle w:val="Bullet1"/>
              <w:ind w:left="908"/>
            </w:pPr>
            <w:r w:rsidRPr="00232206">
              <w:t>new mines</w:t>
            </w:r>
          </w:p>
          <w:p w:rsidR="008C7CD3" w:rsidRPr="00232206" w:rsidRDefault="008C7CD3" w:rsidP="00324311">
            <w:pPr>
              <w:pStyle w:val="Bullet1"/>
              <w:ind w:left="908"/>
            </w:pPr>
            <w:r w:rsidRPr="00232206">
              <w:t>the expansion of existing mines</w:t>
            </w:r>
          </w:p>
          <w:p w:rsidR="008C7CD3" w:rsidRPr="00232206" w:rsidRDefault="008C7CD3" w:rsidP="00324311">
            <w:pPr>
              <w:pStyle w:val="Footnotes"/>
              <w:ind w:left="454" w:hanging="454"/>
              <w:rPr>
                <w:sz w:val="22"/>
                <w:szCs w:val="22"/>
              </w:rPr>
            </w:pPr>
            <w:r w:rsidRPr="00232206">
              <w:rPr>
                <w:sz w:val="22"/>
                <w:szCs w:val="22"/>
              </w:rPr>
              <w:t>prohibit the extraction of onshore coal seam gas, tight gas and shale gas from:</w:t>
            </w:r>
          </w:p>
          <w:p w:rsidR="008C7CD3" w:rsidRPr="00232206" w:rsidRDefault="008C7CD3" w:rsidP="00312FC1">
            <w:pPr>
              <w:pStyle w:val="Bullet1"/>
              <w:ind w:left="738" w:hanging="284"/>
            </w:pPr>
            <w:r w:rsidRPr="00232206">
              <w:t>wel</w:t>
            </w:r>
            <w:bookmarkStart w:id="0" w:name="_GoBack"/>
            <w:bookmarkEnd w:id="0"/>
            <w:r w:rsidRPr="00232206">
              <w:t>ls that are not already operating or in construction</w:t>
            </w:r>
          </w:p>
          <w:p w:rsidR="008C7CD3" w:rsidRPr="00232206" w:rsidRDefault="008C7CD3" w:rsidP="00324311">
            <w:pPr>
              <w:pStyle w:val="Bullet1"/>
              <w:ind w:left="908"/>
            </w:pPr>
            <w:proofErr w:type="gramStart"/>
            <w:r w:rsidRPr="00232206">
              <w:t>any</w:t>
            </w:r>
            <w:proofErr w:type="gramEnd"/>
            <w:r w:rsidRPr="00232206">
              <w:t xml:space="preserve"> expansion of existing gas projects.</w:t>
            </w:r>
          </w:p>
          <w:p w:rsidR="008C7CD3" w:rsidRDefault="008C7CD3" w:rsidP="008C7CD3">
            <w:r>
              <w:t>Currently operating permits to mine coal and extract coal seam gas (CSG) would continue, however contractual options to expand coal mining and CSG extraction into new areas or greater depths would not be able to be utilised.</w:t>
            </w:r>
          </w:p>
          <w:p w:rsidR="004D5525" w:rsidRDefault="008C7CD3" w:rsidP="008C7CD3">
            <w:pPr>
              <w:pStyle w:val="BodyText"/>
            </w:pPr>
            <w:r>
              <w:t>The proposal would have effect from 1 September 2016.</w:t>
            </w:r>
          </w:p>
        </w:tc>
      </w:tr>
      <w:tr w:rsidR="004D5525" w:rsidTr="00B80BD2">
        <w:tc>
          <w:tcPr>
            <w:tcW w:w="3005" w:type="dxa"/>
          </w:tcPr>
          <w:p w:rsidR="004D5525" w:rsidRDefault="004D5525" w:rsidP="004D5525">
            <w:pPr>
              <w:pStyle w:val="BodyText"/>
            </w:pPr>
            <w:r>
              <w:t>Person/party requesting costing:</w:t>
            </w:r>
          </w:p>
        </w:tc>
        <w:tc>
          <w:tcPr>
            <w:tcW w:w="5335" w:type="dxa"/>
          </w:tcPr>
          <w:p w:rsidR="004D5525" w:rsidRDefault="00DA748D" w:rsidP="004D5525">
            <w:pPr>
              <w:pStyle w:val="BodyText"/>
            </w:pPr>
            <w:r>
              <w:t>Senator Richard Di Natale, Australian Greens</w:t>
            </w:r>
          </w:p>
        </w:tc>
      </w:tr>
      <w:tr w:rsidR="007D3577" w:rsidTr="00B80BD2">
        <w:tc>
          <w:tcPr>
            <w:tcW w:w="3005" w:type="dxa"/>
          </w:tcPr>
          <w:p w:rsidR="007D3577" w:rsidRDefault="007D3577" w:rsidP="00DA748D">
            <w:pPr>
              <w:pStyle w:val="BodyText"/>
            </w:pPr>
            <w:r>
              <w:t>Date of public release of policy:</w:t>
            </w:r>
          </w:p>
        </w:tc>
        <w:tc>
          <w:tcPr>
            <w:tcW w:w="5335" w:type="dxa"/>
          </w:tcPr>
          <w:p w:rsidR="007D3577" w:rsidRPr="00C17112" w:rsidRDefault="00B80BD2" w:rsidP="005C4AC4">
            <w:pPr>
              <w:pStyle w:val="BodyText"/>
            </w:pPr>
            <w:r>
              <w:t>28 April 2016</w:t>
            </w:r>
            <w:r w:rsidR="005C4AC4">
              <w:t xml:space="preserve"> </w:t>
            </w:r>
            <w:r w:rsidR="005C4AC4">
              <w:br/>
            </w:r>
            <w:hyperlink r:id="rId13" w:history="1">
              <w:r w:rsidRPr="0035433C">
                <w:rPr>
                  <w:rStyle w:val="Hyperlink"/>
                </w:rPr>
                <w:t>http://greens.org.au/sites/greens.org.au/files/20160428_Living%20Reefs-Dying%20Coal.pdf</w:t>
              </w:r>
            </w:hyperlink>
            <w:r>
              <w:t xml:space="preserve"> </w:t>
            </w:r>
          </w:p>
        </w:tc>
      </w:tr>
      <w:tr w:rsidR="004D5525" w:rsidTr="00B80BD2">
        <w:tc>
          <w:tcPr>
            <w:tcW w:w="3005" w:type="dxa"/>
          </w:tcPr>
          <w:p w:rsidR="004D5525" w:rsidRDefault="004D5525" w:rsidP="004D5525">
            <w:pPr>
              <w:pStyle w:val="BodyText"/>
            </w:pPr>
            <w:r>
              <w:t>Date costing request received:</w:t>
            </w:r>
          </w:p>
        </w:tc>
        <w:tc>
          <w:tcPr>
            <w:tcW w:w="5335" w:type="dxa"/>
          </w:tcPr>
          <w:p w:rsidR="004D5525" w:rsidRDefault="00B80BD2" w:rsidP="004D5525">
            <w:pPr>
              <w:pStyle w:val="BodyText"/>
            </w:pPr>
            <w:r>
              <w:t>27 June 2016</w:t>
            </w:r>
          </w:p>
        </w:tc>
      </w:tr>
      <w:tr w:rsidR="004D5525" w:rsidTr="00B80BD2">
        <w:tc>
          <w:tcPr>
            <w:tcW w:w="3005" w:type="dxa"/>
          </w:tcPr>
          <w:p w:rsidR="004D5525" w:rsidRDefault="004D5525" w:rsidP="004D5525">
            <w:pPr>
              <w:pStyle w:val="BodyText"/>
            </w:pPr>
            <w:r>
              <w:t>Date costing completed</w:t>
            </w:r>
            <w:r w:rsidR="00127EE9">
              <w:t>:</w:t>
            </w:r>
          </w:p>
        </w:tc>
        <w:tc>
          <w:tcPr>
            <w:tcW w:w="5335" w:type="dxa"/>
          </w:tcPr>
          <w:p w:rsidR="004D5525" w:rsidRPr="00C17112" w:rsidRDefault="00B80BD2" w:rsidP="004D5525">
            <w:pPr>
              <w:pStyle w:val="BodyText"/>
            </w:pPr>
            <w:r>
              <w:t>28 June 2016</w:t>
            </w:r>
          </w:p>
        </w:tc>
      </w:tr>
      <w:tr w:rsidR="00B052CA" w:rsidTr="00B80BD2">
        <w:tc>
          <w:tcPr>
            <w:tcW w:w="3005" w:type="dxa"/>
          </w:tcPr>
          <w:p w:rsidR="00B052CA" w:rsidRPr="00220BE5" w:rsidRDefault="00B052CA" w:rsidP="004D5525">
            <w:pPr>
              <w:pStyle w:val="BodyText"/>
            </w:pPr>
            <w:r>
              <w:t>Additional information received (including date):</w:t>
            </w:r>
          </w:p>
        </w:tc>
        <w:tc>
          <w:tcPr>
            <w:tcW w:w="5335" w:type="dxa"/>
          </w:tcPr>
          <w:p w:rsidR="00B052CA" w:rsidRDefault="00B052CA" w:rsidP="00220BE5">
            <w:pPr>
              <w:pStyle w:val="BodyText"/>
            </w:pPr>
            <w:r>
              <w:t>On 28 June 2016, the office of Senator Di Natale advised that the</w:t>
            </w:r>
            <w:r w:rsidR="005C4AC4">
              <w:t xml:space="preserve"> proposal would commence from 1 September </w:t>
            </w:r>
            <w:r>
              <w:t>2016</w:t>
            </w:r>
          </w:p>
        </w:tc>
      </w:tr>
      <w:tr w:rsidR="004D5525" w:rsidTr="00B80BD2">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DA748D" w:rsidP="00220BE5">
            <w:pPr>
              <w:pStyle w:val="BodyText"/>
            </w:pPr>
            <w:r>
              <w:t>Release of the next economic and fiscal outlook report</w:t>
            </w:r>
          </w:p>
        </w:tc>
      </w:tr>
    </w:tbl>
    <w:p w:rsidR="0055581F" w:rsidRPr="00002D5D" w:rsidRDefault="008030EC" w:rsidP="00FC6579">
      <w:pPr>
        <w:pStyle w:val="Heading2"/>
      </w:pPr>
      <w:r w:rsidRPr="00002D5D">
        <w:lastRenderedPageBreak/>
        <w:t>Costing overview</w:t>
      </w:r>
    </w:p>
    <w:p w:rsidR="009B2E3D" w:rsidRDefault="00DA748D" w:rsidP="00002D5D">
      <w:r w:rsidRPr="00DA748D">
        <w:t xml:space="preserve">A prohibition on new or expanded thermal coal and CSG projects </w:t>
      </w:r>
      <w:r w:rsidR="009B2E3D">
        <w:t>would</w:t>
      </w:r>
      <w:r w:rsidRPr="00DA748D">
        <w:t xml:space="preserve"> </w:t>
      </w:r>
      <w:r w:rsidR="00910278">
        <w:t xml:space="preserve">be expected to </w:t>
      </w:r>
      <w:r w:rsidRPr="00DA748D">
        <w:t>decrease both the fiscal and underlying cash balance</w:t>
      </w:r>
      <w:r w:rsidR="00F77057">
        <w:t>s by $380 million over the 2016</w:t>
      </w:r>
      <w:r w:rsidR="00F77057">
        <w:noBreakHyphen/>
      </w:r>
      <w:r w:rsidRPr="00DA748D">
        <w:t>17</w:t>
      </w:r>
      <w:r w:rsidR="00F77057">
        <w:t> </w:t>
      </w:r>
      <w:r w:rsidRPr="00DA748D">
        <w:t>Budget forward estimates period.  This impact reflects a decrease in tax revenue.</w:t>
      </w:r>
    </w:p>
    <w:p w:rsidR="00DA748D" w:rsidRDefault="00DA748D" w:rsidP="00002D5D">
      <w:r w:rsidRPr="00DA748D">
        <w:t xml:space="preserve">A breakdown of the estimated financial impact of this proposal is provided at </w:t>
      </w:r>
      <w:r w:rsidRPr="00ED24FC">
        <w:rPr>
          <w:u w:val="single"/>
        </w:rPr>
        <w:t>Attachment A</w:t>
      </w:r>
      <w:r w:rsidRPr="00DA748D">
        <w:t>.</w:t>
      </w:r>
    </w:p>
    <w:p w:rsidR="00DA748D" w:rsidRDefault="00DA748D" w:rsidP="00002D5D">
      <w:r w:rsidRPr="00DA748D">
        <w:t>This proposal would have a significant ongoing impact that would extend (and could increase) beyond the forward estimates period depending on developments in the global markets for coal and CSG.</w:t>
      </w:r>
    </w:p>
    <w:p w:rsidR="00DA748D" w:rsidRDefault="00DA748D" w:rsidP="00002D5D">
      <w:r w:rsidRPr="00DA748D">
        <w:t>Departmental expenses are not expected to be significant and have not been included in this costing.</w:t>
      </w:r>
    </w:p>
    <w:p w:rsidR="00DA748D" w:rsidRDefault="00DA748D" w:rsidP="00002D5D">
      <w:r w:rsidRPr="00DA748D">
        <w:t xml:space="preserve">This costing is considered to be of very low reliability.  It is based on limited data about new mining projects, forecasts of expected future thermal coal </w:t>
      </w:r>
      <w:r w:rsidR="00AD044F">
        <w:t xml:space="preserve">and CSG </w:t>
      </w:r>
      <w:r w:rsidRPr="00DA748D">
        <w:t>prices and production volumes, and it is uncertain when these projects would be in a taxable position.</w:t>
      </w:r>
    </w:p>
    <w:p w:rsidR="00DA748D" w:rsidRDefault="00DA748D" w:rsidP="00002D5D">
      <w:r w:rsidRPr="00DA748D">
        <w:t xml:space="preserve">This proposal would also have broad economic impacts that extend beyond the coal </w:t>
      </w:r>
      <w:r w:rsidR="00AD044F">
        <w:t xml:space="preserve">and gas </w:t>
      </w:r>
      <w:r w:rsidRPr="00DA748D">
        <w:t xml:space="preserve">industry, particularly in the longer term, that have not been evaluated in this </w:t>
      </w:r>
      <w:r w:rsidR="009B2E3D">
        <w:t>costing</w:t>
      </w:r>
      <w:r w:rsidRPr="00DA748D">
        <w:t>.</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DA748D">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C441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B73AC8" w:rsidRDefault="00CA5D42" w:rsidP="00C44124">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vAlign w:val="center"/>
          </w:tcPr>
          <w:p w:rsidR="00CA5D42" w:rsidRPr="00B73AC8" w:rsidRDefault="00CA5D42" w:rsidP="00C44124">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vAlign w:val="center"/>
          </w:tcPr>
          <w:p w:rsidR="00CA5D42" w:rsidRPr="00B73AC8" w:rsidRDefault="00CA5D42" w:rsidP="00C44124">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vAlign w:val="center"/>
          </w:tcPr>
          <w:p w:rsidR="00CA5D42" w:rsidRPr="00B73AC8" w:rsidRDefault="00CA5D42" w:rsidP="00C44124">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vAlign w:val="center"/>
          </w:tcPr>
          <w:p w:rsidR="00CA5D42" w:rsidRPr="00B73AC8" w:rsidRDefault="00CA5D42" w:rsidP="00C44124">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vAlign w:val="center"/>
          </w:tcPr>
          <w:p w:rsidR="00CA5D42" w:rsidRPr="00F97DFF" w:rsidRDefault="00CA5D42" w:rsidP="00C44124">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EA265F" w:rsidRPr="00B73AC8" w:rsidTr="00C44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EA265F" w:rsidRPr="00B73AC8" w:rsidRDefault="00EA265F" w:rsidP="00C44124">
            <w:pPr>
              <w:pStyle w:val="TableTextCentred"/>
              <w:keepNext/>
              <w:keepLines/>
              <w:spacing w:line="240" w:lineRule="auto"/>
              <w:ind w:left="57" w:right="57"/>
              <w:jc w:val="left"/>
              <w:rPr>
                <w:szCs w:val="20"/>
              </w:rPr>
            </w:pPr>
            <w:r w:rsidRPr="00B73AC8">
              <w:rPr>
                <w:szCs w:val="20"/>
              </w:rPr>
              <w:t>Fiscal balance</w:t>
            </w:r>
          </w:p>
        </w:tc>
        <w:tc>
          <w:tcPr>
            <w:tcW w:w="682" w:type="pct"/>
          </w:tcPr>
          <w:p w:rsidR="00EA265F" w:rsidRPr="00B73AC8" w:rsidRDefault="00DA748D" w:rsidP="00C44124">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w:t>
            </w:r>
          </w:p>
        </w:tc>
        <w:tc>
          <w:tcPr>
            <w:tcW w:w="682" w:type="pct"/>
          </w:tcPr>
          <w:p w:rsidR="00EA265F" w:rsidRPr="00B73AC8" w:rsidRDefault="00DA748D" w:rsidP="00C44124">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-50.0</w:t>
            </w:r>
          </w:p>
        </w:tc>
        <w:tc>
          <w:tcPr>
            <w:tcW w:w="682" w:type="pct"/>
          </w:tcPr>
          <w:p w:rsidR="00EA265F" w:rsidRPr="00B73AC8" w:rsidRDefault="00DA748D" w:rsidP="00C44124">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-150.0</w:t>
            </w:r>
          </w:p>
        </w:tc>
        <w:tc>
          <w:tcPr>
            <w:tcW w:w="682" w:type="pct"/>
          </w:tcPr>
          <w:p w:rsidR="00EA265F" w:rsidRPr="00B73AC8" w:rsidRDefault="00DA748D" w:rsidP="00C44124">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-180.0</w:t>
            </w:r>
          </w:p>
        </w:tc>
        <w:tc>
          <w:tcPr>
            <w:tcW w:w="681" w:type="pct"/>
          </w:tcPr>
          <w:p w:rsidR="00EA265F" w:rsidRPr="00F97DFF" w:rsidRDefault="00DA748D" w:rsidP="00C44124">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Pr>
                <w:rFonts w:ascii="Calibri" w:hAnsi="Calibri"/>
                <w:b/>
                <w:szCs w:val="20"/>
              </w:rPr>
              <w:t>-380.0</w:t>
            </w:r>
          </w:p>
        </w:tc>
      </w:tr>
      <w:tr w:rsidR="00692DD8" w:rsidRPr="00B73AC8" w:rsidTr="00C44124">
        <w:tc>
          <w:tcPr>
            <w:cnfStyle w:val="001000000000" w:firstRow="0" w:lastRow="0" w:firstColumn="1" w:lastColumn="0" w:oddVBand="0" w:evenVBand="0" w:oddHBand="0" w:evenHBand="0" w:firstRowFirstColumn="0" w:firstRowLastColumn="0" w:lastRowFirstColumn="0" w:lastRowLastColumn="0"/>
            <w:tcW w:w="1591" w:type="pct"/>
          </w:tcPr>
          <w:p w:rsidR="00CA5D42" w:rsidRPr="00B73AC8" w:rsidRDefault="00CA5D42" w:rsidP="00C44124">
            <w:pPr>
              <w:pStyle w:val="TableTextCentred"/>
              <w:keepNext/>
              <w:keepLines/>
              <w:spacing w:line="240" w:lineRule="auto"/>
              <w:ind w:left="57" w:right="57"/>
              <w:jc w:val="left"/>
              <w:rPr>
                <w:szCs w:val="20"/>
              </w:rPr>
            </w:pPr>
            <w:r w:rsidRPr="00B73AC8">
              <w:rPr>
                <w:szCs w:val="20"/>
              </w:rPr>
              <w:t>Underlying cash balance</w:t>
            </w:r>
          </w:p>
        </w:tc>
        <w:tc>
          <w:tcPr>
            <w:tcW w:w="682" w:type="pct"/>
          </w:tcPr>
          <w:p w:rsidR="00CA5D42" w:rsidRPr="00B73AC8" w:rsidRDefault="00DA748D" w:rsidP="00C44124">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w:t>
            </w:r>
          </w:p>
        </w:tc>
        <w:tc>
          <w:tcPr>
            <w:tcW w:w="682" w:type="pct"/>
          </w:tcPr>
          <w:p w:rsidR="00CA5D42" w:rsidRPr="00B73AC8" w:rsidRDefault="00DA748D" w:rsidP="00C44124">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-50.0</w:t>
            </w:r>
          </w:p>
        </w:tc>
        <w:tc>
          <w:tcPr>
            <w:tcW w:w="682" w:type="pct"/>
          </w:tcPr>
          <w:p w:rsidR="00CA5D42" w:rsidRPr="00B73AC8" w:rsidRDefault="00DA748D" w:rsidP="00C44124">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-150.0</w:t>
            </w:r>
          </w:p>
        </w:tc>
        <w:tc>
          <w:tcPr>
            <w:tcW w:w="682" w:type="pct"/>
          </w:tcPr>
          <w:p w:rsidR="00CA5D42" w:rsidRPr="00B73AC8" w:rsidRDefault="00DA748D" w:rsidP="00C44124">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-180.0</w:t>
            </w:r>
          </w:p>
        </w:tc>
        <w:tc>
          <w:tcPr>
            <w:tcW w:w="681" w:type="pct"/>
          </w:tcPr>
          <w:p w:rsidR="00CA5D42" w:rsidRPr="00F97DFF" w:rsidRDefault="00DA748D" w:rsidP="00C44124">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Pr>
                <w:rFonts w:ascii="Calibri" w:hAnsi="Calibri"/>
                <w:b/>
                <w:szCs w:val="20"/>
              </w:rPr>
              <w:t>-380.0</w:t>
            </w:r>
          </w:p>
        </w:tc>
      </w:tr>
    </w:tbl>
    <w:p w:rsidR="009D4063" w:rsidRDefault="00DA748D" w:rsidP="009D4063">
      <w:pPr>
        <w:pStyle w:val="Footnotes"/>
        <w:keepNext/>
        <w:keepLines/>
        <w:numPr>
          <w:ilvl w:val="0"/>
          <w:numId w:val="7"/>
        </w:numPr>
        <w:ind w:left="284" w:hanging="284"/>
      </w:pPr>
      <w:r>
        <w:t>A positive number represents an increase in the relevant budget balance, a negative number a decrease.</w:t>
      </w:r>
    </w:p>
    <w:p w:rsidR="000E62C7" w:rsidRDefault="00DA748D" w:rsidP="000E62C7">
      <w:pPr>
        <w:pStyle w:val="Footnotes"/>
        <w:keepNext/>
        <w:keepLines/>
        <w:numPr>
          <w:ilvl w:val="0"/>
          <w:numId w:val="7"/>
        </w:numPr>
        <w:ind w:left="284" w:hanging="284"/>
      </w:pPr>
      <w:r>
        <w:t>Figures may not sum to totals due to rounding.</w:t>
      </w:r>
    </w:p>
    <w:p w:rsidR="000E62C7" w:rsidRDefault="000E62C7" w:rsidP="00F065D5">
      <w:pPr>
        <w:pStyle w:val="Footnotes"/>
        <w:keepNext/>
        <w:keepLines/>
        <w:numPr>
          <w:ilvl w:val="0"/>
          <w:numId w:val="0"/>
        </w:numPr>
        <w:ind w:left="284" w:hanging="284"/>
      </w:pPr>
      <w:r>
        <w:t>..</w:t>
      </w:r>
      <w:r>
        <w:tab/>
        <w:t>Not zero, but rounded to zero.</w:t>
      </w:r>
    </w:p>
    <w:p w:rsidR="008D3909" w:rsidRDefault="005E3562" w:rsidP="00E40B8B">
      <w:pPr>
        <w:pStyle w:val="Heading2"/>
      </w:pPr>
      <w:r w:rsidRPr="00FC6579">
        <w:t>Key assumptions</w:t>
      </w:r>
    </w:p>
    <w:p w:rsidR="00AD044F" w:rsidRPr="00AD044F" w:rsidRDefault="00AD044F" w:rsidP="00AD044F">
      <w:pPr>
        <w:pStyle w:val="BodyText"/>
      </w:pPr>
      <w:r w:rsidRPr="00AD044F">
        <w:t>The Parliamentary Budget Office has made the following assumptions regarding this costing:</w:t>
      </w:r>
    </w:p>
    <w:p w:rsidR="006970D0" w:rsidRPr="000E206E" w:rsidRDefault="006970D0" w:rsidP="000E206E">
      <w:pPr>
        <w:pStyle w:val="Bullet1"/>
      </w:pPr>
      <w:r w:rsidRPr="000E206E">
        <w:t>The prohibition on thermal coal and CSG for export would reduce the expected return from, and viability of, all thermal coal mining and CSG extraction activity, leading to no new facilities opening for domestic consumption in th</w:t>
      </w:r>
      <w:r w:rsidR="000E206E">
        <w:t>e short-term.  Approximately 85 </w:t>
      </w:r>
      <w:r w:rsidRPr="000E206E">
        <w:t>per cent of thermal coal produced in Australia is currently exported.</w:t>
      </w:r>
    </w:p>
    <w:p w:rsidR="006970D0" w:rsidRPr="000E206E" w:rsidRDefault="006970D0" w:rsidP="000E206E">
      <w:pPr>
        <w:pStyle w:val="Bullet1"/>
      </w:pPr>
      <w:r w:rsidRPr="000E206E">
        <w:t>The costing does not include any estimate of compensation that may be payable to individuals or companies affected by the prohibition on new thermal coal mining or CSG extraction.</w:t>
      </w:r>
    </w:p>
    <w:p w:rsidR="006970D0" w:rsidRPr="000E206E" w:rsidRDefault="006970D0" w:rsidP="000E206E">
      <w:pPr>
        <w:pStyle w:val="Bullet1"/>
      </w:pPr>
      <w:r w:rsidRPr="000E206E">
        <w:t>A proportion of companies affected by the proposal would be non-taxable due to tax losses.</w:t>
      </w:r>
    </w:p>
    <w:p w:rsidR="005E3562" w:rsidRPr="00FC6579" w:rsidRDefault="005E3562" w:rsidP="006970D0">
      <w:pPr>
        <w:pStyle w:val="Heading2"/>
      </w:pPr>
      <w:r w:rsidRPr="00FC6579">
        <w:lastRenderedPageBreak/>
        <w:t>Methodology</w:t>
      </w:r>
    </w:p>
    <w:p w:rsidR="006970D0" w:rsidRDefault="006970D0" w:rsidP="006970D0">
      <w:r>
        <w:t xml:space="preserve">Production of thermal coal and CSG from projects yet to commence mining was estimated using the most recent </w:t>
      </w:r>
      <w:r w:rsidR="00AD044F">
        <w:t xml:space="preserve">edition of the </w:t>
      </w:r>
      <w:r>
        <w:t>Department of Industry, Innovation and Science</w:t>
      </w:r>
      <w:r w:rsidR="00AD044F">
        <w:t xml:space="preserve"> publication</w:t>
      </w:r>
      <w:r>
        <w:t xml:space="preserve"> </w:t>
      </w:r>
      <w:r w:rsidRPr="00390A4E">
        <w:rPr>
          <w:i/>
        </w:rPr>
        <w:t>Resource and Energy Major Projects</w:t>
      </w:r>
      <w:r>
        <w:t>.  Projects yet to commence were identified and assigned a probability of progressing to completion.  The expected output from the projects was multiplied by the probability of completion to estimate the production volumes.</w:t>
      </w:r>
    </w:p>
    <w:p w:rsidR="006970D0" w:rsidRDefault="006970D0" w:rsidP="006970D0">
      <w:r>
        <w:t xml:space="preserve">The estimated decrease in production volume as a result of the prohibition on new thermal coal mines and CSG projects, and thermal coal and CSG price estimates from the </w:t>
      </w:r>
      <w:r w:rsidRPr="00C44124">
        <w:rPr>
          <w:i/>
        </w:rPr>
        <w:t>2016</w:t>
      </w:r>
      <w:r w:rsidR="00F77057" w:rsidRPr="00C44124">
        <w:rPr>
          <w:i/>
        </w:rPr>
        <w:t> Pre</w:t>
      </w:r>
      <w:r w:rsidR="00F77057" w:rsidRPr="00C44124">
        <w:rPr>
          <w:i/>
        </w:rPr>
        <w:noBreakHyphen/>
      </w:r>
      <w:r w:rsidR="001B7A31" w:rsidRPr="00C44124">
        <w:rPr>
          <w:i/>
        </w:rPr>
        <w:t>election Economic and Fiscal Outlook</w:t>
      </w:r>
      <w:r w:rsidR="001B7A31">
        <w:t xml:space="preserve"> </w:t>
      </w:r>
      <w:r>
        <w:t>were used to calculate the forgone company profits and company tax revenue.</w:t>
      </w:r>
    </w:p>
    <w:p w:rsidR="005E3562" w:rsidRPr="00002D5D" w:rsidRDefault="006970D0" w:rsidP="006970D0">
      <w:r>
        <w:t>Estimates have been rounded to the nearest $10 million</w:t>
      </w:r>
      <w:r w:rsidR="000E206E">
        <w:t>.</w:t>
      </w:r>
    </w:p>
    <w:p w:rsidR="005E3562" w:rsidRPr="00FC6579" w:rsidRDefault="005E3562" w:rsidP="00E40B8B">
      <w:pPr>
        <w:pStyle w:val="Heading2"/>
      </w:pPr>
      <w:r w:rsidRPr="00FC6579">
        <w:t>Data sources</w:t>
      </w:r>
    </w:p>
    <w:p w:rsidR="006970D0" w:rsidRDefault="006970D0" w:rsidP="004B5F94">
      <w:pPr>
        <w:pStyle w:val="Bullet1"/>
      </w:pPr>
      <w:r>
        <w:t>Australian Taxation Office – Taxation Statistics 2013-14</w:t>
      </w:r>
    </w:p>
    <w:p w:rsidR="006970D0" w:rsidRDefault="006970D0" w:rsidP="004B5F94">
      <w:pPr>
        <w:pStyle w:val="Bullet1"/>
      </w:pPr>
      <w:r>
        <w:t>Australian Taxation Office – 2013-14 company tax return data</w:t>
      </w:r>
    </w:p>
    <w:p w:rsidR="006970D0" w:rsidRDefault="006970D0" w:rsidP="004B5F94">
      <w:pPr>
        <w:pStyle w:val="Bullet1"/>
      </w:pPr>
      <w:r>
        <w:t xml:space="preserve">Department of Industry, Innovation, and Science – </w:t>
      </w:r>
      <w:r w:rsidRPr="00AD044F">
        <w:rPr>
          <w:i/>
        </w:rPr>
        <w:t>Resources and Energy Major Projects</w:t>
      </w:r>
    </w:p>
    <w:p w:rsidR="006970D0" w:rsidRDefault="006970D0" w:rsidP="004B5F94">
      <w:pPr>
        <w:pStyle w:val="Bullet1"/>
      </w:pPr>
      <w:r>
        <w:t xml:space="preserve">Department of Industry, Innovation, and Science – </w:t>
      </w:r>
      <w:r w:rsidRPr="00AD044F">
        <w:rPr>
          <w:i/>
        </w:rPr>
        <w:t>Resources and Energy Quarterly</w:t>
      </w:r>
    </w:p>
    <w:p w:rsidR="00CA5D42" w:rsidRPr="000E206E" w:rsidRDefault="001B7A31" w:rsidP="004B5F94">
      <w:pPr>
        <w:pStyle w:val="Bullet1"/>
      </w:pPr>
      <w:r w:rsidRPr="000E206E">
        <w:t>2016 Pre-election Economic and Fiscal Outlook</w:t>
      </w:r>
    </w:p>
    <w:p w:rsidR="006970D0" w:rsidRPr="00FC6579" w:rsidRDefault="006970D0" w:rsidP="006970D0">
      <w:pPr>
        <w:rPr>
          <w:highlight w:val="yellow"/>
        </w:rPr>
        <w:sectPr w:rsidR="006970D0" w:rsidRPr="00FC6579" w:rsidSect="00002D5D">
          <w:headerReference w:type="first" r:id="rId14"/>
          <w:footerReference w:type="first" r:id="rId15"/>
          <w:pgSz w:w="11906" w:h="16838"/>
          <w:pgMar w:top="1361" w:right="1797" w:bottom="1474" w:left="1797" w:header="709" w:footer="709" w:gutter="0"/>
          <w:cols w:space="708"/>
          <w:titlePg/>
          <w:docGrid w:linePitch="360"/>
        </w:sectPr>
      </w:pPr>
    </w:p>
    <w:p w:rsidR="001A02D1" w:rsidRPr="00FC6579" w:rsidRDefault="001A02D1" w:rsidP="00FC6579">
      <w:pPr>
        <w:pStyle w:val="Heading1"/>
      </w:pPr>
      <w:r w:rsidRPr="00FC6579">
        <w:lastRenderedPageBreak/>
        <w:t>Attachment A:</w:t>
      </w:r>
      <w:r w:rsidR="00841C3A">
        <w:t xml:space="preserve"> </w:t>
      </w:r>
      <w:r w:rsidR="00B80BD2">
        <w:t>No new coal or gas mines</w:t>
      </w:r>
      <w:r w:rsidR="00440E32">
        <w:t>—financial</w:t>
      </w:r>
      <w:r w:rsidR="00841C3A">
        <w:t> </w:t>
      </w:r>
      <w:r w:rsidR="00440E32">
        <w:t>implications</w:t>
      </w:r>
    </w:p>
    <w:p w:rsidR="001A02D1" w:rsidRPr="00002D5D" w:rsidRDefault="004B5F94" w:rsidP="00FC6579">
      <w:r>
        <w:t xml:space="preserve">The following table provides a breakdown of the estimated impacts of a prohibition on new or expanded thermal coal and </w:t>
      </w:r>
      <w:r w:rsidR="00761CEA">
        <w:t>CSG</w:t>
      </w:r>
      <w:r>
        <w:t xml:space="preserve"> projects over the 2016-17 </w:t>
      </w:r>
      <w:proofErr w:type="gramStart"/>
      <w:r>
        <w:t>Budget</w:t>
      </w:r>
      <w:proofErr w:type="gramEnd"/>
      <w:r>
        <w:t xml:space="preserve"> forward estimates period.</w:t>
      </w:r>
    </w:p>
    <w:p w:rsidR="00BF0583" w:rsidRPr="00E40B8B" w:rsidRDefault="00BF0583" w:rsidP="00BF0583">
      <w:pPr>
        <w:pStyle w:val="Captionheading"/>
        <w:rPr>
          <w:vertAlign w:val="superscript"/>
        </w:rPr>
      </w:pPr>
      <w:r w:rsidRPr="00FC6579">
        <w:t xml:space="preserve">Table </w:t>
      </w:r>
      <w:r w:rsidR="004752A9">
        <w:t>A1</w:t>
      </w:r>
      <w:r w:rsidRPr="00FC6579">
        <w:t xml:space="preserve">: </w:t>
      </w:r>
      <w:r w:rsidR="00B80BD2">
        <w:t>No new coal or gas mines</w:t>
      </w:r>
      <w:r>
        <w:t>—Financial implications (outturn prices</w:t>
      </w:r>
      <w:proofErr w:type="gramStart"/>
      <w:r>
        <w:t>)</w:t>
      </w:r>
      <w:r>
        <w:rPr>
          <w:vertAlign w:val="superscript"/>
        </w:rPr>
        <w:t>(</w:t>
      </w:r>
      <w:proofErr w:type="gramEnd"/>
      <w:r>
        <w:rPr>
          <w:vertAlign w:val="superscript"/>
        </w:rPr>
        <w:t>a)</w:t>
      </w:r>
      <w:r w:rsidR="00ED24FC">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5"/>
        <w:gridCol w:w="1134"/>
        <w:gridCol w:w="1134"/>
        <w:gridCol w:w="1134"/>
        <w:gridCol w:w="1134"/>
        <w:gridCol w:w="1134"/>
      </w:tblGrid>
      <w:tr w:rsidR="00BF0583" w:rsidRPr="00EF1D6A" w:rsidTr="003F6CB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BF0583" w:rsidRPr="00EF1D6A" w:rsidRDefault="00BF0583" w:rsidP="003F6CB0">
            <w:pPr>
              <w:pStyle w:val="TableText"/>
              <w:keepNext/>
              <w:keepLines/>
              <w:spacing w:line="240" w:lineRule="auto"/>
              <w:ind w:left="57" w:right="57"/>
              <w:rPr>
                <w:rFonts w:ascii="Calibri" w:hAnsi="Calibri"/>
                <w:b/>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BF0583" w:rsidRPr="00C24267" w:rsidRDefault="00BF0583" w:rsidP="003F6CB0">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BF0583" w:rsidRPr="00C24267" w:rsidRDefault="00BF0583" w:rsidP="003F6CB0">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BF0583" w:rsidRPr="00C24267" w:rsidRDefault="00BF0583" w:rsidP="003F6CB0">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BF0583" w:rsidRPr="00C24267" w:rsidRDefault="00BF0583" w:rsidP="003F6CB0">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BF0583" w:rsidRPr="00AE30B5" w:rsidRDefault="00BF0583" w:rsidP="003F6CB0">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w:t>
            </w:r>
            <w:r w:rsidRPr="00AE30B5">
              <w:rPr>
                <w:b/>
                <w:szCs w:val="20"/>
              </w:rPr>
              <w:t xml:space="preserve"> to 2019–20</w:t>
            </w:r>
          </w:p>
        </w:tc>
      </w:tr>
      <w:tr w:rsidR="00BF0583" w:rsidRPr="00EF1D6A" w:rsidTr="003F6C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BF0583" w:rsidRPr="00AE30B5" w:rsidRDefault="00BF0583" w:rsidP="00312FC1">
            <w:pPr>
              <w:pStyle w:val="TableHeadingCentred"/>
              <w:spacing w:line="240" w:lineRule="auto"/>
              <w:ind w:left="57" w:right="57"/>
              <w:jc w:val="left"/>
              <w:rPr>
                <w:b/>
              </w:rPr>
            </w:pPr>
            <w:r>
              <w:rPr>
                <w:b/>
                <w:bCs/>
              </w:rPr>
              <w:t>Impact on fiscal and underlying cash balances</w:t>
            </w:r>
          </w:p>
        </w:tc>
      </w:tr>
      <w:tr w:rsidR="00AD044F" w:rsidRPr="0066665A" w:rsidTr="003F6CB0">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D044F" w:rsidRPr="00B052CA" w:rsidRDefault="00AD044F" w:rsidP="003F6CB0">
            <w:pPr>
              <w:pStyle w:val="TableTextCentred"/>
              <w:keepNext/>
              <w:keepLines/>
              <w:spacing w:line="240" w:lineRule="auto"/>
              <w:ind w:left="57" w:right="57"/>
              <w:jc w:val="left"/>
              <w:rPr>
                <w:b/>
                <w:szCs w:val="20"/>
              </w:rPr>
            </w:pPr>
            <w:r>
              <w:rPr>
                <w:b/>
                <w:szCs w:val="20"/>
              </w:rPr>
              <w:t>No</w:t>
            </w:r>
            <w:r w:rsidRPr="00B052CA">
              <w:rPr>
                <w:b/>
                <w:szCs w:val="20"/>
              </w:rPr>
              <w:t xml:space="preserve"> new or expande</w:t>
            </w:r>
            <w:r>
              <w:rPr>
                <w:b/>
                <w:szCs w:val="20"/>
              </w:rPr>
              <w:t>d thermal coal mining</w:t>
            </w:r>
          </w:p>
        </w:tc>
        <w:tc>
          <w:tcPr>
            <w:tcW w:w="682" w:type="pct"/>
            <w:tcBorders>
              <w:top w:val="single" w:sz="4" w:space="0" w:color="788184"/>
              <w:left w:val="single" w:sz="4" w:space="0" w:color="788184"/>
              <w:bottom w:val="single" w:sz="4" w:space="0" w:color="788184"/>
              <w:right w:val="single" w:sz="4" w:space="0" w:color="788184"/>
            </w:tcBorders>
          </w:tcPr>
          <w:p w:rsidR="00AD044F" w:rsidRPr="000C5CEF" w:rsidRDefault="00AD044F"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rPr>
            </w:pPr>
          </w:p>
        </w:tc>
        <w:tc>
          <w:tcPr>
            <w:tcW w:w="682" w:type="pct"/>
            <w:tcBorders>
              <w:top w:val="single" w:sz="4" w:space="0" w:color="788184"/>
              <w:left w:val="single" w:sz="4" w:space="0" w:color="788184"/>
              <w:bottom w:val="single" w:sz="4" w:space="0" w:color="788184"/>
              <w:right w:val="single" w:sz="4" w:space="0" w:color="788184"/>
            </w:tcBorders>
          </w:tcPr>
          <w:p w:rsidR="00AD044F" w:rsidRPr="000C5CEF" w:rsidRDefault="00AD044F"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rPr>
            </w:pPr>
          </w:p>
        </w:tc>
        <w:tc>
          <w:tcPr>
            <w:tcW w:w="682" w:type="pct"/>
            <w:tcBorders>
              <w:top w:val="single" w:sz="4" w:space="0" w:color="788184"/>
              <w:left w:val="single" w:sz="4" w:space="0" w:color="788184"/>
              <w:bottom w:val="single" w:sz="4" w:space="0" w:color="788184"/>
              <w:right w:val="single" w:sz="4" w:space="0" w:color="788184"/>
            </w:tcBorders>
          </w:tcPr>
          <w:p w:rsidR="00AD044F" w:rsidRPr="000C5CEF" w:rsidRDefault="00AD044F"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rPr>
            </w:pPr>
          </w:p>
        </w:tc>
        <w:tc>
          <w:tcPr>
            <w:tcW w:w="682" w:type="pct"/>
            <w:tcBorders>
              <w:top w:val="single" w:sz="4" w:space="0" w:color="788184"/>
              <w:left w:val="single" w:sz="4" w:space="0" w:color="788184"/>
              <w:bottom w:val="single" w:sz="4" w:space="0" w:color="788184"/>
              <w:right w:val="single" w:sz="4" w:space="0" w:color="788184"/>
            </w:tcBorders>
          </w:tcPr>
          <w:p w:rsidR="00AD044F" w:rsidRPr="000C5CEF" w:rsidRDefault="00AD044F"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rPr>
            </w:pPr>
          </w:p>
        </w:tc>
        <w:tc>
          <w:tcPr>
            <w:tcW w:w="682" w:type="pct"/>
            <w:tcBorders>
              <w:top w:val="single" w:sz="4" w:space="0" w:color="788184"/>
              <w:left w:val="single" w:sz="4" w:space="0" w:color="788184"/>
              <w:bottom w:val="single" w:sz="4" w:space="0" w:color="788184"/>
              <w:right w:val="single" w:sz="4" w:space="0" w:color="788184"/>
            </w:tcBorders>
          </w:tcPr>
          <w:p w:rsidR="00AD044F" w:rsidRPr="000C5CEF" w:rsidRDefault="00AD044F"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p>
        </w:tc>
      </w:tr>
      <w:tr w:rsidR="00BF0583" w:rsidRPr="0066665A" w:rsidTr="003F6C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BF0583" w:rsidRPr="00B052CA" w:rsidRDefault="00AD044F" w:rsidP="003F6CB0">
            <w:pPr>
              <w:pStyle w:val="TableTextCentred"/>
              <w:keepNext/>
              <w:keepLines/>
              <w:spacing w:line="240" w:lineRule="auto"/>
              <w:ind w:left="57" w:right="57"/>
              <w:jc w:val="left"/>
              <w:rPr>
                <w:i/>
                <w:szCs w:val="20"/>
              </w:rPr>
            </w:pPr>
            <w:r w:rsidRPr="00B052CA">
              <w:rPr>
                <w:i/>
                <w:szCs w:val="20"/>
              </w:rPr>
              <w:t>R</w:t>
            </w:r>
            <w:r w:rsidR="002913B0" w:rsidRPr="00B052CA">
              <w:rPr>
                <w:i/>
                <w:szCs w:val="20"/>
              </w:rPr>
              <w:t>evenue</w:t>
            </w:r>
            <w:r w:rsidRPr="00B052CA">
              <w:rPr>
                <w:i/>
                <w:szCs w:val="20"/>
              </w:rPr>
              <w:t xml:space="preserve"> </w:t>
            </w:r>
            <w:r w:rsidRPr="00B052CA">
              <w:rPr>
                <w:i/>
                <w:szCs w:val="20"/>
              </w:rPr>
              <w:noBreakHyphen/>
              <w:t xml:space="preserve"> Company Tax</w:t>
            </w:r>
          </w:p>
        </w:tc>
        <w:tc>
          <w:tcPr>
            <w:tcW w:w="682" w:type="pct"/>
            <w:tcBorders>
              <w:top w:val="single" w:sz="4" w:space="0" w:color="788184"/>
              <w:left w:val="single" w:sz="4" w:space="0" w:color="788184"/>
              <w:bottom w:val="single" w:sz="4" w:space="0" w:color="788184"/>
              <w:right w:val="single" w:sz="4" w:space="0" w:color="788184"/>
            </w:tcBorders>
          </w:tcPr>
          <w:p w:rsidR="00BF0583" w:rsidRPr="00B052CA" w:rsidRDefault="00761CEA" w:rsidP="003F6CB0">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B052CA">
              <w:t>..</w:t>
            </w:r>
          </w:p>
        </w:tc>
        <w:tc>
          <w:tcPr>
            <w:tcW w:w="682" w:type="pct"/>
            <w:tcBorders>
              <w:top w:val="single" w:sz="4" w:space="0" w:color="788184"/>
              <w:left w:val="single" w:sz="4" w:space="0" w:color="788184"/>
              <w:bottom w:val="single" w:sz="4" w:space="0" w:color="788184"/>
              <w:right w:val="single" w:sz="4" w:space="0" w:color="788184"/>
            </w:tcBorders>
          </w:tcPr>
          <w:p w:rsidR="00BF0583" w:rsidRPr="00B052CA" w:rsidRDefault="00761CEA" w:rsidP="003F6CB0">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B052CA">
              <w:t>-20.0</w:t>
            </w:r>
          </w:p>
        </w:tc>
        <w:tc>
          <w:tcPr>
            <w:tcW w:w="682" w:type="pct"/>
            <w:tcBorders>
              <w:top w:val="single" w:sz="4" w:space="0" w:color="788184"/>
              <w:left w:val="single" w:sz="4" w:space="0" w:color="788184"/>
              <w:bottom w:val="single" w:sz="4" w:space="0" w:color="788184"/>
              <w:right w:val="single" w:sz="4" w:space="0" w:color="788184"/>
            </w:tcBorders>
          </w:tcPr>
          <w:p w:rsidR="00BF0583" w:rsidRPr="00B052CA" w:rsidRDefault="00761CEA" w:rsidP="003F6CB0">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B052CA">
              <w:t>-40.0</w:t>
            </w:r>
          </w:p>
        </w:tc>
        <w:tc>
          <w:tcPr>
            <w:tcW w:w="682" w:type="pct"/>
            <w:tcBorders>
              <w:top w:val="single" w:sz="4" w:space="0" w:color="788184"/>
              <w:left w:val="single" w:sz="4" w:space="0" w:color="788184"/>
              <w:bottom w:val="single" w:sz="4" w:space="0" w:color="788184"/>
              <w:right w:val="single" w:sz="4" w:space="0" w:color="788184"/>
            </w:tcBorders>
          </w:tcPr>
          <w:p w:rsidR="00BF0583" w:rsidRPr="00B052CA" w:rsidRDefault="00761CEA" w:rsidP="003F6CB0">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B052CA">
              <w:t>-60.0</w:t>
            </w:r>
          </w:p>
        </w:tc>
        <w:tc>
          <w:tcPr>
            <w:tcW w:w="682" w:type="pct"/>
            <w:tcBorders>
              <w:top w:val="single" w:sz="4" w:space="0" w:color="788184"/>
              <w:left w:val="single" w:sz="4" w:space="0" w:color="788184"/>
              <w:bottom w:val="single" w:sz="4" w:space="0" w:color="788184"/>
              <w:right w:val="single" w:sz="4" w:space="0" w:color="788184"/>
            </w:tcBorders>
          </w:tcPr>
          <w:p w:rsidR="00BF0583" w:rsidRPr="00B052CA" w:rsidRDefault="00761CEA" w:rsidP="003F6CB0">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B052CA">
              <w:rPr>
                <w:b/>
              </w:rPr>
              <w:t>-120.0</w:t>
            </w:r>
          </w:p>
        </w:tc>
      </w:tr>
      <w:tr w:rsidR="00AD044F" w:rsidRPr="0066665A" w:rsidTr="003F6CB0">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AD044F" w:rsidRPr="00B052CA" w:rsidRDefault="00AD044F" w:rsidP="003F6CB0">
            <w:pPr>
              <w:pStyle w:val="TableTextCentred"/>
              <w:keepNext/>
              <w:keepLines/>
              <w:spacing w:line="240" w:lineRule="auto"/>
              <w:ind w:left="57" w:right="57"/>
              <w:jc w:val="left"/>
              <w:rPr>
                <w:b/>
                <w:szCs w:val="20"/>
              </w:rPr>
            </w:pPr>
            <w:r>
              <w:rPr>
                <w:b/>
                <w:szCs w:val="20"/>
              </w:rPr>
              <w:t>No</w:t>
            </w:r>
            <w:r w:rsidRPr="00B052CA">
              <w:rPr>
                <w:b/>
                <w:szCs w:val="20"/>
              </w:rPr>
              <w:t xml:space="preserve"> new or expanded </w:t>
            </w:r>
            <w:r w:rsidR="0087540C">
              <w:rPr>
                <w:b/>
                <w:szCs w:val="20"/>
              </w:rPr>
              <w:t>onshore gas mining</w:t>
            </w:r>
          </w:p>
        </w:tc>
        <w:tc>
          <w:tcPr>
            <w:tcW w:w="682" w:type="pct"/>
            <w:tcBorders>
              <w:top w:val="single" w:sz="4" w:space="0" w:color="788184"/>
              <w:left w:val="single" w:sz="4" w:space="0" w:color="788184"/>
              <w:bottom w:val="single" w:sz="4" w:space="0" w:color="788184"/>
              <w:right w:val="single" w:sz="4" w:space="0" w:color="788184"/>
            </w:tcBorders>
          </w:tcPr>
          <w:p w:rsidR="00AD044F" w:rsidRPr="000C5CEF" w:rsidRDefault="00AD044F"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rPr>
            </w:pPr>
          </w:p>
        </w:tc>
        <w:tc>
          <w:tcPr>
            <w:tcW w:w="682" w:type="pct"/>
            <w:tcBorders>
              <w:top w:val="single" w:sz="4" w:space="0" w:color="788184"/>
              <w:left w:val="single" w:sz="4" w:space="0" w:color="788184"/>
              <w:bottom w:val="single" w:sz="4" w:space="0" w:color="788184"/>
              <w:right w:val="single" w:sz="4" w:space="0" w:color="788184"/>
            </w:tcBorders>
          </w:tcPr>
          <w:p w:rsidR="00AD044F" w:rsidRPr="000C5CEF" w:rsidRDefault="00AD044F"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rPr>
            </w:pPr>
          </w:p>
        </w:tc>
        <w:tc>
          <w:tcPr>
            <w:tcW w:w="682" w:type="pct"/>
            <w:tcBorders>
              <w:top w:val="single" w:sz="4" w:space="0" w:color="788184"/>
              <w:left w:val="single" w:sz="4" w:space="0" w:color="788184"/>
              <w:bottom w:val="single" w:sz="4" w:space="0" w:color="788184"/>
              <w:right w:val="single" w:sz="4" w:space="0" w:color="788184"/>
            </w:tcBorders>
          </w:tcPr>
          <w:p w:rsidR="00AD044F" w:rsidRPr="000C5CEF" w:rsidRDefault="00AD044F"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rPr>
            </w:pPr>
          </w:p>
        </w:tc>
        <w:tc>
          <w:tcPr>
            <w:tcW w:w="682" w:type="pct"/>
            <w:tcBorders>
              <w:top w:val="single" w:sz="4" w:space="0" w:color="788184"/>
              <w:left w:val="single" w:sz="4" w:space="0" w:color="788184"/>
              <w:bottom w:val="single" w:sz="4" w:space="0" w:color="788184"/>
              <w:right w:val="single" w:sz="4" w:space="0" w:color="788184"/>
            </w:tcBorders>
          </w:tcPr>
          <w:p w:rsidR="00AD044F" w:rsidRPr="000C5CEF" w:rsidRDefault="00AD044F"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rPr>
            </w:pPr>
          </w:p>
        </w:tc>
        <w:tc>
          <w:tcPr>
            <w:tcW w:w="682" w:type="pct"/>
            <w:tcBorders>
              <w:top w:val="single" w:sz="4" w:space="0" w:color="788184"/>
              <w:left w:val="single" w:sz="4" w:space="0" w:color="788184"/>
              <w:bottom w:val="single" w:sz="4" w:space="0" w:color="788184"/>
              <w:right w:val="single" w:sz="4" w:space="0" w:color="788184"/>
            </w:tcBorders>
          </w:tcPr>
          <w:p w:rsidR="00AD044F" w:rsidRPr="000C5CEF" w:rsidRDefault="00AD044F"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p>
        </w:tc>
      </w:tr>
      <w:tr w:rsidR="00BF0583" w:rsidRPr="0066665A" w:rsidTr="003F6C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BF0583" w:rsidRPr="00B052CA" w:rsidRDefault="00AD044F" w:rsidP="003F6CB0">
            <w:pPr>
              <w:pStyle w:val="TableTextCentred"/>
              <w:keepNext/>
              <w:keepLines/>
              <w:spacing w:line="240" w:lineRule="auto"/>
              <w:ind w:left="57" w:right="57"/>
              <w:jc w:val="left"/>
              <w:rPr>
                <w:i/>
                <w:szCs w:val="20"/>
              </w:rPr>
            </w:pPr>
            <w:r w:rsidRPr="00B052CA">
              <w:rPr>
                <w:i/>
                <w:szCs w:val="20"/>
              </w:rPr>
              <w:t xml:space="preserve">Revenue </w:t>
            </w:r>
            <w:r w:rsidRPr="00B052CA">
              <w:rPr>
                <w:i/>
                <w:szCs w:val="20"/>
              </w:rPr>
              <w:noBreakHyphen/>
              <w:t xml:space="preserve"> Company Tax</w:t>
            </w:r>
          </w:p>
        </w:tc>
        <w:tc>
          <w:tcPr>
            <w:tcW w:w="682" w:type="pct"/>
            <w:tcBorders>
              <w:top w:val="single" w:sz="4" w:space="0" w:color="788184"/>
              <w:left w:val="single" w:sz="4" w:space="0" w:color="788184"/>
              <w:bottom w:val="single" w:sz="4" w:space="0" w:color="788184"/>
              <w:right w:val="single" w:sz="4" w:space="0" w:color="788184"/>
            </w:tcBorders>
          </w:tcPr>
          <w:p w:rsidR="00BF0583" w:rsidRPr="00B052CA" w:rsidRDefault="00761CEA" w:rsidP="003F6CB0">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B052CA">
              <w:t>..</w:t>
            </w:r>
          </w:p>
        </w:tc>
        <w:tc>
          <w:tcPr>
            <w:tcW w:w="682" w:type="pct"/>
            <w:tcBorders>
              <w:top w:val="single" w:sz="4" w:space="0" w:color="788184"/>
              <w:left w:val="single" w:sz="4" w:space="0" w:color="788184"/>
              <w:bottom w:val="single" w:sz="4" w:space="0" w:color="788184"/>
              <w:right w:val="single" w:sz="4" w:space="0" w:color="788184"/>
            </w:tcBorders>
          </w:tcPr>
          <w:p w:rsidR="00BF0583" w:rsidRPr="00B052CA" w:rsidRDefault="00761CEA" w:rsidP="003F6CB0">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B052CA">
              <w:t>-30.0</w:t>
            </w:r>
          </w:p>
        </w:tc>
        <w:tc>
          <w:tcPr>
            <w:tcW w:w="682" w:type="pct"/>
            <w:tcBorders>
              <w:top w:val="single" w:sz="4" w:space="0" w:color="788184"/>
              <w:left w:val="single" w:sz="4" w:space="0" w:color="788184"/>
              <w:bottom w:val="single" w:sz="4" w:space="0" w:color="788184"/>
              <w:right w:val="single" w:sz="4" w:space="0" w:color="788184"/>
            </w:tcBorders>
          </w:tcPr>
          <w:p w:rsidR="00BF0583" w:rsidRPr="00B052CA" w:rsidRDefault="00761CEA" w:rsidP="003F6CB0">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B052CA">
              <w:t>-110.0</w:t>
            </w:r>
          </w:p>
        </w:tc>
        <w:tc>
          <w:tcPr>
            <w:tcW w:w="682" w:type="pct"/>
            <w:tcBorders>
              <w:top w:val="single" w:sz="4" w:space="0" w:color="788184"/>
              <w:left w:val="single" w:sz="4" w:space="0" w:color="788184"/>
              <w:bottom w:val="single" w:sz="4" w:space="0" w:color="788184"/>
              <w:right w:val="single" w:sz="4" w:space="0" w:color="788184"/>
            </w:tcBorders>
          </w:tcPr>
          <w:p w:rsidR="00BF0583" w:rsidRPr="00B052CA" w:rsidRDefault="00761CEA" w:rsidP="003F6CB0">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B052CA">
              <w:t>-120.0</w:t>
            </w:r>
          </w:p>
        </w:tc>
        <w:tc>
          <w:tcPr>
            <w:tcW w:w="682" w:type="pct"/>
            <w:tcBorders>
              <w:top w:val="single" w:sz="4" w:space="0" w:color="788184"/>
              <w:left w:val="single" w:sz="4" w:space="0" w:color="788184"/>
              <w:bottom w:val="single" w:sz="4" w:space="0" w:color="788184"/>
              <w:right w:val="single" w:sz="4" w:space="0" w:color="788184"/>
            </w:tcBorders>
          </w:tcPr>
          <w:p w:rsidR="00BF0583" w:rsidRPr="00B052CA" w:rsidRDefault="00761CEA" w:rsidP="003F6CB0">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sidRPr="00B052CA">
              <w:rPr>
                <w:b/>
              </w:rPr>
              <w:t>-260.0</w:t>
            </w:r>
          </w:p>
        </w:tc>
      </w:tr>
      <w:tr w:rsidR="00BF0583" w:rsidRPr="0055406D" w:rsidTr="003F6CB0">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BF0583" w:rsidRPr="0055406D" w:rsidRDefault="00BF0583" w:rsidP="003F6CB0">
            <w:pPr>
              <w:pStyle w:val="TableTextCentred"/>
              <w:keepNext/>
              <w:keepLines/>
              <w:spacing w:line="240" w:lineRule="auto"/>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F0583" w:rsidRPr="0055406D" w:rsidRDefault="00761CEA"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F0583" w:rsidRPr="0055406D" w:rsidRDefault="00761CEA"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F0583" w:rsidRPr="0055406D" w:rsidRDefault="00761CEA"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-150.0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F0583" w:rsidRPr="0055406D" w:rsidRDefault="00761CEA"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-180.0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F0583" w:rsidRPr="00AE30B5" w:rsidRDefault="00761CEA" w:rsidP="003F6CB0">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-380.0</w:t>
            </w:r>
          </w:p>
        </w:tc>
      </w:tr>
    </w:tbl>
    <w:p w:rsidR="00B53A5A" w:rsidRDefault="00B53A5A" w:rsidP="00312FC1">
      <w:pPr>
        <w:pStyle w:val="Footnotes"/>
        <w:keepNext/>
        <w:keepLines/>
        <w:numPr>
          <w:ilvl w:val="0"/>
          <w:numId w:val="18"/>
        </w:numPr>
        <w:ind w:left="284" w:hanging="284"/>
      </w:pPr>
      <w:r>
        <w:t>A positive number indicates an increase in revenue or a decrease in expenses or net capital investment in accrual and cash terms.  A negative number indicates a decrease in revenue or an increase in expenses or net capital investment in accrual and cash terms.</w:t>
      </w:r>
    </w:p>
    <w:p w:rsidR="00232206" w:rsidRDefault="00232206" w:rsidP="00232206">
      <w:pPr>
        <w:pStyle w:val="Footnotes"/>
        <w:numPr>
          <w:ilvl w:val="0"/>
          <w:numId w:val="18"/>
        </w:numPr>
        <w:ind w:left="284" w:hanging="284"/>
      </w:pPr>
      <w:r>
        <w:t>Figures may not sum to totals due to rounding.</w:t>
      </w:r>
    </w:p>
    <w:p w:rsidR="00232206" w:rsidRDefault="00232206" w:rsidP="00232206">
      <w:pPr>
        <w:pStyle w:val="Footnotes"/>
        <w:numPr>
          <w:ilvl w:val="0"/>
          <w:numId w:val="0"/>
        </w:numPr>
        <w:tabs>
          <w:tab w:val="left" w:pos="284"/>
        </w:tabs>
        <w:ind w:left="284" w:hanging="284"/>
      </w:pPr>
      <w:r>
        <w:t>..</w:t>
      </w:r>
      <w:r>
        <w:tab/>
        <w:t>Not zero, but rounded to zero.</w:t>
      </w:r>
    </w:p>
    <w:sectPr w:rsidR="00232206" w:rsidSect="004B5F94">
      <w:headerReference w:type="first" r:id="rId16"/>
      <w:footerReference w:type="first" r:id="rId17"/>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8D" w:rsidRDefault="00DA748D" w:rsidP="008F588A">
      <w:pPr>
        <w:spacing w:line="240" w:lineRule="auto"/>
      </w:pPr>
      <w:r>
        <w:separator/>
      </w:r>
    </w:p>
    <w:p w:rsidR="00DA748D" w:rsidRDefault="00DA748D"/>
  </w:endnote>
  <w:endnote w:type="continuationSeparator" w:id="0">
    <w:p w:rsidR="00DA748D" w:rsidRDefault="00DA748D" w:rsidP="008F588A">
      <w:pPr>
        <w:spacing w:line="240" w:lineRule="auto"/>
      </w:pPr>
      <w:r>
        <w:continuationSeparator/>
      </w:r>
    </w:p>
    <w:p w:rsidR="00DA748D" w:rsidRDefault="00DA7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8D" w:rsidRPr="00C24267" w:rsidRDefault="00DA748D"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312FC1">
      <w:rPr>
        <w:noProof/>
      </w:rPr>
      <w:t>4</w:t>
    </w:r>
    <w:r w:rsidRPr="00C24267">
      <w:fldChar w:fldCharType="end"/>
    </w:r>
    <w:r w:rsidRPr="00C24267">
      <w:t xml:space="preserve"> of </w:t>
    </w:r>
    <w:fldSimple w:instr=" NUMPAGES  \* Arabic  \* MERGEFORMAT ">
      <w:r w:rsidR="00312FC1">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8D" w:rsidRPr="00C24267" w:rsidRDefault="00DA748D" w:rsidP="00C24267">
    <w:pPr>
      <w:pStyle w:val="Letterfooter"/>
    </w:pPr>
    <w:r w:rsidRPr="00C24267">
      <w:t>Parliamentary Budget Office   PO Box 6010   Parliament House   Canberra ACT 2600</w:t>
    </w:r>
  </w:p>
  <w:p w:rsidR="00DA748D" w:rsidRPr="00C24267" w:rsidRDefault="00DA748D"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8D" w:rsidRPr="00C24267" w:rsidRDefault="00DA748D"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312FC1">
      <w:rPr>
        <w:noProof/>
      </w:rPr>
      <w:t>2</w:t>
    </w:r>
    <w:r w:rsidRPr="00C24267">
      <w:fldChar w:fldCharType="end"/>
    </w:r>
    <w:r w:rsidRPr="00C24267">
      <w:t xml:space="preserve"> of </w:t>
    </w:r>
    <w:fldSimple w:instr=" NUMPAGES  \* Arabic  \* MERGEFORMAT ">
      <w:r w:rsidR="00312FC1">
        <w:rPr>
          <w:noProof/>
        </w:rPr>
        <w:t>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8D" w:rsidRPr="00C24267" w:rsidRDefault="00DA748D"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312FC1">
      <w:rPr>
        <w:noProof/>
      </w:rPr>
      <w:t>5</w:t>
    </w:r>
    <w:r w:rsidRPr="00C24267">
      <w:fldChar w:fldCharType="end"/>
    </w:r>
    <w:r w:rsidRPr="00C24267">
      <w:t xml:space="preserve"> of </w:t>
    </w:r>
    <w:fldSimple w:instr=" NUMPAGES  \* Arabic  \* MERGEFORMAT ">
      <w:r w:rsidR="00312FC1">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8D" w:rsidRDefault="00DA748D" w:rsidP="008F588A">
      <w:pPr>
        <w:spacing w:line="240" w:lineRule="auto"/>
      </w:pPr>
      <w:r>
        <w:separator/>
      </w:r>
    </w:p>
    <w:p w:rsidR="00DA748D" w:rsidRDefault="00DA748D"/>
  </w:footnote>
  <w:footnote w:type="continuationSeparator" w:id="0">
    <w:p w:rsidR="00DA748D" w:rsidRDefault="00DA748D" w:rsidP="008F588A">
      <w:pPr>
        <w:spacing w:line="240" w:lineRule="auto"/>
      </w:pPr>
      <w:r>
        <w:continuationSeparator/>
      </w:r>
    </w:p>
    <w:p w:rsidR="00DA748D" w:rsidRDefault="00DA74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8D" w:rsidRDefault="00DA748D" w:rsidP="00CB40E1">
    <w:pPr>
      <w:pStyle w:val="Header"/>
    </w:pPr>
    <w:r>
      <w:rPr>
        <w:noProof/>
        <w:lang w:eastAsia="en-AU"/>
      </w:rPr>
      <w:drawing>
        <wp:inline distT="0" distB="0" distL="0" distR="0" wp14:anchorId="04A3B49A" wp14:editId="17543098">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DA748D" w:rsidRPr="00DA1C8A" w:rsidRDefault="00DA748D"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8D" w:rsidRPr="00C17112" w:rsidRDefault="00DA748D" w:rsidP="00C17112">
    <w:pPr>
      <w:pStyle w:val="Header"/>
    </w:pPr>
    <w:r>
      <w:rPr>
        <w:noProof/>
        <w:lang w:eastAsia="en-AU"/>
      </w:rPr>
      <w:drawing>
        <wp:inline distT="0" distB="0" distL="0" distR="0" wp14:anchorId="2D28B5F7" wp14:editId="0DD97D14">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8D" w:rsidRPr="00CE42A6" w:rsidRDefault="00DA748D" w:rsidP="00CE4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738"/>
        </w:tabs>
        <w:ind w:left="738" w:hanging="454"/>
      </w:pPr>
      <w:rPr>
        <w:rFonts w:ascii="Calibri" w:hAnsi="Calibri" w:hint="default"/>
        <w:b w:val="0"/>
        <w:i w:val="0"/>
        <w:color w:val="auto"/>
        <w:position w:val="0"/>
        <w:sz w:val="22"/>
      </w:rPr>
    </w:lvl>
    <w:lvl w:ilvl="1">
      <w:start w:val="1"/>
      <w:numFmt w:val="bullet"/>
      <w:pStyle w:val="ListBullet2"/>
      <w:lvlText w:val="–"/>
      <w:lvlJc w:val="left"/>
      <w:pPr>
        <w:tabs>
          <w:tab w:val="num" w:pos="1191"/>
        </w:tabs>
        <w:ind w:left="1191" w:hanging="453"/>
      </w:pPr>
      <w:rPr>
        <w:rFonts w:ascii="Calibri" w:hAnsi="Calibri" w:hint="default"/>
        <w:b w:val="0"/>
        <w:i w:val="0"/>
        <w:color w:val="auto"/>
        <w:position w:val="0"/>
        <w:sz w:val="22"/>
      </w:rPr>
    </w:lvl>
    <w:lvl w:ilvl="2">
      <w:start w:val="1"/>
      <w:numFmt w:val="bullet"/>
      <w:pStyle w:val="ListBullet3"/>
      <w:lvlText w:val=""/>
      <w:lvlJc w:val="left"/>
      <w:pPr>
        <w:tabs>
          <w:tab w:val="num" w:pos="1645"/>
        </w:tabs>
        <w:ind w:left="1645"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396"/>
        </w:tabs>
        <w:ind w:left="-32483" w:firstLine="0"/>
      </w:pPr>
      <w:rPr>
        <w:rFonts w:hint="default"/>
      </w:rPr>
    </w:lvl>
    <w:lvl w:ilvl="4">
      <w:start w:val="1"/>
      <w:numFmt w:val="none"/>
      <w:lvlText w:val=""/>
      <w:lvlJc w:val="left"/>
      <w:pPr>
        <w:tabs>
          <w:tab w:val="num" w:pos="-31396"/>
        </w:tabs>
        <w:ind w:left="-32483" w:firstLine="0"/>
      </w:pPr>
      <w:rPr>
        <w:rFonts w:hint="default"/>
      </w:rPr>
    </w:lvl>
    <w:lvl w:ilvl="5">
      <w:start w:val="1"/>
      <w:numFmt w:val="none"/>
      <w:lvlText w:val=""/>
      <w:lvlJc w:val="left"/>
      <w:pPr>
        <w:tabs>
          <w:tab w:val="num" w:pos="-31396"/>
        </w:tabs>
        <w:ind w:left="-32483" w:firstLine="0"/>
      </w:pPr>
      <w:rPr>
        <w:rFonts w:hint="default"/>
      </w:rPr>
    </w:lvl>
    <w:lvl w:ilvl="6">
      <w:start w:val="1"/>
      <w:numFmt w:val="none"/>
      <w:lvlText w:val=""/>
      <w:lvlJc w:val="left"/>
      <w:pPr>
        <w:tabs>
          <w:tab w:val="num" w:pos="-31396"/>
        </w:tabs>
        <w:ind w:left="-32483" w:firstLine="0"/>
      </w:pPr>
      <w:rPr>
        <w:rFonts w:hint="default"/>
      </w:rPr>
    </w:lvl>
    <w:lvl w:ilvl="7">
      <w:start w:val="1"/>
      <w:numFmt w:val="none"/>
      <w:lvlText w:val=""/>
      <w:lvlJc w:val="left"/>
      <w:pPr>
        <w:tabs>
          <w:tab w:val="num" w:pos="-31396"/>
        </w:tabs>
        <w:ind w:left="-32483" w:firstLine="0"/>
      </w:pPr>
      <w:rPr>
        <w:rFonts w:hint="default"/>
      </w:rPr>
    </w:lvl>
    <w:lvl w:ilvl="8">
      <w:start w:val="1"/>
      <w:numFmt w:val="none"/>
      <w:lvlText w:val=""/>
      <w:lvlJc w:val="left"/>
      <w:pPr>
        <w:tabs>
          <w:tab w:val="num" w:pos="-31396"/>
        </w:tabs>
        <w:ind w:left="-32483"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7">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0"/>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2F"/>
    <w:rsid w:val="00002D5D"/>
    <w:rsid w:val="00015FB2"/>
    <w:rsid w:val="00040DCE"/>
    <w:rsid w:val="00096F3A"/>
    <w:rsid w:val="000C1A75"/>
    <w:rsid w:val="000C5CEF"/>
    <w:rsid w:val="000E206E"/>
    <w:rsid w:val="000E62C7"/>
    <w:rsid w:val="00120C2F"/>
    <w:rsid w:val="001278D0"/>
    <w:rsid w:val="00127EE9"/>
    <w:rsid w:val="00130183"/>
    <w:rsid w:val="0014239B"/>
    <w:rsid w:val="001A02D1"/>
    <w:rsid w:val="001A14F5"/>
    <w:rsid w:val="001B7A31"/>
    <w:rsid w:val="0020116E"/>
    <w:rsid w:val="00220BE5"/>
    <w:rsid w:val="00224CBC"/>
    <w:rsid w:val="00232206"/>
    <w:rsid w:val="002422A3"/>
    <w:rsid w:val="002913B0"/>
    <w:rsid w:val="002C00D9"/>
    <w:rsid w:val="002C5D5F"/>
    <w:rsid w:val="00312FC1"/>
    <w:rsid w:val="00315E34"/>
    <w:rsid w:val="00324311"/>
    <w:rsid w:val="00326DE2"/>
    <w:rsid w:val="00390A4E"/>
    <w:rsid w:val="003D7744"/>
    <w:rsid w:val="003E4F5F"/>
    <w:rsid w:val="003F6CB0"/>
    <w:rsid w:val="003F73CA"/>
    <w:rsid w:val="003F7CAF"/>
    <w:rsid w:val="00440E32"/>
    <w:rsid w:val="00461597"/>
    <w:rsid w:val="004752A9"/>
    <w:rsid w:val="00485374"/>
    <w:rsid w:val="00490A5B"/>
    <w:rsid w:val="004B0CB5"/>
    <w:rsid w:val="004B5F94"/>
    <w:rsid w:val="004C283B"/>
    <w:rsid w:val="004D13ED"/>
    <w:rsid w:val="004D5525"/>
    <w:rsid w:val="005035DA"/>
    <w:rsid w:val="00507897"/>
    <w:rsid w:val="00515A85"/>
    <w:rsid w:val="00535719"/>
    <w:rsid w:val="005431D4"/>
    <w:rsid w:val="00545F24"/>
    <w:rsid w:val="0055581F"/>
    <w:rsid w:val="0056229A"/>
    <w:rsid w:val="00570154"/>
    <w:rsid w:val="00570B5A"/>
    <w:rsid w:val="00587422"/>
    <w:rsid w:val="005B1A4A"/>
    <w:rsid w:val="005C4AC4"/>
    <w:rsid w:val="005C6967"/>
    <w:rsid w:val="005E3562"/>
    <w:rsid w:val="005F7DE0"/>
    <w:rsid w:val="00640346"/>
    <w:rsid w:val="00660385"/>
    <w:rsid w:val="00662E65"/>
    <w:rsid w:val="0066665A"/>
    <w:rsid w:val="00692DD8"/>
    <w:rsid w:val="006970D0"/>
    <w:rsid w:val="006F0CE9"/>
    <w:rsid w:val="007202A8"/>
    <w:rsid w:val="007214DB"/>
    <w:rsid w:val="007229A9"/>
    <w:rsid w:val="00761CEA"/>
    <w:rsid w:val="007B029A"/>
    <w:rsid w:val="007D33AA"/>
    <w:rsid w:val="007D3577"/>
    <w:rsid w:val="007F7BCF"/>
    <w:rsid w:val="008030EC"/>
    <w:rsid w:val="00811D6D"/>
    <w:rsid w:val="00817E8E"/>
    <w:rsid w:val="00841C3A"/>
    <w:rsid w:val="00844776"/>
    <w:rsid w:val="0087540C"/>
    <w:rsid w:val="008850D9"/>
    <w:rsid w:val="008A4578"/>
    <w:rsid w:val="008C03C3"/>
    <w:rsid w:val="008C7CD3"/>
    <w:rsid w:val="008D3909"/>
    <w:rsid w:val="008D6ECA"/>
    <w:rsid w:val="008F588A"/>
    <w:rsid w:val="00902D2D"/>
    <w:rsid w:val="00910278"/>
    <w:rsid w:val="00915804"/>
    <w:rsid w:val="00957285"/>
    <w:rsid w:val="009573AF"/>
    <w:rsid w:val="009963ED"/>
    <w:rsid w:val="009B2E3D"/>
    <w:rsid w:val="009D4063"/>
    <w:rsid w:val="00A41BD3"/>
    <w:rsid w:val="00A449C2"/>
    <w:rsid w:val="00A65EA3"/>
    <w:rsid w:val="00AA3D6F"/>
    <w:rsid w:val="00AB55AE"/>
    <w:rsid w:val="00AB6F7D"/>
    <w:rsid w:val="00AC7878"/>
    <w:rsid w:val="00AD044F"/>
    <w:rsid w:val="00AD493E"/>
    <w:rsid w:val="00AE30B5"/>
    <w:rsid w:val="00AE5755"/>
    <w:rsid w:val="00B052CA"/>
    <w:rsid w:val="00B06055"/>
    <w:rsid w:val="00B44D8A"/>
    <w:rsid w:val="00B53A5A"/>
    <w:rsid w:val="00B73AC8"/>
    <w:rsid w:val="00B747A7"/>
    <w:rsid w:val="00B80BD2"/>
    <w:rsid w:val="00BA2BBF"/>
    <w:rsid w:val="00BC559C"/>
    <w:rsid w:val="00BF0583"/>
    <w:rsid w:val="00C17112"/>
    <w:rsid w:val="00C24267"/>
    <w:rsid w:val="00C44124"/>
    <w:rsid w:val="00C547DB"/>
    <w:rsid w:val="00CA5D42"/>
    <w:rsid w:val="00CB40E1"/>
    <w:rsid w:val="00CE3B20"/>
    <w:rsid w:val="00CE42A6"/>
    <w:rsid w:val="00CF6DB6"/>
    <w:rsid w:val="00D134CA"/>
    <w:rsid w:val="00D52D5F"/>
    <w:rsid w:val="00D71DE9"/>
    <w:rsid w:val="00D949A3"/>
    <w:rsid w:val="00DA1C8A"/>
    <w:rsid w:val="00DA748D"/>
    <w:rsid w:val="00DB44F0"/>
    <w:rsid w:val="00DC1ECF"/>
    <w:rsid w:val="00DD109E"/>
    <w:rsid w:val="00DD3E18"/>
    <w:rsid w:val="00E12103"/>
    <w:rsid w:val="00E15AAE"/>
    <w:rsid w:val="00E202AD"/>
    <w:rsid w:val="00E21184"/>
    <w:rsid w:val="00E40B8B"/>
    <w:rsid w:val="00E5742E"/>
    <w:rsid w:val="00EA265F"/>
    <w:rsid w:val="00EA5685"/>
    <w:rsid w:val="00ED24FC"/>
    <w:rsid w:val="00ED43FF"/>
    <w:rsid w:val="00EE6600"/>
    <w:rsid w:val="00EF1D6A"/>
    <w:rsid w:val="00EF2E51"/>
    <w:rsid w:val="00F00B81"/>
    <w:rsid w:val="00F065D5"/>
    <w:rsid w:val="00F31E24"/>
    <w:rsid w:val="00F52474"/>
    <w:rsid w:val="00F5529D"/>
    <w:rsid w:val="00F5669E"/>
    <w:rsid w:val="00F7212B"/>
    <w:rsid w:val="00F75D33"/>
    <w:rsid w:val="00F77057"/>
    <w:rsid w:val="00F954CF"/>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0E206E"/>
    <w:pPr>
      <w:ind w:left="454"/>
    </w:pPr>
    <w:rPr>
      <w:rFonts w:eastAsia="Times New Roman" w:cs="Times New Roman"/>
      <w:spacing w:val="0"/>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0E206E"/>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9B2E3D"/>
    <w:rPr>
      <w:sz w:val="16"/>
      <w:szCs w:val="16"/>
    </w:rPr>
  </w:style>
  <w:style w:type="paragraph" w:styleId="CommentText">
    <w:name w:val="annotation text"/>
    <w:basedOn w:val="Normal"/>
    <w:link w:val="CommentTextChar"/>
    <w:uiPriority w:val="99"/>
    <w:semiHidden/>
    <w:unhideWhenUsed/>
    <w:rsid w:val="009B2E3D"/>
    <w:pPr>
      <w:spacing w:line="240" w:lineRule="auto"/>
    </w:pPr>
    <w:rPr>
      <w:sz w:val="20"/>
      <w:szCs w:val="20"/>
    </w:rPr>
  </w:style>
  <w:style w:type="character" w:customStyle="1" w:styleId="CommentTextChar">
    <w:name w:val="Comment Text Char"/>
    <w:basedOn w:val="DefaultParagraphFont"/>
    <w:link w:val="CommentText"/>
    <w:uiPriority w:val="99"/>
    <w:semiHidden/>
    <w:rsid w:val="009B2E3D"/>
    <w:rPr>
      <w:sz w:val="20"/>
      <w:szCs w:val="20"/>
    </w:rPr>
  </w:style>
  <w:style w:type="paragraph" w:styleId="CommentSubject">
    <w:name w:val="annotation subject"/>
    <w:basedOn w:val="CommentText"/>
    <w:next w:val="CommentText"/>
    <w:link w:val="CommentSubjectChar"/>
    <w:uiPriority w:val="99"/>
    <w:semiHidden/>
    <w:unhideWhenUsed/>
    <w:rsid w:val="009B2E3D"/>
    <w:rPr>
      <w:b/>
      <w:bCs/>
    </w:rPr>
  </w:style>
  <w:style w:type="character" w:customStyle="1" w:styleId="CommentSubjectChar">
    <w:name w:val="Comment Subject Char"/>
    <w:basedOn w:val="CommentTextChar"/>
    <w:link w:val="CommentSubject"/>
    <w:uiPriority w:val="99"/>
    <w:semiHidden/>
    <w:rsid w:val="009B2E3D"/>
    <w:rPr>
      <w:b/>
      <w:bCs/>
      <w:sz w:val="20"/>
      <w:szCs w:val="20"/>
    </w:rPr>
  </w:style>
  <w:style w:type="character" w:styleId="FollowedHyperlink">
    <w:name w:val="FollowedHyperlink"/>
    <w:basedOn w:val="DefaultParagraphFont"/>
    <w:uiPriority w:val="99"/>
    <w:semiHidden/>
    <w:unhideWhenUsed/>
    <w:rsid w:val="002322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0E206E"/>
    <w:pPr>
      <w:ind w:left="454"/>
    </w:pPr>
    <w:rPr>
      <w:rFonts w:eastAsia="Times New Roman" w:cs="Times New Roman"/>
      <w:spacing w:val="0"/>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0E206E"/>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9B2E3D"/>
    <w:rPr>
      <w:sz w:val="16"/>
      <w:szCs w:val="16"/>
    </w:rPr>
  </w:style>
  <w:style w:type="paragraph" w:styleId="CommentText">
    <w:name w:val="annotation text"/>
    <w:basedOn w:val="Normal"/>
    <w:link w:val="CommentTextChar"/>
    <w:uiPriority w:val="99"/>
    <w:semiHidden/>
    <w:unhideWhenUsed/>
    <w:rsid w:val="009B2E3D"/>
    <w:pPr>
      <w:spacing w:line="240" w:lineRule="auto"/>
    </w:pPr>
    <w:rPr>
      <w:sz w:val="20"/>
      <w:szCs w:val="20"/>
    </w:rPr>
  </w:style>
  <w:style w:type="character" w:customStyle="1" w:styleId="CommentTextChar">
    <w:name w:val="Comment Text Char"/>
    <w:basedOn w:val="DefaultParagraphFont"/>
    <w:link w:val="CommentText"/>
    <w:uiPriority w:val="99"/>
    <w:semiHidden/>
    <w:rsid w:val="009B2E3D"/>
    <w:rPr>
      <w:sz w:val="20"/>
      <w:szCs w:val="20"/>
    </w:rPr>
  </w:style>
  <w:style w:type="paragraph" w:styleId="CommentSubject">
    <w:name w:val="annotation subject"/>
    <w:basedOn w:val="CommentText"/>
    <w:next w:val="CommentText"/>
    <w:link w:val="CommentSubjectChar"/>
    <w:uiPriority w:val="99"/>
    <w:semiHidden/>
    <w:unhideWhenUsed/>
    <w:rsid w:val="009B2E3D"/>
    <w:rPr>
      <w:b/>
      <w:bCs/>
    </w:rPr>
  </w:style>
  <w:style w:type="character" w:customStyle="1" w:styleId="CommentSubjectChar">
    <w:name w:val="Comment Subject Char"/>
    <w:basedOn w:val="CommentTextChar"/>
    <w:link w:val="CommentSubject"/>
    <w:uiPriority w:val="99"/>
    <w:semiHidden/>
    <w:rsid w:val="009B2E3D"/>
    <w:rPr>
      <w:b/>
      <w:bCs/>
      <w:sz w:val="20"/>
      <w:szCs w:val="20"/>
    </w:rPr>
  </w:style>
  <w:style w:type="character" w:styleId="FollowedHyperlink">
    <w:name w:val="FollowedHyperlink"/>
    <w:basedOn w:val="DefaultParagraphFont"/>
    <w:uiPriority w:val="99"/>
    <w:semiHidden/>
    <w:unhideWhenUsed/>
    <w:rsid w:val="00232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31502">
      <w:bodyDiv w:val="1"/>
      <w:marLeft w:val="0"/>
      <w:marRight w:val="0"/>
      <w:marTop w:val="0"/>
      <w:marBottom w:val="0"/>
      <w:divBdr>
        <w:top w:val="none" w:sz="0" w:space="0" w:color="auto"/>
        <w:left w:val="none" w:sz="0" w:space="0" w:color="auto"/>
        <w:bottom w:val="none" w:sz="0" w:space="0" w:color="auto"/>
        <w:right w:val="none" w:sz="0" w:space="0" w:color="auto"/>
      </w:divBdr>
    </w:div>
    <w:div w:id="7612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sites/greens.org.au/files/20160428_Living%20Reefs-Dying%20Co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62F8D04-E3D6-41CB-95B3-271D75BA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7</TotalTime>
  <Pages>5</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PBO - GRN024 - No new coal or gas mines - 28 June 2016</vt:lpstr>
    </vt:vector>
  </TitlesOfParts>
  <Company>Parliament of Australia</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GRN024 - No new coal or gas mines - 28 June 2016</dc:title>
  <dc:creator>Parliamentary Budget Office</dc:creator>
  <cp:lastModifiedBy>Milligan, Louise (PBO)</cp:lastModifiedBy>
  <cp:revision>10</cp:revision>
  <cp:lastPrinted>2016-06-28T08:05:00Z</cp:lastPrinted>
  <dcterms:created xsi:type="dcterms:W3CDTF">2016-06-28T11:51:00Z</dcterms:created>
  <dcterms:modified xsi:type="dcterms:W3CDTF">2016-06-29T00:23:00Z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