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2E777D" w:rsidP="00C17112">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 Richard Di Natale</w:t>
      </w:r>
    </w:p>
    <w:p w:rsidR="00040DCE" w:rsidRPr="00002D5D" w:rsidRDefault="002E777D" w:rsidP="002E777D">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CANBERRA  ACT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2E777D">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2E777D">
        <w:rPr>
          <w:i/>
        </w:rPr>
        <w:t>Community Owned Clean Energy</w:t>
      </w:r>
      <w:r w:rsidRPr="00002D5D">
        <w:t xml:space="preserve"> (letter of </w:t>
      </w:r>
      <w:r w:rsidR="00B637BE">
        <w:t>2</w:t>
      </w:r>
      <w:r w:rsidR="0043249B">
        <w:t xml:space="preserve">7 </w:t>
      </w:r>
      <w:r w:rsidR="002E777D">
        <w:t>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EE3C21" w:rsidP="00EE3C21">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E33A79">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175EE3"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175EE3" w:rsidRDefault="004D5525" w:rsidP="004D5525">
            <w:pPr>
              <w:pStyle w:val="BodyText"/>
              <w:rPr>
                <w:sz w:val="22"/>
              </w:rPr>
            </w:pPr>
            <w:r w:rsidRPr="00175EE3">
              <w:rPr>
                <w:sz w:val="22"/>
              </w:rPr>
              <w:t>Name of proposal:</w:t>
            </w:r>
          </w:p>
        </w:tc>
        <w:tc>
          <w:tcPr>
            <w:tcW w:w="5335" w:type="dxa"/>
          </w:tcPr>
          <w:p w:rsidR="004D5525" w:rsidRPr="00175EE3" w:rsidRDefault="00A56E7F" w:rsidP="004D5525">
            <w:pPr>
              <w:pStyle w:val="BodyText"/>
              <w:rPr>
                <w:sz w:val="22"/>
              </w:rPr>
            </w:pPr>
            <w:r w:rsidRPr="00175EE3">
              <w:rPr>
                <w:sz w:val="22"/>
              </w:rPr>
              <w:t>Community Owned Clean Energy</w:t>
            </w:r>
          </w:p>
        </w:tc>
      </w:tr>
      <w:tr w:rsidR="004D5525" w:rsidTr="00D52D5F">
        <w:tc>
          <w:tcPr>
            <w:tcW w:w="3005" w:type="dxa"/>
          </w:tcPr>
          <w:p w:rsidR="004D5525" w:rsidRDefault="004D5525" w:rsidP="004D5525">
            <w:pPr>
              <w:pStyle w:val="BodyText"/>
            </w:pPr>
            <w:r>
              <w:t>Summary of proposal:</w:t>
            </w:r>
          </w:p>
        </w:tc>
        <w:tc>
          <w:tcPr>
            <w:tcW w:w="5335" w:type="dxa"/>
          </w:tcPr>
          <w:p w:rsidR="00A56E7F" w:rsidRDefault="00A56E7F" w:rsidP="00A56E7F">
            <w:pPr>
              <w:spacing w:before="120" w:after="120"/>
            </w:pPr>
            <w:r w:rsidRPr="007B4F3C">
              <w:t xml:space="preserve">The proposal </w:t>
            </w:r>
            <w:r>
              <w:t xml:space="preserve">has </w:t>
            </w:r>
            <w:r w:rsidR="0025430B">
              <w:t>three</w:t>
            </w:r>
            <w:r w:rsidR="00377E93">
              <w:t xml:space="preserve"> </w:t>
            </w:r>
            <w:r>
              <w:t>components:</w:t>
            </w:r>
          </w:p>
          <w:p w:rsidR="0025430B" w:rsidRPr="00042B12" w:rsidRDefault="0025430B" w:rsidP="00A56E7F">
            <w:pPr>
              <w:spacing w:before="120" w:after="120"/>
              <w:rPr>
                <w:u w:val="single"/>
              </w:rPr>
            </w:pPr>
            <w:r w:rsidRPr="00042B12">
              <w:rPr>
                <w:u w:val="single"/>
              </w:rPr>
              <w:t>Component 1</w:t>
            </w:r>
          </w:p>
          <w:p w:rsidR="0025430B" w:rsidRDefault="0025430B" w:rsidP="00042B12">
            <w:r>
              <w:t xml:space="preserve">This component </w:t>
            </w:r>
            <w:r w:rsidR="00955A97">
              <w:t>includes</w:t>
            </w:r>
            <w:r>
              <w:t>:</w:t>
            </w:r>
          </w:p>
          <w:p w:rsidR="00A56E7F" w:rsidRDefault="00A56E7F" w:rsidP="00042B12">
            <w:pPr>
              <w:pStyle w:val="Bullet1"/>
            </w:pPr>
            <w:r>
              <w:t>I</w:t>
            </w:r>
            <w:r w:rsidRPr="007B4F3C">
              <w:t>ntroduc</w:t>
            </w:r>
            <w:r w:rsidR="00955A97">
              <w:t>ing</w:t>
            </w:r>
            <w:r w:rsidRPr="007B4F3C">
              <w:t xml:space="preserve"> an income tax exemption for earnings arising from investment in Community Owned Renewable Energy (CORE) projects. </w:t>
            </w:r>
            <w:r>
              <w:t xml:space="preserve"> </w:t>
            </w:r>
            <w:r w:rsidRPr="007B4F3C">
              <w:t xml:space="preserve">Earnings arising from the generation of up to 150 per cent of average annual household electricity consumption would be </w:t>
            </w:r>
            <w:r>
              <w:t>considered exempt income for the purpose of calculating income tax.</w:t>
            </w:r>
          </w:p>
          <w:p w:rsidR="00A56E7F" w:rsidRDefault="00A56E7F" w:rsidP="00042B12">
            <w:pPr>
              <w:pStyle w:val="Bullet1"/>
            </w:pPr>
            <w:r>
              <w:t>Provid</w:t>
            </w:r>
            <w:r w:rsidR="00955A97">
              <w:t>ing</w:t>
            </w:r>
            <w:r>
              <w:t xml:space="preserve"> $150 million over the 2016</w:t>
            </w:r>
            <w:r>
              <w:noBreakHyphen/>
              <w:t>17 Budget forward estimates period, $75 million in 2017</w:t>
            </w:r>
            <w:r>
              <w:noBreakHyphen/>
              <w:t>18 and $75 million in 2018</w:t>
            </w:r>
            <w:r>
              <w:noBreakHyphen/>
              <w:t>19, to contribute to the establishment of 50 community powerhouses, with departmental expenses to be met from within the allocated amounts.</w:t>
            </w:r>
          </w:p>
          <w:p w:rsidR="0025430B" w:rsidRPr="00042B12" w:rsidRDefault="0025430B" w:rsidP="00042B12">
            <w:pPr>
              <w:rPr>
                <w:u w:val="single"/>
              </w:rPr>
            </w:pPr>
            <w:r>
              <w:rPr>
                <w:u w:val="single"/>
              </w:rPr>
              <w:t>Component 2</w:t>
            </w:r>
          </w:p>
          <w:p w:rsidR="00A56E7F" w:rsidRDefault="00A56E7F" w:rsidP="00042B12">
            <w:r>
              <w:t>Provide $2 million per annum from 2016</w:t>
            </w:r>
            <w:r>
              <w:noBreakHyphen/>
              <w:t>17 to support the establishment of a Community Power Network to enable business models, strategy and information to be shared between community clean energy projects, with departmental expenses to be met from within the allocated amounts.</w:t>
            </w:r>
          </w:p>
          <w:p w:rsidR="0025430B" w:rsidRPr="00042B12" w:rsidRDefault="0025430B" w:rsidP="00042B12">
            <w:pPr>
              <w:rPr>
                <w:u w:val="single"/>
              </w:rPr>
            </w:pPr>
            <w:r>
              <w:rPr>
                <w:u w:val="single"/>
              </w:rPr>
              <w:t>Component 3</w:t>
            </w:r>
          </w:p>
          <w:p w:rsidR="00377E93" w:rsidRPr="007B4F3C" w:rsidRDefault="00377E93" w:rsidP="00042B12">
            <w:r>
              <w:t>Provide $100 million over the 2016</w:t>
            </w:r>
            <w:r>
              <w:noBreakHyphen/>
              <w:t>17 Budget forward estimates period to support the establishment of a Solar Communities program.  The program would replace the existing Solar Towns program and expand access to schools and other public institutions, and to greenfield community renewable projects, and allow funding for solar storage systems, solar photovoltaic systems, and solar hot water systems, with departmental expenses to be allocated in addition to the allocated amounts.</w:t>
            </w:r>
          </w:p>
          <w:p w:rsidR="004D5525" w:rsidRDefault="00A56E7F" w:rsidP="00A56E7F">
            <w:pPr>
              <w:pStyle w:val="BodyText"/>
            </w:pPr>
            <w:r w:rsidRPr="007B4F3C">
              <w:t xml:space="preserve">The proposal would have effect from 1 </w:t>
            </w:r>
            <w:r>
              <w:t>September</w:t>
            </w:r>
            <w:r w:rsidRPr="007B4F3C">
              <w:t xml:space="preserve"> 2016.</w:t>
            </w:r>
          </w:p>
        </w:tc>
      </w:tr>
      <w:tr w:rsidR="00EB763E" w:rsidTr="00D52D5F">
        <w:tc>
          <w:tcPr>
            <w:tcW w:w="3005" w:type="dxa"/>
          </w:tcPr>
          <w:p w:rsidR="00EB763E" w:rsidRDefault="00EB763E" w:rsidP="004D5525">
            <w:pPr>
              <w:pStyle w:val="BodyText"/>
            </w:pPr>
            <w:r>
              <w:lastRenderedPageBreak/>
              <w:t>Person/party requesting costing:</w:t>
            </w:r>
          </w:p>
        </w:tc>
        <w:tc>
          <w:tcPr>
            <w:tcW w:w="5335" w:type="dxa"/>
          </w:tcPr>
          <w:p w:rsidR="00EB763E" w:rsidRPr="007B4F3C" w:rsidRDefault="00EB763E" w:rsidP="005E1C74">
            <w:pPr>
              <w:spacing w:before="120" w:after="120"/>
            </w:pPr>
            <w:r w:rsidRPr="007B4F3C">
              <w:t>Senator Richard Di Natale, Australian Greens</w:t>
            </w:r>
          </w:p>
        </w:tc>
      </w:tr>
      <w:tr w:rsidR="007D3577" w:rsidTr="00060F22">
        <w:tc>
          <w:tcPr>
            <w:tcW w:w="3005" w:type="dxa"/>
          </w:tcPr>
          <w:p w:rsidR="007D3577" w:rsidRDefault="007D3577" w:rsidP="00060F22">
            <w:pPr>
              <w:pStyle w:val="BodyText"/>
            </w:pPr>
            <w:r>
              <w:t>Date of public release of policy:</w:t>
            </w:r>
          </w:p>
        </w:tc>
        <w:tc>
          <w:tcPr>
            <w:tcW w:w="5335" w:type="dxa"/>
          </w:tcPr>
          <w:p w:rsidR="007D3577" w:rsidRDefault="0012184C" w:rsidP="00060F22">
            <w:pPr>
              <w:pStyle w:val="BodyText"/>
            </w:pPr>
            <w:r>
              <w:t>5</w:t>
            </w:r>
            <w:r w:rsidR="00EB763E">
              <w:t xml:space="preserve"> June 2016</w:t>
            </w:r>
          </w:p>
          <w:p w:rsidR="006440AF" w:rsidRPr="00C17112" w:rsidRDefault="00A122D5" w:rsidP="00060F22">
            <w:pPr>
              <w:pStyle w:val="BodyText"/>
            </w:pPr>
            <w:hyperlink r:id="rId14" w:history="1">
              <w:r w:rsidR="00486B8F" w:rsidRPr="000B5EA2">
                <w:rPr>
                  <w:rStyle w:val="Hyperlink"/>
                </w:rPr>
                <w:t>http://greens.org.au/community-renewables</w:t>
              </w:r>
            </w:hyperlink>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377E93" w:rsidP="004D5525">
            <w:pPr>
              <w:pStyle w:val="BodyText"/>
            </w:pPr>
            <w:r>
              <w:t>27</w:t>
            </w:r>
            <w:r w:rsidR="00EB763E">
              <w:t xml:space="preserve"> June 2016</w:t>
            </w:r>
          </w:p>
        </w:tc>
      </w:tr>
      <w:tr w:rsidR="004D5525" w:rsidTr="00D52D5F">
        <w:tc>
          <w:tcPr>
            <w:tcW w:w="3005" w:type="dxa"/>
          </w:tcPr>
          <w:p w:rsidR="004D5525" w:rsidRDefault="004D5525" w:rsidP="004D5525">
            <w:pPr>
              <w:pStyle w:val="BodyText"/>
            </w:pPr>
            <w:r>
              <w:t>Date costing completed</w:t>
            </w:r>
            <w:r w:rsidR="0083591C">
              <w:t>:</w:t>
            </w:r>
          </w:p>
        </w:tc>
        <w:tc>
          <w:tcPr>
            <w:tcW w:w="5335" w:type="dxa"/>
          </w:tcPr>
          <w:p w:rsidR="004D5525" w:rsidRPr="00C17112" w:rsidRDefault="00377E93" w:rsidP="004D5525">
            <w:pPr>
              <w:pStyle w:val="BodyText"/>
            </w:pPr>
            <w:r>
              <w:t>28</w:t>
            </w:r>
            <w:r w:rsidR="00EB763E">
              <w:t xml:space="preserve"> June 2016</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F4535C" w:rsidP="00220BE5">
            <w:pPr>
              <w:pStyle w:val="BodyText"/>
            </w:pPr>
            <w:r>
              <w:t>Release of the next economic and fiscal outlook report</w:t>
            </w:r>
          </w:p>
        </w:tc>
      </w:tr>
    </w:tbl>
    <w:p w:rsidR="0055581F" w:rsidRPr="00002D5D" w:rsidRDefault="008030EC" w:rsidP="00FC6579">
      <w:pPr>
        <w:pStyle w:val="Heading2"/>
      </w:pPr>
      <w:r w:rsidRPr="00002D5D">
        <w:t>Costing overview</w:t>
      </w:r>
    </w:p>
    <w:p w:rsidR="006440AF" w:rsidRDefault="00EB763E" w:rsidP="00955A97">
      <w:r w:rsidRPr="00652AB0">
        <w:t xml:space="preserve">This proposal </w:t>
      </w:r>
      <w:r>
        <w:t>would be</w:t>
      </w:r>
      <w:r w:rsidRPr="00652AB0">
        <w:t xml:space="preserve"> expected to decrease the </w:t>
      </w:r>
      <w:r>
        <w:t xml:space="preserve">fiscal and </w:t>
      </w:r>
      <w:r w:rsidRPr="00652AB0">
        <w:t>underlyin</w:t>
      </w:r>
      <w:r>
        <w:t>g cash balances by $</w:t>
      </w:r>
      <w:r w:rsidR="00297F74">
        <w:t>265.1</w:t>
      </w:r>
      <w:r>
        <w:t> </w:t>
      </w:r>
      <w:r w:rsidRPr="00652AB0">
        <w:t xml:space="preserve">million over the </w:t>
      </w:r>
      <w:r>
        <w:t>2016-17</w:t>
      </w:r>
      <w:r w:rsidRPr="00652AB0">
        <w:t xml:space="preserve"> Budget forward estimates period</w:t>
      </w:r>
      <w:r w:rsidR="0043249B">
        <w:t xml:space="preserve">. </w:t>
      </w:r>
      <w:r w:rsidR="00C56471">
        <w:t xml:space="preserve"> </w:t>
      </w:r>
      <w:r w:rsidR="0043249B">
        <w:t>This reflects a</w:t>
      </w:r>
      <w:r>
        <w:t xml:space="preserve"> </w:t>
      </w:r>
      <w:r w:rsidR="0043249B">
        <w:t xml:space="preserve">decrease </w:t>
      </w:r>
      <w:r w:rsidR="0083569C">
        <w:t>in</w:t>
      </w:r>
      <w:r w:rsidR="0043249B">
        <w:t xml:space="preserve"> revenue of</w:t>
      </w:r>
      <w:r>
        <w:t xml:space="preserve"> $3.5 million</w:t>
      </w:r>
      <w:r w:rsidR="0043249B">
        <w:t>, and an increase of</w:t>
      </w:r>
      <w:r>
        <w:t xml:space="preserve"> $</w:t>
      </w:r>
      <w:r w:rsidR="00297F74">
        <w:t>2</w:t>
      </w:r>
      <w:r>
        <w:t>55.6</w:t>
      </w:r>
      <w:r w:rsidR="0043249B">
        <w:t> </w:t>
      </w:r>
      <w:r>
        <w:t>million in administered expenses and a</w:t>
      </w:r>
      <w:r w:rsidR="0043249B">
        <w:t>n increase</w:t>
      </w:r>
      <w:r>
        <w:t xml:space="preserve"> </w:t>
      </w:r>
      <w:r w:rsidR="0043249B">
        <w:t xml:space="preserve">of </w:t>
      </w:r>
      <w:r>
        <w:t>$</w:t>
      </w:r>
      <w:r w:rsidR="00297F74">
        <w:t>6.0</w:t>
      </w:r>
      <w:r>
        <w:t> million in departmental expenses</w:t>
      </w:r>
      <w:r w:rsidR="00C56471">
        <w:t xml:space="preserve"> over this period</w:t>
      </w:r>
      <w:r w:rsidRPr="00652AB0">
        <w:t>.</w:t>
      </w:r>
    </w:p>
    <w:p w:rsidR="0043249B" w:rsidRDefault="0043249B" w:rsidP="00955A97">
      <w:r w:rsidRPr="00871A49">
        <w:t xml:space="preserve">A breakdown of the </w:t>
      </w:r>
      <w:r>
        <w:t>financial implications</w:t>
      </w:r>
      <w:r w:rsidRPr="00871A49">
        <w:t xml:space="preserve"> over the 2016-17 Budget forward estimates period </w:t>
      </w:r>
      <w:r>
        <w:t>is</w:t>
      </w:r>
      <w:r w:rsidRPr="00871A49">
        <w:t xml:space="preserve"> provided at </w:t>
      </w:r>
      <w:r w:rsidRPr="00871A49">
        <w:rPr>
          <w:u w:val="single"/>
        </w:rPr>
        <w:t>Attachment A</w:t>
      </w:r>
      <w:r w:rsidRPr="00871A49">
        <w:t>.</w:t>
      </w:r>
    </w:p>
    <w:p w:rsidR="000B5EA2" w:rsidRDefault="00EB763E" w:rsidP="00955A97">
      <w:r>
        <w:t xml:space="preserve">Components 1 and </w:t>
      </w:r>
      <w:r w:rsidR="0043249B">
        <w:t>2</w:t>
      </w:r>
      <w:r>
        <w:t xml:space="preserve"> would </w:t>
      </w:r>
      <w:r w:rsidR="0043249B">
        <w:t xml:space="preserve">be expected to </w:t>
      </w:r>
      <w:r>
        <w:t>have ongoing financial implications beyond the 2016</w:t>
      </w:r>
      <w:r>
        <w:noBreakHyphen/>
        <w:t>17 Budget forward estimates period.  The impact of the proposal in 2019</w:t>
      </w:r>
      <w:r>
        <w:noBreakHyphen/>
        <w:t>20 is indicative of the ongoing impact of the proposal.</w:t>
      </w:r>
    </w:p>
    <w:p w:rsidR="00FD200F" w:rsidRDefault="00EB763E" w:rsidP="00955A97">
      <w:r w:rsidRPr="007F5697">
        <w:t>Th</w:t>
      </w:r>
      <w:r>
        <w:t>e income tax exemption component of this</w:t>
      </w:r>
      <w:r w:rsidRPr="007F5697">
        <w:t xml:space="preserve"> costing is considered to be of </w:t>
      </w:r>
      <w:r w:rsidRPr="008E2934">
        <w:t>low reliability</w:t>
      </w:r>
      <w:r w:rsidR="002B7B15">
        <w:t>.  It </w:t>
      </w:r>
      <w:r>
        <w:t>relies on a number of assumptions, and variations in assumptions may lead to a significant change in the estimated financial impact.</w:t>
      </w:r>
    </w:p>
    <w:p w:rsidR="00EB763E" w:rsidRPr="007F5697" w:rsidRDefault="00EB763E" w:rsidP="00955A97">
      <w:r>
        <w:t>The remaining components of this costing are considered to be of high reliability, as they have been estimated based on specified capped amounts.</w:t>
      </w:r>
      <w:r w:rsidR="00FD200F">
        <w:t xml:space="preserve">  However, no analysis has been undertaken to determine the adequacy of the prescribed funding amounts to achieve the objective of the proposal.</w:t>
      </w:r>
    </w:p>
    <w:p w:rsidR="005E3562" w:rsidRPr="00FC6579" w:rsidRDefault="005E3562" w:rsidP="005A6D5E">
      <w:pPr>
        <w:pStyle w:val="Captionheading"/>
        <w:keepNext w:val="0"/>
      </w:pPr>
      <w:r w:rsidRPr="00FC6579">
        <w:t xml:space="preserve">Table </w:t>
      </w:r>
      <w:r w:rsidR="001A02D1" w:rsidRPr="00FC6579">
        <w:t>1</w:t>
      </w:r>
      <w:r w:rsidRPr="00FC6579">
        <w:t>: Financial implications (outturn prices)</w:t>
      </w:r>
      <w:r w:rsidRPr="00844776">
        <w:rPr>
          <w:vertAlign w:val="superscript"/>
        </w:rPr>
        <w:t>(a)</w:t>
      </w:r>
      <w:r w:rsidR="006440AF">
        <w:rPr>
          <w:vertAlign w:val="superscript"/>
        </w:rPr>
        <w:t>(b)</w:t>
      </w:r>
    </w:p>
    <w:tbl>
      <w:tblPr>
        <w:tblStyle w:val="TableGrid"/>
        <w:tblW w:w="4993" w:type="pct"/>
        <w:tblLook w:val="04A0" w:firstRow="1" w:lastRow="0" w:firstColumn="1" w:lastColumn="0" w:noHBand="0" w:noVBand="1"/>
      </w:tblPr>
      <w:tblGrid>
        <w:gridCol w:w="2645"/>
        <w:gridCol w:w="1134"/>
        <w:gridCol w:w="1134"/>
        <w:gridCol w:w="1134"/>
        <w:gridCol w:w="1134"/>
        <w:gridCol w:w="1130"/>
      </w:tblGrid>
      <w:tr w:rsidR="00692DD8" w:rsidRPr="00B73AC8" w:rsidTr="002B7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2" w:type="pct"/>
            <w:vAlign w:val="center"/>
          </w:tcPr>
          <w:p w:rsidR="00CA5D42" w:rsidRPr="00B73AC8" w:rsidRDefault="00CA5D42" w:rsidP="002B7B15">
            <w:pPr>
              <w:pStyle w:val="TableText"/>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vAlign w:val="center"/>
          </w:tcPr>
          <w:p w:rsidR="00CA5D42" w:rsidRPr="00B73AC8" w:rsidRDefault="00CA5D42" w:rsidP="002B7B15">
            <w:pPr>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vAlign w:val="center"/>
          </w:tcPr>
          <w:p w:rsidR="00CA5D42" w:rsidRPr="00B73AC8" w:rsidRDefault="00CA5D42" w:rsidP="002B7B15">
            <w:pPr>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vAlign w:val="center"/>
          </w:tcPr>
          <w:p w:rsidR="00CA5D42" w:rsidRPr="00B73AC8" w:rsidRDefault="00CA5D42" w:rsidP="002B7B15">
            <w:pPr>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vAlign w:val="center"/>
          </w:tcPr>
          <w:p w:rsidR="00CA5D42" w:rsidRPr="00B73AC8" w:rsidRDefault="00CA5D42" w:rsidP="002B7B15">
            <w:pPr>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vAlign w:val="center"/>
          </w:tcPr>
          <w:p w:rsidR="00CA5D42" w:rsidRPr="00F97DFF" w:rsidRDefault="00CA5D42" w:rsidP="002B7B15">
            <w:pPr>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9D1320" w:rsidRPr="00B73AC8" w:rsidTr="002B7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pct"/>
          </w:tcPr>
          <w:p w:rsidR="009D1320" w:rsidRPr="00B73AC8" w:rsidRDefault="009D1320" w:rsidP="002B7B15">
            <w:pPr>
              <w:pStyle w:val="TableTextCentred"/>
              <w:jc w:val="left"/>
              <w:rPr>
                <w:szCs w:val="20"/>
              </w:rPr>
            </w:pPr>
            <w:r w:rsidRPr="00B73AC8">
              <w:rPr>
                <w:szCs w:val="20"/>
              </w:rPr>
              <w:t>Fiscal balance</w:t>
            </w:r>
          </w:p>
        </w:tc>
        <w:tc>
          <w:tcPr>
            <w:tcW w:w="682" w:type="pct"/>
          </w:tcPr>
          <w:p w:rsidR="009D1320" w:rsidRDefault="009D1320" w:rsidP="002B7B15">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w:t>
            </w:r>
            <w:r w:rsidR="00297F74">
              <w:rPr>
                <w:color w:val="000000"/>
              </w:rPr>
              <w:t>8</w:t>
            </w:r>
            <w:r>
              <w:rPr>
                <w:color w:val="000000"/>
              </w:rPr>
              <w:t>.</w:t>
            </w:r>
            <w:r w:rsidR="00297F74">
              <w:rPr>
                <w:color w:val="000000"/>
              </w:rPr>
              <w:t>1</w:t>
            </w:r>
          </w:p>
        </w:tc>
        <w:tc>
          <w:tcPr>
            <w:tcW w:w="682" w:type="pct"/>
          </w:tcPr>
          <w:p w:rsidR="009D1320" w:rsidRDefault="009D1320" w:rsidP="002B7B15">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297F74">
              <w:rPr>
                <w:color w:val="000000"/>
              </w:rPr>
              <w:t>103</w:t>
            </w:r>
            <w:r>
              <w:rPr>
                <w:color w:val="000000"/>
              </w:rPr>
              <w:t>.</w:t>
            </w:r>
            <w:r w:rsidR="00297F74">
              <w:rPr>
                <w:color w:val="000000"/>
              </w:rPr>
              <w:t>7</w:t>
            </w:r>
          </w:p>
        </w:tc>
        <w:tc>
          <w:tcPr>
            <w:tcW w:w="682" w:type="pct"/>
          </w:tcPr>
          <w:p w:rsidR="009D1320" w:rsidRDefault="009D1320" w:rsidP="002B7B15">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297F74">
              <w:rPr>
                <w:color w:val="000000"/>
              </w:rPr>
              <w:t>104</w:t>
            </w:r>
            <w:r>
              <w:rPr>
                <w:color w:val="000000"/>
              </w:rPr>
              <w:t>.</w:t>
            </w:r>
            <w:r w:rsidR="00297F74">
              <w:rPr>
                <w:color w:val="000000"/>
              </w:rPr>
              <w:t>0</w:t>
            </w:r>
          </w:p>
        </w:tc>
        <w:tc>
          <w:tcPr>
            <w:tcW w:w="682" w:type="pct"/>
          </w:tcPr>
          <w:p w:rsidR="009D1320" w:rsidRDefault="009D1320" w:rsidP="002B7B15">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297F74">
              <w:rPr>
                <w:color w:val="000000"/>
              </w:rPr>
              <w:t>29</w:t>
            </w:r>
            <w:r>
              <w:rPr>
                <w:color w:val="000000"/>
              </w:rPr>
              <w:t>.</w:t>
            </w:r>
            <w:r w:rsidR="00297F74">
              <w:rPr>
                <w:color w:val="000000"/>
              </w:rPr>
              <w:t>3</w:t>
            </w:r>
          </w:p>
        </w:tc>
        <w:tc>
          <w:tcPr>
            <w:tcW w:w="681" w:type="pct"/>
          </w:tcPr>
          <w:p w:rsidR="009D1320" w:rsidRPr="00DB3B40" w:rsidRDefault="009D1320" w:rsidP="002B7B15">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color w:val="000000"/>
              </w:rPr>
            </w:pPr>
            <w:r w:rsidRPr="00DB3B40">
              <w:rPr>
                <w:b/>
                <w:color w:val="000000"/>
              </w:rPr>
              <w:t>-</w:t>
            </w:r>
            <w:r w:rsidR="00297F74">
              <w:rPr>
                <w:b/>
                <w:color w:val="000000"/>
              </w:rPr>
              <w:t>265</w:t>
            </w:r>
            <w:r w:rsidRPr="00DB3B40">
              <w:rPr>
                <w:b/>
                <w:color w:val="000000"/>
              </w:rPr>
              <w:t>.</w:t>
            </w:r>
            <w:r w:rsidR="00297F74">
              <w:rPr>
                <w:b/>
                <w:color w:val="000000"/>
              </w:rPr>
              <w:t>1</w:t>
            </w:r>
          </w:p>
        </w:tc>
      </w:tr>
      <w:tr w:rsidR="009D1320" w:rsidRPr="00B73AC8" w:rsidTr="002B7B15">
        <w:tc>
          <w:tcPr>
            <w:cnfStyle w:val="001000000000" w:firstRow="0" w:lastRow="0" w:firstColumn="1" w:lastColumn="0" w:oddVBand="0" w:evenVBand="0" w:oddHBand="0" w:evenHBand="0" w:firstRowFirstColumn="0" w:firstRowLastColumn="0" w:lastRowFirstColumn="0" w:lastRowLastColumn="0"/>
            <w:tcW w:w="1592" w:type="pct"/>
          </w:tcPr>
          <w:p w:rsidR="009D1320" w:rsidRPr="00B73AC8" w:rsidRDefault="009D1320" w:rsidP="002B7B15">
            <w:pPr>
              <w:pStyle w:val="TableTextCentred"/>
              <w:jc w:val="left"/>
              <w:rPr>
                <w:szCs w:val="20"/>
              </w:rPr>
            </w:pPr>
            <w:r w:rsidRPr="00B73AC8">
              <w:rPr>
                <w:szCs w:val="20"/>
              </w:rPr>
              <w:t>Underlying cash balance</w:t>
            </w:r>
          </w:p>
        </w:tc>
        <w:tc>
          <w:tcPr>
            <w:tcW w:w="682" w:type="pct"/>
          </w:tcPr>
          <w:p w:rsidR="009D1320" w:rsidRDefault="009D1320" w:rsidP="002B7B15">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r w:rsidR="00297F74">
              <w:rPr>
                <w:color w:val="000000"/>
              </w:rPr>
              <w:t>8</w:t>
            </w:r>
            <w:r>
              <w:rPr>
                <w:color w:val="000000"/>
              </w:rPr>
              <w:t>.</w:t>
            </w:r>
            <w:r w:rsidR="00297F74">
              <w:rPr>
                <w:color w:val="000000"/>
              </w:rPr>
              <w:t>1</w:t>
            </w:r>
          </w:p>
        </w:tc>
        <w:tc>
          <w:tcPr>
            <w:tcW w:w="682" w:type="pct"/>
          </w:tcPr>
          <w:p w:rsidR="009D1320" w:rsidRDefault="009D1320" w:rsidP="002B7B15">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297F74">
              <w:rPr>
                <w:color w:val="000000"/>
              </w:rPr>
              <w:t>103</w:t>
            </w:r>
            <w:r>
              <w:rPr>
                <w:color w:val="000000"/>
              </w:rPr>
              <w:t>.</w:t>
            </w:r>
            <w:r w:rsidR="00297F74">
              <w:rPr>
                <w:color w:val="000000"/>
              </w:rPr>
              <w:t>7</w:t>
            </w:r>
          </w:p>
        </w:tc>
        <w:tc>
          <w:tcPr>
            <w:tcW w:w="682" w:type="pct"/>
          </w:tcPr>
          <w:p w:rsidR="009D1320" w:rsidRDefault="009D1320" w:rsidP="002B7B15">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297F74">
              <w:rPr>
                <w:color w:val="000000"/>
              </w:rPr>
              <w:t>104</w:t>
            </w:r>
            <w:r>
              <w:rPr>
                <w:color w:val="000000"/>
              </w:rPr>
              <w:t>.</w:t>
            </w:r>
            <w:r w:rsidR="00297F74">
              <w:rPr>
                <w:color w:val="000000"/>
              </w:rPr>
              <w:t>0</w:t>
            </w:r>
          </w:p>
        </w:tc>
        <w:tc>
          <w:tcPr>
            <w:tcW w:w="682" w:type="pct"/>
          </w:tcPr>
          <w:p w:rsidR="009D1320" w:rsidRDefault="009D1320" w:rsidP="002B7B15">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297F74">
              <w:rPr>
                <w:color w:val="000000"/>
              </w:rPr>
              <w:t>29</w:t>
            </w:r>
            <w:r>
              <w:rPr>
                <w:color w:val="000000"/>
              </w:rPr>
              <w:t>.</w:t>
            </w:r>
            <w:r w:rsidR="00297F74">
              <w:rPr>
                <w:color w:val="000000"/>
              </w:rPr>
              <w:t>3</w:t>
            </w:r>
          </w:p>
        </w:tc>
        <w:tc>
          <w:tcPr>
            <w:tcW w:w="681" w:type="pct"/>
          </w:tcPr>
          <w:p w:rsidR="009D1320" w:rsidRPr="00DB3B40" w:rsidRDefault="009D1320" w:rsidP="002B7B15">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rPr>
            </w:pPr>
            <w:r w:rsidRPr="00DB3B40">
              <w:rPr>
                <w:b/>
                <w:color w:val="000000"/>
              </w:rPr>
              <w:t>-</w:t>
            </w:r>
            <w:r w:rsidR="00297F74">
              <w:rPr>
                <w:b/>
                <w:color w:val="000000"/>
              </w:rPr>
              <w:t>265</w:t>
            </w:r>
            <w:r w:rsidRPr="00DB3B40">
              <w:rPr>
                <w:b/>
                <w:color w:val="000000"/>
              </w:rPr>
              <w:t>.</w:t>
            </w:r>
            <w:r w:rsidR="00297F74">
              <w:rPr>
                <w:b/>
                <w:color w:val="000000"/>
              </w:rPr>
              <w:t>1</w:t>
            </w:r>
          </w:p>
        </w:tc>
      </w:tr>
    </w:tbl>
    <w:p w:rsidR="009D4063" w:rsidRDefault="00D805AE" w:rsidP="005A6D5E">
      <w:pPr>
        <w:pStyle w:val="Footnotes"/>
        <w:numPr>
          <w:ilvl w:val="0"/>
          <w:numId w:val="7"/>
        </w:numPr>
        <w:ind w:left="284" w:hanging="284"/>
      </w:pPr>
      <w:r>
        <w:t>A positive number represents an increase in the relevant budget balance, a negative number represents a decrease.</w:t>
      </w:r>
    </w:p>
    <w:p w:rsidR="00D747D2" w:rsidRDefault="00D747D2" w:rsidP="005A6D5E">
      <w:pPr>
        <w:pStyle w:val="Footnotes"/>
        <w:numPr>
          <w:ilvl w:val="0"/>
          <w:numId w:val="7"/>
        </w:numPr>
        <w:ind w:left="284" w:hanging="284"/>
      </w:pPr>
      <w:r>
        <w:t>Figures may not sum to totals due to rounding.</w:t>
      </w:r>
    </w:p>
    <w:p w:rsidR="008D3909" w:rsidRPr="00FC6579" w:rsidRDefault="005E3562" w:rsidP="00E40B8B">
      <w:pPr>
        <w:pStyle w:val="Heading2"/>
      </w:pPr>
      <w:r w:rsidRPr="00FC6579">
        <w:lastRenderedPageBreak/>
        <w:t>Key assumptions</w:t>
      </w:r>
    </w:p>
    <w:p w:rsidR="00EB763E" w:rsidRPr="00367661" w:rsidRDefault="00EB763E" w:rsidP="00367661">
      <w:pPr>
        <w:pStyle w:val="Bullet1"/>
      </w:pPr>
      <w:r w:rsidRPr="00367661">
        <w:t>For the purpose of this costing, investment in CORE projects refers to investment in community entities that invest in renewable energy projects, as detailed in the Coalition for Community Energy</w:t>
      </w:r>
      <w:r w:rsidR="00125153">
        <w:t>’s</w:t>
      </w:r>
      <w:r w:rsidRPr="00367661">
        <w:t xml:space="preserve"> </w:t>
      </w:r>
      <w:r w:rsidRPr="0017224E">
        <w:rPr>
          <w:i/>
        </w:rPr>
        <w:t>National Community Energy Strategy</w:t>
      </w:r>
      <w:r w:rsidRPr="00125153">
        <w:t xml:space="preserve"> report</w:t>
      </w:r>
      <w:r w:rsidRPr="00367661">
        <w:t>.</w:t>
      </w:r>
    </w:p>
    <w:p w:rsidR="00EB763E" w:rsidRPr="00367661" w:rsidRDefault="00EB763E" w:rsidP="00367661">
      <w:pPr>
        <w:pStyle w:val="Bullet1"/>
      </w:pPr>
      <w:r w:rsidRPr="00367661">
        <w:t xml:space="preserve">Average household electricity consumption has been estimated based on the </w:t>
      </w:r>
      <w:r w:rsidRPr="0017224E">
        <w:rPr>
          <w:i/>
        </w:rPr>
        <w:t xml:space="preserve">Electricity </w:t>
      </w:r>
      <w:r w:rsidR="00125153">
        <w:rPr>
          <w:i/>
        </w:rPr>
        <w:t>b</w:t>
      </w:r>
      <w:r w:rsidRPr="0017224E">
        <w:rPr>
          <w:i/>
        </w:rPr>
        <w:t xml:space="preserve">ill </w:t>
      </w:r>
      <w:r w:rsidR="00125153">
        <w:rPr>
          <w:i/>
        </w:rPr>
        <w:t>b</w:t>
      </w:r>
      <w:r w:rsidRPr="0017224E">
        <w:rPr>
          <w:i/>
        </w:rPr>
        <w:t>enchmarks</w:t>
      </w:r>
      <w:r w:rsidR="00125153">
        <w:rPr>
          <w:i/>
        </w:rPr>
        <w:t xml:space="preserve"> for residential customers</w:t>
      </w:r>
      <w:r w:rsidRPr="0017224E">
        <w:rPr>
          <w:i/>
        </w:rPr>
        <w:t xml:space="preserve"> </w:t>
      </w:r>
      <w:r w:rsidRPr="00125153">
        <w:t>report</w:t>
      </w:r>
      <w:r w:rsidRPr="00367661">
        <w:t xml:space="preserve"> by ACIL Allen Consulting and the </w:t>
      </w:r>
      <w:r w:rsidRPr="0017224E">
        <w:rPr>
          <w:i/>
        </w:rPr>
        <w:t>Australian electricity market analysis report to 2020 and 2030</w:t>
      </w:r>
      <w:r w:rsidRPr="00367661">
        <w:t xml:space="preserve"> by the Commonwealth Scientific and Industrial Research Organisation (CSIRO).</w:t>
      </w:r>
    </w:p>
    <w:p w:rsidR="00EB763E" w:rsidRPr="00367661" w:rsidRDefault="00EB763E" w:rsidP="00367661">
      <w:pPr>
        <w:pStyle w:val="Bullet1"/>
      </w:pPr>
      <w:r w:rsidRPr="00367661">
        <w:t>The average return and number of investors for CORE projects has been estimated based on the Coalition for Community Energy National Community Energy Strategy report.</w:t>
      </w:r>
    </w:p>
    <w:p w:rsidR="00EB763E" w:rsidRPr="00367661" w:rsidRDefault="00EB763E" w:rsidP="00367661">
      <w:pPr>
        <w:pStyle w:val="Bullet1"/>
      </w:pPr>
      <w:r w:rsidRPr="00367661">
        <w:t>All investors in CORE projects are assumed to utilise the maximum tax exemption in each financial year.</w:t>
      </w:r>
    </w:p>
    <w:p w:rsidR="005E3562" w:rsidRPr="00FC6579" w:rsidRDefault="005E3562" w:rsidP="00E40B8B">
      <w:pPr>
        <w:pStyle w:val="Heading2"/>
      </w:pPr>
      <w:r w:rsidRPr="00FC6579">
        <w:t>Methodology</w:t>
      </w:r>
    </w:p>
    <w:p w:rsidR="00EB763E" w:rsidRPr="00955A97" w:rsidRDefault="00EB763E" w:rsidP="005A6D5E">
      <w:pPr>
        <w:pStyle w:val="Bullet1"/>
      </w:pPr>
      <w:r w:rsidRPr="00955A97">
        <w:t>Exempt income for each financial year was estimated based on the number of investors, average household electricity consumption and average return per kilowatt hour.</w:t>
      </w:r>
    </w:p>
    <w:p w:rsidR="00EB763E" w:rsidRPr="00955A97" w:rsidRDefault="00EB763E" w:rsidP="005A6D5E">
      <w:pPr>
        <w:pStyle w:val="Bullet1"/>
      </w:pPr>
      <w:r w:rsidRPr="00955A97">
        <w:t xml:space="preserve">An average marginal tax rate for investors in each financial year was estimated using </w:t>
      </w:r>
      <w:r w:rsidR="00AC0BCC" w:rsidRPr="00955A97">
        <w:t xml:space="preserve">a </w:t>
      </w:r>
      <w:r w:rsidRPr="00955A97">
        <w:t>de</w:t>
      </w:r>
      <w:r w:rsidRPr="00955A97">
        <w:noBreakHyphen/>
        <w:t>identified 16 per cent sample of personal income tax and superannuation unit record files.</w:t>
      </w:r>
    </w:p>
    <w:p w:rsidR="00EB763E" w:rsidRPr="00955A97" w:rsidRDefault="00EB763E" w:rsidP="005A6D5E">
      <w:pPr>
        <w:pStyle w:val="Bullet1"/>
      </w:pPr>
      <w:r w:rsidRPr="00955A97">
        <w:t>The financial implications for each financial year were then estimated by applying the average marginal tax rate to the exempt income.</w:t>
      </w:r>
    </w:p>
    <w:p w:rsidR="00EB763E" w:rsidRPr="00955A97" w:rsidRDefault="00EB763E" w:rsidP="006440AF">
      <w:pPr>
        <w:pStyle w:val="Bullet1"/>
      </w:pPr>
      <w:r w:rsidRPr="00955A97">
        <w:t>This costing takes into account the timing of tax collections</w:t>
      </w:r>
      <w:r w:rsidR="006440AF">
        <w:t xml:space="preserve"> and the part-year effect of the proposal</w:t>
      </w:r>
      <w:r w:rsidR="00FD200F">
        <w:t xml:space="preserve"> in 2016</w:t>
      </w:r>
      <w:r w:rsidR="00FD200F">
        <w:noBreakHyphen/>
        <w:t>17.</w:t>
      </w:r>
    </w:p>
    <w:p w:rsidR="00EB763E" w:rsidRPr="00955A97" w:rsidRDefault="00EB763E" w:rsidP="005A6D5E">
      <w:pPr>
        <w:pStyle w:val="Bullet1"/>
      </w:pPr>
      <w:r w:rsidRPr="00955A97">
        <w:t>Administered expenses are based on specified capped amounts.</w:t>
      </w:r>
      <w:r w:rsidR="00D2586C" w:rsidRPr="00955A97">
        <w:t xml:space="preserve">  Estimates for the Solar Communities component are based on an even distribution of the specified $100</w:t>
      </w:r>
      <w:r w:rsidR="00367661">
        <w:t> </w:t>
      </w:r>
      <w:r w:rsidR="00D2586C" w:rsidRPr="00955A97">
        <w:t>million funding over each year of the 2016</w:t>
      </w:r>
      <w:r w:rsidR="00D2586C" w:rsidRPr="00955A97">
        <w:noBreakHyphen/>
        <w:t>17 Budget forward estimates period.</w:t>
      </w:r>
    </w:p>
    <w:p w:rsidR="00EB763E" w:rsidRPr="00955A97" w:rsidRDefault="00EB763E" w:rsidP="005A6D5E">
      <w:pPr>
        <w:pStyle w:val="Bullet1"/>
      </w:pPr>
      <w:r w:rsidRPr="00955A97">
        <w:t>Departmental expenses for the tax exemption component of the proposal have been estimated based on the expected ongoing administrative cost of compliance and determination of eligible entities for the tax exemption.</w:t>
      </w:r>
    </w:p>
    <w:p w:rsidR="00EB763E" w:rsidRPr="00955A97" w:rsidRDefault="00EB763E" w:rsidP="005A6D5E">
      <w:pPr>
        <w:pStyle w:val="Bullet1"/>
      </w:pPr>
      <w:r w:rsidRPr="00955A97">
        <w:t>Departmental expenses for the community powerhouses</w:t>
      </w:r>
      <w:r w:rsidR="00297F74" w:rsidRPr="00955A97">
        <w:t>, Solar Communities</w:t>
      </w:r>
      <w:r w:rsidRPr="00955A97">
        <w:t xml:space="preserve"> and Community Power Network components of the proposal have been estimated based on similar previous Budget measures.</w:t>
      </w:r>
    </w:p>
    <w:p w:rsidR="00EB763E" w:rsidRPr="00955A97" w:rsidRDefault="00EB763E" w:rsidP="005A6D5E">
      <w:pPr>
        <w:pStyle w:val="Bullet1"/>
      </w:pPr>
      <w:r w:rsidRPr="00955A97">
        <w:t>Estimates have been rounded to the nearest $100,000.</w:t>
      </w:r>
    </w:p>
    <w:p w:rsidR="005E3562" w:rsidRPr="00FC6579" w:rsidRDefault="005E3562" w:rsidP="00367661">
      <w:pPr>
        <w:pStyle w:val="Heading2"/>
      </w:pPr>
      <w:r w:rsidRPr="00FC6579">
        <w:lastRenderedPageBreak/>
        <w:t>Data sources</w:t>
      </w:r>
    </w:p>
    <w:p w:rsidR="00EB763E" w:rsidRPr="00955A97" w:rsidRDefault="00EB763E" w:rsidP="00367661">
      <w:pPr>
        <w:pStyle w:val="Bullet1"/>
        <w:keepNext/>
      </w:pPr>
      <w:r w:rsidRPr="00955A97">
        <w:t>De-identified 16 per cent sample of personal income tax and superannuation unit record files for the 2012-13 financial year from the Australian Taxation Office.</w:t>
      </w:r>
    </w:p>
    <w:p w:rsidR="00EB763E" w:rsidRPr="00955A97" w:rsidRDefault="00EB763E" w:rsidP="005A6D5E">
      <w:pPr>
        <w:pStyle w:val="Bullet1"/>
      </w:pPr>
      <w:r w:rsidRPr="00486B8F">
        <w:rPr>
          <w:i/>
        </w:rPr>
        <w:t>National Community Energy Strategy</w:t>
      </w:r>
      <w:r w:rsidRPr="00955A97">
        <w:t>, Coalition for Community Energy.</w:t>
      </w:r>
    </w:p>
    <w:p w:rsidR="00EB763E" w:rsidRPr="00955A97" w:rsidRDefault="00EB763E" w:rsidP="005A6D5E">
      <w:pPr>
        <w:pStyle w:val="Bullet1"/>
      </w:pPr>
      <w:r w:rsidRPr="00486B8F">
        <w:rPr>
          <w:i/>
        </w:rPr>
        <w:t xml:space="preserve">Electricity </w:t>
      </w:r>
      <w:r w:rsidR="001F625D">
        <w:rPr>
          <w:i/>
        </w:rPr>
        <w:t>b</w:t>
      </w:r>
      <w:r w:rsidRPr="00486B8F">
        <w:rPr>
          <w:i/>
        </w:rPr>
        <w:t xml:space="preserve">ill </w:t>
      </w:r>
      <w:r w:rsidR="001F625D">
        <w:rPr>
          <w:i/>
        </w:rPr>
        <w:t>b</w:t>
      </w:r>
      <w:r w:rsidRPr="00486B8F">
        <w:rPr>
          <w:i/>
        </w:rPr>
        <w:t>enchmarks</w:t>
      </w:r>
      <w:r w:rsidR="001F625D">
        <w:rPr>
          <w:i/>
        </w:rPr>
        <w:t xml:space="preserve"> for residential customers</w:t>
      </w:r>
      <w:r w:rsidRPr="005A6D5E">
        <w:t xml:space="preserve"> – March 2015</w:t>
      </w:r>
      <w:r w:rsidRPr="00955A97">
        <w:t>, ACIL Allen Consulting.</w:t>
      </w:r>
    </w:p>
    <w:p w:rsidR="009217D0" w:rsidRPr="00955A97" w:rsidRDefault="00EB763E" w:rsidP="005A6D5E">
      <w:pPr>
        <w:pStyle w:val="Bullet1"/>
      </w:pPr>
      <w:r w:rsidRPr="00486B8F">
        <w:rPr>
          <w:i/>
        </w:rPr>
        <w:t>Australian electricity market analysis report to 2020 and 2030</w:t>
      </w:r>
      <w:r w:rsidRPr="00955A97">
        <w:t>, CSIRO</w:t>
      </w:r>
      <w:r w:rsidR="009217D0" w:rsidRPr="00955A97">
        <w:t>.</w:t>
      </w:r>
    </w:p>
    <w:p w:rsidR="009217D0" w:rsidRPr="00955A97" w:rsidRDefault="009217D0" w:rsidP="005A6D5E">
      <w:pPr>
        <w:pStyle w:val="Bullet1"/>
      </w:pPr>
      <w:r w:rsidRPr="00955A97">
        <w:t>The Department of the Environment</w:t>
      </w:r>
      <w:r w:rsidR="006440AF">
        <w:t xml:space="preserve"> (DoE)</w:t>
      </w:r>
      <w:r w:rsidRPr="00955A97">
        <w:t xml:space="preserve"> provided </w:t>
      </w:r>
      <w:r w:rsidR="003C63F4">
        <w:t>information on</w:t>
      </w:r>
      <w:r w:rsidRPr="00955A97">
        <w:t xml:space="preserve"> funding for the Solar Towns program.</w:t>
      </w:r>
    </w:p>
    <w:p w:rsidR="00EB763E" w:rsidRDefault="009217D0" w:rsidP="005A6D5E">
      <w:pPr>
        <w:pStyle w:val="Bullet1"/>
        <w:sectPr w:rsidR="00EB763E" w:rsidSect="005A6D5E">
          <w:headerReference w:type="default" r:id="rId15"/>
          <w:footerReference w:type="default" r:id="rId16"/>
          <w:headerReference w:type="first" r:id="rId17"/>
          <w:footerReference w:type="first" r:id="rId18"/>
          <w:pgSz w:w="11907" w:h="16839"/>
          <w:pgMar w:top="1361" w:right="1797" w:bottom="1474" w:left="1797" w:header="709" w:footer="709" w:gutter="0"/>
          <w:cols w:space="708"/>
          <w:titlePg/>
          <w:docGrid w:linePitch="360"/>
        </w:sectPr>
      </w:pPr>
      <w:r w:rsidRPr="00955A97">
        <w:t>The Department of Finance provided indexation and efficiency dividend parameters</w:t>
      </w:r>
      <w:r w:rsidR="00EB763E">
        <w:t>.</w:t>
      </w:r>
    </w:p>
    <w:p w:rsidR="001A02D1" w:rsidRPr="00FC6579" w:rsidRDefault="001A02D1" w:rsidP="00FC6579">
      <w:pPr>
        <w:pStyle w:val="Heading1"/>
      </w:pPr>
      <w:r w:rsidRPr="00FC6579">
        <w:lastRenderedPageBreak/>
        <w:t>Attachment A:</w:t>
      </w:r>
      <w:r w:rsidR="00841C3A">
        <w:t xml:space="preserve"> </w:t>
      </w:r>
      <w:r w:rsidR="00EB763E" w:rsidRPr="00042B12">
        <w:t>Community Owned Clean Energy</w:t>
      </w:r>
      <w:r w:rsidR="00440E32" w:rsidRPr="004F1930">
        <w:t>—</w:t>
      </w:r>
      <w:r w:rsidR="00440E32">
        <w:t>financial</w:t>
      </w:r>
      <w:r w:rsidR="00841C3A">
        <w:t> </w:t>
      </w:r>
      <w:r w:rsidR="00440E32">
        <w:t>implications</w:t>
      </w:r>
    </w:p>
    <w:p w:rsidR="00B722CC" w:rsidRDefault="00B722CC" w:rsidP="00B722CC">
      <w:pPr>
        <w:pStyle w:val="Captionheading"/>
      </w:pPr>
      <w:r w:rsidRPr="00FC5643">
        <w:t xml:space="preserve">Table </w:t>
      </w:r>
      <w:r>
        <w:t>A1</w:t>
      </w:r>
      <w:r w:rsidRPr="00FC5643">
        <w:t xml:space="preserve">: </w:t>
      </w:r>
      <w:r>
        <w:t>Community Owned Clean Energy (combined impact) —Financial implications (outturn prices)</w:t>
      </w:r>
      <w:r>
        <w:rPr>
          <w:vertAlign w:val="superscript"/>
        </w:rPr>
        <w:t>(a)(b)</w:t>
      </w:r>
    </w:p>
    <w:tbl>
      <w:tblPr>
        <w:tblStyle w:val="TableGrid"/>
        <w:tblW w:w="4995" w:type="pct"/>
        <w:tblInd w:w="5" w:type="dxa"/>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B722CC" w:rsidRPr="00EF1D6A" w:rsidTr="00F70E59">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B722CC" w:rsidRPr="00EF1D6A" w:rsidRDefault="00B722CC" w:rsidP="00F70E59">
            <w:pPr>
              <w:pStyle w:val="TableText"/>
              <w:keepNext/>
              <w:keepLines/>
              <w:rPr>
                <w:b/>
                <w:szCs w:val="20"/>
              </w:rPr>
            </w:pPr>
            <w:r w:rsidRPr="00EF1D6A">
              <w:rPr>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C24267"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C24267"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C24267"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C24267"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0F5DC4"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0F5DC4">
              <w:rPr>
                <w:b/>
              </w:rPr>
              <w:t>Total to 2019–20</w:t>
            </w:r>
          </w:p>
        </w:tc>
      </w:tr>
      <w:tr w:rsidR="00B722CC" w:rsidRPr="00EF1D6A" w:rsidTr="00F70E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F70E59">
            <w:pPr>
              <w:pStyle w:val="TableHeadingCentred"/>
              <w:jc w:val="left"/>
              <w:rPr>
                <w:b/>
              </w:rPr>
            </w:pPr>
            <w:r w:rsidRPr="0082670E">
              <w:rPr>
                <w:b/>
              </w:rPr>
              <w:t>Impact on fiscal and underlying cash balances</w:t>
            </w:r>
          </w:p>
        </w:tc>
      </w:tr>
      <w:tr w:rsidR="00B722CC" w:rsidRPr="00EF1D6A" w:rsidTr="00F70E59">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F70E59">
            <w:pPr>
              <w:pStyle w:val="TableHeadingCentred"/>
              <w:jc w:val="left"/>
              <w:rPr>
                <w:b/>
              </w:rPr>
            </w:pPr>
            <w:r>
              <w:rPr>
                <w:b/>
              </w:rPr>
              <w:t>Revenue</w:t>
            </w:r>
          </w:p>
        </w:tc>
      </w:tr>
      <w:tr w:rsidR="00B722CC" w:rsidRPr="0066665A" w:rsidTr="00F70E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C56471" w:rsidP="00F70E59">
            <w:pPr>
              <w:spacing w:before="70" w:after="70" w:line="240" w:lineRule="auto"/>
              <w:ind w:left="57" w:right="57"/>
              <w:rPr>
                <w:color w:val="000000"/>
                <w:szCs w:val="20"/>
              </w:rPr>
            </w:pPr>
            <w:r>
              <w:rPr>
                <w:color w:val="000000"/>
                <w:szCs w:val="20"/>
              </w:rPr>
              <w:t>Revenue</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 xml:space="preserve">-0.2 </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 xml:space="preserve">-0.8 </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 xml:space="preserve">-1.1 </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 xml:space="preserve">-1.4 </w:t>
            </w:r>
          </w:p>
        </w:tc>
        <w:tc>
          <w:tcPr>
            <w:tcW w:w="682" w:type="pct"/>
            <w:tcBorders>
              <w:top w:val="single" w:sz="4" w:space="0" w:color="788184"/>
              <w:left w:val="single" w:sz="4" w:space="0" w:color="788184"/>
              <w:bottom w:val="single" w:sz="4" w:space="0" w:color="788184"/>
              <w:right w:val="single" w:sz="4" w:space="0" w:color="788184"/>
            </w:tcBorders>
          </w:tcPr>
          <w:p w:rsidR="00B722CC" w:rsidRPr="00042B12" w:rsidRDefault="00B722CC"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i/>
                <w:color w:val="000000"/>
                <w:szCs w:val="20"/>
              </w:rPr>
            </w:pPr>
            <w:r w:rsidRPr="000F5DC4">
              <w:rPr>
                <w:rFonts w:ascii="Calibri" w:hAnsi="Calibri"/>
                <w:b/>
                <w:i/>
                <w:iCs/>
                <w:color w:val="000000"/>
                <w:szCs w:val="20"/>
              </w:rPr>
              <w:t xml:space="preserve">-3.5 </w:t>
            </w:r>
          </w:p>
        </w:tc>
      </w:tr>
      <w:tr w:rsidR="00B722CC" w:rsidRPr="00EF1D6A" w:rsidTr="00F70E59">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F70E59">
            <w:pPr>
              <w:pStyle w:val="TableHeadingCentred"/>
              <w:jc w:val="left"/>
              <w:rPr>
                <w:b/>
              </w:rPr>
            </w:pPr>
            <w:r>
              <w:rPr>
                <w:b/>
              </w:rPr>
              <w:t>Expenses</w:t>
            </w:r>
          </w:p>
        </w:tc>
      </w:tr>
      <w:tr w:rsidR="007572B8" w:rsidRPr="0066665A" w:rsidTr="00F70E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7572B8" w:rsidRPr="00C56471" w:rsidRDefault="007572B8" w:rsidP="00F70E59">
            <w:pPr>
              <w:spacing w:before="70" w:after="70" w:line="240" w:lineRule="auto"/>
              <w:ind w:left="57" w:right="57"/>
              <w:rPr>
                <w:color w:val="000000"/>
                <w:szCs w:val="20"/>
              </w:rPr>
            </w:pPr>
            <w:r w:rsidRPr="00C56471">
              <w:rPr>
                <w:color w:val="000000"/>
                <w:szCs w:val="20"/>
              </w:rPr>
              <w:t>Administered</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-26.9 </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-100.9 </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-100.9 </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-26.9 </w:t>
            </w:r>
          </w:p>
        </w:tc>
        <w:tc>
          <w:tcPr>
            <w:tcW w:w="682" w:type="pct"/>
            <w:tcBorders>
              <w:top w:val="single" w:sz="4" w:space="0" w:color="788184"/>
              <w:left w:val="single" w:sz="4" w:space="0" w:color="788184"/>
              <w:bottom w:val="single" w:sz="4" w:space="0" w:color="788184"/>
              <w:right w:val="single" w:sz="4" w:space="0" w:color="788184"/>
            </w:tcBorders>
          </w:tcPr>
          <w:p w:rsidR="007572B8" w:rsidRP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i/>
                <w:iCs/>
                <w:color w:val="000000"/>
                <w:szCs w:val="20"/>
              </w:rPr>
            </w:pPr>
            <w:r w:rsidRPr="007572B8">
              <w:rPr>
                <w:rFonts w:ascii="Calibri" w:hAnsi="Calibri"/>
                <w:b/>
                <w:i/>
                <w:iCs/>
                <w:color w:val="000000"/>
                <w:szCs w:val="20"/>
              </w:rPr>
              <w:t xml:space="preserve">-255.6 </w:t>
            </w:r>
          </w:p>
        </w:tc>
      </w:tr>
      <w:tr w:rsidR="007572B8" w:rsidRPr="0066665A" w:rsidTr="00F70E59">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7572B8" w:rsidRPr="00C56471" w:rsidRDefault="007572B8" w:rsidP="00F70E59">
            <w:pPr>
              <w:spacing w:before="70" w:after="70" w:line="240" w:lineRule="auto"/>
              <w:ind w:left="57" w:right="57"/>
              <w:rPr>
                <w:color w:val="000000"/>
                <w:szCs w:val="20"/>
              </w:rPr>
            </w:pPr>
            <w:r w:rsidRPr="00C56471">
              <w:rPr>
                <w:color w:val="000000"/>
                <w:szCs w:val="20"/>
              </w:rPr>
              <w:t>Departmental</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-1.0 </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-2.0 </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-2.0 </w:t>
            </w:r>
          </w:p>
        </w:tc>
        <w:tc>
          <w:tcPr>
            <w:tcW w:w="682" w:type="pct"/>
            <w:tcBorders>
              <w:top w:val="single" w:sz="4" w:space="0" w:color="788184"/>
              <w:left w:val="single" w:sz="4" w:space="0" w:color="788184"/>
              <w:bottom w:val="single" w:sz="4" w:space="0" w:color="788184"/>
              <w:right w:val="single" w:sz="4" w:space="0" w:color="788184"/>
            </w:tcBorders>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-1.0 </w:t>
            </w:r>
          </w:p>
        </w:tc>
        <w:tc>
          <w:tcPr>
            <w:tcW w:w="682" w:type="pct"/>
            <w:tcBorders>
              <w:top w:val="single" w:sz="4" w:space="0" w:color="788184"/>
              <w:left w:val="single" w:sz="4" w:space="0" w:color="788184"/>
              <w:bottom w:val="single" w:sz="4" w:space="0" w:color="788184"/>
              <w:right w:val="single" w:sz="4" w:space="0" w:color="788184"/>
            </w:tcBorders>
          </w:tcPr>
          <w:p w:rsidR="007572B8" w:rsidRP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Cs w:val="20"/>
              </w:rPr>
            </w:pPr>
            <w:r w:rsidRPr="007572B8">
              <w:rPr>
                <w:rFonts w:ascii="Calibri" w:hAnsi="Calibri"/>
                <w:b/>
                <w:i/>
                <w:iCs/>
                <w:color w:val="000000"/>
                <w:szCs w:val="20"/>
              </w:rPr>
              <w:t xml:space="preserve">-6.0 </w:t>
            </w:r>
          </w:p>
        </w:tc>
      </w:tr>
      <w:tr w:rsidR="007572B8" w:rsidRPr="0055406D" w:rsidTr="00F70E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7572B8" w:rsidRPr="00D345AC" w:rsidRDefault="007572B8" w:rsidP="00F70E59">
            <w:pPr>
              <w:spacing w:before="70" w:after="70" w:line="240" w:lineRule="auto"/>
              <w:ind w:left="57" w:right="57"/>
              <w:rPr>
                <w:b/>
                <w:bCs/>
                <w:color w:val="000000"/>
                <w:szCs w:val="20"/>
              </w:rPr>
            </w:pPr>
            <w:r w:rsidRPr="00D345AC">
              <w:rPr>
                <w:b/>
                <w:bCs/>
                <w:color w:val="000000"/>
                <w:szCs w:val="20"/>
              </w:rPr>
              <w:t>Total</w:t>
            </w:r>
            <w:r>
              <w:rPr>
                <w:b/>
                <w:bCs/>
                <w:color w:val="000000"/>
                <w:szCs w:val="20"/>
              </w:rPr>
              <w:t xml:space="preserve"> expenses</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-27.9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-102.9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-102.9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-27.9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-261.6 </w:t>
            </w:r>
          </w:p>
        </w:tc>
      </w:tr>
      <w:tr w:rsidR="007572B8" w:rsidRPr="0055406D" w:rsidTr="00F70E59">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7572B8" w:rsidRPr="00D345AC" w:rsidRDefault="007572B8" w:rsidP="00F70E59">
            <w:pPr>
              <w:spacing w:before="70" w:after="70" w:line="240" w:lineRule="auto"/>
              <w:ind w:left="57" w:right="57"/>
              <w:rPr>
                <w:b/>
                <w:bCs/>
                <w:color w:val="000000"/>
                <w:szCs w:val="20"/>
              </w:rPr>
            </w:pPr>
            <w:r w:rsidRPr="00D345AC">
              <w:rPr>
                <w:b/>
                <w:bCs/>
                <w:color w:val="000000"/>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-28.1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-103.7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-104.0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-29.3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7572B8" w:rsidRDefault="007572B8" w:rsidP="00F70E59">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-265.1 </w:t>
            </w:r>
          </w:p>
        </w:tc>
      </w:tr>
    </w:tbl>
    <w:p w:rsidR="00B722CC" w:rsidRPr="004425BD" w:rsidRDefault="00B722CC" w:rsidP="00657C69">
      <w:pPr>
        <w:pStyle w:val="Footnotes"/>
        <w:numPr>
          <w:ilvl w:val="0"/>
          <w:numId w:val="29"/>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A negative number indicates a decrease in revenue or an increase in expenses or net capital investment in accrual and cash terms.</w:t>
      </w:r>
    </w:p>
    <w:p w:rsidR="00B722CC" w:rsidRDefault="00B722CC" w:rsidP="00B722CC">
      <w:pPr>
        <w:pStyle w:val="Footnotes"/>
      </w:pPr>
      <w:r>
        <w:t>Figures may not sum to totals due to rounding.</w:t>
      </w:r>
    </w:p>
    <w:p w:rsidR="00B722CC" w:rsidRPr="00F70E59" w:rsidRDefault="00B722CC" w:rsidP="00F70E59">
      <w:pPr>
        <w:pStyle w:val="Footnotes"/>
        <w:numPr>
          <w:ilvl w:val="0"/>
          <w:numId w:val="0"/>
        </w:numPr>
        <w:ind w:left="284" w:hanging="284"/>
      </w:pPr>
      <w:r>
        <w:t>-</w:t>
      </w:r>
      <w:r>
        <w:tab/>
        <w:t>Indicates nil.</w:t>
      </w:r>
    </w:p>
    <w:p w:rsidR="00B722CC" w:rsidRDefault="00B722CC" w:rsidP="00F70E59">
      <w:pPr>
        <w:pStyle w:val="Captionheading"/>
        <w:keepLines/>
      </w:pPr>
      <w:r w:rsidRPr="00FC5643">
        <w:lastRenderedPageBreak/>
        <w:t xml:space="preserve">Table </w:t>
      </w:r>
      <w:r>
        <w:t>A2</w:t>
      </w:r>
      <w:r w:rsidRPr="00FC5643">
        <w:t>:</w:t>
      </w:r>
      <w:r>
        <w:t xml:space="preserve"> Component 1: Introduction of tax breaks for investment in CORE and establishment of Community Powerhouses—Financial implications (outturn prices)</w:t>
      </w:r>
      <w:r>
        <w:rPr>
          <w:vertAlign w:val="superscript"/>
        </w:rPr>
        <w:t>(a)(b)</w:t>
      </w:r>
    </w:p>
    <w:tbl>
      <w:tblPr>
        <w:tblStyle w:val="TableGrid"/>
        <w:tblW w:w="4995" w:type="pct"/>
        <w:tblInd w:w="5" w:type="dxa"/>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B722CC" w:rsidRPr="00EF1D6A" w:rsidTr="0056696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B722CC" w:rsidRPr="00760EFC" w:rsidRDefault="00B722CC" w:rsidP="00F70E59">
            <w:pPr>
              <w:pStyle w:val="TableText"/>
              <w:keepNext/>
              <w:keepLines/>
              <w:rPr>
                <w:szCs w:val="20"/>
              </w:rPr>
            </w:pPr>
            <w:r w:rsidRPr="00760EFC">
              <w:rPr>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760EFC"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760EFC">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760EFC"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760EFC">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760EFC"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760EFC">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760EFC"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760EFC">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0F5DC4" w:rsidRDefault="00B722CC" w:rsidP="00F70E59">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0F5DC4">
              <w:rPr>
                <w:b/>
              </w:rPr>
              <w:t>Total to 2019–20</w:t>
            </w:r>
          </w:p>
        </w:tc>
      </w:tr>
      <w:tr w:rsidR="00B722CC" w:rsidRPr="00EF1D6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F70E59">
            <w:pPr>
              <w:pStyle w:val="TableHeadingCentred"/>
              <w:jc w:val="left"/>
              <w:rPr>
                <w:b/>
              </w:rPr>
            </w:pPr>
            <w:r w:rsidRPr="0082670E">
              <w:rPr>
                <w:b/>
              </w:rPr>
              <w:t>Impact on fiscal and underlying cash balances</w:t>
            </w:r>
          </w:p>
        </w:tc>
      </w:tr>
      <w:tr w:rsidR="00B722CC" w:rsidRPr="00EF1D6A" w:rsidTr="0056696C">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F70E59">
            <w:pPr>
              <w:pStyle w:val="TableHeadingCentred"/>
              <w:jc w:val="left"/>
              <w:rPr>
                <w:b/>
              </w:rPr>
            </w:pPr>
            <w:r>
              <w:rPr>
                <w:b/>
              </w:rPr>
              <w:t>Revenue</w:t>
            </w:r>
          </w:p>
        </w:tc>
      </w:tr>
      <w:tr w:rsidR="00B722CC" w:rsidRPr="0066665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F70E59">
            <w:pPr>
              <w:keepNext/>
              <w:keepLines/>
              <w:spacing w:before="70" w:after="70" w:line="240" w:lineRule="auto"/>
              <w:ind w:left="57" w:right="57"/>
              <w:rPr>
                <w:color w:val="000000"/>
                <w:szCs w:val="20"/>
              </w:rPr>
            </w:pPr>
            <w:r>
              <w:rPr>
                <w:color w:val="000000"/>
                <w:szCs w:val="20"/>
              </w:rPr>
              <w:t>CORE</w:t>
            </w:r>
            <w:r w:rsidR="00C56471">
              <w:rPr>
                <w:color w:val="000000"/>
                <w:szCs w:val="20"/>
              </w:rPr>
              <w:t xml:space="preserve"> income tax exemption</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-0.8</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-1.1</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-1.4</w:t>
            </w:r>
          </w:p>
        </w:tc>
        <w:tc>
          <w:tcPr>
            <w:tcW w:w="682" w:type="pct"/>
            <w:tcBorders>
              <w:top w:val="single" w:sz="4" w:space="0" w:color="788184"/>
              <w:left w:val="single" w:sz="4" w:space="0" w:color="788184"/>
              <w:bottom w:val="single" w:sz="4" w:space="0" w:color="788184"/>
              <w:right w:val="single" w:sz="4" w:space="0" w:color="788184"/>
            </w:tcBorders>
          </w:tcPr>
          <w:p w:rsidR="00B722CC" w:rsidRPr="00042B12"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i/>
                <w:color w:val="000000"/>
                <w:szCs w:val="20"/>
              </w:rPr>
            </w:pPr>
            <w:r w:rsidRPr="000F5DC4">
              <w:rPr>
                <w:rFonts w:ascii="Calibri" w:hAnsi="Calibri"/>
                <w:b/>
                <w:i/>
                <w:iCs/>
                <w:color w:val="000000"/>
                <w:szCs w:val="20"/>
              </w:rPr>
              <w:t>-3.5</w:t>
            </w:r>
          </w:p>
        </w:tc>
      </w:tr>
      <w:tr w:rsidR="00B722CC" w:rsidRPr="00EF1D6A" w:rsidTr="0056696C">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F70E59">
            <w:pPr>
              <w:pStyle w:val="TableHeadingCentred"/>
              <w:jc w:val="left"/>
              <w:rPr>
                <w:b/>
              </w:rPr>
            </w:pPr>
            <w:r>
              <w:rPr>
                <w:b/>
              </w:rPr>
              <w:t>Expenses</w:t>
            </w:r>
          </w:p>
        </w:tc>
      </w:tr>
      <w:tr w:rsidR="00B722CC" w:rsidRPr="0066665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F70E59">
            <w:pPr>
              <w:keepNext/>
              <w:keepLines/>
              <w:spacing w:before="70" w:after="70" w:line="240" w:lineRule="auto"/>
              <w:ind w:left="57" w:right="57"/>
              <w:rPr>
                <w:color w:val="000000"/>
                <w:szCs w:val="20"/>
              </w:rPr>
            </w:pPr>
            <w:r w:rsidRPr="00D345AC">
              <w:rPr>
                <w:color w:val="000000"/>
                <w:szCs w:val="20"/>
              </w:rPr>
              <w:t>Administered</w:t>
            </w:r>
            <w:r>
              <w:rPr>
                <w:color w:val="000000"/>
                <w:szCs w:val="20"/>
              </w:rPr>
              <w:t xml:space="preserve"> – Community Powerhouses</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-74.0</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-74.0</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w:t>
            </w:r>
          </w:p>
        </w:tc>
        <w:tc>
          <w:tcPr>
            <w:tcW w:w="682" w:type="pct"/>
            <w:tcBorders>
              <w:top w:val="single" w:sz="4" w:space="0" w:color="788184"/>
              <w:left w:val="single" w:sz="4" w:space="0" w:color="788184"/>
              <w:bottom w:val="single" w:sz="4" w:space="0" w:color="788184"/>
              <w:right w:val="single" w:sz="4" w:space="0" w:color="788184"/>
            </w:tcBorders>
          </w:tcPr>
          <w:p w:rsidR="00B722CC" w:rsidRPr="00042B12"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i/>
                <w:color w:val="000000"/>
                <w:szCs w:val="20"/>
              </w:rPr>
            </w:pPr>
            <w:r w:rsidRPr="000F5DC4">
              <w:rPr>
                <w:rFonts w:ascii="Calibri" w:hAnsi="Calibri"/>
                <w:b/>
                <w:i/>
                <w:iCs/>
                <w:color w:val="000000"/>
                <w:szCs w:val="20"/>
              </w:rPr>
              <w:t>-148.0</w:t>
            </w:r>
          </w:p>
        </w:tc>
      </w:tr>
      <w:tr w:rsidR="00B722CC" w:rsidRPr="0066665A" w:rsidTr="0056696C">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F70E59">
            <w:pPr>
              <w:keepNext/>
              <w:keepLines/>
              <w:spacing w:before="70" w:after="70" w:line="240" w:lineRule="auto"/>
              <w:ind w:left="57" w:right="57"/>
              <w:rPr>
                <w:color w:val="000000"/>
                <w:szCs w:val="20"/>
              </w:rPr>
            </w:pPr>
            <w:r w:rsidRPr="00D345AC">
              <w:rPr>
                <w:color w:val="000000"/>
                <w:szCs w:val="20"/>
              </w:rPr>
              <w:t>Departmental</w:t>
            </w:r>
            <w:r>
              <w:rPr>
                <w:color w:val="000000"/>
                <w:szCs w:val="20"/>
              </w:rPr>
              <w:t xml:space="preserve"> – CORE – ATO</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760EFC" w:rsidP="00F70E59">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tcPr>
          <w:p w:rsidR="00B722CC" w:rsidRPr="00042B12"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color w:val="000000"/>
                <w:szCs w:val="20"/>
              </w:rPr>
            </w:pPr>
            <w:r>
              <w:rPr>
                <w:rFonts w:ascii="Calibri" w:hAnsi="Calibri"/>
                <w:b/>
                <w:i/>
                <w:iCs/>
                <w:color w:val="000000"/>
                <w:szCs w:val="20"/>
              </w:rPr>
              <w:t>-0</w:t>
            </w:r>
            <w:r w:rsidRPr="000F5DC4">
              <w:rPr>
                <w:rFonts w:ascii="Calibri" w:hAnsi="Calibri"/>
                <w:b/>
                <w:i/>
                <w:iCs/>
                <w:color w:val="000000"/>
                <w:szCs w:val="20"/>
              </w:rPr>
              <w:t>.8</w:t>
            </w:r>
          </w:p>
        </w:tc>
      </w:tr>
      <w:tr w:rsidR="00B722CC" w:rsidRPr="0066665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F70E59">
            <w:pPr>
              <w:keepNext/>
              <w:keepLines/>
              <w:spacing w:before="70" w:after="70" w:line="240" w:lineRule="auto"/>
              <w:ind w:left="57" w:right="57"/>
              <w:rPr>
                <w:color w:val="000000"/>
                <w:szCs w:val="20"/>
              </w:rPr>
            </w:pPr>
            <w:r>
              <w:rPr>
                <w:color w:val="000000"/>
                <w:szCs w:val="20"/>
              </w:rPr>
              <w:t>Departmental – Community Powerhouses – DoE</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w:t>
            </w:r>
          </w:p>
        </w:tc>
        <w:tc>
          <w:tcPr>
            <w:tcW w:w="682" w:type="pct"/>
            <w:tcBorders>
              <w:top w:val="single" w:sz="4" w:space="0" w:color="788184"/>
              <w:left w:val="single" w:sz="4" w:space="0" w:color="788184"/>
              <w:bottom w:val="single" w:sz="4" w:space="0" w:color="788184"/>
              <w:right w:val="single" w:sz="4" w:space="0" w:color="788184"/>
            </w:tcBorders>
          </w:tcPr>
          <w:p w:rsidR="00B722CC" w:rsidRDefault="00B722CC" w:rsidP="00F70E59">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i/>
                <w:iCs/>
                <w:color w:val="000000"/>
                <w:szCs w:val="20"/>
              </w:rPr>
            </w:pPr>
            <w:r>
              <w:rPr>
                <w:rFonts w:ascii="Calibri" w:hAnsi="Calibri"/>
                <w:i/>
                <w:iCs/>
                <w:color w:val="000000"/>
                <w:szCs w:val="20"/>
              </w:rPr>
              <w:t>-1.0</w:t>
            </w:r>
          </w:p>
        </w:tc>
        <w:tc>
          <w:tcPr>
            <w:tcW w:w="682" w:type="pct"/>
            <w:tcBorders>
              <w:top w:val="single" w:sz="4" w:space="0" w:color="788184"/>
              <w:left w:val="single" w:sz="4" w:space="0" w:color="788184"/>
              <w:bottom w:val="single" w:sz="4" w:space="0" w:color="788184"/>
              <w:right w:val="single" w:sz="4" w:space="0" w:color="788184"/>
            </w:tcBorders>
          </w:tcPr>
          <w:p w:rsidR="00B722CC" w:rsidRDefault="00B722CC" w:rsidP="00F70E59">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i/>
                <w:iCs/>
                <w:color w:val="000000"/>
                <w:szCs w:val="20"/>
              </w:rPr>
            </w:pPr>
            <w:r>
              <w:rPr>
                <w:rFonts w:ascii="Calibri" w:hAnsi="Calibri"/>
                <w:i/>
                <w:iCs/>
                <w:color w:val="000000"/>
                <w:szCs w:val="20"/>
              </w:rPr>
              <w:t>-1.0</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w:t>
            </w:r>
          </w:p>
        </w:tc>
        <w:tc>
          <w:tcPr>
            <w:tcW w:w="682" w:type="pct"/>
            <w:tcBorders>
              <w:top w:val="single" w:sz="4" w:space="0" w:color="788184"/>
              <w:left w:val="single" w:sz="4" w:space="0" w:color="788184"/>
              <w:bottom w:val="single" w:sz="4" w:space="0" w:color="788184"/>
              <w:right w:val="single" w:sz="4" w:space="0" w:color="788184"/>
            </w:tcBorders>
          </w:tcPr>
          <w:p w:rsidR="00B722CC" w:rsidRPr="000F5DC4" w:rsidRDefault="00B722CC" w:rsidP="00F70E59">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i/>
                <w:iCs/>
                <w:color w:val="000000"/>
                <w:szCs w:val="20"/>
              </w:rPr>
            </w:pPr>
            <w:r>
              <w:rPr>
                <w:rFonts w:ascii="Calibri" w:hAnsi="Calibri"/>
                <w:b/>
                <w:i/>
                <w:iCs/>
                <w:color w:val="000000"/>
                <w:szCs w:val="20"/>
              </w:rPr>
              <w:t>-2.0</w:t>
            </w:r>
          </w:p>
        </w:tc>
      </w:tr>
      <w:tr w:rsidR="00B722CC" w:rsidRPr="0055406D" w:rsidTr="0056696C">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B722CC" w:rsidRPr="00D345AC" w:rsidRDefault="00B722CC" w:rsidP="00F70E59">
            <w:pPr>
              <w:keepNext/>
              <w:keepLines/>
              <w:spacing w:before="70" w:after="70" w:line="240" w:lineRule="auto"/>
              <w:ind w:left="57" w:right="57"/>
              <w:rPr>
                <w:b/>
                <w:bCs/>
                <w:color w:val="000000"/>
                <w:szCs w:val="20"/>
              </w:rPr>
            </w:pPr>
            <w:r w:rsidRPr="00D345AC">
              <w:rPr>
                <w:b/>
                <w:bCs/>
                <w:color w:val="000000"/>
                <w:szCs w:val="20"/>
              </w:rPr>
              <w:t>Total</w:t>
            </w:r>
            <w:r>
              <w:rPr>
                <w:b/>
                <w:bCs/>
                <w:color w:val="000000"/>
                <w:szCs w:val="20"/>
              </w:rPr>
              <w:t xml:space="preserve"> expenses</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Cs w:val="20"/>
              </w:rPr>
            </w:pPr>
            <w:r>
              <w:rPr>
                <w:rFonts w:ascii="Calibri" w:hAnsi="Calibri"/>
                <w:b/>
                <w:bCs/>
                <w:noProof/>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Cs w:val="20"/>
              </w:rPr>
            </w:pPr>
            <w:r>
              <w:rPr>
                <w:rFonts w:ascii="Calibri" w:hAnsi="Calibri"/>
                <w:b/>
                <w:bCs/>
                <w:noProof/>
                <w:color w:val="000000"/>
                <w:szCs w:val="20"/>
              </w:rPr>
              <w:t>-75.2</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Cs w:val="20"/>
              </w:rPr>
            </w:pPr>
            <w:r>
              <w:rPr>
                <w:rFonts w:ascii="Calibri" w:hAnsi="Calibri"/>
                <w:b/>
                <w:bCs/>
                <w:noProof/>
                <w:color w:val="000000"/>
                <w:szCs w:val="20"/>
              </w:rPr>
              <w:t>-75.2</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Cs w:val="20"/>
              </w:rPr>
            </w:pPr>
            <w:r>
              <w:rPr>
                <w:rFonts w:ascii="Calibri" w:hAnsi="Calibri"/>
                <w:b/>
                <w:bCs/>
                <w:noProof/>
                <w:color w:val="000000"/>
                <w:szCs w:val="20"/>
              </w:rPr>
              <w:t>-0.2</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Cs w:val="20"/>
              </w:rPr>
            </w:pPr>
            <w:r>
              <w:rPr>
                <w:rFonts w:ascii="Calibri" w:hAnsi="Calibri"/>
                <w:b/>
                <w:bCs/>
                <w:noProof/>
                <w:color w:val="000000"/>
                <w:szCs w:val="20"/>
              </w:rPr>
              <w:t>-150.8</w:t>
            </w:r>
          </w:p>
        </w:tc>
      </w:tr>
      <w:tr w:rsidR="00B722CC" w:rsidRPr="0055406D"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B722CC" w:rsidRPr="00D345AC" w:rsidRDefault="00B722CC" w:rsidP="00F70E59">
            <w:pPr>
              <w:keepNext/>
              <w:keepLines/>
              <w:spacing w:before="70" w:after="70" w:line="240" w:lineRule="auto"/>
              <w:ind w:left="57" w:right="57"/>
              <w:rPr>
                <w:b/>
                <w:bCs/>
                <w:color w:val="000000"/>
                <w:szCs w:val="20"/>
              </w:rPr>
            </w:pPr>
            <w:r w:rsidRPr="00D345AC">
              <w:rPr>
                <w:b/>
                <w:bCs/>
                <w:color w:val="000000"/>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-0.4</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-76.0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-76.3</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-1.6</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2B1DFA" w:rsidRDefault="00B722CC" w:rsidP="00760EFC">
            <w:pPr>
              <w:keepNext/>
              <w:keepLines/>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-154.3</w:t>
            </w:r>
          </w:p>
        </w:tc>
      </w:tr>
    </w:tbl>
    <w:p w:rsidR="00B722CC" w:rsidRPr="00B722CC" w:rsidRDefault="00B722CC" w:rsidP="00A509C7">
      <w:pPr>
        <w:pStyle w:val="Footnotes"/>
        <w:numPr>
          <w:ilvl w:val="0"/>
          <w:numId w:val="28"/>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A negative number indicates a decrease in revenue or an increase in expenses or net capital investment in accrual and cash terms.</w:t>
      </w:r>
    </w:p>
    <w:p w:rsidR="00B722CC" w:rsidRDefault="00B722CC" w:rsidP="00B722CC">
      <w:pPr>
        <w:pStyle w:val="Footnotes"/>
        <w:numPr>
          <w:ilvl w:val="0"/>
          <w:numId w:val="7"/>
        </w:numPr>
      </w:pPr>
      <w:r>
        <w:t>Figures may not sum to totals due to rounding.</w:t>
      </w:r>
    </w:p>
    <w:p w:rsidR="00B722CC" w:rsidRDefault="00B722CC" w:rsidP="00B722CC">
      <w:pPr>
        <w:pStyle w:val="Footnotes"/>
        <w:numPr>
          <w:ilvl w:val="0"/>
          <w:numId w:val="0"/>
        </w:numPr>
        <w:ind w:left="284" w:hanging="284"/>
      </w:pPr>
      <w:r>
        <w:t>-</w:t>
      </w:r>
      <w:r>
        <w:tab/>
        <w:t>Indicates nil.</w:t>
      </w:r>
    </w:p>
    <w:p w:rsidR="00B722CC" w:rsidRDefault="00B722CC" w:rsidP="00B722CC">
      <w:pPr>
        <w:pStyle w:val="Captionheading"/>
      </w:pPr>
      <w:r w:rsidRPr="00FC5643">
        <w:t xml:space="preserve">Table </w:t>
      </w:r>
      <w:r>
        <w:t>A3</w:t>
      </w:r>
      <w:r w:rsidRPr="00FC5643">
        <w:t>:</w:t>
      </w:r>
      <w:r>
        <w:t xml:space="preserve"> Component 2: Establishment of a Co</w:t>
      </w:r>
      <w:r w:rsidR="002636E8">
        <w:t>mmunity Power Network—Financial </w:t>
      </w:r>
      <w:r>
        <w:t>implications (outturn prices)</w:t>
      </w:r>
      <w:r>
        <w:rPr>
          <w:vertAlign w:val="superscript"/>
        </w:rPr>
        <w:t>(a)(b)</w:t>
      </w:r>
    </w:p>
    <w:tbl>
      <w:tblPr>
        <w:tblStyle w:val="TableGrid"/>
        <w:tblW w:w="4995" w:type="pct"/>
        <w:tblInd w:w="5" w:type="dxa"/>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B722CC" w:rsidRPr="00EF1D6A" w:rsidTr="0056696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B722CC" w:rsidRPr="002636E8" w:rsidRDefault="00B722CC" w:rsidP="002636E8">
            <w:pPr>
              <w:pStyle w:val="TableText"/>
              <w:keepNext/>
              <w:keepLines/>
              <w:rPr>
                <w:szCs w:val="20"/>
              </w:rPr>
            </w:pPr>
            <w:r w:rsidRPr="002636E8">
              <w:rPr>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2636E8" w:rsidRDefault="00B722CC" w:rsidP="002636E8">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2636E8">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2636E8" w:rsidRDefault="00B722CC" w:rsidP="002636E8">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2636E8">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2636E8" w:rsidRDefault="00B722CC" w:rsidP="002636E8">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2636E8">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2636E8" w:rsidRDefault="00B722CC" w:rsidP="002636E8">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2636E8">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2636E8" w:rsidRDefault="00B722CC" w:rsidP="002636E8">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2636E8">
              <w:rPr>
                <w:b/>
              </w:rPr>
              <w:t>Total to 2019–20</w:t>
            </w:r>
          </w:p>
        </w:tc>
      </w:tr>
      <w:tr w:rsidR="00B722CC" w:rsidRPr="00EF1D6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2636E8">
            <w:pPr>
              <w:pStyle w:val="TableHeadingCentred"/>
              <w:jc w:val="left"/>
              <w:rPr>
                <w:b/>
              </w:rPr>
            </w:pPr>
            <w:r w:rsidRPr="0082670E">
              <w:rPr>
                <w:b/>
              </w:rPr>
              <w:t>Impact on fiscal and underlying cash balances</w:t>
            </w:r>
          </w:p>
        </w:tc>
      </w:tr>
      <w:tr w:rsidR="00B722CC" w:rsidRPr="00EF1D6A" w:rsidTr="0056696C">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2636E8">
            <w:pPr>
              <w:pStyle w:val="TableHeadingCentred"/>
              <w:jc w:val="left"/>
              <w:rPr>
                <w:b/>
              </w:rPr>
            </w:pPr>
            <w:r>
              <w:rPr>
                <w:b/>
              </w:rPr>
              <w:t>Expenses</w:t>
            </w:r>
          </w:p>
        </w:tc>
      </w:tr>
      <w:tr w:rsidR="00B722CC" w:rsidRPr="0066665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2636E8">
            <w:pPr>
              <w:spacing w:before="70" w:after="70" w:line="240" w:lineRule="auto"/>
              <w:ind w:left="57" w:right="57"/>
              <w:rPr>
                <w:color w:val="000000"/>
                <w:szCs w:val="20"/>
              </w:rPr>
            </w:pPr>
            <w:r w:rsidRPr="00D345AC">
              <w:rPr>
                <w:color w:val="000000"/>
                <w:szCs w:val="20"/>
              </w:rPr>
              <w:t>Administered</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-1.9</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-1.9</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-1.9</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-1.9</w:t>
            </w:r>
          </w:p>
        </w:tc>
        <w:tc>
          <w:tcPr>
            <w:tcW w:w="682" w:type="pct"/>
            <w:tcBorders>
              <w:top w:val="single" w:sz="4" w:space="0" w:color="788184"/>
              <w:left w:val="single" w:sz="4" w:space="0" w:color="788184"/>
              <w:bottom w:val="single" w:sz="4" w:space="0" w:color="788184"/>
              <w:right w:val="single" w:sz="4" w:space="0" w:color="788184"/>
            </w:tcBorders>
          </w:tcPr>
          <w:p w:rsidR="00B722CC" w:rsidRPr="002636E8" w:rsidRDefault="00B722CC"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i/>
                <w:color w:val="000000"/>
                <w:szCs w:val="20"/>
              </w:rPr>
            </w:pPr>
            <w:r w:rsidRPr="002636E8">
              <w:rPr>
                <w:rFonts w:ascii="Calibri" w:hAnsi="Calibri"/>
                <w:b/>
                <w:i/>
                <w:iCs/>
                <w:color w:val="000000"/>
                <w:szCs w:val="20"/>
              </w:rPr>
              <w:t>-7.6</w:t>
            </w:r>
          </w:p>
        </w:tc>
      </w:tr>
      <w:tr w:rsidR="00B722CC" w:rsidRPr="0066665A" w:rsidTr="0056696C">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2636E8">
            <w:pPr>
              <w:spacing w:before="70" w:after="70" w:line="240" w:lineRule="auto"/>
              <w:ind w:left="57" w:right="57"/>
              <w:rPr>
                <w:color w:val="000000"/>
                <w:szCs w:val="20"/>
              </w:rPr>
            </w:pPr>
            <w:r w:rsidRPr="00D345AC">
              <w:rPr>
                <w:color w:val="000000"/>
                <w:szCs w:val="20"/>
              </w:rPr>
              <w:t>Departmental</w:t>
            </w:r>
            <w:r w:rsidR="005B62F0">
              <w:rPr>
                <w:color w:val="000000"/>
                <w:szCs w:val="20"/>
              </w:rPr>
              <w:t xml:space="preserve"> – DoE</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-0.1</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-0.1</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-0.1</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2636E8">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-0.1</w:t>
            </w:r>
          </w:p>
        </w:tc>
        <w:tc>
          <w:tcPr>
            <w:tcW w:w="682" w:type="pct"/>
            <w:tcBorders>
              <w:top w:val="single" w:sz="4" w:space="0" w:color="788184"/>
              <w:left w:val="single" w:sz="4" w:space="0" w:color="788184"/>
              <w:bottom w:val="single" w:sz="4" w:space="0" w:color="788184"/>
              <w:right w:val="single" w:sz="4" w:space="0" w:color="788184"/>
            </w:tcBorders>
          </w:tcPr>
          <w:p w:rsidR="00B722CC" w:rsidRPr="002636E8" w:rsidRDefault="00B722CC" w:rsidP="002636E8">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color w:val="000000"/>
                <w:szCs w:val="20"/>
              </w:rPr>
            </w:pPr>
            <w:r w:rsidRPr="002636E8">
              <w:rPr>
                <w:rFonts w:ascii="Calibri" w:hAnsi="Calibri"/>
                <w:b/>
                <w:i/>
                <w:iCs/>
                <w:color w:val="000000"/>
                <w:szCs w:val="20"/>
              </w:rPr>
              <w:t>-0.4</w:t>
            </w:r>
          </w:p>
        </w:tc>
      </w:tr>
      <w:tr w:rsidR="009466C6" w:rsidRPr="0055406D" w:rsidTr="00187D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9466C6" w:rsidRPr="00D345AC" w:rsidRDefault="009466C6" w:rsidP="002636E8">
            <w:pPr>
              <w:spacing w:before="70" w:after="70" w:line="240" w:lineRule="auto"/>
              <w:ind w:left="57" w:right="57"/>
              <w:rPr>
                <w:b/>
                <w:bCs/>
                <w:color w:val="000000"/>
                <w:szCs w:val="20"/>
              </w:rPr>
            </w:pPr>
            <w:r w:rsidRPr="00D345AC">
              <w:rPr>
                <w:b/>
                <w:bCs/>
                <w:color w:val="000000"/>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9466C6" w:rsidRDefault="009466C6"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-2.0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9466C6" w:rsidRDefault="009466C6"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-2.0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9466C6" w:rsidRDefault="009466C6"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-2.0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9466C6" w:rsidRDefault="009466C6"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Pr>
                <w:rFonts w:ascii="Calibri" w:hAnsi="Calibri"/>
                <w:b/>
                <w:bCs/>
                <w:color w:val="000000"/>
                <w:szCs w:val="20"/>
              </w:rPr>
              <w:t>-2.0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9466C6" w:rsidRPr="002636E8" w:rsidRDefault="009466C6" w:rsidP="002636E8">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Cs w:val="20"/>
              </w:rPr>
            </w:pPr>
            <w:r w:rsidRPr="002636E8">
              <w:rPr>
                <w:rFonts w:ascii="Calibri" w:hAnsi="Calibri"/>
                <w:b/>
                <w:bCs/>
                <w:color w:val="000000"/>
                <w:szCs w:val="20"/>
              </w:rPr>
              <w:t>-8.0</w:t>
            </w:r>
          </w:p>
        </w:tc>
      </w:tr>
    </w:tbl>
    <w:p w:rsidR="00B722CC" w:rsidRPr="00B722CC" w:rsidRDefault="00B722CC" w:rsidP="00A509C7">
      <w:pPr>
        <w:pStyle w:val="Footnotes"/>
        <w:numPr>
          <w:ilvl w:val="0"/>
          <w:numId w:val="27"/>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A negative number indicates a decrease in revenue or an increase in expenses or net capital investment in accrual and cash terms.</w:t>
      </w:r>
    </w:p>
    <w:p w:rsidR="00B722CC" w:rsidRDefault="00B722CC" w:rsidP="00B722CC">
      <w:pPr>
        <w:pStyle w:val="Footnotes"/>
        <w:numPr>
          <w:ilvl w:val="0"/>
          <w:numId w:val="7"/>
        </w:numPr>
      </w:pPr>
      <w:r>
        <w:t>Figures may not sum to totals due to rounding.</w:t>
      </w:r>
    </w:p>
    <w:p w:rsidR="00B722CC" w:rsidRDefault="00B722CC" w:rsidP="00854FCE">
      <w:pPr>
        <w:pStyle w:val="Footnotes"/>
        <w:numPr>
          <w:ilvl w:val="0"/>
          <w:numId w:val="0"/>
        </w:numPr>
        <w:ind w:left="284" w:hanging="284"/>
      </w:pPr>
      <w:r>
        <w:t>-</w:t>
      </w:r>
      <w:r>
        <w:tab/>
        <w:t>Indicates nil.</w:t>
      </w:r>
    </w:p>
    <w:p w:rsidR="00B722CC" w:rsidRDefault="00B722CC" w:rsidP="00B722CC">
      <w:pPr>
        <w:pStyle w:val="Captionheading"/>
      </w:pPr>
      <w:r w:rsidRPr="00FC5643">
        <w:lastRenderedPageBreak/>
        <w:t xml:space="preserve">Table </w:t>
      </w:r>
      <w:r>
        <w:t>A4</w:t>
      </w:r>
      <w:r w:rsidRPr="00FC5643">
        <w:t>:</w:t>
      </w:r>
      <w:r>
        <w:t xml:space="preserve"> Component 3: Replacement of existing Solar Towns program —Financial implications (outturn prices)</w:t>
      </w:r>
      <w:r>
        <w:rPr>
          <w:vertAlign w:val="superscript"/>
        </w:rPr>
        <w:t>(a)(b)</w:t>
      </w:r>
    </w:p>
    <w:tbl>
      <w:tblPr>
        <w:tblStyle w:val="TableGrid"/>
        <w:tblW w:w="4995" w:type="pct"/>
        <w:tblInd w:w="5" w:type="dxa"/>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B722CC" w:rsidRPr="00EF1D6A" w:rsidTr="0056696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B722CC" w:rsidRPr="00854FCE" w:rsidRDefault="00B722CC" w:rsidP="00854FCE">
            <w:pPr>
              <w:pStyle w:val="TableText"/>
              <w:keepNext/>
              <w:keepLines/>
              <w:rPr>
                <w:szCs w:val="20"/>
              </w:rPr>
            </w:pPr>
            <w:r w:rsidRPr="00854FCE">
              <w:rPr>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854FCE" w:rsidRDefault="00B722CC" w:rsidP="00854FCE">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854FCE">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854FCE" w:rsidRDefault="00B722CC" w:rsidP="00854FCE">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854FCE">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854FCE" w:rsidRDefault="00B722CC" w:rsidP="00854FCE">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854FCE">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854FCE" w:rsidRDefault="00B722CC" w:rsidP="00854FCE">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854FCE">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B722CC" w:rsidRPr="00042B12" w:rsidRDefault="00B722CC" w:rsidP="00854FCE">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042B12">
              <w:rPr>
                <w:b/>
              </w:rPr>
              <w:t>Total to 2019–20</w:t>
            </w:r>
          </w:p>
        </w:tc>
      </w:tr>
      <w:tr w:rsidR="00B722CC" w:rsidRPr="00EF1D6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854FCE">
            <w:pPr>
              <w:pStyle w:val="TableHeadingCentred"/>
              <w:jc w:val="left"/>
              <w:rPr>
                <w:b/>
              </w:rPr>
            </w:pPr>
            <w:r w:rsidRPr="0082670E">
              <w:rPr>
                <w:b/>
              </w:rPr>
              <w:t>Impact on fiscal and underlying cash balances</w:t>
            </w:r>
          </w:p>
        </w:tc>
      </w:tr>
      <w:tr w:rsidR="00B722CC" w:rsidRPr="00EF1D6A" w:rsidTr="0056696C">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B722CC" w:rsidRPr="00AE30B5" w:rsidRDefault="00B722CC" w:rsidP="00854FCE">
            <w:pPr>
              <w:pStyle w:val="TableHeadingCentred"/>
              <w:jc w:val="left"/>
              <w:rPr>
                <w:b/>
              </w:rPr>
            </w:pPr>
            <w:r>
              <w:rPr>
                <w:b/>
              </w:rPr>
              <w:t>Expenses</w:t>
            </w:r>
          </w:p>
        </w:tc>
      </w:tr>
      <w:tr w:rsidR="00B722CC" w:rsidRPr="0066665A"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854FCE">
            <w:pPr>
              <w:spacing w:before="70" w:after="70" w:line="240" w:lineRule="auto"/>
              <w:ind w:left="57" w:right="57"/>
              <w:rPr>
                <w:color w:val="000000"/>
                <w:szCs w:val="20"/>
              </w:rPr>
            </w:pPr>
            <w:r w:rsidRPr="00D345AC">
              <w:rPr>
                <w:color w:val="000000"/>
                <w:szCs w:val="20"/>
              </w:rPr>
              <w:t>Administered</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-25.0</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-25.0</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-25.0</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i/>
                <w:color w:val="000000"/>
                <w:szCs w:val="20"/>
              </w:rPr>
            </w:pPr>
            <w:r>
              <w:rPr>
                <w:rFonts w:ascii="Calibri" w:hAnsi="Calibri"/>
                <w:i/>
                <w:iCs/>
                <w:color w:val="000000"/>
                <w:szCs w:val="20"/>
              </w:rPr>
              <w:t>-25.0</w:t>
            </w:r>
          </w:p>
        </w:tc>
        <w:tc>
          <w:tcPr>
            <w:tcW w:w="682" w:type="pct"/>
            <w:tcBorders>
              <w:top w:val="single" w:sz="4" w:space="0" w:color="788184"/>
              <w:left w:val="single" w:sz="4" w:space="0" w:color="788184"/>
              <w:bottom w:val="single" w:sz="4" w:space="0" w:color="788184"/>
              <w:right w:val="single" w:sz="4" w:space="0" w:color="788184"/>
            </w:tcBorders>
          </w:tcPr>
          <w:p w:rsidR="00B722CC" w:rsidRPr="00042B12"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i/>
                <w:color w:val="000000"/>
                <w:szCs w:val="20"/>
              </w:rPr>
            </w:pPr>
            <w:r w:rsidRPr="00042B12">
              <w:rPr>
                <w:rFonts w:ascii="Calibri" w:hAnsi="Calibri"/>
                <w:b/>
                <w:i/>
                <w:iCs/>
                <w:color w:val="000000"/>
                <w:szCs w:val="20"/>
              </w:rPr>
              <w:t>-100.0</w:t>
            </w:r>
          </w:p>
        </w:tc>
      </w:tr>
      <w:tr w:rsidR="00B722CC" w:rsidRPr="0066665A" w:rsidTr="0056696C">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722CC" w:rsidRPr="00D345AC" w:rsidRDefault="00B722CC" w:rsidP="00854FCE">
            <w:pPr>
              <w:spacing w:before="70" w:after="70" w:line="240" w:lineRule="auto"/>
              <w:ind w:left="57" w:right="57"/>
              <w:rPr>
                <w:color w:val="000000"/>
                <w:szCs w:val="20"/>
              </w:rPr>
            </w:pPr>
            <w:r w:rsidRPr="00D345AC">
              <w:rPr>
                <w:color w:val="000000"/>
                <w:szCs w:val="20"/>
              </w:rPr>
              <w:t>Departmental</w:t>
            </w:r>
            <w:r w:rsidR="005B62F0">
              <w:rPr>
                <w:color w:val="000000"/>
                <w:szCs w:val="20"/>
              </w:rPr>
              <w:t xml:space="preserve"> – DoE</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-0.7</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-0.7</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-0.7</w:t>
            </w:r>
          </w:p>
        </w:tc>
        <w:tc>
          <w:tcPr>
            <w:tcW w:w="682" w:type="pct"/>
            <w:tcBorders>
              <w:top w:val="single" w:sz="4" w:space="0" w:color="788184"/>
              <w:left w:val="single" w:sz="4" w:space="0" w:color="788184"/>
              <w:bottom w:val="single" w:sz="4" w:space="0" w:color="788184"/>
              <w:right w:val="single" w:sz="4" w:space="0" w:color="788184"/>
            </w:tcBorders>
          </w:tcPr>
          <w:p w:rsidR="00B722CC" w:rsidRPr="00CE485F" w:rsidRDefault="00B722CC" w:rsidP="00854FCE">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Pr>
                <w:rFonts w:ascii="Calibri" w:hAnsi="Calibri"/>
                <w:i/>
                <w:iCs/>
                <w:color w:val="000000"/>
                <w:szCs w:val="20"/>
              </w:rPr>
              <w:t>-0.7</w:t>
            </w:r>
          </w:p>
        </w:tc>
        <w:tc>
          <w:tcPr>
            <w:tcW w:w="682" w:type="pct"/>
            <w:tcBorders>
              <w:top w:val="single" w:sz="4" w:space="0" w:color="788184"/>
              <w:left w:val="single" w:sz="4" w:space="0" w:color="788184"/>
              <w:bottom w:val="single" w:sz="4" w:space="0" w:color="788184"/>
              <w:right w:val="single" w:sz="4" w:space="0" w:color="788184"/>
            </w:tcBorders>
          </w:tcPr>
          <w:p w:rsidR="00B722CC" w:rsidRPr="00042B12" w:rsidRDefault="00B722CC" w:rsidP="00854FCE">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color w:val="000000"/>
                <w:szCs w:val="20"/>
              </w:rPr>
            </w:pPr>
            <w:r w:rsidRPr="00042B12">
              <w:rPr>
                <w:rFonts w:ascii="Calibri" w:hAnsi="Calibri"/>
                <w:b/>
                <w:i/>
                <w:iCs/>
                <w:color w:val="000000"/>
                <w:szCs w:val="20"/>
              </w:rPr>
              <w:t>-2.8</w:t>
            </w:r>
          </w:p>
        </w:tc>
      </w:tr>
      <w:tr w:rsidR="00B722CC" w:rsidRPr="0055406D" w:rsidTr="005669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B722CC" w:rsidRPr="00D345AC" w:rsidRDefault="00B722CC" w:rsidP="00854FCE">
            <w:pPr>
              <w:spacing w:before="70" w:after="70" w:line="240" w:lineRule="auto"/>
              <w:ind w:left="57" w:right="57"/>
              <w:rPr>
                <w:b/>
                <w:bCs/>
                <w:color w:val="000000"/>
                <w:szCs w:val="20"/>
              </w:rPr>
            </w:pPr>
            <w:r w:rsidRPr="00D345AC">
              <w:rPr>
                <w:b/>
                <w:bCs/>
                <w:color w:val="000000"/>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042B12"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-25.7</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042B12"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-25.7</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042B12"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-25.7</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042B12"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-25.7</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B722CC" w:rsidRPr="00042B12" w:rsidRDefault="00B722CC" w:rsidP="00854FCE">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bCs/>
                <w:color w:val="000000"/>
                <w:szCs w:val="20"/>
              </w:rPr>
            </w:pPr>
            <w:r>
              <w:rPr>
                <w:rFonts w:ascii="Calibri" w:hAnsi="Calibri"/>
                <w:b/>
                <w:bCs/>
                <w:noProof/>
                <w:color w:val="000000"/>
                <w:szCs w:val="20"/>
              </w:rPr>
              <w:t>-102.8</w:t>
            </w:r>
          </w:p>
        </w:tc>
      </w:tr>
    </w:tbl>
    <w:p w:rsidR="00B722CC" w:rsidRPr="000F5DC4" w:rsidRDefault="00B722CC" w:rsidP="00B722CC">
      <w:pPr>
        <w:pStyle w:val="Footnotes"/>
        <w:numPr>
          <w:ilvl w:val="0"/>
          <w:numId w:val="26"/>
        </w:numPr>
      </w:pPr>
      <w:r w:rsidRPr="00073299">
        <w:t>A positive number indicates an increase in revenue or decrease in expenses or net capital investment in accrual and cash terms.  A negative number indicates a decrease in revenue or an increase in expenses or net capital investment in accrual and cash terms.</w:t>
      </w:r>
    </w:p>
    <w:p w:rsidR="00B722CC" w:rsidRPr="00073299" w:rsidRDefault="00B722CC" w:rsidP="00B722CC">
      <w:pPr>
        <w:pStyle w:val="Footnotes"/>
      </w:pPr>
      <w:r w:rsidRPr="00073299">
        <w:t>Figures may not sum to totals due to rounding.</w:t>
      </w:r>
    </w:p>
    <w:p w:rsidR="00042B12" w:rsidRPr="00FA475D" w:rsidRDefault="00B722CC" w:rsidP="00FA475D">
      <w:pPr>
        <w:pStyle w:val="Footnotes"/>
        <w:numPr>
          <w:ilvl w:val="0"/>
          <w:numId w:val="0"/>
        </w:numPr>
        <w:ind w:left="284" w:hanging="284"/>
      </w:pPr>
      <w:r>
        <w:t>-</w:t>
      </w:r>
      <w:r>
        <w:tab/>
        <w:t>Indicates nil.</w:t>
      </w:r>
    </w:p>
    <w:sectPr w:rsidR="00042B12" w:rsidRPr="00FA475D" w:rsidSect="009D1320">
      <w:headerReference w:type="first" r:id="rId19"/>
      <w:footerReference w:type="first" r:id="rId20"/>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D0" w:rsidRDefault="003A33D0" w:rsidP="008F588A">
      <w:pPr>
        <w:spacing w:line="240" w:lineRule="auto"/>
      </w:pPr>
      <w:r>
        <w:separator/>
      </w:r>
    </w:p>
    <w:p w:rsidR="003A33D0" w:rsidRDefault="003A33D0"/>
  </w:endnote>
  <w:endnote w:type="continuationSeparator" w:id="0">
    <w:p w:rsidR="003A33D0" w:rsidRDefault="003A33D0" w:rsidP="008F588A">
      <w:pPr>
        <w:spacing w:line="240" w:lineRule="auto"/>
      </w:pPr>
      <w:r>
        <w:continuationSeparator/>
      </w:r>
    </w:p>
    <w:p w:rsidR="003A33D0" w:rsidRDefault="003A3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Pr="00C24267" w:rsidRDefault="00060F2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94180">
      <w:rPr>
        <w:noProof/>
      </w:rPr>
      <w:t>8</w:t>
    </w:r>
    <w:r w:rsidRPr="00C24267">
      <w:fldChar w:fldCharType="end"/>
    </w:r>
    <w:r w:rsidRPr="00C24267">
      <w:t xml:space="preserve"> of </w:t>
    </w:r>
    <w:r w:rsidR="00A122D5">
      <w:fldChar w:fldCharType="begin"/>
    </w:r>
    <w:r w:rsidR="00A122D5">
      <w:instrText xml:space="preserve"> NUMPAGES  \* Arabic  \* MERGEFORMAT </w:instrText>
    </w:r>
    <w:r w:rsidR="00A122D5">
      <w:fldChar w:fldCharType="separate"/>
    </w:r>
    <w:r w:rsidR="00E94180">
      <w:rPr>
        <w:noProof/>
      </w:rPr>
      <w:t>8</w:t>
    </w:r>
    <w:r w:rsidR="00A122D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Pr="00C24267" w:rsidRDefault="00060F22" w:rsidP="00C24267">
    <w:pPr>
      <w:pStyle w:val="Letterfooter"/>
    </w:pPr>
    <w:r w:rsidRPr="00C24267">
      <w:t>Parliamentary Budget Office   PO Box 6010   Parliament House   Canberra ACT 2600</w:t>
    </w:r>
  </w:p>
  <w:p w:rsidR="00060F22" w:rsidRPr="00C24267" w:rsidRDefault="00060F22"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63E" w:rsidRPr="00367661" w:rsidRDefault="00042B12" w:rsidP="00367661">
    <w:pPr>
      <w:pStyle w:val="Footer"/>
    </w:pPr>
    <w:r w:rsidRPr="00367661">
      <w:t xml:space="preserve">Page </w:t>
    </w:r>
    <w:r w:rsidRPr="00367661">
      <w:fldChar w:fldCharType="begin"/>
    </w:r>
    <w:r w:rsidRPr="00367661">
      <w:instrText xml:space="preserve"> PAGE  \* Arabic  \* MERGEFORMAT </w:instrText>
    </w:r>
    <w:r w:rsidRPr="00367661">
      <w:fldChar w:fldCharType="separate"/>
    </w:r>
    <w:r w:rsidR="00A122D5">
      <w:rPr>
        <w:noProof/>
      </w:rPr>
      <w:t>8</w:t>
    </w:r>
    <w:r w:rsidRPr="00367661">
      <w:fldChar w:fldCharType="end"/>
    </w:r>
    <w:r w:rsidRPr="00367661">
      <w:t xml:space="preserve"> of </w:t>
    </w:r>
    <w:r w:rsidR="00A122D5">
      <w:fldChar w:fldCharType="begin"/>
    </w:r>
    <w:r w:rsidR="00A122D5">
      <w:instrText xml:space="preserve"> NUMPAGES  \* Arabic  \* MERGEFORMAT </w:instrText>
    </w:r>
    <w:r w:rsidR="00A122D5">
      <w:fldChar w:fldCharType="separate"/>
    </w:r>
    <w:r w:rsidR="00A122D5">
      <w:rPr>
        <w:noProof/>
      </w:rPr>
      <w:t>8</w:t>
    </w:r>
    <w:r w:rsidR="00A122D5">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63E" w:rsidRPr="0083591C" w:rsidRDefault="00042B12" w:rsidP="0083591C">
    <w:pPr>
      <w:pStyle w:val="Footer"/>
      <w:rPr>
        <w:rStyle w:val="IntenseReference"/>
        <w:rFonts w:asciiTheme="minorHAnsi" w:hAnsiTheme="minorHAnsi"/>
        <w:b/>
        <w:bCs w:val="0"/>
        <w:color w:val="auto"/>
        <w:spacing w:val="0"/>
        <w:sz w:val="22"/>
        <w:szCs w:val="22"/>
      </w:rPr>
    </w:pPr>
    <w:r w:rsidRPr="0083591C">
      <w:t xml:space="preserve">Page </w:t>
    </w:r>
    <w:r w:rsidRPr="0083591C">
      <w:fldChar w:fldCharType="begin"/>
    </w:r>
    <w:r w:rsidRPr="0083591C">
      <w:instrText xml:space="preserve"> PAGE  \* Arabic  \* MERGEFORMAT </w:instrText>
    </w:r>
    <w:r w:rsidRPr="0083591C">
      <w:fldChar w:fldCharType="separate"/>
    </w:r>
    <w:r w:rsidR="00A122D5">
      <w:rPr>
        <w:noProof/>
      </w:rPr>
      <w:t>2</w:t>
    </w:r>
    <w:r w:rsidRPr="0083591C">
      <w:fldChar w:fldCharType="end"/>
    </w:r>
    <w:r w:rsidRPr="0083591C">
      <w:t xml:space="preserve"> of </w:t>
    </w:r>
    <w:r w:rsidR="00A122D5">
      <w:fldChar w:fldCharType="begin"/>
    </w:r>
    <w:r w:rsidR="00A122D5">
      <w:instrText xml:space="preserve"> NUMPAGES  \* Arabic  \* MERGEFORMAT </w:instrText>
    </w:r>
    <w:r w:rsidR="00A122D5">
      <w:fldChar w:fldCharType="separate"/>
    </w:r>
    <w:r w:rsidR="00A122D5">
      <w:rPr>
        <w:noProof/>
      </w:rPr>
      <w:t>2</w:t>
    </w:r>
    <w:r w:rsidR="00A122D5">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75" w:rsidRPr="00C24267" w:rsidRDefault="005B7B75"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A122D5">
      <w:rPr>
        <w:noProof/>
      </w:rPr>
      <w:t>6</w:t>
    </w:r>
    <w:r w:rsidRPr="00C24267">
      <w:fldChar w:fldCharType="end"/>
    </w:r>
    <w:r w:rsidRPr="00C24267">
      <w:t xml:space="preserve"> of </w:t>
    </w:r>
    <w:r w:rsidR="00A122D5">
      <w:fldChar w:fldCharType="begin"/>
    </w:r>
    <w:r w:rsidR="00A122D5">
      <w:instrText xml:space="preserve"> NUMPAGES  \* Arabic  \* MERGEFORMAT </w:instrText>
    </w:r>
    <w:r w:rsidR="00A122D5">
      <w:fldChar w:fldCharType="separate"/>
    </w:r>
    <w:r w:rsidR="00A122D5">
      <w:rPr>
        <w:noProof/>
      </w:rPr>
      <w:t>6</w:t>
    </w:r>
    <w:r w:rsidR="00A122D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D0" w:rsidRDefault="003A33D0" w:rsidP="008F588A">
      <w:pPr>
        <w:spacing w:line="240" w:lineRule="auto"/>
      </w:pPr>
      <w:r>
        <w:separator/>
      </w:r>
    </w:p>
    <w:p w:rsidR="003A33D0" w:rsidRDefault="003A33D0"/>
  </w:footnote>
  <w:footnote w:type="continuationSeparator" w:id="0">
    <w:p w:rsidR="003A33D0" w:rsidRDefault="003A33D0" w:rsidP="008F588A">
      <w:pPr>
        <w:spacing w:line="240" w:lineRule="auto"/>
      </w:pPr>
      <w:r>
        <w:continuationSeparator/>
      </w:r>
    </w:p>
    <w:p w:rsidR="003A33D0" w:rsidRDefault="003A33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Pr="00C17112" w:rsidRDefault="00060F22" w:rsidP="00C17112">
    <w:pPr>
      <w:pStyle w:val="Header"/>
      <w:spacing w:before="0" w:after="0"/>
      <w:jc w:val="right"/>
      <w:rPr>
        <w:b/>
        <w:color w:val="FF0000"/>
        <w:sz w:val="28"/>
        <w:szCs w:val="28"/>
      </w:rPr>
    </w:pPr>
    <w:r w:rsidRPr="0092572B">
      <w:rPr>
        <w:b/>
        <w:color w:val="FF0000"/>
        <w:sz w:val="28"/>
        <w:szCs w:val="28"/>
      </w:rPr>
      <w:t>Sensitive—until publicly releas</w:t>
    </w:r>
    <w:r>
      <w:rPr>
        <w:b/>
        <w:color w:val="FF0000"/>
        <w:sz w:val="28"/>
        <w:szCs w:val="28"/>
      </w:rPr>
      <w: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Default="00060F22" w:rsidP="00CB40E1">
    <w:pPr>
      <w:pStyle w:val="Header"/>
    </w:pPr>
    <w:r>
      <w:rPr>
        <w:noProof/>
        <w:lang w:eastAsia="en-AU"/>
      </w:rPr>
      <w:drawing>
        <wp:inline distT="0" distB="0" distL="0" distR="0" wp14:anchorId="72665081" wp14:editId="5A2B679D">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060F22" w:rsidRPr="00DA1C8A" w:rsidRDefault="00060F22"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63E" w:rsidRPr="002C2F7E" w:rsidRDefault="00EB763E" w:rsidP="002C2F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63E" w:rsidRPr="0083569C" w:rsidRDefault="00042B12" w:rsidP="005A6D5E">
    <w:pPr>
      <w:pStyle w:val="Header"/>
      <w:spacing w:before="120" w:after="0"/>
      <w:rPr>
        <w:rStyle w:val="IntenseReference"/>
        <w:rFonts w:cs="Arial"/>
        <w:bCs w:val="0"/>
        <w:color w:val="auto"/>
        <w:sz w:val="24"/>
        <w:szCs w:val="24"/>
      </w:rPr>
    </w:pPr>
    <w:r w:rsidRPr="0083569C">
      <w:rPr>
        <w:b/>
        <w:noProof/>
        <w:lang w:eastAsia="en-AU"/>
      </w:rPr>
      <w:drawing>
        <wp:inline distT="0" distB="0" distL="0" distR="0" wp14:anchorId="0E8A9C30" wp14:editId="769683E0">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75" w:rsidRPr="002C2F7E" w:rsidRDefault="005B7B75" w:rsidP="002C2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8">
    <w:nsid w:val="3A492F5B"/>
    <w:multiLevelType w:val="hybridMultilevel"/>
    <w:tmpl w:val="020E10C4"/>
    <w:lvl w:ilvl="0" w:tplc="92B0F9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745C3AB2"/>
    <w:multiLevelType w:val="hybridMultilevel"/>
    <w:tmpl w:val="EC528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9EA63D9"/>
    <w:multiLevelType w:val="hybridMultilevel"/>
    <w:tmpl w:val="92E4AE7E"/>
    <w:lvl w:ilvl="0" w:tplc="CC7AE5C8">
      <w:start w:val="1"/>
      <w:numFmt w:val="lowerLetter"/>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3"/>
  </w:num>
  <w:num w:numId="2">
    <w:abstractNumId w:val="6"/>
  </w:num>
  <w:num w:numId="3">
    <w:abstractNumId w:val="4"/>
  </w:num>
  <w:num w:numId="4">
    <w:abstractNumId w:val="5"/>
  </w:num>
  <w:num w:numId="5">
    <w:abstractNumId w:val="9"/>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0"/>
  </w:num>
  <w:num w:numId="18">
    <w:abstractNumId w:val="8"/>
  </w:num>
  <w:num w:numId="19">
    <w:abstractNumId w:val="2"/>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D0"/>
    <w:rsid w:val="00002D5D"/>
    <w:rsid w:val="00015FB2"/>
    <w:rsid w:val="00024933"/>
    <w:rsid w:val="0004018C"/>
    <w:rsid w:val="00040DCE"/>
    <w:rsid w:val="00042B12"/>
    <w:rsid w:val="00060F22"/>
    <w:rsid w:val="00073299"/>
    <w:rsid w:val="00096F3A"/>
    <w:rsid w:val="000B5EA2"/>
    <w:rsid w:val="000C1A75"/>
    <w:rsid w:val="000F5DC4"/>
    <w:rsid w:val="0012184C"/>
    <w:rsid w:val="00125153"/>
    <w:rsid w:val="001278D0"/>
    <w:rsid w:val="0014239B"/>
    <w:rsid w:val="0017224E"/>
    <w:rsid w:val="00175EE3"/>
    <w:rsid w:val="001A02D1"/>
    <w:rsid w:val="001F625D"/>
    <w:rsid w:val="001F7D6A"/>
    <w:rsid w:val="00220BE5"/>
    <w:rsid w:val="002422A3"/>
    <w:rsid w:val="0025430B"/>
    <w:rsid w:val="002636E8"/>
    <w:rsid w:val="00297F74"/>
    <w:rsid w:val="002B7B15"/>
    <w:rsid w:val="002C2F7E"/>
    <w:rsid w:val="002E777D"/>
    <w:rsid w:val="00315E34"/>
    <w:rsid w:val="00326DE2"/>
    <w:rsid w:val="00341F79"/>
    <w:rsid w:val="00367661"/>
    <w:rsid w:val="00377E93"/>
    <w:rsid w:val="003A33D0"/>
    <w:rsid w:val="003B474B"/>
    <w:rsid w:val="003C63F4"/>
    <w:rsid w:val="003D7744"/>
    <w:rsid w:val="003E4F5F"/>
    <w:rsid w:val="003F73CA"/>
    <w:rsid w:val="00404CA1"/>
    <w:rsid w:val="00410A2C"/>
    <w:rsid w:val="0043249B"/>
    <w:rsid w:val="00440E32"/>
    <w:rsid w:val="004425BD"/>
    <w:rsid w:val="00461597"/>
    <w:rsid w:val="00481934"/>
    <w:rsid w:val="00485374"/>
    <w:rsid w:val="00486B8F"/>
    <w:rsid w:val="004C283B"/>
    <w:rsid w:val="004D13ED"/>
    <w:rsid w:val="004D5525"/>
    <w:rsid w:val="004F1930"/>
    <w:rsid w:val="005035DA"/>
    <w:rsid w:val="00507897"/>
    <w:rsid w:val="005136BF"/>
    <w:rsid w:val="00515A85"/>
    <w:rsid w:val="00545F24"/>
    <w:rsid w:val="0055581F"/>
    <w:rsid w:val="0056229A"/>
    <w:rsid w:val="00570154"/>
    <w:rsid w:val="00570B5A"/>
    <w:rsid w:val="00587422"/>
    <w:rsid w:val="005A6D5E"/>
    <w:rsid w:val="005B1A4A"/>
    <w:rsid w:val="005B62F0"/>
    <w:rsid w:val="005B7B75"/>
    <w:rsid w:val="005C6967"/>
    <w:rsid w:val="005E3562"/>
    <w:rsid w:val="005F7DE0"/>
    <w:rsid w:val="00640346"/>
    <w:rsid w:val="006440AF"/>
    <w:rsid w:val="00657C69"/>
    <w:rsid w:val="00660385"/>
    <w:rsid w:val="00662E65"/>
    <w:rsid w:val="0066665A"/>
    <w:rsid w:val="00692DD8"/>
    <w:rsid w:val="006B48C0"/>
    <w:rsid w:val="006F0CE9"/>
    <w:rsid w:val="007202A8"/>
    <w:rsid w:val="007229A9"/>
    <w:rsid w:val="007572B8"/>
    <w:rsid w:val="00760EFC"/>
    <w:rsid w:val="007B029A"/>
    <w:rsid w:val="007B6C6D"/>
    <w:rsid w:val="007D0A96"/>
    <w:rsid w:val="007D33AA"/>
    <w:rsid w:val="007D3577"/>
    <w:rsid w:val="007D64CD"/>
    <w:rsid w:val="007F6F4D"/>
    <w:rsid w:val="007F7BCF"/>
    <w:rsid w:val="008030EC"/>
    <w:rsid w:val="00811D6D"/>
    <w:rsid w:val="00817E8E"/>
    <w:rsid w:val="0083569C"/>
    <w:rsid w:val="0083591C"/>
    <w:rsid w:val="00841C3A"/>
    <w:rsid w:val="00844776"/>
    <w:rsid w:val="00854FCE"/>
    <w:rsid w:val="008836B1"/>
    <w:rsid w:val="008850D9"/>
    <w:rsid w:val="008908AF"/>
    <w:rsid w:val="008A4578"/>
    <w:rsid w:val="008C03C3"/>
    <w:rsid w:val="008D3909"/>
    <w:rsid w:val="008D6ECA"/>
    <w:rsid w:val="008F588A"/>
    <w:rsid w:val="00902D2D"/>
    <w:rsid w:val="009074EA"/>
    <w:rsid w:val="00915804"/>
    <w:rsid w:val="009217D0"/>
    <w:rsid w:val="009466C6"/>
    <w:rsid w:val="00955A97"/>
    <w:rsid w:val="00957285"/>
    <w:rsid w:val="009573AF"/>
    <w:rsid w:val="009672EF"/>
    <w:rsid w:val="00977D7B"/>
    <w:rsid w:val="009963ED"/>
    <w:rsid w:val="009B42E5"/>
    <w:rsid w:val="009D1320"/>
    <w:rsid w:val="009D4063"/>
    <w:rsid w:val="00A122D5"/>
    <w:rsid w:val="00A41BD3"/>
    <w:rsid w:val="00A449C2"/>
    <w:rsid w:val="00A509C7"/>
    <w:rsid w:val="00A56E7F"/>
    <w:rsid w:val="00A65EA3"/>
    <w:rsid w:val="00A7322F"/>
    <w:rsid w:val="00AA3D6F"/>
    <w:rsid w:val="00AB55AE"/>
    <w:rsid w:val="00AB6F7D"/>
    <w:rsid w:val="00AC0BCC"/>
    <w:rsid w:val="00AC7878"/>
    <w:rsid w:val="00AD493E"/>
    <w:rsid w:val="00AD5692"/>
    <w:rsid w:val="00AE30B5"/>
    <w:rsid w:val="00AE5755"/>
    <w:rsid w:val="00B06055"/>
    <w:rsid w:val="00B32589"/>
    <w:rsid w:val="00B44D8A"/>
    <w:rsid w:val="00B637BE"/>
    <w:rsid w:val="00B722CC"/>
    <w:rsid w:val="00B73AC8"/>
    <w:rsid w:val="00B747A7"/>
    <w:rsid w:val="00B7696D"/>
    <w:rsid w:val="00BA2BBF"/>
    <w:rsid w:val="00BC559C"/>
    <w:rsid w:val="00C17112"/>
    <w:rsid w:val="00C24267"/>
    <w:rsid w:val="00C56471"/>
    <w:rsid w:val="00CA12A0"/>
    <w:rsid w:val="00CA5D42"/>
    <w:rsid w:val="00CB40E1"/>
    <w:rsid w:val="00CF6DB6"/>
    <w:rsid w:val="00CF7D9A"/>
    <w:rsid w:val="00D134CA"/>
    <w:rsid w:val="00D2586C"/>
    <w:rsid w:val="00D52D5F"/>
    <w:rsid w:val="00D656C0"/>
    <w:rsid w:val="00D747D2"/>
    <w:rsid w:val="00D805AE"/>
    <w:rsid w:val="00D949A3"/>
    <w:rsid w:val="00DA1506"/>
    <w:rsid w:val="00DA1C8A"/>
    <w:rsid w:val="00DA3B55"/>
    <w:rsid w:val="00DB44F0"/>
    <w:rsid w:val="00DD109E"/>
    <w:rsid w:val="00DD3E18"/>
    <w:rsid w:val="00DE5255"/>
    <w:rsid w:val="00E12103"/>
    <w:rsid w:val="00E15AAE"/>
    <w:rsid w:val="00E21184"/>
    <w:rsid w:val="00E33A79"/>
    <w:rsid w:val="00E40B8B"/>
    <w:rsid w:val="00E5742E"/>
    <w:rsid w:val="00E94180"/>
    <w:rsid w:val="00EA265F"/>
    <w:rsid w:val="00EA5685"/>
    <w:rsid w:val="00EB763E"/>
    <w:rsid w:val="00ED43FF"/>
    <w:rsid w:val="00EE3C21"/>
    <w:rsid w:val="00EE6600"/>
    <w:rsid w:val="00EF1D6A"/>
    <w:rsid w:val="00EF2E51"/>
    <w:rsid w:val="00EF3115"/>
    <w:rsid w:val="00F21865"/>
    <w:rsid w:val="00F31E24"/>
    <w:rsid w:val="00F4535C"/>
    <w:rsid w:val="00F52474"/>
    <w:rsid w:val="00F5529D"/>
    <w:rsid w:val="00F5669E"/>
    <w:rsid w:val="00F70E59"/>
    <w:rsid w:val="00F75D33"/>
    <w:rsid w:val="00F954CF"/>
    <w:rsid w:val="00F97DFF"/>
    <w:rsid w:val="00FA475D"/>
    <w:rsid w:val="00FC6579"/>
    <w:rsid w:val="00FD200F"/>
    <w:rsid w:val="00FD3FB3"/>
    <w:rsid w:val="00FE1053"/>
    <w:rsid w:val="00FE6904"/>
    <w:rsid w:val="00FF5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3591C"/>
    <w:rPr>
      <w:rFonts w:eastAsia="Times New Roman" w:cs="Times New Roman"/>
      <w:spacing w:val="0"/>
      <w:lang w:eastAsia="en-AU"/>
    </w:rPr>
  </w:style>
  <w:style w:type="paragraph" w:customStyle="1" w:styleId="Bullet2">
    <w:name w:val="Bullet 2"/>
    <w:basedOn w:val="ListBullet2"/>
    <w:link w:val="Bullet2Char"/>
    <w:qFormat/>
    <w:rsid w:val="0083591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3591C"/>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3591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paragraph" w:customStyle="1" w:styleId="Proformatext">
    <w:name w:val="Pro forma text"/>
    <w:basedOn w:val="Normal"/>
    <w:rsid w:val="00A56E7F"/>
    <w:pPr>
      <w:spacing w:before="80" w:after="80" w:line="260" w:lineRule="exact"/>
    </w:pPr>
    <w:rPr>
      <w:rFonts w:ascii="Book Antiqua" w:eastAsia="Times New Roman" w:hAnsi="Book Antiqua" w:cs="Times New Roman"/>
      <w:sz w:val="20"/>
      <w:szCs w:val="20"/>
      <w:lang w:eastAsia="en-AU"/>
    </w:rPr>
  </w:style>
  <w:style w:type="paragraph" w:styleId="CommentText">
    <w:name w:val="annotation text"/>
    <w:basedOn w:val="Normal"/>
    <w:link w:val="CommentTextChar"/>
    <w:uiPriority w:val="99"/>
    <w:semiHidden/>
    <w:unhideWhenUsed/>
    <w:rsid w:val="00EB763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63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EB763E"/>
    <w:rPr>
      <w:rFonts w:ascii="Arial" w:hAnsi="Arial"/>
      <w:b/>
      <w:bCs/>
      <w:color w:val="FF0000"/>
      <w:spacing w:val="5"/>
      <w:sz w:val="28"/>
      <w:szCs w:val="28"/>
    </w:rPr>
  </w:style>
  <w:style w:type="character" w:styleId="CommentReference">
    <w:name w:val="annotation reference"/>
    <w:basedOn w:val="DefaultParagraphFont"/>
    <w:uiPriority w:val="99"/>
    <w:semiHidden/>
    <w:unhideWhenUsed/>
    <w:rsid w:val="0025430B"/>
    <w:rPr>
      <w:sz w:val="16"/>
      <w:szCs w:val="16"/>
    </w:rPr>
  </w:style>
  <w:style w:type="paragraph" w:styleId="CommentSubject">
    <w:name w:val="annotation subject"/>
    <w:basedOn w:val="CommentText"/>
    <w:next w:val="CommentText"/>
    <w:link w:val="CommentSubjectChar"/>
    <w:uiPriority w:val="99"/>
    <w:semiHidden/>
    <w:unhideWhenUsed/>
    <w:rsid w:val="0025430B"/>
    <w:pPr>
      <w:spacing w:before="114" w:after="114"/>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5430B"/>
    <w:rPr>
      <w:rFonts w:ascii="Times New Roman" w:hAnsi="Times New Roman" w:cs="Times New Roman"/>
      <w:b/>
      <w:bCs/>
      <w:sz w:val="20"/>
      <w:szCs w:val="20"/>
    </w:rPr>
  </w:style>
  <w:style w:type="paragraph" w:styleId="Revision">
    <w:name w:val="Revision"/>
    <w:hidden/>
    <w:uiPriority w:val="99"/>
    <w:semiHidden/>
    <w:rsid w:val="002543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3591C"/>
    <w:rPr>
      <w:rFonts w:eastAsia="Times New Roman" w:cs="Times New Roman"/>
      <w:spacing w:val="0"/>
      <w:lang w:eastAsia="en-AU"/>
    </w:rPr>
  </w:style>
  <w:style w:type="paragraph" w:customStyle="1" w:styleId="Bullet2">
    <w:name w:val="Bullet 2"/>
    <w:basedOn w:val="ListBullet2"/>
    <w:link w:val="Bullet2Char"/>
    <w:qFormat/>
    <w:rsid w:val="0083591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3591C"/>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3591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paragraph" w:customStyle="1" w:styleId="Proformatext">
    <w:name w:val="Pro forma text"/>
    <w:basedOn w:val="Normal"/>
    <w:rsid w:val="00A56E7F"/>
    <w:pPr>
      <w:spacing w:before="80" w:after="80" w:line="260" w:lineRule="exact"/>
    </w:pPr>
    <w:rPr>
      <w:rFonts w:ascii="Book Antiqua" w:eastAsia="Times New Roman" w:hAnsi="Book Antiqua" w:cs="Times New Roman"/>
      <w:sz w:val="20"/>
      <w:szCs w:val="20"/>
      <w:lang w:eastAsia="en-AU"/>
    </w:rPr>
  </w:style>
  <w:style w:type="paragraph" w:styleId="CommentText">
    <w:name w:val="annotation text"/>
    <w:basedOn w:val="Normal"/>
    <w:link w:val="CommentTextChar"/>
    <w:uiPriority w:val="99"/>
    <w:semiHidden/>
    <w:unhideWhenUsed/>
    <w:rsid w:val="00EB763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63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EB763E"/>
    <w:rPr>
      <w:rFonts w:ascii="Arial" w:hAnsi="Arial"/>
      <w:b/>
      <w:bCs/>
      <w:color w:val="FF0000"/>
      <w:spacing w:val="5"/>
      <w:sz w:val="28"/>
      <w:szCs w:val="28"/>
    </w:rPr>
  </w:style>
  <w:style w:type="character" w:styleId="CommentReference">
    <w:name w:val="annotation reference"/>
    <w:basedOn w:val="DefaultParagraphFont"/>
    <w:uiPriority w:val="99"/>
    <w:semiHidden/>
    <w:unhideWhenUsed/>
    <w:rsid w:val="0025430B"/>
    <w:rPr>
      <w:sz w:val="16"/>
      <w:szCs w:val="16"/>
    </w:rPr>
  </w:style>
  <w:style w:type="paragraph" w:styleId="CommentSubject">
    <w:name w:val="annotation subject"/>
    <w:basedOn w:val="CommentText"/>
    <w:next w:val="CommentText"/>
    <w:link w:val="CommentSubjectChar"/>
    <w:uiPriority w:val="99"/>
    <w:semiHidden/>
    <w:unhideWhenUsed/>
    <w:rsid w:val="0025430B"/>
    <w:pPr>
      <w:spacing w:before="114" w:after="114"/>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5430B"/>
    <w:rPr>
      <w:rFonts w:ascii="Times New Roman" w:hAnsi="Times New Roman" w:cs="Times New Roman"/>
      <w:b/>
      <w:bCs/>
      <w:sz w:val="20"/>
      <w:szCs w:val="20"/>
    </w:rPr>
  </w:style>
  <w:style w:type="paragraph" w:styleId="Revision">
    <w:name w:val="Revision"/>
    <w:hidden/>
    <w:uiPriority w:val="99"/>
    <w:semiHidden/>
    <w:rsid w:val="00254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5373">
      <w:bodyDiv w:val="1"/>
      <w:marLeft w:val="0"/>
      <w:marRight w:val="0"/>
      <w:marTop w:val="0"/>
      <w:marBottom w:val="0"/>
      <w:divBdr>
        <w:top w:val="none" w:sz="0" w:space="0" w:color="auto"/>
        <w:left w:val="none" w:sz="0" w:space="0" w:color="auto"/>
        <w:bottom w:val="none" w:sz="0" w:space="0" w:color="auto"/>
        <w:right w:val="none" w:sz="0" w:space="0" w:color="auto"/>
      </w:divBdr>
    </w:div>
    <w:div w:id="509956789">
      <w:bodyDiv w:val="1"/>
      <w:marLeft w:val="0"/>
      <w:marRight w:val="0"/>
      <w:marTop w:val="0"/>
      <w:marBottom w:val="0"/>
      <w:divBdr>
        <w:top w:val="none" w:sz="0" w:space="0" w:color="auto"/>
        <w:left w:val="none" w:sz="0" w:space="0" w:color="auto"/>
        <w:bottom w:val="none" w:sz="0" w:space="0" w:color="auto"/>
        <w:right w:val="none" w:sz="0" w:space="0" w:color="auto"/>
      </w:divBdr>
    </w:div>
    <w:div w:id="1200705153">
      <w:bodyDiv w:val="1"/>
      <w:marLeft w:val="0"/>
      <w:marRight w:val="0"/>
      <w:marTop w:val="0"/>
      <w:marBottom w:val="0"/>
      <w:divBdr>
        <w:top w:val="none" w:sz="0" w:space="0" w:color="auto"/>
        <w:left w:val="none" w:sz="0" w:space="0" w:color="auto"/>
        <w:bottom w:val="none" w:sz="0" w:space="0" w:color="auto"/>
        <w:right w:val="none" w:sz="0" w:space="0" w:color="auto"/>
      </w:divBdr>
    </w:div>
    <w:div w:id="16631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community-renewabl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A8790D5-2E11-4EE9-AB9A-395570DE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279</TotalTime>
  <Pages>8</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PBO - GRN022 - Community Owned Clean Energy - 28 June 2016</vt:lpstr>
    </vt:vector>
  </TitlesOfParts>
  <Company>Parliament of Australia</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GRN022 - Community Owned Clean Energy - 28 June 2016</dc:title>
  <dc:creator>Parliamentary Budget Office</dc:creator>
  <cp:lastModifiedBy>Milligan, Louise (PBO)</cp:lastModifiedBy>
  <cp:revision>61</cp:revision>
  <cp:lastPrinted>2016-06-28T08:48:00Z</cp:lastPrinted>
  <dcterms:created xsi:type="dcterms:W3CDTF">2016-06-25T01:24:00Z</dcterms:created>
  <dcterms:modified xsi:type="dcterms:W3CDTF">2016-06-28T23:35:00Z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