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Default="00C841CF" w:rsidP="00372AEB">
      <w:pPr>
        <w:pStyle w:val="Lettertext"/>
        <w:spacing w:before="1560"/>
      </w:pPr>
      <w:bookmarkStart w:id="0" w:name="_GoBack"/>
      <w:bookmarkEnd w:id="0"/>
      <w:r>
        <w:t>Senator Richard Di Natale</w:t>
      </w:r>
    </w:p>
    <w:p w:rsidR="00040DCE" w:rsidRPr="00002D5D" w:rsidRDefault="00C841CF" w:rsidP="00372AEB">
      <w:pPr>
        <w:pStyle w:val="Lettertext"/>
        <w:spacing w:before="0"/>
      </w:pPr>
      <w:r>
        <w:t>Leader</w:t>
      </w:r>
    </w:p>
    <w:p w:rsidR="00040DCE" w:rsidRPr="00002D5D" w:rsidRDefault="00C841CF" w:rsidP="00372AEB">
      <w:pPr>
        <w:pStyle w:val="Lettertext"/>
        <w:spacing w:before="0"/>
      </w:pPr>
      <w:r>
        <w:t>Australian Greens</w:t>
      </w:r>
    </w:p>
    <w:p w:rsidR="00040DCE" w:rsidRPr="00002D5D" w:rsidRDefault="005C6967" w:rsidP="00372AEB">
      <w:pPr>
        <w:pStyle w:val="Lettertext"/>
        <w:spacing w:before="0"/>
      </w:pPr>
      <w:r>
        <w:t>Parliament House</w:t>
      </w:r>
    </w:p>
    <w:p w:rsidR="00040DCE" w:rsidRPr="00002D5D" w:rsidRDefault="005C6967" w:rsidP="00372AEB">
      <w:pPr>
        <w:pStyle w:val="Lettertext"/>
        <w:spacing w:before="0"/>
      </w:pPr>
      <w:r>
        <w:t>CANBERRA  ACT  2600</w:t>
      </w:r>
    </w:p>
    <w:p w:rsidR="00040DCE" w:rsidRPr="00002D5D" w:rsidRDefault="00040DCE" w:rsidP="00372AEB">
      <w:pPr>
        <w:pStyle w:val="Lettertext"/>
        <w:spacing w:before="480"/>
      </w:pPr>
      <w:r w:rsidRPr="00002D5D">
        <w:t xml:space="preserve">Dear </w:t>
      </w:r>
      <w:r w:rsidR="00C841CF">
        <w:t>Senator Di Natale</w:t>
      </w:r>
    </w:p>
    <w:p w:rsidR="00040DCE" w:rsidRPr="00002D5D" w:rsidRDefault="00040DCE" w:rsidP="00372AEB">
      <w:pPr>
        <w:pStyle w:val="Lettertext"/>
      </w:pPr>
      <w:r w:rsidRPr="00002D5D">
        <w:t xml:space="preserve">Please find attached a response to your costing request, </w:t>
      </w:r>
      <w:r w:rsidR="00C841CF">
        <w:rPr>
          <w:i/>
        </w:rPr>
        <w:t>Close offshore detention and build safer pathways</w:t>
      </w:r>
      <w:r w:rsidRPr="00002D5D">
        <w:t xml:space="preserve"> (letter of </w:t>
      </w:r>
      <w:r w:rsidR="00C841CF">
        <w:t>27 June</w:t>
      </w:r>
      <w:r w:rsidRPr="00002D5D">
        <w:t xml:space="preserve"> 2016).</w:t>
      </w:r>
    </w:p>
    <w:p w:rsidR="00040DCE" w:rsidRPr="00002D5D" w:rsidRDefault="00040DCE" w:rsidP="00372AEB">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372AEB">
      <w:pPr>
        <w:pStyle w:val="Lettertext"/>
      </w:pPr>
      <w:r w:rsidRPr="00002D5D">
        <w:t xml:space="preserve">If you have any queries about this costing, please </w:t>
      </w:r>
      <w:r w:rsidR="00F75D33">
        <w:t>contact Colin </w:t>
      </w:r>
      <w:r w:rsidR="003D7744">
        <w:t>Brown on (02) </w:t>
      </w:r>
      <w:r w:rsidRPr="00002D5D">
        <w:t>6277</w:t>
      </w:r>
      <w:r w:rsidR="003D7744">
        <w:t> </w:t>
      </w:r>
      <w:r w:rsidRPr="00002D5D">
        <w:t>9530.</w:t>
      </w:r>
    </w:p>
    <w:p w:rsidR="00040DCE" w:rsidRPr="00002D5D" w:rsidRDefault="00040DCE" w:rsidP="00372AEB">
      <w:pPr>
        <w:pStyle w:val="Lettertext"/>
      </w:pPr>
      <w:r w:rsidRPr="00002D5D">
        <w:t>Yours sincerely</w:t>
      </w:r>
    </w:p>
    <w:p w:rsidR="00040DCE" w:rsidRPr="00002D5D" w:rsidRDefault="00DA1C8A" w:rsidP="00372AEB">
      <w:pPr>
        <w:pStyle w:val="Lettertext"/>
        <w:spacing w:before="960"/>
      </w:pPr>
      <w:r w:rsidRPr="00002D5D">
        <w:t>Phil Bowen</w:t>
      </w:r>
    </w:p>
    <w:p w:rsidR="00096F3A" w:rsidRPr="00002D5D" w:rsidRDefault="0051470F" w:rsidP="0051470F">
      <w:pPr>
        <w:pStyle w:val="Lettertext"/>
        <w:spacing w:before="120"/>
      </w:pPr>
      <w:r>
        <w:t xml:space="preserve">29 </w:t>
      </w:r>
      <w:r w:rsidR="00B77256">
        <w:t>June</w:t>
      </w:r>
      <w:r w:rsidR="00040DCE" w:rsidRPr="00002D5D">
        <w:t xml:space="preserve"> </w:t>
      </w:r>
      <w:r w:rsidR="00DA1C8A" w:rsidRPr="00002D5D">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Style1"/>
        <w:tblW w:w="8528" w:type="dxa"/>
        <w:tblLayout w:type="fixed"/>
        <w:tblLook w:val="04A0" w:firstRow="1" w:lastRow="0" w:firstColumn="1" w:lastColumn="0" w:noHBand="0" w:noVBand="1"/>
      </w:tblPr>
      <w:tblGrid>
        <w:gridCol w:w="2943"/>
        <w:gridCol w:w="5585"/>
      </w:tblGrid>
      <w:tr w:rsidR="004D5525" w:rsidTr="0051470F">
        <w:trPr>
          <w:cnfStyle w:val="100000000000" w:firstRow="1" w:lastRow="0" w:firstColumn="0" w:lastColumn="0" w:oddVBand="0" w:evenVBand="0" w:oddHBand="0" w:evenHBand="0" w:firstRowFirstColumn="0" w:firstRowLastColumn="0" w:lastRowFirstColumn="0" w:lastRowLastColumn="0"/>
        </w:trPr>
        <w:tc>
          <w:tcPr>
            <w:tcW w:w="2943" w:type="dxa"/>
          </w:tcPr>
          <w:p w:rsidR="004D5525" w:rsidRDefault="004D5525" w:rsidP="004D5525">
            <w:pPr>
              <w:pStyle w:val="BodyText"/>
            </w:pPr>
            <w:r>
              <w:t>Name of proposal:</w:t>
            </w:r>
          </w:p>
        </w:tc>
        <w:tc>
          <w:tcPr>
            <w:tcW w:w="5585" w:type="dxa"/>
          </w:tcPr>
          <w:p w:rsidR="004D5525" w:rsidRDefault="005A055C" w:rsidP="004D5525">
            <w:pPr>
              <w:pStyle w:val="BodyText"/>
            </w:pPr>
            <w:r w:rsidRPr="00C841CF">
              <w:t>Close offshore detention and build safer pathways</w:t>
            </w:r>
          </w:p>
        </w:tc>
      </w:tr>
      <w:tr w:rsidR="004D5525" w:rsidTr="0051470F">
        <w:tc>
          <w:tcPr>
            <w:tcW w:w="2943" w:type="dxa"/>
          </w:tcPr>
          <w:p w:rsidR="004D5525" w:rsidRDefault="004D5525" w:rsidP="004D5525">
            <w:pPr>
              <w:pStyle w:val="BodyText"/>
            </w:pPr>
            <w:r>
              <w:t>Summary of proposal:</w:t>
            </w:r>
          </w:p>
        </w:tc>
        <w:tc>
          <w:tcPr>
            <w:tcW w:w="5585" w:type="dxa"/>
          </w:tcPr>
          <w:p w:rsidR="00C841CF" w:rsidRDefault="00C841CF" w:rsidP="004D5525">
            <w:pPr>
              <w:pStyle w:val="BodyText"/>
            </w:pPr>
            <w:r>
              <w:t>This proposal contains five components:</w:t>
            </w:r>
          </w:p>
          <w:p w:rsidR="00C841CF" w:rsidRDefault="00C841CF" w:rsidP="004D5525">
            <w:pPr>
              <w:pStyle w:val="BodyText"/>
              <w:rPr>
                <w:u w:val="single"/>
              </w:rPr>
            </w:pPr>
            <w:r>
              <w:rPr>
                <w:u w:val="single"/>
              </w:rPr>
              <w:t>Component 1: End offshore detention</w:t>
            </w:r>
          </w:p>
          <w:p w:rsidR="00C841CF" w:rsidRDefault="00C841CF" w:rsidP="004D5525">
            <w:pPr>
              <w:pStyle w:val="BodyText"/>
            </w:pPr>
            <w:r>
              <w:t>This component would:</w:t>
            </w:r>
          </w:p>
          <w:p w:rsidR="00C841CF" w:rsidRDefault="00C841CF" w:rsidP="00C841CF">
            <w:pPr>
              <w:pStyle w:val="Bullet1"/>
              <w:tabs>
                <w:tab w:val="clear" w:pos="454"/>
                <w:tab w:val="num" w:pos="256"/>
              </w:tabs>
              <w:ind w:left="256" w:hanging="256"/>
            </w:pPr>
            <w:r>
              <w:t>Abolish Australian-funded offshore detention centres, honouring all contractual commitments in place at 1</w:t>
            </w:r>
            <w:r w:rsidR="00532C3C">
              <w:t> </w:t>
            </w:r>
            <w:r>
              <w:t>January 2017.</w:t>
            </w:r>
          </w:p>
          <w:p w:rsidR="00C841CF" w:rsidRDefault="00C841CF" w:rsidP="00C841CF">
            <w:pPr>
              <w:pStyle w:val="Bullet1"/>
              <w:tabs>
                <w:tab w:val="clear" w:pos="454"/>
                <w:tab w:val="num" w:pos="256"/>
              </w:tabs>
              <w:ind w:left="256" w:hanging="256"/>
            </w:pPr>
            <w:r>
              <w:t>Establish a 30-day time limit on onshore immigration detention on Christmas Island and the Australian mainland.</w:t>
            </w:r>
          </w:p>
          <w:p w:rsidR="00C841CF" w:rsidRDefault="00C841CF" w:rsidP="00C841CF">
            <w:pPr>
              <w:pStyle w:val="Bullet1"/>
              <w:tabs>
                <w:tab w:val="clear" w:pos="454"/>
                <w:tab w:val="num" w:pos="256"/>
              </w:tabs>
              <w:ind w:left="256" w:hanging="256"/>
            </w:pPr>
            <w:r>
              <w:t>Accommodate the majority of asylum seekers in community detention or general society while claims are processed.</w:t>
            </w:r>
          </w:p>
          <w:p w:rsidR="00C841CF" w:rsidRDefault="00C841CF" w:rsidP="00C841CF">
            <w:pPr>
              <w:pStyle w:val="Bullet1"/>
              <w:numPr>
                <w:ilvl w:val="0"/>
                <w:numId w:val="0"/>
              </w:numPr>
              <w:ind w:left="454" w:hanging="454"/>
              <w:rPr>
                <w:u w:val="single"/>
              </w:rPr>
            </w:pPr>
            <w:r>
              <w:rPr>
                <w:u w:val="single"/>
              </w:rPr>
              <w:t>Component 2: Increase Australia’s humanitarian intake</w:t>
            </w:r>
          </w:p>
          <w:p w:rsidR="00C841CF" w:rsidRDefault="00C841CF" w:rsidP="00C841CF">
            <w:pPr>
              <w:pStyle w:val="Bullet1"/>
              <w:numPr>
                <w:ilvl w:val="0"/>
                <w:numId w:val="0"/>
              </w:numPr>
            </w:pPr>
            <w:r>
              <w:t xml:space="preserve">This component would increase Australia’s annual humanitarian intake to 40,000 places per year.  </w:t>
            </w:r>
            <w:r w:rsidR="00532C3C">
              <w:t>Australia’s humanitarian intake would be</w:t>
            </w:r>
            <w:r>
              <w:t>:</w:t>
            </w:r>
          </w:p>
          <w:p w:rsidR="00C841CF" w:rsidRDefault="00C841CF" w:rsidP="00C841CF">
            <w:pPr>
              <w:pStyle w:val="Bullet1"/>
              <w:tabs>
                <w:tab w:val="clear" w:pos="454"/>
                <w:tab w:val="num" w:pos="256"/>
              </w:tabs>
              <w:ind w:left="256" w:hanging="256"/>
            </w:pPr>
            <w:r>
              <w:t>2016-17: 30,000</w:t>
            </w:r>
          </w:p>
          <w:p w:rsidR="00C841CF" w:rsidRDefault="00C841CF" w:rsidP="00C841CF">
            <w:pPr>
              <w:pStyle w:val="Bullet1"/>
              <w:tabs>
                <w:tab w:val="clear" w:pos="454"/>
                <w:tab w:val="num" w:pos="256"/>
              </w:tabs>
              <w:ind w:left="256" w:hanging="256"/>
            </w:pPr>
            <w:r>
              <w:t>2017-18: 35,000</w:t>
            </w:r>
          </w:p>
          <w:p w:rsidR="00C841CF" w:rsidRDefault="00C841CF" w:rsidP="00C841CF">
            <w:pPr>
              <w:pStyle w:val="Bullet1"/>
              <w:tabs>
                <w:tab w:val="clear" w:pos="454"/>
                <w:tab w:val="num" w:pos="256"/>
              </w:tabs>
              <w:ind w:left="256" w:hanging="256"/>
            </w:pPr>
            <w:r>
              <w:t>2018-19: 40,000</w:t>
            </w:r>
          </w:p>
          <w:p w:rsidR="00C841CF" w:rsidRDefault="00C841CF" w:rsidP="00C841CF">
            <w:pPr>
              <w:pStyle w:val="Bullet1"/>
              <w:tabs>
                <w:tab w:val="clear" w:pos="454"/>
                <w:tab w:val="num" w:pos="256"/>
              </w:tabs>
              <w:ind w:left="256" w:hanging="256"/>
            </w:pPr>
            <w:r>
              <w:t>2019-20: 40,000</w:t>
            </w:r>
          </w:p>
          <w:p w:rsidR="00B84F8D" w:rsidRDefault="00B84F8D" w:rsidP="00B84F8D">
            <w:pPr>
              <w:pStyle w:val="Bullet1"/>
              <w:tabs>
                <w:tab w:val="clear" w:pos="454"/>
                <w:tab w:val="num" w:pos="256"/>
              </w:tabs>
              <w:ind w:left="256" w:hanging="256"/>
            </w:pPr>
            <w:r>
              <w:t>Beyond the 2016-17 Budget forward estimates period Australia’s humanitarian intake would revert to current policy settings.</w:t>
            </w:r>
          </w:p>
          <w:p w:rsidR="00C841CF" w:rsidRDefault="00C841CF" w:rsidP="00C841CF">
            <w:pPr>
              <w:pStyle w:val="Bullet1"/>
              <w:numPr>
                <w:ilvl w:val="0"/>
                <w:numId w:val="0"/>
              </w:numPr>
              <w:rPr>
                <w:u w:val="single"/>
              </w:rPr>
            </w:pPr>
            <w:r>
              <w:rPr>
                <w:u w:val="single"/>
              </w:rPr>
              <w:t>Component 3: Refugee skilled visa places</w:t>
            </w:r>
          </w:p>
          <w:p w:rsidR="00C841CF" w:rsidRDefault="00C841CF" w:rsidP="00C841CF">
            <w:pPr>
              <w:pStyle w:val="Bullet1"/>
              <w:numPr>
                <w:ilvl w:val="0"/>
                <w:numId w:val="0"/>
              </w:numPr>
            </w:pPr>
            <w:r>
              <w:t>This component would reserve 10,000 places for refugees within the existing skilled migration visa program.</w:t>
            </w:r>
          </w:p>
          <w:p w:rsidR="0051470F" w:rsidRPr="00A11249" w:rsidRDefault="0051470F" w:rsidP="0051470F">
            <w:pPr>
              <w:pStyle w:val="Bullet1"/>
              <w:keepNext/>
              <w:numPr>
                <w:ilvl w:val="0"/>
                <w:numId w:val="0"/>
              </w:numPr>
              <w:rPr>
                <w:b/>
                <w:u w:val="single"/>
              </w:rPr>
            </w:pPr>
            <w:r w:rsidRPr="00A11249">
              <w:rPr>
                <w:u w:val="single"/>
              </w:rPr>
              <w:t>Component 4: UNHCR funding</w:t>
            </w:r>
          </w:p>
          <w:p w:rsidR="0051470F" w:rsidRPr="00A11249" w:rsidRDefault="0051470F" w:rsidP="0051470F">
            <w:pPr>
              <w:pStyle w:val="Bullet1"/>
              <w:keepNext/>
              <w:numPr>
                <w:ilvl w:val="0"/>
                <w:numId w:val="0"/>
              </w:numPr>
              <w:rPr>
                <w:b/>
              </w:rPr>
            </w:pPr>
            <w:r w:rsidRPr="00A11249">
              <w:t>This component would provide additional funding of $500 million to the United Nations High Commissioner for Refugees (UNHCR) over the 2016-17 Budget forward estimates period.</w:t>
            </w:r>
          </w:p>
          <w:p w:rsidR="0051470F" w:rsidRPr="00A11249" w:rsidRDefault="0051470F" w:rsidP="0051470F">
            <w:pPr>
              <w:pStyle w:val="Bullet1"/>
              <w:keepNext/>
              <w:numPr>
                <w:ilvl w:val="0"/>
                <w:numId w:val="0"/>
              </w:numPr>
              <w:rPr>
                <w:b/>
                <w:u w:val="single"/>
              </w:rPr>
            </w:pPr>
            <w:r w:rsidRPr="00A11249">
              <w:rPr>
                <w:u w:val="single"/>
              </w:rPr>
              <w:lastRenderedPageBreak/>
              <w:t>Component 5: Immigration administration</w:t>
            </w:r>
          </w:p>
          <w:p w:rsidR="0051470F" w:rsidRPr="00A11249" w:rsidRDefault="0051470F" w:rsidP="0051470F">
            <w:pPr>
              <w:pStyle w:val="Bullet1"/>
              <w:keepNext/>
              <w:numPr>
                <w:ilvl w:val="0"/>
                <w:numId w:val="0"/>
              </w:numPr>
              <w:rPr>
                <w:b/>
              </w:rPr>
            </w:pPr>
            <w:r w:rsidRPr="00A11249">
              <w:t>This component would:</w:t>
            </w:r>
          </w:p>
          <w:p w:rsidR="0051470F" w:rsidRPr="00A11249" w:rsidRDefault="0051470F" w:rsidP="0051470F">
            <w:pPr>
              <w:pStyle w:val="Bullet1"/>
              <w:keepNext/>
              <w:tabs>
                <w:tab w:val="clear" w:pos="454"/>
                <w:tab w:val="num" w:pos="256"/>
              </w:tabs>
              <w:ind w:left="256" w:hanging="256"/>
              <w:rPr>
                <w:b/>
              </w:rPr>
            </w:pPr>
            <w:r w:rsidRPr="00A11249">
              <w:t>Abolish the Australian Border Force (ABF) and restore immigration administration to the Department of Immigration and Border Protection (DIBP).</w:t>
            </w:r>
          </w:p>
          <w:p w:rsidR="0051470F" w:rsidRDefault="0051470F" w:rsidP="0051470F">
            <w:pPr>
              <w:pStyle w:val="Bullet1"/>
              <w:keepNext/>
              <w:tabs>
                <w:tab w:val="clear" w:pos="454"/>
                <w:tab w:val="num" w:pos="256"/>
              </w:tabs>
              <w:ind w:left="256" w:hanging="256"/>
              <w:rPr>
                <w:b/>
              </w:rPr>
            </w:pPr>
            <w:r w:rsidRPr="00A11249">
              <w:t>Abolish temporary protection visas (TPVs).</w:t>
            </w:r>
          </w:p>
          <w:p w:rsidR="0051470F" w:rsidRPr="00C841CF" w:rsidRDefault="0051470F" w:rsidP="0051470F">
            <w:pPr>
              <w:pStyle w:val="Bullet1"/>
              <w:keepNext/>
              <w:numPr>
                <w:ilvl w:val="0"/>
                <w:numId w:val="0"/>
              </w:numPr>
            </w:pPr>
            <w:r>
              <w:t>This proposal would commence from 1 January 2017.</w:t>
            </w:r>
          </w:p>
        </w:tc>
      </w:tr>
      <w:tr w:rsidR="0051470F" w:rsidTr="0051470F">
        <w:tc>
          <w:tcPr>
            <w:tcW w:w="2943" w:type="dxa"/>
          </w:tcPr>
          <w:p w:rsidR="0051470F" w:rsidRDefault="0051470F" w:rsidP="004D5525">
            <w:pPr>
              <w:pStyle w:val="BodyText"/>
            </w:pPr>
            <w:r>
              <w:lastRenderedPageBreak/>
              <w:t>Person/party requesting costing:</w:t>
            </w:r>
          </w:p>
        </w:tc>
        <w:tc>
          <w:tcPr>
            <w:tcW w:w="5585" w:type="dxa"/>
          </w:tcPr>
          <w:p w:rsidR="0051470F" w:rsidRDefault="0051470F" w:rsidP="004D5525">
            <w:pPr>
              <w:pStyle w:val="BodyText"/>
            </w:pPr>
            <w:r w:rsidRPr="00D60F33">
              <w:t>Senator Richard Di Natale, Australian Greens</w:t>
            </w:r>
          </w:p>
        </w:tc>
      </w:tr>
      <w:tr w:rsidR="0051470F" w:rsidTr="0051470F">
        <w:tc>
          <w:tcPr>
            <w:tcW w:w="2943" w:type="dxa"/>
          </w:tcPr>
          <w:p w:rsidR="0051470F" w:rsidRDefault="0051470F" w:rsidP="004D5525">
            <w:pPr>
              <w:pStyle w:val="BodyText"/>
            </w:pPr>
            <w:r>
              <w:t>Date of public release of policy:</w:t>
            </w:r>
          </w:p>
        </w:tc>
        <w:tc>
          <w:tcPr>
            <w:tcW w:w="5585" w:type="dxa"/>
          </w:tcPr>
          <w:p w:rsidR="0051470F" w:rsidRDefault="0051470F" w:rsidP="0051470F">
            <w:pPr>
              <w:pStyle w:val="BodyText"/>
            </w:pPr>
            <w:r>
              <w:t>7 June 2016</w:t>
            </w:r>
            <w:r>
              <w:br/>
            </w:r>
            <w:hyperlink r:id="rId13" w:history="1">
              <w:r w:rsidRPr="00B767E6">
                <w:rPr>
                  <w:rStyle w:val="Hyperlink"/>
                </w:rPr>
                <w:t>http://greens.org.au/sites/greens.org.au/files/20160607_A%20Better%20Way%20for%20People%20Seeking%20Asylum_1.pdf</w:t>
              </w:r>
            </w:hyperlink>
          </w:p>
        </w:tc>
      </w:tr>
      <w:tr w:rsidR="0051470F" w:rsidTr="0051470F">
        <w:tc>
          <w:tcPr>
            <w:tcW w:w="2943" w:type="dxa"/>
          </w:tcPr>
          <w:p w:rsidR="0051470F" w:rsidRDefault="0051470F" w:rsidP="004D5525">
            <w:pPr>
              <w:pStyle w:val="BodyText"/>
            </w:pPr>
            <w:r>
              <w:t>Date costing request received:</w:t>
            </w:r>
          </w:p>
        </w:tc>
        <w:tc>
          <w:tcPr>
            <w:tcW w:w="5585" w:type="dxa"/>
          </w:tcPr>
          <w:p w:rsidR="0051470F" w:rsidRDefault="0051470F" w:rsidP="004D5525">
            <w:pPr>
              <w:pStyle w:val="BodyText"/>
            </w:pPr>
            <w:r>
              <w:t>27 June 2016</w:t>
            </w:r>
          </w:p>
        </w:tc>
      </w:tr>
      <w:tr w:rsidR="0051470F" w:rsidTr="0051470F">
        <w:tc>
          <w:tcPr>
            <w:tcW w:w="2943" w:type="dxa"/>
          </w:tcPr>
          <w:p w:rsidR="0051470F" w:rsidRDefault="0051470F" w:rsidP="004D5525">
            <w:pPr>
              <w:pStyle w:val="BodyText"/>
            </w:pPr>
            <w:r>
              <w:t>Date costing completed:</w:t>
            </w:r>
          </w:p>
        </w:tc>
        <w:tc>
          <w:tcPr>
            <w:tcW w:w="5585" w:type="dxa"/>
          </w:tcPr>
          <w:p w:rsidR="0051470F" w:rsidRDefault="0051470F" w:rsidP="004D5525">
            <w:pPr>
              <w:pStyle w:val="BodyText"/>
            </w:pPr>
            <w:r>
              <w:t>29 June 2016</w:t>
            </w:r>
          </w:p>
        </w:tc>
      </w:tr>
      <w:tr w:rsidR="0051470F" w:rsidTr="0051470F">
        <w:tc>
          <w:tcPr>
            <w:tcW w:w="2943" w:type="dxa"/>
          </w:tcPr>
          <w:p w:rsidR="0051470F" w:rsidRDefault="0051470F" w:rsidP="004D5525">
            <w:pPr>
              <w:pStyle w:val="BodyText"/>
            </w:pPr>
            <w:r w:rsidRPr="00220BE5">
              <w:t>Expiry date for the costing:</w:t>
            </w:r>
          </w:p>
        </w:tc>
        <w:tc>
          <w:tcPr>
            <w:tcW w:w="5585" w:type="dxa"/>
          </w:tcPr>
          <w:p w:rsidR="0051470F" w:rsidRDefault="0051470F" w:rsidP="004D5525">
            <w:pPr>
              <w:pStyle w:val="BodyText"/>
            </w:pPr>
            <w:r>
              <w:t>Release of the next economic and fiscal outlook report</w:t>
            </w:r>
          </w:p>
        </w:tc>
      </w:tr>
    </w:tbl>
    <w:p w:rsidR="0055581F" w:rsidRPr="00002D5D" w:rsidRDefault="008030EC" w:rsidP="00FC6579">
      <w:pPr>
        <w:pStyle w:val="Heading2"/>
      </w:pPr>
      <w:r w:rsidRPr="00002D5D">
        <w:t>Costing overview</w:t>
      </w:r>
    </w:p>
    <w:p w:rsidR="005A055C" w:rsidRDefault="005A055C" w:rsidP="005A055C">
      <w:pPr>
        <w:keepLines/>
      </w:pPr>
      <w:r w:rsidRPr="00B77256">
        <w:t xml:space="preserve">This proposal would be expected to </w:t>
      </w:r>
      <w:r w:rsidR="004B6080">
        <w:t>increase</w:t>
      </w:r>
      <w:r w:rsidR="004B6080" w:rsidRPr="00B77256">
        <w:t xml:space="preserve"> </w:t>
      </w:r>
      <w:r w:rsidRPr="00B77256">
        <w:t>the fiscal balance by $</w:t>
      </w:r>
      <w:r w:rsidR="00404B0B" w:rsidRPr="00B77256">
        <w:t>1</w:t>
      </w:r>
      <w:r w:rsidR="00532C3C">
        <w:t>,</w:t>
      </w:r>
      <w:r w:rsidR="00404B0B" w:rsidRPr="00B77256">
        <w:t>232.6</w:t>
      </w:r>
      <w:r w:rsidRPr="00B77256">
        <w:t> million and the underlying cash balance by $</w:t>
      </w:r>
      <w:r w:rsidR="00404B0B" w:rsidRPr="00B77256">
        <w:t>1</w:t>
      </w:r>
      <w:r w:rsidR="00532C3C">
        <w:t>,</w:t>
      </w:r>
      <w:r w:rsidR="00404B0B" w:rsidRPr="00B77256">
        <w:t>234.4</w:t>
      </w:r>
      <w:r w:rsidRPr="00B77256">
        <w:t xml:space="preserve"> million over the 2016-17 Budget forward estimates period.  In fiscal balance terms, this impact </w:t>
      </w:r>
      <w:r w:rsidR="00404B0B" w:rsidRPr="00B77256">
        <w:t>reflects a de</w:t>
      </w:r>
      <w:r w:rsidRPr="00B77256">
        <w:t>crease in administered expenses of $</w:t>
      </w:r>
      <w:r w:rsidR="00404B0B" w:rsidRPr="00B77256">
        <w:t>990.5</w:t>
      </w:r>
      <w:r w:rsidRPr="00B77256">
        <w:t> million</w:t>
      </w:r>
      <w:r w:rsidR="00DD283B" w:rsidRPr="00B77256">
        <w:t>, an increase in revenue of $304.</w:t>
      </w:r>
      <w:r w:rsidR="0060501A">
        <w:t>4</w:t>
      </w:r>
      <w:r w:rsidR="0060501A" w:rsidRPr="00B77256">
        <w:t> </w:t>
      </w:r>
      <w:r w:rsidR="00DD283B" w:rsidRPr="00B77256">
        <w:t>million</w:t>
      </w:r>
      <w:r w:rsidRPr="00B77256">
        <w:t xml:space="preserve"> and </w:t>
      </w:r>
      <w:r w:rsidR="00DD283B" w:rsidRPr="00B77256">
        <w:t xml:space="preserve">a decrease in capital </w:t>
      </w:r>
      <w:r w:rsidRPr="00B77256">
        <w:t>expenses of $</w:t>
      </w:r>
      <w:r w:rsidR="00DD283B" w:rsidRPr="00B77256">
        <w:t>2.8</w:t>
      </w:r>
      <w:r w:rsidRPr="00B77256">
        <w:t xml:space="preserve"> million.  This would be partially offset by </w:t>
      </w:r>
      <w:r w:rsidR="00DD283B" w:rsidRPr="00B77256">
        <w:t xml:space="preserve">an increase </w:t>
      </w:r>
      <w:r w:rsidRPr="00B77256">
        <w:t xml:space="preserve">in </w:t>
      </w:r>
      <w:r w:rsidR="00DD283B" w:rsidRPr="00B77256">
        <w:t>departmental expenses of $65.0</w:t>
      </w:r>
      <w:r w:rsidRPr="00B77256">
        <w:t> million.</w:t>
      </w:r>
    </w:p>
    <w:p w:rsidR="00E87530" w:rsidRPr="00DE3CEC" w:rsidRDefault="00E87530" w:rsidP="005A055C">
      <w:pPr>
        <w:keepLines/>
      </w:pPr>
      <w:r w:rsidRPr="00BE0E5E">
        <w:t xml:space="preserve">The proposal </w:t>
      </w:r>
      <w:r>
        <w:t>would be expected to have</w:t>
      </w:r>
      <w:r w:rsidRPr="00BE0E5E">
        <w:t xml:space="preserve"> a different impact on the </w:t>
      </w:r>
      <w:r>
        <w:t>fiscal</w:t>
      </w:r>
      <w:r w:rsidRPr="00BE0E5E">
        <w:t xml:space="preserve"> and </w:t>
      </w:r>
      <w:r>
        <w:t xml:space="preserve">underlying cash </w:t>
      </w:r>
      <w:r w:rsidRPr="00BE0E5E">
        <w:t xml:space="preserve">balances due to a lag between when services are provided and when payments are made under a range of </w:t>
      </w:r>
      <w:r>
        <w:t>programs</w:t>
      </w:r>
      <w:r w:rsidRPr="00BE0E5E">
        <w:t>.</w:t>
      </w:r>
    </w:p>
    <w:p w:rsidR="00B84F8D" w:rsidRDefault="005A055C" w:rsidP="00B84F8D">
      <w:r w:rsidRPr="00404B0B">
        <w:t>Component</w:t>
      </w:r>
      <w:r w:rsidR="008F7607">
        <w:t>s</w:t>
      </w:r>
      <w:r w:rsidRPr="00404B0B">
        <w:t xml:space="preserve"> 1 </w:t>
      </w:r>
      <w:r w:rsidR="00532C3C">
        <w:t xml:space="preserve">and 2 </w:t>
      </w:r>
      <w:r w:rsidRPr="00404B0B">
        <w:t>of this proposal would have</w:t>
      </w:r>
      <w:r w:rsidR="00532C3C">
        <w:t xml:space="preserve"> impacts beyond the 2016-17 Budget forward estimates period.  </w:t>
      </w:r>
      <w:r w:rsidR="00BE1A4A">
        <w:t xml:space="preserve">Components 3, 4 and 5 would not be expected to have impacts beyond the 2016-17 Budget forward estimates period.  </w:t>
      </w:r>
      <w:r w:rsidR="00B84F8D" w:rsidRPr="00DE3CEC">
        <w:t xml:space="preserve">A breakdown of the financial impacts of </w:t>
      </w:r>
      <w:r w:rsidR="00B84F8D">
        <w:t xml:space="preserve">the components of </w:t>
      </w:r>
      <w:r w:rsidR="00B84F8D" w:rsidRPr="00DE3CEC">
        <w:t xml:space="preserve">this proposal over </w:t>
      </w:r>
      <w:r w:rsidR="00B84F8D">
        <w:t>the period 2016-17 to 2026-27 has been</w:t>
      </w:r>
      <w:r w:rsidR="00B84F8D" w:rsidRPr="00DE3CEC">
        <w:t xml:space="preserve"> provided at </w:t>
      </w:r>
      <w:r w:rsidR="00B84F8D" w:rsidRPr="00DE3CEC">
        <w:rPr>
          <w:u w:val="single"/>
        </w:rPr>
        <w:t>Attachment A</w:t>
      </w:r>
      <w:r w:rsidR="00B84F8D" w:rsidRPr="006D628C">
        <w:t>.</w:t>
      </w:r>
      <w:r w:rsidR="00B84F8D">
        <w:t xml:space="preserve">  </w:t>
      </w:r>
    </w:p>
    <w:p w:rsidR="00B84F8D" w:rsidRDefault="00B84F8D" w:rsidP="00B84F8D">
      <w:r w:rsidRPr="00DE3CEC">
        <w:t>The costs associated with the proposed increase in the humanitarian intake</w:t>
      </w:r>
      <w:r>
        <w:t xml:space="preserve"> (Component 2)</w:t>
      </w:r>
      <w:r w:rsidRPr="00DE3CEC">
        <w:t xml:space="preserve"> </w:t>
      </w:r>
      <w:r>
        <w:t>would have an increasing negative impact on the budget over the 2016-17 forward estimates period and a diminishing negative impact on the budget beyond the 2016-17 Budget forward estimates period.  This reflects the temporary nature of the increase in the humanitarian intake as well as financial impacts which extend beyond the year of arriva</w:t>
      </w:r>
      <w:r w:rsidR="0051470F">
        <w:t>l, such as costs of education.</w:t>
      </w:r>
    </w:p>
    <w:p w:rsidR="008D3909" w:rsidRDefault="005A055C" w:rsidP="005A055C">
      <w:pPr>
        <w:rPr>
          <w:lang w:eastAsia="en-AU"/>
        </w:rPr>
      </w:pPr>
      <w:r w:rsidRPr="00386AA2">
        <w:rPr>
          <w:lang w:eastAsia="en-AU"/>
        </w:rPr>
        <w:lastRenderedPageBreak/>
        <w:t xml:space="preserve">This costing is considered to be of </w:t>
      </w:r>
      <w:r w:rsidRPr="00DE3CEC">
        <w:rPr>
          <w:lang w:eastAsia="en-AU"/>
        </w:rPr>
        <w:t>low</w:t>
      </w:r>
      <w:r>
        <w:rPr>
          <w:lang w:eastAsia="en-AU"/>
        </w:rPr>
        <w:t xml:space="preserve"> </w:t>
      </w:r>
      <w:r w:rsidRPr="00386AA2">
        <w:rPr>
          <w:lang w:eastAsia="en-AU"/>
        </w:rPr>
        <w:t>reliability due to the considerable uncertainty around the magnitude of the potential behavioural responses, particularly the number of boat arrival asylum seekers.</w:t>
      </w:r>
    </w:p>
    <w:p w:rsidR="00EB64A3" w:rsidRDefault="00EB64A3" w:rsidP="00EB64A3">
      <w:r>
        <w:t>This analysis does n</w:t>
      </w:r>
      <w:r w:rsidR="008F7607">
        <w:t>ot include any potential impact</w:t>
      </w:r>
      <w:r>
        <w:t xml:space="preserve"> of the proposal on the numbers of asylum seekers, as it is not able to be determined with any accuracy.  Any </w:t>
      </w:r>
      <w:r w:rsidR="00954293">
        <w:t>change in</w:t>
      </w:r>
      <w:r>
        <w:t xml:space="preserve"> arrival rates as result of this proposal could significantly alter its financial impact.</w:t>
      </w:r>
    </w:p>
    <w:p w:rsidR="005E3562" w:rsidRPr="00FC6579" w:rsidRDefault="005E3562" w:rsidP="00FC6579">
      <w:pPr>
        <w:pStyle w:val="Captionheading"/>
      </w:pPr>
      <w:r w:rsidRPr="00FC6579">
        <w:t xml:space="preserve">Table </w:t>
      </w:r>
      <w:r w:rsidR="001A02D1" w:rsidRPr="00FC6579">
        <w:t>1</w:t>
      </w:r>
      <w:r w:rsidRPr="00FC6579">
        <w:t>: Financial implications (outturn prices)</w:t>
      </w:r>
      <w:r w:rsidRPr="00844776">
        <w:rPr>
          <w:vertAlign w:val="superscript"/>
        </w:rPr>
        <w:t>(a)</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5147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vAlign w:val="center"/>
          </w:tcPr>
          <w:p w:rsidR="00CA5D42" w:rsidRPr="00B73AC8" w:rsidRDefault="00CA5D42" w:rsidP="0051470F">
            <w:pPr>
              <w:pStyle w:val="TableText"/>
              <w:keepNext/>
              <w:keepLines/>
              <w:rPr>
                <w:rFonts w:ascii="Calibri" w:hAnsi="Calibri"/>
                <w:szCs w:val="20"/>
              </w:rPr>
            </w:pPr>
            <w:r w:rsidRPr="00B73AC8">
              <w:rPr>
                <w:rFonts w:ascii="Calibri" w:hAnsi="Calibri"/>
                <w:szCs w:val="20"/>
              </w:rPr>
              <w:t>Impact on</w:t>
            </w:r>
            <w:r w:rsidR="00461597">
              <w:rPr>
                <w:rFonts w:ascii="Calibri" w:hAnsi="Calibri"/>
                <w:szCs w:val="20"/>
              </w:rPr>
              <w:t xml:space="preserve"> ($m)</w:t>
            </w:r>
          </w:p>
        </w:tc>
        <w:tc>
          <w:tcPr>
            <w:tcW w:w="682" w:type="pct"/>
            <w:vAlign w:val="center"/>
          </w:tcPr>
          <w:p w:rsidR="00CA5D42" w:rsidRPr="00B73AC8" w:rsidRDefault="00CA5D42" w:rsidP="0051470F">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2016–17</w:t>
            </w:r>
          </w:p>
        </w:tc>
        <w:tc>
          <w:tcPr>
            <w:tcW w:w="682" w:type="pct"/>
            <w:vAlign w:val="center"/>
          </w:tcPr>
          <w:p w:rsidR="00CA5D42" w:rsidRPr="00B73AC8" w:rsidRDefault="00CA5D42" w:rsidP="0051470F">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2017–18</w:t>
            </w:r>
          </w:p>
        </w:tc>
        <w:tc>
          <w:tcPr>
            <w:tcW w:w="682" w:type="pct"/>
            <w:vAlign w:val="center"/>
          </w:tcPr>
          <w:p w:rsidR="00CA5D42" w:rsidRPr="00B73AC8" w:rsidRDefault="00CA5D42" w:rsidP="0051470F">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2018–19</w:t>
            </w:r>
          </w:p>
        </w:tc>
        <w:tc>
          <w:tcPr>
            <w:tcW w:w="682" w:type="pct"/>
            <w:vAlign w:val="center"/>
          </w:tcPr>
          <w:p w:rsidR="00CA5D42" w:rsidRPr="00B73AC8" w:rsidRDefault="00CA5D42" w:rsidP="0051470F">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B73AC8">
              <w:rPr>
                <w:rFonts w:ascii="Calibri" w:hAnsi="Calibri"/>
                <w:szCs w:val="20"/>
              </w:rPr>
              <w:t>2019–20</w:t>
            </w:r>
          </w:p>
        </w:tc>
        <w:tc>
          <w:tcPr>
            <w:tcW w:w="681" w:type="pct"/>
            <w:vAlign w:val="center"/>
          </w:tcPr>
          <w:p w:rsidR="00CA5D42" w:rsidRPr="0051470F" w:rsidRDefault="00CA5D42" w:rsidP="0051470F">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51470F">
              <w:rPr>
                <w:rFonts w:ascii="Calibri" w:hAnsi="Calibri"/>
                <w:b/>
                <w:szCs w:val="20"/>
              </w:rPr>
              <w:t>Total</w:t>
            </w:r>
          </w:p>
        </w:tc>
      </w:tr>
      <w:tr w:rsidR="00404B0B" w:rsidRPr="00B73AC8" w:rsidTr="005147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404B0B" w:rsidRPr="00B73AC8" w:rsidRDefault="00404B0B" w:rsidP="0051470F">
            <w:pPr>
              <w:pStyle w:val="TableTextCentred"/>
              <w:keepNext/>
              <w:keepLines/>
              <w:jc w:val="left"/>
              <w:rPr>
                <w:szCs w:val="20"/>
              </w:rPr>
            </w:pPr>
            <w:r w:rsidRPr="00B73AC8">
              <w:rPr>
                <w:szCs w:val="20"/>
              </w:rPr>
              <w:t>Fiscal balance</w:t>
            </w:r>
          </w:p>
        </w:tc>
        <w:tc>
          <w:tcPr>
            <w:tcW w:w="682" w:type="pct"/>
          </w:tcPr>
          <w:p w:rsidR="00404B0B" w:rsidRDefault="00404B0B" w:rsidP="0051470F">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 xml:space="preserve"> 430.6</w:t>
            </w:r>
          </w:p>
        </w:tc>
        <w:tc>
          <w:tcPr>
            <w:tcW w:w="682" w:type="pct"/>
          </w:tcPr>
          <w:p w:rsidR="00404B0B" w:rsidRDefault="00404B0B" w:rsidP="0051470F">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 xml:space="preserve"> 668.5</w:t>
            </w:r>
          </w:p>
        </w:tc>
        <w:tc>
          <w:tcPr>
            <w:tcW w:w="682" w:type="pct"/>
          </w:tcPr>
          <w:p w:rsidR="00404B0B" w:rsidRDefault="00404B0B" w:rsidP="0051470F">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 xml:space="preserve"> 256.4</w:t>
            </w:r>
          </w:p>
        </w:tc>
        <w:tc>
          <w:tcPr>
            <w:tcW w:w="682" w:type="pct"/>
          </w:tcPr>
          <w:p w:rsidR="00404B0B" w:rsidRDefault="00404B0B" w:rsidP="0051470F">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Cs w:val="20"/>
              </w:rPr>
            </w:pPr>
            <w:r>
              <w:rPr>
                <w:rFonts w:ascii="Calibri" w:hAnsi="Calibri"/>
                <w:color w:val="000000"/>
                <w:szCs w:val="20"/>
              </w:rPr>
              <w:t>-122.9</w:t>
            </w:r>
          </w:p>
        </w:tc>
        <w:tc>
          <w:tcPr>
            <w:tcW w:w="681" w:type="pct"/>
          </w:tcPr>
          <w:p w:rsidR="00404B0B" w:rsidRPr="0051470F" w:rsidRDefault="00404B0B" w:rsidP="0051470F">
            <w:pPr>
              <w:spacing w:before="70" w:after="70" w:line="240" w:lineRule="auto"/>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szCs w:val="20"/>
              </w:rPr>
            </w:pPr>
            <w:r w:rsidRPr="0051470F">
              <w:rPr>
                <w:rFonts w:ascii="Calibri" w:hAnsi="Calibri"/>
                <w:b/>
                <w:color w:val="000000"/>
                <w:szCs w:val="20"/>
              </w:rPr>
              <w:t xml:space="preserve"> 1,232.6</w:t>
            </w:r>
          </w:p>
        </w:tc>
      </w:tr>
      <w:tr w:rsidR="00404B0B" w:rsidRPr="00B73AC8" w:rsidTr="0051470F">
        <w:tc>
          <w:tcPr>
            <w:cnfStyle w:val="001000000000" w:firstRow="0" w:lastRow="0" w:firstColumn="1" w:lastColumn="0" w:oddVBand="0" w:evenVBand="0" w:oddHBand="0" w:evenHBand="0" w:firstRowFirstColumn="0" w:firstRowLastColumn="0" w:lastRowFirstColumn="0" w:lastRowLastColumn="0"/>
            <w:tcW w:w="1591" w:type="pct"/>
          </w:tcPr>
          <w:p w:rsidR="00404B0B" w:rsidRPr="00B73AC8" w:rsidRDefault="00404B0B" w:rsidP="0051470F">
            <w:pPr>
              <w:pStyle w:val="TableTextCentred"/>
              <w:keepNext/>
              <w:keepLines/>
              <w:jc w:val="left"/>
              <w:rPr>
                <w:szCs w:val="20"/>
              </w:rPr>
            </w:pPr>
            <w:r w:rsidRPr="00B73AC8">
              <w:rPr>
                <w:szCs w:val="20"/>
              </w:rPr>
              <w:t>Underlying cash balance</w:t>
            </w:r>
          </w:p>
        </w:tc>
        <w:tc>
          <w:tcPr>
            <w:tcW w:w="682" w:type="pct"/>
          </w:tcPr>
          <w:p w:rsidR="00404B0B" w:rsidRDefault="00404B0B" w:rsidP="0051470F">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 xml:space="preserve"> 430.7</w:t>
            </w:r>
          </w:p>
        </w:tc>
        <w:tc>
          <w:tcPr>
            <w:tcW w:w="682" w:type="pct"/>
          </w:tcPr>
          <w:p w:rsidR="00404B0B" w:rsidRDefault="00404B0B" w:rsidP="0051470F">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 xml:space="preserve"> 668.7</w:t>
            </w:r>
          </w:p>
        </w:tc>
        <w:tc>
          <w:tcPr>
            <w:tcW w:w="682" w:type="pct"/>
          </w:tcPr>
          <w:p w:rsidR="00404B0B" w:rsidRDefault="00404B0B" w:rsidP="0051470F">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 xml:space="preserve"> 257.1</w:t>
            </w:r>
          </w:p>
        </w:tc>
        <w:tc>
          <w:tcPr>
            <w:tcW w:w="682" w:type="pct"/>
          </w:tcPr>
          <w:p w:rsidR="00404B0B" w:rsidRDefault="00404B0B" w:rsidP="0051470F">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-122.1</w:t>
            </w:r>
          </w:p>
        </w:tc>
        <w:tc>
          <w:tcPr>
            <w:tcW w:w="681" w:type="pct"/>
          </w:tcPr>
          <w:p w:rsidR="00404B0B" w:rsidRPr="0051470F" w:rsidRDefault="00404B0B" w:rsidP="0051470F">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Cs w:val="20"/>
              </w:rPr>
            </w:pPr>
            <w:r w:rsidRPr="0051470F">
              <w:rPr>
                <w:rFonts w:ascii="Calibri" w:hAnsi="Calibri"/>
                <w:b/>
                <w:color w:val="000000"/>
                <w:szCs w:val="20"/>
              </w:rPr>
              <w:t xml:space="preserve"> 1,234.4</w:t>
            </w:r>
          </w:p>
        </w:tc>
      </w:tr>
    </w:tbl>
    <w:p w:rsidR="009D4063" w:rsidRDefault="00D805AE" w:rsidP="009D4063">
      <w:pPr>
        <w:pStyle w:val="Footnotes"/>
        <w:keepNext/>
        <w:keepLines/>
        <w:numPr>
          <w:ilvl w:val="0"/>
          <w:numId w:val="7"/>
        </w:numPr>
        <w:ind w:left="284" w:hanging="284"/>
      </w:pPr>
      <w:r>
        <w:t>A positive number represents an increase in the relevant budget balance, a negative number represents a decrease.</w:t>
      </w:r>
    </w:p>
    <w:p w:rsidR="00D747D2" w:rsidRDefault="00D747D2" w:rsidP="009D4063">
      <w:pPr>
        <w:pStyle w:val="Footnotes"/>
        <w:keepNext/>
        <w:keepLines/>
        <w:numPr>
          <w:ilvl w:val="0"/>
          <w:numId w:val="7"/>
        </w:numPr>
        <w:ind w:left="284" w:hanging="284"/>
      </w:pPr>
      <w:r>
        <w:t>Figures may not sum to totals due to rounding.</w:t>
      </w:r>
    </w:p>
    <w:p w:rsidR="008D3909" w:rsidRPr="00FC6579" w:rsidRDefault="005E3562" w:rsidP="00E40B8B">
      <w:pPr>
        <w:pStyle w:val="Heading2"/>
      </w:pPr>
      <w:r w:rsidRPr="00FC6579">
        <w:t>Key assumptions</w:t>
      </w:r>
    </w:p>
    <w:p w:rsidR="005A055C" w:rsidRDefault="005A055C" w:rsidP="005A055C">
      <w:r>
        <w:t>In costing this proposal it has been assumed that:</w:t>
      </w:r>
    </w:p>
    <w:p w:rsidR="00EB64A3" w:rsidRPr="00F13F75" w:rsidRDefault="00EB64A3" w:rsidP="00F13F75">
      <w:pPr>
        <w:pStyle w:val="Bullet1"/>
      </w:pPr>
      <w:r w:rsidRPr="00F13F75">
        <w:t xml:space="preserve">Contracts related to offshore immigration detention are of a short-term nature, </w:t>
      </w:r>
      <w:r w:rsidR="00184D77" w:rsidRPr="00F13F75">
        <w:t>based on DIBP advice</w:t>
      </w:r>
      <w:r w:rsidRPr="00F13F75">
        <w:t>.</w:t>
      </w:r>
    </w:p>
    <w:p w:rsidR="00EB64A3" w:rsidRPr="00F13F75" w:rsidRDefault="00EB64A3" w:rsidP="00F13F75">
      <w:pPr>
        <w:pStyle w:val="Bullet1"/>
      </w:pPr>
      <w:r w:rsidRPr="00F13F75">
        <w:t>There would be sufficient capacity in current on-shore detention facilities to accommodate those persons who would be transferred from offshore detention.  Accordingly, the costing provides no additional capital expenditure as a result of this proposal.</w:t>
      </w:r>
    </w:p>
    <w:p w:rsidR="005A055C" w:rsidRPr="00F13F75" w:rsidRDefault="005A055C" w:rsidP="00F13F75">
      <w:pPr>
        <w:pStyle w:val="Bullet1"/>
      </w:pPr>
      <w:r w:rsidRPr="00F13F75">
        <w:t>The age breakdown of the humanitarian intake from the Department of Education and Training could be applied to all other agency models in which age disaggregation was necessary.</w:t>
      </w:r>
    </w:p>
    <w:p w:rsidR="00EB64A3" w:rsidRPr="00F13F75" w:rsidRDefault="00EB64A3" w:rsidP="00F13F75">
      <w:pPr>
        <w:pStyle w:val="Bullet1"/>
      </w:pPr>
      <w:r w:rsidRPr="00F13F75">
        <w:t>The humanitarian intake associated with the 2015-16 Mid-year Economic and Fiscal Outlook (MYEFO) measure, Syrian and Iraqi humanitarian crisis would occur over two years (2015-16 to 2016</w:t>
      </w:r>
      <w:r w:rsidRPr="00F13F75">
        <w:noBreakHyphen/>
        <w:t xml:space="preserve">17) with the assumed profile based on advice from </w:t>
      </w:r>
      <w:r w:rsidR="00404B0B" w:rsidRPr="00F13F75">
        <w:t>DIBP</w:t>
      </w:r>
      <w:r w:rsidRPr="00F13F75">
        <w:t>.</w:t>
      </w:r>
    </w:p>
    <w:p w:rsidR="005A055C" w:rsidRPr="00F13F75" w:rsidRDefault="005A055C" w:rsidP="00F13F75">
      <w:pPr>
        <w:pStyle w:val="Bullet1"/>
      </w:pPr>
      <w:r w:rsidRPr="00F13F75">
        <w:t xml:space="preserve">The proposal to restore ABF functions to </w:t>
      </w:r>
      <w:r w:rsidR="00EB64A3" w:rsidRPr="00F13F75">
        <w:t>DIBP</w:t>
      </w:r>
      <w:r w:rsidRPr="00F13F75">
        <w:t xml:space="preserve"> would not have a material impact on the functions being performed or the departmental costs associated with performing these functions.</w:t>
      </w:r>
    </w:p>
    <w:p w:rsidR="00EB64A3" w:rsidRPr="00F13F75" w:rsidRDefault="00EB64A3" w:rsidP="00F13F75">
      <w:pPr>
        <w:pStyle w:val="Bullet1"/>
      </w:pPr>
      <w:r w:rsidRPr="00F13F75">
        <w:t>Existing holders of TPVs are transferred to Permanent Protectio</w:t>
      </w:r>
      <w:r w:rsidR="00184D77" w:rsidRPr="00F13F75">
        <w:t>n Visas upon abolition of TPVs with no material impact on costs.</w:t>
      </w:r>
    </w:p>
    <w:p w:rsidR="00184D77" w:rsidRPr="00F13F75" w:rsidRDefault="00184D77" w:rsidP="00F13F75">
      <w:pPr>
        <w:pStyle w:val="Bullet1"/>
      </w:pPr>
      <w:r w:rsidRPr="00F13F75">
        <w:t>There would be no departmental costs associated with increasing Australia’s contribution to the UNHCR.</w:t>
      </w:r>
    </w:p>
    <w:p w:rsidR="00EB64A3" w:rsidRPr="00F13F75" w:rsidRDefault="00EB64A3" w:rsidP="00F13F75">
      <w:pPr>
        <w:pStyle w:val="Bullet1"/>
      </w:pPr>
      <w:r w:rsidRPr="00F13F75">
        <w:t>The proposal to reserve 10,000 places for refugees within the existing skilled migration visa program would have no financial impact based on advice from DIBP and the requirements for the grant</w:t>
      </w:r>
      <w:r w:rsidR="004B15CF" w:rsidRPr="00F13F75">
        <w:t>ing</w:t>
      </w:r>
      <w:r w:rsidRPr="00F13F75">
        <w:t xml:space="preserve"> of skilled migrant visas would be unchanged and the visas granted would be </w:t>
      </w:r>
      <w:r w:rsidR="008F7607" w:rsidRPr="00F13F75">
        <w:t>s</w:t>
      </w:r>
      <w:r w:rsidRPr="00F13F75">
        <w:t>killed migrant visa</w:t>
      </w:r>
      <w:r w:rsidR="008F7607" w:rsidRPr="00F13F75">
        <w:t>s</w:t>
      </w:r>
      <w:r w:rsidRPr="00F13F75">
        <w:t>.</w:t>
      </w:r>
    </w:p>
    <w:p w:rsidR="005E3562" w:rsidRPr="00FC6579" w:rsidRDefault="005E3562" w:rsidP="00E40B8B">
      <w:pPr>
        <w:pStyle w:val="Heading2"/>
      </w:pPr>
      <w:r w:rsidRPr="00FC6579">
        <w:lastRenderedPageBreak/>
        <w:t>Methodology</w:t>
      </w:r>
    </w:p>
    <w:p w:rsidR="005A055C" w:rsidRPr="00BA3454" w:rsidRDefault="005A055C" w:rsidP="003D7E77">
      <w:pPr>
        <w:pStyle w:val="Heading3"/>
      </w:pPr>
      <w:r w:rsidRPr="00BA3454">
        <w:t>Component 1: End offshore detention</w:t>
      </w:r>
    </w:p>
    <w:p w:rsidR="005A055C" w:rsidRDefault="005A055C" w:rsidP="005A055C">
      <w:r>
        <w:t xml:space="preserve">Costing the changes to onshore and offshore detention arrangements relied on extended onshore and offshore detention costing models provided by </w:t>
      </w:r>
      <w:r w:rsidR="00184D77">
        <w:t>DIBP</w:t>
      </w:r>
      <w:r>
        <w:t xml:space="preserve">.  This framework was augmented to incorporate information on existing contracts associated with offshore detention provided by the </w:t>
      </w:r>
      <w:r w:rsidR="008F7607">
        <w:t>DIBP</w:t>
      </w:r>
      <w:r>
        <w:t>.</w:t>
      </w:r>
    </w:p>
    <w:p w:rsidR="005A055C" w:rsidRPr="00BA3454" w:rsidRDefault="005A055C" w:rsidP="003D7E77">
      <w:pPr>
        <w:pStyle w:val="Heading3"/>
      </w:pPr>
      <w:r>
        <w:t>Component 2: Increase Australia’s humanitarian intake</w:t>
      </w:r>
    </w:p>
    <w:p w:rsidR="005A055C" w:rsidRDefault="005A055C" w:rsidP="005A055C">
      <w:r>
        <w:t xml:space="preserve">Costing the increase to the humanitarian intake was </w:t>
      </w:r>
      <w:r w:rsidR="00184D77">
        <w:t>based on</w:t>
      </w:r>
      <w:r>
        <w:t xml:space="preserve"> a number of agency costing models associated with the 2015-16 MYEFO measure, </w:t>
      </w:r>
      <w:r w:rsidRPr="005F2C5C">
        <w:rPr>
          <w:i/>
        </w:rPr>
        <w:t>Syrian and Iraqi humanitarian crisis</w:t>
      </w:r>
      <w:r>
        <w:t xml:space="preserve">.  The intake from this measure over the 2016-17 Budget forward estimates period has been </w:t>
      </w:r>
      <w:r w:rsidR="008F7607">
        <w:t>estimated</w:t>
      </w:r>
      <w:r>
        <w:t xml:space="preserve"> based on advice from DIBP.</w:t>
      </w:r>
    </w:p>
    <w:p w:rsidR="00EB64A3" w:rsidRDefault="00EB64A3" w:rsidP="003D7E77">
      <w:pPr>
        <w:pStyle w:val="Heading3"/>
      </w:pPr>
      <w:r>
        <w:t xml:space="preserve">Component 3: Refugee skilled visa places </w:t>
      </w:r>
    </w:p>
    <w:p w:rsidR="00EB64A3" w:rsidRPr="00EB64A3" w:rsidRDefault="00EB64A3" w:rsidP="005A055C">
      <w:pPr>
        <w:pStyle w:val="Bullet1"/>
        <w:numPr>
          <w:ilvl w:val="0"/>
          <w:numId w:val="0"/>
        </w:numPr>
      </w:pPr>
      <w:r>
        <w:t>This component would have no financial impact (see Key assumptions).</w:t>
      </w:r>
    </w:p>
    <w:p w:rsidR="005A055C" w:rsidRPr="00BA3454" w:rsidRDefault="005A055C" w:rsidP="003D7E77">
      <w:pPr>
        <w:pStyle w:val="Heading3"/>
      </w:pPr>
      <w:r>
        <w:t xml:space="preserve">Component 4: </w:t>
      </w:r>
      <w:r>
        <w:rPr>
          <w:bCs/>
        </w:rPr>
        <w:t>UNHCR funding</w:t>
      </w:r>
    </w:p>
    <w:p w:rsidR="005A055C" w:rsidRDefault="005A055C" w:rsidP="005A055C">
      <w:r>
        <w:t>Increasing Australia’s funding to the UNHCR was based on the specified amounts and profile across the 2016</w:t>
      </w:r>
      <w:r>
        <w:noBreakHyphen/>
        <w:t>17 Budget forward estimates.  This component of the proposal would not have any material impact on departmental costs.</w:t>
      </w:r>
    </w:p>
    <w:p w:rsidR="00EB64A3" w:rsidRPr="00EB64A3" w:rsidRDefault="00EB64A3" w:rsidP="003D7E77">
      <w:pPr>
        <w:pStyle w:val="Heading3"/>
      </w:pPr>
      <w:r w:rsidRPr="00EB64A3">
        <w:t>Component 5: Immigration administration</w:t>
      </w:r>
    </w:p>
    <w:p w:rsidR="00EB64A3" w:rsidRPr="00EB64A3" w:rsidRDefault="00EB64A3" w:rsidP="00EB64A3">
      <w:pPr>
        <w:pStyle w:val="Bullet1"/>
        <w:numPr>
          <w:ilvl w:val="0"/>
          <w:numId w:val="0"/>
        </w:numPr>
      </w:pPr>
      <w:r>
        <w:t>This component would have no financial impact (see Key assumptions).</w:t>
      </w:r>
    </w:p>
    <w:p w:rsidR="005E3562" w:rsidRPr="00FC6579" w:rsidRDefault="005E3562" w:rsidP="00F13F75">
      <w:pPr>
        <w:pStyle w:val="Heading2"/>
      </w:pPr>
      <w:r w:rsidRPr="00FC6579">
        <w:lastRenderedPageBreak/>
        <w:t>Data sources</w:t>
      </w:r>
    </w:p>
    <w:p w:rsidR="005A055C" w:rsidRDefault="005A055C" w:rsidP="00F13F75">
      <w:pPr>
        <w:keepNext/>
        <w:keepLines/>
      </w:pPr>
      <w:r>
        <w:t>Departmental costing models for the humanitarian intake associated with the 2015</w:t>
      </w:r>
      <w:r>
        <w:noBreakHyphen/>
        <w:t xml:space="preserve">16 MYEFO measure, </w:t>
      </w:r>
      <w:r w:rsidRPr="005F2C5C">
        <w:rPr>
          <w:i/>
        </w:rPr>
        <w:t>Syrian and Iraqi humanitarian crisis</w:t>
      </w:r>
      <w:r>
        <w:t xml:space="preserve"> from the:</w:t>
      </w:r>
    </w:p>
    <w:p w:rsidR="005A055C" w:rsidRPr="005A055C" w:rsidRDefault="005A055C" w:rsidP="00F13F75">
      <w:pPr>
        <w:pStyle w:val="Bullet1"/>
        <w:keepNext/>
      </w:pPr>
      <w:r w:rsidRPr="005A055C">
        <w:t>Australian Tax Office</w:t>
      </w:r>
    </w:p>
    <w:p w:rsidR="005A055C" w:rsidRPr="005A055C" w:rsidRDefault="005A055C" w:rsidP="00F13F75">
      <w:pPr>
        <w:pStyle w:val="Bullet1"/>
        <w:keepNext/>
      </w:pPr>
      <w:r w:rsidRPr="005A055C">
        <w:t>Department of Education and Training</w:t>
      </w:r>
    </w:p>
    <w:p w:rsidR="005A055C" w:rsidRPr="005A055C" w:rsidRDefault="005A055C" w:rsidP="00F13F75">
      <w:pPr>
        <w:pStyle w:val="Bullet1"/>
        <w:keepNext/>
      </w:pPr>
      <w:r w:rsidRPr="005A055C">
        <w:t>Department of Employment</w:t>
      </w:r>
    </w:p>
    <w:p w:rsidR="005A055C" w:rsidRPr="005A055C" w:rsidRDefault="005A055C" w:rsidP="00F13F75">
      <w:pPr>
        <w:pStyle w:val="Bullet1"/>
        <w:keepNext/>
      </w:pPr>
      <w:r w:rsidRPr="005A055C">
        <w:t>Department of Health</w:t>
      </w:r>
    </w:p>
    <w:p w:rsidR="005A055C" w:rsidRPr="005A055C" w:rsidRDefault="005A055C" w:rsidP="00F13F75">
      <w:pPr>
        <w:pStyle w:val="Bullet1"/>
        <w:keepNext/>
      </w:pPr>
      <w:r w:rsidRPr="005A055C">
        <w:t>Department of Human Services</w:t>
      </w:r>
    </w:p>
    <w:p w:rsidR="005A055C" w:rsidRPr="005A055C" w:rsidRDefault="005A055C" w:rsidP="00F13F75">
      <w:pPr>
        <w:pStyle w:val="Bullet1"/>
        <w:keepNext/>
      </w:pPr>
      <w:r w:rsidRPr="005A055C">
        <w:t>Department of Immigration and Border Protection</w:t>
      </w:r>
    </w:p>
    <w:p w:rsidR="005A055C" w:rsidRPr="005A055C" w:rsidRDefault="005A055C" w:rsidP="00F13F75">
      <w:pPr>
        <w:pStyle w:val="Bullet1"/>
        <w:keepNext/>
      </w:pPr>
      <w:r w:rsidRPr="005A055C">
        <w:t>Department of Social Services</w:t>
      </w:r>
    </w:p>
    <w:p w:rsidR="005A055C" w:rsidRPr="005A055C" w:rsidRDefault="005A055C" w:rsidP="005A055C">
      <w:pPr>
        <w:pStyle w:val="Bullet1"/>
      </w:pPr>
      <w:r w:rsidRPr="005A055C">
        <w:t>Department of the Treasury.</w:t>
      </w:r>
    </w:p>
    <w:p w:rsidR="005A055C" w:rsidRDefault="00184D77" w:rsidP="005A055C">
      <w:r>
        <w:t>DIBP</w:t>
      </w:r>
      <w:r w:rsidR="005A055C">
        <w:t xml:space="preserve"> also supplied details of existing contracts associated with offshore detention as well as onshore and offshore detention costing models.  Additionally, </w:t>
      </w:r>
      <w:r>
        <w:t>DIBP</w:t>
      </w:r>
      <w:r w:rsidR="005A055C">
        <w:t xml:space="preserve"> provided asylum seeker flow numbers as at 2016-17 Budget.</w:t>
      </w:r>
    </w:p>
    <w:p w:rsidR="00CA5D42" w:rsidRDefault="005A055C" w:rsidP="005A055C">
      <w:r>
        <w:t>The Department of Finance provided indexation and efficiency dividend parameters.</w:t>
      </w:r>
    </w:p>
    <w:p w:rsidR="005A055C" w:rsidRDefault="005A055C" w:rsidP="005A055C"/>
    <w:p w:rsidR="005A055C" w:rsidRPr="00FC6579" w:rsidRDefault="005A055C" w:rsidP="005A055C">
      <w:pPr>
        <w:rPr>
          <w:highlight w:val="yellow"/>
        </w:rPr>
        <w:sectPr w:rsidR="005A055C" w:rsidRPr="00FC6579" w:rsidSect="00002D5D">
          <w:headerReference w:type="first" r:id="rId14"/>
          <w:footerReference w:type="first" r:id="rId15"/>
          <w:pgSz w:w="11906" w:h="16838"/>
          <w:pgMar w:top="1361" w:right="1797" w:bottom="1474" w:left="1797" w:header="709" w:footer="709" w:gutter="0"/>
          <w:cols w:space="708"/>
          <w:titlePg/>
          <w:docGrid w:linePitch="360"/>
        </w:sectPr>
      </w:pPr>
    </w:p>
    <w:p w:rsidR="001A02D1" w:rsidRPr="00FC6579" w:rsidRDefault="001A02D1" w:rsidP="00FC6579">
      <w:pPr>
        <w:pStyle w:val="Heading1"/>
      </w:pPr>
      <w:r w:rsidRPr="00FC6579">
        <w:lastRenderedPageBreak/>
        <w:t>Attachment A:</w:t>
      </w:r>
      <w:r w:rsidR="00841C3A">
        <w:t xml:space="preserve"> </w:t>
      </w:r>
      <w:r w:rsidR="005A055C" w:rsidRPr="00C841CF">
        <w:t>Close offshore detention and build safer pathways</w:t>
      </w:r>
      <w:r w:rsidR="005A055C">
        <w:t xml:space="preserve"> </w:t>
      </w:r>
      <w:r w:rsidR="00440E32">
        <w:t>—</w:t>
      </w:r>
      <w:r w:rsidR="00E14273">
        <w:t xml:space="preserve"> </w:t>
      </w:r>
      <w:r w:rsidR="00440E32">
        <w:t>financial</w:t>
      </w:r>
      <w:r w:rsidR="00841C3A">
        <w:t> </w:t>
      </w:r>
      <w:r w:rsidR="00440E32">
        <w:t>implications</w:t>
      </w:r>
    </w:p>
    <w:p w:rsidR="00F52474" w:rsidRPr="00FC6579" w:rsidRDefault="00F52474" w:rsidP="00FC6579">
      <w:pPr>
        <w:pStyle w:val="Captionheading"/>
      </w:pPr>
      <w:r w:rsidRPr="00FC6579">
        <w:t xml:space="preserve">Table </w:t>
      </w:r>
      <w:r w:rsidR="005A055C">
        <w:t>A1</w:t>
      </w:r>
      <w:r w:rsidRPr="00FC6579">
        <w:t xml:space="preserve">: </w:t>
      </w:r>
      <w:r w:rsidR="005A055C" w:rsidRPr="00C841CF">
        <w:t>Close offshore detention and build safer pathways</w:t>
      </w:r>
      <w:r w:rsidR="005A055C">
        <w:t xml:space="preserve"> </w:t>
      </w:r>
      <w:r w:rsidR="00E14273">
        <w:t xml:space="preserve">– </w:t>
      </w:r>
      <w:r w:rsidR="005A055C">
        <w:t>Fiscal balance</w:t>
      </w:r>
      <w:r w:rsidR="001F7D6A" w:rsidRPr="001F7D6A">
        <w:rPr>
          <w:vertAlign w:val="superscript"/>
        </w:rPr>
        <w:t>(a)(b)</w:t>
      </w:r>
    </w:p>
    <w:tbl>
      <w:tblPr>
        <w:tblStyle w:val="TableGrid"/>
        <w:tblW w:w="4948" w:type="pct"/>
        <w:tblLook w:val="0680" w:firstRow="0" w:lastRow="0" w:firstColumn="1" w:lastColumn="0" w:noHBand="1" w:noVBand="1"/>
      </w:tblPr>
      <w:tblGrid>
        <w:gridCol w:w="2139"/>
        <w:gridCol w:w="905"/>
        <w:gridCol w:w="902"/>
        <w:gridCol w:w="902"/>
        <w:gridCol w:w="901"/>
        <w:gridCol w:w="907"/>
        <w:gridCol w:w="901"/>
        <w:gridCol w:w="901"/>
        <w:gridCol w:w="901"/>
        <w:gridCol w:w="901"/>
        <w:gridCol w:w="901"/>
        <w:gridCol w:w="901"/>
        <w:gridCol w:w="901"/>
        <w:gridCol w:w="904"/>
      </w:tblGrid>
      <w:tr w:rsidR="006B2032" w:rsidRPr="00B31810" w:rsidTr="008D6ECA">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957285" w:rsidRPr="00B31810" w:rsidRDefault="00957285" w:rsidP="002F0506">
            <w:pPr>
              <w:keepNext/>
              <w:keepLines/>
              <w:spacing w:before="70" w:after="70" w:line="240" w:lineRule="auto"/>
              <w:ind w:left="57" w:right="57"/>
            </w:pPr>
            <w:r w:rsidRPr="00B31810">
              <w:t>($m)</w:t>
            </w:r>
          </w:p>
        </w:tc>
        <w:tc>
          <w:tcPr>
            <w:tcW w:w="326" w:type="pct"/>
            <w:shd w:val="clear" w:color="auto" w:fill="D7DDE9"/>
          </w:tcPr>
          <w:p w:rsidR="00957285" w:rsidRPr="00C24267" w:rsidRDefault="00957285"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2016–17</w:t>
            </w:r>
          </w:p>
        </w:tc>
        <w:tc>
          <w:tcPr>
            <w:tcW w:w="325" w:type="pct"/>
            <w:shd w:val="clear" w:color="auto" w:fill="D7DDE9"/>
          </w:tcPr>
          <w:p w:rsidR="00957285" w:rsidRPr="00C24267" w:rsidRDefault="00957285"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2017–18</w:t>
            </w:r>
          </w:p>
        </w:tc>
        <w:tc>
          <w:tcPr>
            <w:tcW w:w="325" w:type="pct"/>
            <w:shd w:val="clear" w:color="auto" w:fill="D7DDE9"/>
          </w:tcPr>
          <w:p w:rsidR="00957285" w:rsidRPr="00C24267" w:rsidRDefault="00957285"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2018–19</w:t>
            </w:r>
          </w:p>
        </w:tc>
        <w:tc>
          <w:tcPr>
            <w:tcW w:w="325" w:type="pct"/>
            <w:shd w:val="clear" w:color="auto" w:fill="D7DDE9"/>
          </w:tcPr>
          <w:p w:rsidR="00957285" w:rsidRPr="00C24267" w:rsidRDefault="00957285"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2019–20</w:t>
            </w:r>
          </w:p>
        </w:tc>
        <w:tc>
          <w:tcPr>
            <w:tcW w:w="327" w:type="pct"/>
            <w:shd w:val="clear" w:color="auto" w:fill="D7DDE9"/>
          </w:tcPr>
          <w:p w:rsidR="00957285" w:rsidRPr="00AE30B5" w:rsidRDefault="00957285" w:rsidP="002F0506">
            <w:pPr>
              <w:pStyle w:val="TableHeadingCentred"/>
              <w:cnfStyle w:val="000000000000" w:firstRow="0" w:lastRow="0" w:firstColumn="0" w:lastColumn="0" w:oddVBand="0" w:evenVBand="0" w:oddHBand="0" w:evenHBand="0" w:firstRowFirstColumn="0" w:firstRowLastColumn="0" w:lastRowFirstColumn="0" w:lastRowLastColumn="0"/>
              <w:rPr>
                <w:b/>
              </w:rPr>
            </w:pPr>
            <w:r w:rsidRPr="00AE30B5">
              <w:rPr>
                <w:b/>
              </w:rPr>
              <w:t>Total to 2019–20</w:t>
            </w:r>
          </w:p>
        </w:tc>
        <w:tc>
          <w:tcPr>
            <w:tcW w:w="325" w:type="pct"/>
            <w:shd w:val="clear" w:color="auto" w:fill="D7DDE9"/>
          </w:tcPr>
          <w:p w:rsidR="00957285" w:rsidRPr="00C24267" w:rsidRDefault="00957285"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2020–21</w:t>
            </w:r>
          </w:p>
        </w:tc>
        <w:tc>
          <w:tcPr>
            <w:tcW w:w="325" w:type="pct"/>
            <w:shd w:val="clear" w:color="auto" w:fill="D7DDE9"/>
          </w:tcPr>
          <w:p w:rsidR="00957285" w:rsidRPr="00C24267" w:rsidRDefault="00957285"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2021–22</w:t>
            </w:r>
          </w:p>
        </w:tc>
        <w:tc>
          <w:tcPr>
            <w:tcW w:w="325" w:type="pct"/>
            <w:shd w:val="clear" w:color="auto" w:fill="D7DDE9"/>
          </w:tcPr>
          <w:p w:rsidR="00957285" w:rsidRPr="00C24267" w:rsidRDefault="00957285"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2022–23</w:t>
            </w:r>
          </w:p>
        </w:tc>
        <w:tc>
          <w:tcPr>
            <w:tcW w:w="325" w:type="pct"/>
            <w:shd w:val="clear" w:color="auto" w:fill="D7DDE9"/>
          </w:tcPr>
          <w:p w:rsidR="00957285" w:rsidRPr="00C24267" w:rsidRDefault="00957285"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2023–24</w:t>
            </w:r>
          </w:p>
        </w:tc>
        <w:tc>
          <w:tcPr>
            <w:tcW w:w="325" w:type="pct"/>
            <w:shd w:val="clear" w:color="auto" w:fill="D7DDE9"/>
          </w:tcPr>
          <w:p w:rsidR="00957285" w:rsidRPr="00C24267" w:rsidRDefault="00957285"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2024–25</w:t>
            </w:r>
          </w:p>
        </w:tc>
        <w:tc>
          <w:tcPr>
            <w:tcW w:w="325" w:type="pct"/>
            <w:shd w:val="clear" w:color="auto" w:fill="D7DDE9"/>
          </w:tcPr>
          <w:p w:rsidR="00957285" w:rsidRPr="00C24267" w:rsidRDefault="00957285"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2025–26</w:t>
            </w:r>
          </w:p>
        </w:tc>
        <w:tc>
          <w:tcPr>
            <w:tcW w:w="325" w:type="pct"/>
            <w:shd w:val="clear" w:color="auto" w:fill="D7DDE9"/>
          </w:tcPr>
          <w:p w:rsidR="00957285" w:rsidRPr="00C24267" w:rsidRDefault="00957285"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2026–27</w:t>
            </w:r>
          </w:p>
        </w:tc>
        <w:tc>
          <w:tcPr>
            <w:tcW w:w="326" w:type="pct"/>
            <w:shd w:val="clear" w:color="auto" w:fill="D7DDE9"/>
          </w:tcPr>
          <w:p w:rsidR="00957285" w:rsidRPr="00AE30B5" w:rsidRDefault="00957285" w:rsidP="002F0506">
            <w:pPr>
              <w:pStyle w:val="TableHeadingCentred"/>
              <w:cnfStyle w:val="000000000000" w:firstRow="0" w:lastRow="0" w:firstColumn="0" w:lastColumn="0" w:oddVBand="0" w:evenVBand="0" w:oddHBand="0" w:evenHBand="0" w:firstRowFirstColumn="0" w:firstRowLastColumn="0" w:lastRowFirstColumn="0" w:lastRowLastColumn="0"/>
              <w:rPr>
                <w:b/>
              </w:rPr>
            </w:pPr>
            <w:r w:rsidRPr="00AE30B5">
              <w:rPr>
                <w:b/>
              </w:rPr>
              <w:t>Total to 2026–27</w:t>
            </w:r>
          </w:p>
        </w:tc>
      </w:tr>
      <w:tr w:rsidR="00B84F8D" w:rsidRPr="00B31810" w:rsidTr="002F0506">
        <w:trPr>
          <w:cantSplit/>
        </w:trPr>
        <w:tc>
          <w:tcPr>
            <w:cnfStyle w:val="001000000000" w:firstRow="0" w:lastRow="0" w:firstColumn="1" w:lastColumn="0" w:oddVBand="0" w:evenVBand="0" w:oddHBand="0" w:evenHBand="0" w:firstRowFirstColumn="0" w:firstRowLastColumn="0" w:lastRowFirstColumn="0" w:lastRowLastColumn="0"/>
            <w:tcW w:w="771" w:type="pct"/>
          </w:tcPr>
          <w:p w:rsidR="00B84F8D" w:rsidRPr="00B31810" w:rsidRDefault="00B84F8D" w:rsidP="002F0506">
            <w:pPr>
              <w:keepNext/>
              <w:keepLines/>
              <w:spacing w:before="70" w:after="70" w:line="240" w:lineRule="auto"/>
              <w:ind w:left="57" w:right="57"/>
            </w:pPr>
            <w:r>
              <w:t>Revenue</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8.4</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35.9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98.8</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161.3</w:t>
            </w:r>
          </w:p>
        </w:tc>
        <w:tc>
          <w:tcPr>
            <w:tcW w:w="327"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304.4</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195.7</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200.1</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204.6</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209.2</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213.9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218.7</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223.6</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1,770.1</w:t>
            </w:r>
          </w:p>
        </w:tc>
      </w:tr>
      <w:tr w:rsidR="008D6ECA" w:rsidRPr="00EF1D6A" w:rsidTr="008D6ECA">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88184"/>
              <w:left w:val="single" w:sz="4" w:space="0" w:color="788184"/>
              <w:bottom w:val="single" w:sz="4" w:space="0" w:color="788184"/>
              <w:right w:val="single" w:sz="4" w:space="0" w:color="788184"/>
            </w:tcBorders>
            <w:shd w:val="clear" w:color="auto" w:fill="E9ECF3"/>
          </w:tcPr>
          <w:p w:rsidR="008D6ECA" w:rsidRPr="00AE30B5" w:rsidRDefault="005A055C" w:rsidP="002F0506">
            <w:pPr>
              <w:pStyle w:val="TableHeadingCentred"/>
              <w:jc w:val="left"/>
              <w:rPr>
                <w:b/>
              </w:rPr>
            </w:pPr>
            <w:r>
              <w:rPr>
                <w:b/>
              </w:rPr>
              <w:t>Expenses</w:t>
            </w:r>
          </w:p>
        </w:tc>
      </w:tr>
      <w:tr w:rsidR="00B84F8D" w:rsidTr="002F0506">
        <w:trPr>
          <w:cantSplit/>
        </w:trPr>
        <w:tc>
          <w:tcPr>
            <w:cnfStyle w:val="001000000000" w:firstRow="0" w:lastRow="0" w:firstColumn="1" w:lastColumn="0" w:oddVBand="0" w:evenVBand="0" w:oddHBand="0" w:evenHBand="0" w:firstRowFirstColumn="0" w:firstRowLastColumn="0" w:lastRowFirstColumn="0" w:lastRowLastColumn="0"/>
            <w:tcW w:w="771" w:type="pct"/>
          </w:tcPr>
          <w:p w:rsidR="00B84F8D" w:rsidRPr="0007264D" w:rsidRDefault="00B84F8D" w:rsidP="002F0506">
            <w:pPr>
              <w:keepNext/>
              <w:keepLines/>
              <w:spacing w:before="70" w:after="70" w:line="240" w:lineRule="auto"/>
              <w:ind w:left="57" w:right="57"/>
            </w:pPr>
            <w:r>
              <w:t>Administered</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421.5</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641.0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180.0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-252.0</w:t>
            </w:r>
          </w:p>
        </w:tc>
        <w:tc>
          <w:tcPr>
            <w:tcW w:w="327"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990.5</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-341.2</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-240.4</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-162.1</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-18.8</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177.6</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281.4</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356.4</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1,043.3</w:t>
            </w:r>
          </w:p>
        </w:tc>
      </w:tr>
      <w:tr w:rsidR="00B84F8D" w:rsidTr="002F0506">
        <w:trPr>
          <w:cantSplit/>
        </w:trPr>
        <w:tc>
          <w:tcPr>
            <w:cnfStyle w:val="001000000000" w:firstRow="0" w:lastRow="0" w:firstColumn="1" w:lastColumn="0" w:oddVBand="0" w:evenVBand="0" w:oddHBand="0" w:evenHBand="0" w:firstRowFirstColumn="0" w:firstRowLastColumn="0" w:lastRowFirstColumn="0" w:lastRowLastColumn="0"/>
            <w:tcW w:w="771" w:type="pct"/>
          </w:tcPr>
          <w:p w:rsidR="00B84F8D" w:rsidRPr="0007264D" w:rsidRDefault="00B84F8D" w:rsidP="002F0506">
            <w:pPr>
              <w:keepNext/>
              <w:keepLines/>
              <w:spacing w:before="70" w:after="70" w:line="240" w:lineRule="auto"/>
              <w:ind w:left="57" w:right="57"/>
            </w:pPr>
            <w:r>
              <w:t>Departmental</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0.1</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-9.4</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-23.6</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-32.1</w:t>
            </w:r>
          </w:p>
        </w:tc>
        <w:tc>
          <w:tcPr>
            <w:tcW w:w="327"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-65.0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-8.9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-2.9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1.6</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6.7</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10.4</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13.3</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15.6</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-29.2</w:t>
            </w:r>
          </w:p>
        </w:tc>
      </w:tr>
      <w:tr w:rsidR="00B84F8D" w:rsidTr="002F0506">
        <w:trPr>
          <w:cantSplit/>
        </w:trPr>
        <w:tc>
          <w:tcPr>
            <w:cnfStyle w:val="001000000000" w:firstRow="0" w:lastRow="0" w:firstColumn="1" w:lastColumn="0" w:oddVBand="0" w:evenVBand="0" w:oddHBand="0" w:evenHBand="0" w:firstRowFirstColumn="0" w:firstRowLastColumn="0" w:lastRowFirstColumn="0" w:lastRowLastColumn="0"/>
            <w:tcW w:w="771" w:type="pct"/>
          </w:tcPr>
          <w:p w:rsidR="00B84F8D" w:rsidRDefault="00B84F8D" w:rsidP="002F0506">
            <w:pPr>
              <w:keepNext/>
              <w:keepLines/>
              <w:spacing w:before="70" w:after="70" w:line="240" w:lineRule="auto"/>
              <w:ind w:left="57" w:right="57"/>
            </w:pPr>
            <w:r>
              <w:t>Capital</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0.5</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1.3</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7"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2.8</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2.8</w:t>
            </w:r>
          </w:p>
        </w:tc>
      </w:tr>
      <w:tr w:rsidR="006B2032" w:rsidTr="002F0506">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B84F8D" w:rsidRDefault="00B84F8D" w:rsidP="002F0506">
            <w:pPr>
              <w:keepNext/>
              <w:keepLines/>
              <w:spacing w:before="70" w:after="70" w:line="240" w:lineRule="auto"/>
              <w:ind w:left="57" w:right="57"/>
            </w:pPr>
            <w:r>
              <w:t>Total expenses</w:t>
            </w:r>
          </w:p>
        </w:tc>
        <w:tc>
          <w:tcPr>
            <w:tcW w:w="326"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 xml:space="preserve"> 422.1</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 xml:space="preserve"> 632.6</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 xml:space="preserve"> 157.6</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-284.1</w:t>
            </w:r>
          </w:p>
        </w:tc>
        <w:tc>
          <w:tcPr>
            <w:tcW w:w="327"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 928.3</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-350.1</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-243.4</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-160.5</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-12.1</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 xml:space="preserve"> 188.1</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 xml:space="preserve"> 294.6</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Pr>
                <w:rFonts w:ascii="Calibri" w:hAnsi="Calibri"/>
                <w:color w:val="000000"/>
                <w:szCs w:val="20"/>
              </w:rPr>
              <w:t xml:space="preserve"> 371.9</w:t>
            </w:r>
          </w:p>
        </w:tc>
        <w:tc>
          <w:tcPr>
            <w:tcW w:w="326"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 1,016.9</w:t>
            </w:r>
          </w:p>
        </w:tc>
      </w:tr>
      <w:tr w:rsidR="006B2032" w:rsidRPr="008D6ECA" w:rsidTr="002F0506">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B84F8D" w:rsidRPr="008D6ECA" w:rsidRDefault="00B84F8D" w:rsidP="002F0506">
            <w:pPr>
              <w:keepNext/>
              <w:keepLines/>
              <w:spacing w:before="70" w:after="70" w:line="240" w:lineRule="auto"/>
              <w:ind w:left="57" w:right="57"/>
              <w:rPr>
                <w:b/>
              </w:rPr>
            </w:pPr>
            <w:r>
              <w:rPr>
                <w:b/>
              </w:rPr>
              <w:t>Total</w:t>
            </w:r>
          </w:p>
        </w:tc>
        <w:tc>
          <w:tcPr>
            <w:tcW w:w="326"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430.6</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668.5</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256.4</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-122.9</w:t>
            </w:r>
          </w:p>
        </w:tc>
        <w:tc>
          <w:tcPr>
            <w:tcW w:w="327"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1,232.6</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-154.4</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-43.3</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44.1</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197.1</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402.0</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513.3</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595.5</w:t>
            </w:r>
          </w:p>
        </w:tc>
        <w:tc>
          <w:tcPr>
            <w:tcW w:w="326"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2,787.0</w:t>
            </w:r>
          </w:p>
        </w:tc>
      </w:tr>
    </w:tbl>
    <w:p w:rsidR="00CA5D42" w:rsidRPr="00FC6579" w:rsidRDefault="005A055C" w:rsidP="00AB6F7D">
      <w:pPr>
        <w:pStyle w:val="Footnotes"/>
        <w:numPr>
          <w:ilvl w:val="0"/>
          <w:numId w:val="10"/>
        </w:numPr>
        <w:ind w:left="284" w:hanging="284"/>
      </w:pPr>
      <w:r w:rsidRPr="00DB3B7E">
        <w:t>A positive number for the fiscal balance indicates an increase in revenue or a decrease in expenses or net capita</w:t>
      </w:r>
      <w:r>
        <w:t xml:space="preserve">l investment in accrual terms.  </w:t>
      </w:r>
      <w:r w:rsidRPr="00DB3B7E">
        <w:t>A negative number for the fiscal balance indicates a decrease in revenue or an increase in expenses or net capital investment in accrual terms.</w:t>
      </w:r>
    </w:p>
    <w:p w:rsidR="001F7D6A" w:rsidRDefault="001F7D6A" w:rsidP="001F7D6A">
      <w:pPr>
        <w:pStyle w:val="Footnotes"/>
      </w:pPr>
      <w:r>
        <w:t>Figures may not sum to totals due to rounding.</w:t>
      </w:r>
    </w:p>
    <w:p w:rsidR="001F7D6A" w:rsidRPr="00CA5D42" w:rsidRDefault="001F7D6A" w:rsidP="001F7D6A">
      <w:pPr>
        <w:pStyle w:val="Footnotes"/>
        <w:numPr>
          <w:ilvl w:val="0"/>
          <w:numId w:val="0"/>
        </w:numPr>
        <w:ind w:left="284" w:hanging="284"/>
      </w:pPr>
      <w:r>
        <w:t>-</w:t>
      </w:r>
      <w:r>
        <w:tab/>
        <w:t>Indicates nil.</w:t>
      </w:r>
    </w:p>
    <w:p w:rsidR="005A055C" w:rsidRPr="00FC6579" w:rsidRDefault="005A055C" w:rsidP="005A055C">
      <w:pPr>
        <w:pStyle w:val="Captionheading"/>
      </w:pPr>
      <w:r w:rsidRPr="00FC6579">
        <w:lastRenderedPageBreak/>
        <w:t xml:space="preserve">Table </w:t>
      </w:r>
      <w:r>
        <w:t>A</w:t>
      </w:r>
      <w:r w:rsidR="00AA3632">
        <w:t>2</w:t>
      </w:r>
      <w:r w:rsidRPr="00FC6579">
        <w:t xml:space="preserve">: </w:t>
      </w:r>
      <w:r w:rsidRPr="00C841CF">
        <w:t>Close offshore detention and build safer pathways</w:t>
      </w:r>
      <w:r>
        <w:t xml:space="preserve"> – Underlying cash balance</w:t>
      </w:r>
      <w:r w:rsidRPr="001F7D6A">
        <w:rPr>
          <w:vertAlign w:val="superscript"/>
        </w:rPr>
        <w:t>(a)(b)</w:t>
      </w:r>
    </w:p>
    <w:tbl>
      <w:tblPr>
        <w:tblStyle w:val="TableGrid"/>
        <w:tblW w:w="4948" w:type="pct"/>
        <w:tblLook w:val="0680" w:firstRow="0" w:lastRow="0" w:firstColumn="1" w:lastColumn="0" w:noHBand="1" w:noVBand="1"/>
      </w:tblPr>
      <w:tblGrid>
        <w:gridCol w:w="2139"/>
        <w:gridCol w:w="905"/>
        <w:gridCol w:w="902"/>
        <w:gridCol w:w="902"/>
        <w:gridCol w:w="901"/>
        <w:gridCol w:w="907"/>
        <w:gridCol w:w="901"/>
        <w:gridCol w:w="901"/>
        <w:gridCol w:w="901"/>
        <w:gridCol w:w="901"/>
        <w:gridCol w:w="901"/>
        <w:gridCol w:w="901"/>
        <w:gridCol w:w="901"/>
        <w:gridCol w:w="904"/>
      </w:tblGrid>
      <w:tr w:rsidR="006B2032" w:rsidRPr="00B31810" w:rsidTr="00404B0B">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5A055C" w:rsidRPr="00B31810" w:rsidRDefault="005A055C" w:rsidP="002F0506">
            <w:pPr>
              <w:keepNext/>
              <w:keepLines/>
              <w:spacing w:before="70" w:after="70" w:line="240" w:lineRule="auto"/>
              <w:ind w:left="57" w:right="57"/>
            </w:pPr>
            <w:r w:rsidRPr="00B31810">
              <w:t>($m)</w:t>
            </w:r>
          </w:p>
        </w:tc>
        <w:tc>
          <w:tcPr>
            <w:tcW w:w="326"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2016–17</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2017–18</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2018–19</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2019–20</w:t>
            </w:r>
          </w:p>
        </w:tc>
        <w:tc>
          <w:tcPr>
            <w:tcW w:w="327" w:type="pct"/>
            <w:shd w:val="clear" w:color="auto" w:fill="D7DDE9"/>
          </w:tcPr>
          <w:p w:rsidR="005A055C" w:rsidRPr="00AE30B5"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rPr>
                <w:b/>
              </w:rPr>
            </w:pPr>
            <w:r w:rsidRPr="00AE30B5">
              <w:rPr>
                <w:b/>
              </w:rPr>
              <w:t>Total to 2019–20</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2020–21</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2021–22</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2022–23</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2023–24</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2024–25</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2025–26</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2026–27</w:t>
            </w:r>
          </w:p>
        </w:tc>
        <w:tc>
          <w:tcPr>
            <w:tcW w:w="326" w:type="pct"/>
            <w:shd w:val="clear" w:color="auto" w:fill="D7DDE9"/>
          </w:tcPr>
          <w:p w:rsidR="005A055C" w:rsidRPr="00AE30B5"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rPr>
                <w:b/>
              </w:rPr>
            </w:pPr>
            <w:r w:rsidRPr="00AE30B5">
              <w:rPr>
                <w:b/>
              </w:rPr>
              <w:t>Total to 2026–27</w:t>
            </w:r>
          </w:p>
        </w:tc>
      </w:tr>
      <w:tr w:rsidR="00E87530" w:rsidRPr="00B31810" w:rsidTr="002F0506">
        <w:trPr>
          <w:cantSplit/>
        </w:trPr>
        <w:tc>
          <w:tcPr>
            <w:cnfStyle w:val="001000000000" w:firstRow="0" w:lastRow="0" w:firstColumn="1" w:lastColumn="0" w:oddVBand="0" w:evenVBand="0" w:oddHBand="0" w:evenHBand="0" w:firstRowFirstColumn="0" w:firstRowLastColumn="0" w:lastRowFirstColumn="0" w:lastRowLastColumn="0"/>
            <w:tcW w:w="771" w:type="pct"/>
          </w:tcPr>
          <w:p w:rsidR="00E87530" w:rsidRPr="00B31810" w:rsidRDefault="00E87530" w:rsidP="002F0506">
            <w:pPr>
              <w:keepNext/>
              <w:keepLines/>
              <w:spacing w:before="70" w:after="70" w:line="240" w:lineRule="auto"/>
              <w:ind w:left="57" w:right="57"/>
            </w:pPr>
            <w:r>
              <w:t>Revenue</w:t>
            </w:r>
          </w:p>
        </w:tc>
        <w:tc>
          <w:tcPr>
            <w:tcW w:w="326" w:type="pct"/>
          </w:tcPr>
          <w:p w:rsidR="00E87530" w:rsidRPr="00E87530" w:rsidRDefault="00E87530"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Cs w:val="20"/>
              </w:rPr>
            </w:pPr>
            <w:r w:rsidRPr="00E87530">
              <w:rPr>
                <w:rFonts w:ascii="Calibri" w:hAnsi="Calibri"/>
                <w:iCs/>
                <w:color w:val="000000"/>
                <w:szCs w:val="20"/>
              </w:rPr>
              <w:t xml:space="preserve"> 8.4</w:t>
            </w:r>
          </w:p>
        </w:tc>
        <w:tc>
          <w:tcPr>
            <w:tcW w:w="325" w:type="pct"/>
          </w:tcPr>
          <w:p w:rsidR="00E87530" w:rsidRPr="00E87530" w:rsidRDefault="00E87530"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Cs w:val="20"/>
              </w:rPr>
            </w:pPr>
            <w:r w:rsidRPr="00E87530">
              <w:rPr>
                <w:rFonts w:ascii="Calibri" w:hAnsi="Calibri"/>
                <w:iCs/>
                <w:color w:val="000000"/>
                <w:szCs w:val="20"/>
              </w:rPr>
              <w:t xml:space="preserve"> 35.9</w:t>
            </w:r>
          </w:p>
        </w:tc>
        <w:tc>
          <w:tcPr>
            <w:tcW w:w="325" w:type="pct"/>
          </w:tcPr>
          <w:p w:rsidR="00E87530" w:rsidRPr="00E87530" w:rsidRDefault="00E87530"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Cs w:val="20"/>
              </w:rPr>
            </w:pPr>
            <w:r w:rsidRPr="00E87530">
              <w:rPr>
                <w:rFonts w:ascii="Calibri" w:hAnsi="Calibri"/>
                <w:iCs/>
                <w:color w:val="000000"/>
                <w:szCs w:val="20"/>
              </w:rPr>
              <w:t xml:space="preserve"> 98.8</w:t>
            </w:r>
          </w:p>
        </w:tc>
        <w:tc>
          <w:tcPr>
            <w:tcW w:w="325" w:type="pct"/>
          </w:tcPr>
          <w:p w:rsidR="00E87530" w:rsidRPr="00E87530" w:rsidRDefault="00E87530"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Cs w:val="20"/>
              </w:rPr>
            </w:pPr>
            <w:r w:rsidRPr="00E87530">
              <w:rPr>
                <w:rFonts w:ascii="Calibri" w:hAnsi="Calibri"/>
                <w:iCs/>
                <w:color w:val="000000"/>
                <w:szCs w:val="20"/>
              </w:rPr>
              <w:t xml:space="preserve"> 161.3</w:t>
            </w:r>
          </w:p>
        </w:tc>
        <w:tc>
          <w:tcPr>
            <w:tcW w:w="327" w:type="pct"/>
          </w:tcPr>
          <w:p w:rsidR="00E87530" w:rsidRDefault="00E87530"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304.4</w:t>
            </w:r>
          </w:p>
        </w:tc>
        <w:tc>
          <w:tcPr>
            <w:tcW w:w="325" w:type="pct"/>
          </w:tcPr>
          <w:p w:rsidR="00E87530" w:rsidRPr="00E87530" w:rsidRDefault="00E87530"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Cs w:val="20"/>
              </w:rPr>
            </w:pPr>
            <w:r w:rsidRPr="00E87530">
              <w:rPr>
                <w:rFonts w:ascii="Calibri" w:hAnsi="Calibri"/>
                <w:iCs/>
                <w:color w:val="000000"/>
                <w:szCs w:val="20"/>
              </w:rPr>
              <w:t xml:space="preserve"> 195.7</w:t>
            </w:r>
          </w:p>
        </w:tc>
        <w:tc>
          <w:tcPr>
            <w:tcW w:w="325" w:type="pct"/>
          </w:tcPr>
          <w:p w:rsidR="00E87530" w:rsidRPr="00E87530" w:rsidRDefault="00E87530"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Cs w:val="20"/>
              </w:rPr>
            </w:pPr>
            <w:r w:rsidRPr="00E87530">
              <w:rPr>
                <w:rFonts w:ascii="Calibri" w:hAnsi="Calibri"/>
                <w:iCs/>
                <w:color w:val="000000"/>
                <w:szCs w:val="20"/>
              </w:rPr>
              <w:t xml:space="preserve"> 200.1</w:t>
            </w:r>
          </w:p>
        </w:tc>
        <w:tc>
          <w:tcPr>
            <w:tcW w:w="325" w:type="pct"/>
          </w:tcPr>
          <w:p w:rsidR="00E87530" w:rsidRPr="00E87530" w:rsidRDefault="00E87530"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Cs w:val="20"/>
              </w:rPr>
            </w:pPr>
            <w:r w:rsidRPr="00E87530">
              <w:rPr>
                <w:rFonts w:ascii="Calibri" w:hAnsi="Calibri"/>
                <w:iCs/>
                <w:color w:val="000000"/>
                <w:szCs w:val="20"/>
              </w:rPr>
              <w:t xml:space="preserve"> 204.6</w:t>
            </w:r>
          </w:p>
        </w:tc>
        <w:tc>
          <w:tcPr>
            <w:tcW w:w="325" w:type="pct"/>
          </w:tcPr>
          <w:p w:rsidR="00E87530" w:rsidRPr="00E87530" w:rsidRDefault="00E87530"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Cs w:val="20"/>
              </w:rPr>
            </w:pPr>
            <w:r w:rsidRPr="00E87530">
              <w:rPr>
                <w:rFonts w:ascii="Calibri" w:hAnsi="Calibri"/>
                <w:iCs/>
                <w:color w:val="000000"/>
                <w:szCs w:val="20"/>
              </w:rPr>
              <w:t xml:space="preserve"> 209.2</w:t>
            </w:r>
          </w:p>
        </w:tc>
        <w:tc>
          <w:tcPr>
            <w:tcW w:w="325" w:type="pct"/>
          </w:tcPr>
          <w:p w:rsidR="00E87530" w:rsidRPr="00E87530" w:rsidRDefault="00E87530"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Cs w:val="20"/>
              </w:rPr>
            </w:pPr>
            <w:r w:rsidRPr="00E87530">
              <w:rPr>
                <w:rFonts w:ascii="Calibri" w:hAnsi="Calibri"/>
                <w:iCs/>
                <w:color w:val="000000"/>
                <w:szCs w:val="20"/>
              </w:rPr>
              <w:t xml:space="preserve"> 213.9</w:t>
            </w:r>
          </w:p>
        </w:tc>
        <w:tc>
          <w:tcPr>
            <w:tcW w:w="325" w:type="pct"/>
          </w:tcPr>
          <w:p w:rsidR="00E87530" w:rsidRPr="00E87530" w:rsidRDefault="00E87530"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Cs w:val="20"/>
              </w:rPr>
            </w:pPr>
            <w:r w:rsidRPr="00E87530">
              <w:rPr>
                <w:rFonts w:ascii="Calibri" w:hAnsi="Calibri"/>
                <w:iCs/>
                <w:color w:val="000000"/>
                <w:szCs w:val="20"/>
              </w:rPr>
              <w:t xml:space="preserve"> 218.7</w:t>
            </w:r>
          </w:p>
        </w:tc>
        <w:tc>
          <w:tcPr>
            <w:tcW w:w="325" w:type="pct"/>
          </w:tcPr>
          <w:p w:rsidR="00E87530" w:rsidRPr="00E87530" w:rsidRDefault="00E87530"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Cs w:val="20"/>
              </w:rPr>
            </w:pPr>
            <w:r w:rsidRPr="00E87530">
              <w:rPr>
                <w:rFonts w:ascii="Calibri" w:hAnsi="Calibri"/>
                <w:iCs/>
                <w:color w:val="000000"/>
                <w:szCs w:val="20"/>
              </w:rPr>
              <w:t xml:space="preserve"> 223.6</w:t>
            </w:r>
          </w:p>
        </w:tc>
        <w:tc>
          <w:tcPr>
            <w:tcW w:w="326" w:type="pct"/>
          </w:tcPr>
          <w:p w:rsidR="00E87530" w:rsidRDefault="00E87530"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1,770.1</w:t>
            </w:r>
          </w:p>
        </w:tc>
      </w:tr>
      <w:tr w:rsidR="005A055C" w:rsidRPr="00EF1D6A" w:rsidTr="00404B0B">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88184"/>
              <w:left w:val="single" w:sz="4" w:space="0" w:color="788184"/>
              <w:bottom w:val="single" w:sz="4" w:space="0" w:color="788184"/>
              <w:right w:val="single" w:sz="4" w:space="0" w:color="788184"/>
            </w:tcBorders>
            <w:shd w:val="clear" w:color="auto" w:fill="E9ECF3"/>
          </w:tcPr>
          <w:p w:rsidR="005A055C" w:rsidRPr="00AE30B5" w:rsidRDefault="005A055C" w:rsidP="002F0506">
            <w:pPr>
              <w:pStyle w:val="TableHeadingCentred"/>
              <w:jc w:val="left"/>
              <w:rPr>
                <w:b/>
              </w:rPr>
            </w:pPr>
            <w:r>
              <w:rPr>
                <w:b/>
              </w:rPr>
              <w:t>Expenses</w:t>
            </w:r>
          </w:p>
        </w:tc>
      </w:tr>
      <w:tr w:rsidR="00B84F8D" w:rsidTr="002F0506">
        <w:trPr>
          <w:cantSplit/>
        </w:trPr>
        <w:tc>
          <w:tcPr>
            <w:cnfStyle w:val="001000000000" w:firstRow="0" w:lastRow="0" w:firstColumn="1" w:lastColumn="0" w:oddVBand="0" w:evenVBand="0" w:oddHBand="0" w:evenHBand="0" w:firstRowFirstColumn="0" w:firstRowLastColumn="0" w:lastRowFirstColumn="0" w:lastRowLastColumn="0"/>
            <w:tcW w:w="771" w:type="pct"/>
          </w:tcPr>
          <w:p w:rsidR="00B84F8D" w:rsidRPr="0007264D" w:rsidRDefault="00B84F8D" w:rsidP="002F0506">
            <w:pPr>
              <w:keepNext/>
              <w:keepLines/>
              <w:spacing w:before="70" w:after="70" w:line="240" w:lineRule="auto"/>
              <w:ind w:left="57" w:right="57"/>
            </w:pPr>
            <w:r>
              <w:t>Administered</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421.7</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641.2</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180.6</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-251.2</w:t>
            </w:r>
          </w:p>
        </w:tc>
        <w:tc>
          <w:tcPr>
            <w:tcW w:w="327"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992.2</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-340.3</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-239.6</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-161.1</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-18.0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178.7</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282.3</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357.5</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1,051.8</w:t>
            </w:r>
          </w:p>
        </w:tc>
      </w:tr>
      <w:tr w:rsidR="00B84F8D" w:rsidTr="002F0506">
        <w:trPr>
          <w:cantSplit/>
        </w:trPr>
        <w:tc>
          <w:tcPr>
            <w:cnfStyle w:val="001000000000" w:firstRow="0" w:lastRow="0" w:firstColumn="1" w:lastColumn="0" w:oddVBand="0" w:evenVBand="0" w:oddHBand="0" w:evenHBand="0" w:firstRowFirstColumn="0" w:firstRowLastColumn="0" w:lastRowFirstColumn="0" w:lastRowLastColumn="0"/>
            <w:tcW w:w="771" w:type="pct"/>
          </w:tcPr>
          <w:p w:rsidR="00B84F8D" w:rsidRPr="0007264D" w:rsidRDefault="00B84F8D" w:rsidP="002F0506">
            <w:pPr>
              <w:keepNext/>
              <w:keepLines/>
              <w:spacing w:before="70" w:after="70" w:line="240" w:lineRule="auto"/>
              <w:ind w:left="57" w:right="57"/>
            </w:pPr>
            <w:r>
              <w:t>Departmental</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0.1</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-9.4</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-23.6</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-32.1</w:t>
            </w:r>
          </w:p>
        </w:tc>
        <w:tc>
          <w:tcPr>
            <w:tcW w:w="327"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-65.0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-8.9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-2.9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1.6</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6.7</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10.4</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13.3</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15.6</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-29.2</w:t>
            </w:r>
          </w:p>
        </w:tc>
      </w:tr>
      <w:tr w:rsidR="00B84F8D" w:rsidTr="002F0506">
        <w:trPr>
          <w:cantSplit/>
        </w:trPr>
        <w:tc>
          <w:tcPr>
            <w:cnfStyle w:val="001000000000" w:firstRow="0" w:lastRow="0" w:firstColumn="1" w:lastColumn="0" w:oddVBand="0" w:evenVBand="0" w:oddHBand="0" w:evenHBand="0" w:firstRowFirstColumn="0" w:firstRowLastColumn="0" w:lastRowFirstColumn="0" w:lastRowLastColumn="0"/>
            <w:tcW w:w="771" w:type="pct"/>
          </w:tcPr>
          <w:p w:rsidR="00B84F8D" w:rsidRDefault="00B84F8D" w:rsidP="002F0506">
            <w:pPr>
              <w:keepNext/>
              <w:keepLines/>
              <w:spacing w:before="70" w:after="70" w:line="240" w:lineRule="auto"/>
              <w:ind w:left="57" w:right="57"/>
            </w:pPr>
            <w:r>
              <w:t>Capital</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0.5</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1.3</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7"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2.8</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2.8</w:t>
            </w:r>
          </w:p>
        </w:tc>
      </w:tr>
      <w:tr w:rsidR="006B2032" w:rsidTr="002F0506">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B84F8D" w:rsidRPr="00263AC3" w:rsidRDefault="00B84F8D" w:rsidP="002F0506">
            <w:pPr>
              <w:keepNext/>
              <w:keepLines/>
              <w:spacing w:before="70" w:after="70" w:line="240" w:lineRule="auto"/>
              <w:ind w:left="57" w:right="57"/>
            </w:pPr>
            <w:r w:rsidRPr="00263AC3">
              <w:t>Total expenses</w:t>
            </w:r>
          </w:p>
        </w:tc>
        <w:tc>
          <w:tcPr>
            <w:tcW w:w="326"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 xml:space="preserve"> 422.3</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 xml:space="preserve"> 632.9</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 xml:space="preserve"> 158.3</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-283.3</w:t>
            </w:r>
          </w:p>
        </w:tc>
        <w:tc>
          <w:tcPr>
            <w:tcW w:w="327" w:type="pct"/>
            <w:shd w:val="clear" w:color="auto" w:fill="D7DDE9"/>
          </w:tcPr>
          <w:p w:rsidR="00B84F8D" w:rsidRPr="00263AC3"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sidRPr="00263AC3">
              <w:rPr>
                <w:rFonts w:ascii="Calibri" w:hAnsi="Calibri"/>
                <w:b/>
                <w:bCs/>
                <w:color w:val="000000"/>
                <w:szCs w:val="20"/>
              </w:rPr>
              <w:t xml:space="preserve"> 930.0</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-349.2</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-242.5</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-159.5</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-11.2</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 xml:space="preserve"> 189.1</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 xml:space="preserve"> 295.6</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 xml:space="preserve"> 373.0</w:t>
            </w:r>
          </w:p>
        </w:tc>
        <w:tc>
          <w:tcPr>
            <w:tcW w:w="326"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 1,025.4</w:t>
            </w:r>
          </w:p>
        </w:tc>
      </w:tr>
      <w:tr w:rsidR="006B2032" w:rsidRPr="008D6ECA" w:rsidTr="002F0506">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B84F8D" w:rsidRPr="008D6ECA" w:rsidRDefault="00B84F8D" w:rsidP="002F0506">
            <w:pPr>
              <w:keepNext/>
              <w:keepLines/>
              <w:spacing w:before="70" w:after="70" w:line="240" w:lineRule="auto"/>
              <w:ind w:left="57" w:right="57"/>
              <w:rPr>
                <w:b/>
              </w:rPr>
            </w:pPr>
            <w:r>
              <w:rPr>
                <w:b/>
              </w:rPr>
              <w:t>Total</w:t>
            </w:r>
          </w:p>
        </w:tc>
        <w:tc>
          <w:tcPr>
            <w:tcW w:w="326"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430.7</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668.7</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257.1</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-122.1</w:t>
            </w:r>
          </w:p>
        </w:tc>
        <w:tc>
          <w:tcPr>
            <w:tcW w:w="327"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1,234.4</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-153.5</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-42.4</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45.1</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198.0</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403.0</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514.3</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596.6</w:t>
            </w:r>
          </w:p>
        </w:tc>
        <w:tc>
          <w:tcPr>
            <w:tcW w:w="326"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2,795.4</w:t>
            </w:r>
          </w:p>
        </w:tc>
      </w:tr>
    </w:tbl>
    <w:p w:rsidR="005A055C" w:rsidRPr="00FC6579" w:rsidRDefault="005A055C" w:rsidP="00404B0B">
      <w:pPr>
        <w:pStyle w:val="Footnotes"/>
        <w:numPr>
          <w:ilvl w:val="0"/>
          <w:numId w:val="23"/>
        </w:numPr>
        <w:ind w:left="284" w:hanging="284"/>
      </w:pPr>
      <w:r w:rsidRPr="00DB3B7E">
        <w:t xml:space="preserve">A positive number for the </w:t>
      </w:r>
      <w:r w:rsidR="00184D77">
        <w:t>underlying cash</w:t>
      </w:r>
      <w:r w:rsidRPr="00DB3B7E">
        <w:t xml:space="preserve"> balance indicates an increase in revenue or a decrease in expenses or net capita</w:t>
      </w:r>
      <w:r>
        <w:t xml:space="preserve">l investment in </w:t>
      </w:r>
      <w:r w:rsidR="00184D77">
        <w:t>cash</w:t>
      </w:r>
      <w:r>
        <w:t xml:space="preserve"> terms.  </w:t>
      </w:r>
      <w:r w:rsidRPr="00DB3B7E">
        <w:t xml:space="preserve">A negative number for the </w:t>
      </w:r>
      <w:r w:rsidR="00184D77">
        <w:t>underlying cash</w:t>
      </w:r>
      <w:r w:rsidR="00184D77" w:rsidRPr="00DB3B7E">
        <w:t xml:space="preserve"> </w:t>
      </w:r>
      <w:r w:rsidRPr="00DB3B7E">
        <w:t xml:space="preserve">balance indicates a decrease in revenue or an increase in expenses or net capital investment in </w:t>
      </w:r>
      <w:r w:rsidR="00184D77">
        <w:t>cash</w:t>
      </w:r>
      <w:r w:rsidRPr="00DB3B7E">
        <w:t xml:space="preserve"> terms.</w:t>
      </w:r>
    </w:p>
    <w:p w:rsidR="005A055C" w:rsidRDefault="005A055C" w:rsidP="005A055C">
      <w:pPr>
        <w:pStyle w:val="Footnotes"/>
      </w:pPr>
      <w:r>
        <w:t>Figures may not sum to totals due to rounding.</w:t>
      </w:r>
    </w:p>
    <w:p w:rsidR="00060F22" w:rsidRDefault="005A055C" w:rsidP="002F0506">
      <w:pPr>
        <w:pStyle w:val="Footnotes"/>
        <w:numPr>
          <w:ilvl w:val="0"/>
          <w:numId w:val="0"/>
        </w:numPr>
        <w:ind w:left="284" w:hanging="284"/>
      </w:pPr>
      <w:r>
        <w:t>-</w:t>
      </w:r>
      <w:r>
        <w:tab/>
        <w:t>Indicates nil.</w:t>
      </w:r>
    </w:p>
    <w:p w:rsidR="005A055C" w:rsidRPr="00FC6579" w:rsidRDefault="005A055C" w:rsidP="005A055C">
      <w:pPr>
        <w:pStyle w:val="Captionheading"/>
      </w:pPr>
      <w:r w:rsidRPr="00FC6579">
        <w:lastRenderedPageBreak/>
        <w:t xml:space="preserve">Table </w:t>
      </w:r>
      <w:r>
        <w:t>A</w:t>
      </w:r>
      <w:r w:rsidR="00AA3632">
        <w:t>3</w:t>
      </w:r>
      <w:r w:rsidRPr="00FC6579">
        <w:t xml:space="preserve">: </w:t>
      </w:r>
      <w:r>
        <w:t xml:space="preserve">Component 1 - </w:t>
      </w:r>
      <w:r w:rsidRPr="005A055C">
        <w:t xml:space="preserve">End offshore detention </w:t>
      </w:r>
      <w:r>
        <w:t>– Financial implications (outturn prices)</w:t>
      </w:r>
      <w:r w:rsidRPr="001F7D6A">
        <w:rPr>
          <w:vertAlign w:val="superscript"/>
        </w:rPr>
        <w:t>(a)(b)</w:t>
      </w:r>
    </w:p>
    <w:tbl>
      <w:tblPr>
        <w:tblStyle w:val="TableGrid"/>
        <w:tblW w:w="4948" w:type="pct"/>
        <w:tblLook w:val="0680" w:firstRow="0" w:lastRow="0" w:firstColumn="1" w:lastColumn="0" w:noHBand="1" w:noVBand="1"/>
      </w:tblPr>
      <w:tblGrid>
        <w:gridCol w:w="2139"/>
        <w:gridCol w:w="905"/>
        <w:gridCol w:w="902"/>
        <w:gridCol w:w="902"/>
        <w:gridCol w:w="901"/>
        <w:gridCol w:w="907"/>
        <w:gridCol w:w="901"/>
        <w:gridCol w:w="901"/>
        <w:gridCol w:w="901"/>
        <w:gridCol w:w="901"/>
        <w:gridCol w:w="901"/>
        <w:gridCol w:w="901"/>
        <w:gridCol w:w="901"/>
        <w:gridCol w:w="904"/>
      </w:tblGrid>
      <w:tr w:rsidR="006B2032" w:rsidRPr="00B31810" w:rsidTr="00404B0B">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5A055C" w:rsidRPr="00B31810" w:rsidRDefault="005A055C" w:rsidP="002F0506">
            <w:pPr>
              <w:keepNext/>
              <w:keepLines/>
              <w:spacing w:before="70" w:after="70" w:line="240" w:lineRule="auto"/>
              <w:ind w:left="57" w:right="57"/>
            </w:pPr>
            <w:r w:rsidRPr="00B31810">
              <w:t>($m)</w:t>
            </w:r>
          </w:p>
        </w:tc>
        <w:tc>
          <w:tcPr>
            <w:tcW w:w="326"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2016–17</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2017–18</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2018–19</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2019–20</w:t>
            </w:r>
          </w:p>
        </w:tc>
        <w:tc>
          <w:tcPr>
            <w:tcW w:w="327" w:type="pct"/>
            <w:shd w:val="clear" w:color="auto" w:fill="D7DDE9"/>
          </w:tcPr>
          <w:p w:rsidR="005A055C" w:rsidRPr="00AE30B5"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rPr>
                <w:b/>
              </w:rPr>
            </w:pPr>
            <w:r w:rsidRPr="00AE30B5">
              <w:rPr>
                <w:b/>
              </w:rPr>
              <w:t>Total to 2019–20</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2020–21</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2021–22</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2022–23</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2023–24</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2024–25</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2025–26</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2026–27</w:t>
            </w:r>
          </w:p>
        </w:tc>
        <w:tc>
          <w:tcPr>
            <w:tcW w:w="326" w:type="pct"/>
            <w:shd w:val="clear" w:color="auto" w:fill="D7DDE9"/>
          </w:tcPr>
          <w:p w:rsidR="005A055C" w:rsidRPr="00AE30B5"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rPr>
                <w:b/>
              </w:rPr>
            </w:pPr>
            <w:r w:rsidRPr="00AE30B5">
              <w:rPr>
                <w:b/>
              </w:rPr>
              <w:t>Total to 2026–27</w:t>
            </w:r>
          </w:p>
        </w:tc>
      </w:tr>
      <w:tr w:rsidR="005A055C" w:rsidRPr="00EF1D6A" w:rsidTr="00404B0B">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88184"/>
              <w:left w:val="single" w:sz="4" w:space="0" w:color="788184"/>
              <w:bottom w:val="single" w:sz="4" w:space="0" w:color="788184"/>
              <w:right w:val="single" w:sz="4" w:space="0" w:color="788184"/>
            </w:tcBorders>
            <w:shd w:val="clear" w:color="auto" w:fill="E9ECF3"/>
          </w:tcPr>
          <w:p w:rsidR="005A055C" w:rsidRPr="00AE30B5" w:rsidRDefault="00272DD2" w:rsidP="002F0506">
            <w:pPr>
              <w:pStyle w:val="TableHeadingCentred"/>
              <w:jc w:val="left"/>
              <w:rPr>
                <w:b/>
              </w:rPr>
            </w:pPr>
            <w:r>
              <w:rPr>
                <w:b/>
              </w:rPr>
              <w:t>Impact on fiscal and underlying cash balances</w:t>
            </w:r>
          </w:p>
        </w:tc>
      </w:tr>
      <w:tr w:rsidR="005A055C" w:rsidTr="00404B0B">
        <w:trPr>
          <w:cantSplit/>
        </w:trPr>
        <w:tc>
          <w:tcPr>
            <w:cnfStyle w:val="001000000000" w:firstRow="0" w:lastRow="0" w:firstColumn="1" w:lastColumn="0" w:oddVBand="0" w:evenVBand="0" w:oddHBand="0" w:evenHBand="0" w:firstRowFirstColumn="0" w:firstRowLastColumn="0" w:lastRowFirstColumn="0" w:lastRowLastColumn="0"/>
            <w:tcW w:w="771" w:type="pct"/>
          </w:tcPr>
          <w:p w:rsidR="005A055C" w:rsidRPr="00272DD2" w:rsidRDefault="00272DD2" w:rsidP="002F0506">
            <w:pPr>
              <w:keepNext/>
              <w:keepLines/>
              <w:spacing w:before="70" w:after="70" w:line="240" w:lineRule="auto"/>
              <w:ind w:left="57" w:right="57"/>
              <w:rPr>
                <w:b/>
              </w:rPr>
            </w:pPr>
            <w:r>
              <w:rPr>
                <w:b/>
              </w:rPr>
              <w:t>Offshore detention</w:t>
            </w:r>
          </w:p>
        </w:tc>
        <w:tc>
          <w:tcPr>
            <w:tcW w:w="326" w:type="pct"/>
          </w:tcPr>
          <w:p w:rsidR="005A055C" w:rsidRPr="00C24267" w:rsidRDefault="005A055C" w:rsidP="002F0506">
            <w:pPr>
              <w:pStyle w:val="TableTextRight"/>
              <w:cnfStyle w:val="000000000000" w:firstRow="0" w:lastRow="0" w:firstColumn="0" w:lastColumn="0" w:oddVBand="0" w:evenVBand="0" w:oddHBand="0" w:evenHBand="0" w:firstRowFirstColumn="0" w:firstRowLastColumn="0" w:lastRowFirstColumn="0" w:lastRowLastColumn="0"/>
            </w:pPr>
          </w:p>
        </w:tc>
        <w:tc>
          <w:tcPr>
            <w:tcW w:w="325" w:type="pct"/>
          </w:tcPr>
          <w:p w:rsidR="005A055C" w:rsidRPr="00C24267" w:rsidRDefault="005A055C" w:rsidP="002F0506">
            <w:pPr>
              <w:pStyle w:val="TableTextRight"/>
              <w:cnfStyle w:val="000000000000" w:firstRow="0" w:lastRow="0" w:firstColumn="0" w:lastColumn="0" w:oddVBand="0" w:evenVBand="0" w:oddHBand="0" w:evenHBand="0" w:firstRowFirstColumn="0" w:firstRowLastColumn="0" w:lastRowFirstColumn="0" w:lastRowLastColumn="0"/>
            </w:pPr>
          </w:p>
        </w:tc>
        <w:tc>
          <w:tcPr>
            <w:tcW w:w="325" w:type="pct"/>
          </w:tcPr>
          <w:p w:rsidR="005A055C" w:rsidRPr="00C24267" w:rsidRDefault="005A055C" w:rsidP="002F0506">
            <w:pPr>
              <w:pStyle w:val="TableTextRight"/>
              <w:cnfStyle w:val="000000000000" w:firstRow="0" w:lastRow="0" w:firstColumn="0" w:lastColumn="0" w:oddVBand="0" w:evenVBand="0" w:oddHBand="0" w:evenHBand="0" w:firstRowFirstColumn="0" w:firstRowLastColumn="0" w:lastRowFirstColumn="0" w:lastRowLastColumn="0"/>
            </w:pPr>
          </w:p>
        </w:tc>
        <w:tc>
          <w:tcPr>
            <w:tcW w:w="325" w:type="pct"/>
          </w:tcPr>
          <w:p w:rsidR="005A055C" w:rsidRPr="00C24267" w:rsidRDefault="005A055C" w:rsidP="002F0506">
            <w:pPr>
              <w:pStyle w:val="TableTextRight"/>
              <w:cnfStyle w:val="000000000000" w:firstRow="0" w:lastRow="0" w:firstColumn="0" w:lastColumn="0" w:oddVBand="0" w:evenVBand="0" w:oddHBand="0" w:evenHBand="0" w:firstRowFirstColumn="0" w:firstRowLastColumn="0" w:lastRowFirstColumn="0" w:lastRowLastColumn="0"/>
            </w:pPr>
          </w:p>
        </w:tc>
        <w:tc>
          <w:tcPr>
            <w:tcW w:w="327" w:type="pct"/>
          </w:tcPr>
          <w:p w:rsidR="005A055C" w:rsidRPr="00AE30B5" w:rsidRDefault="005A055C" w:rsidP="002F0506">
            <w:pPr>
              <w:pStyle w:val="TableTextRight"/>
              <w:cnfStyle w:val="000000000000" w:firstRow="0" w:lastRow="0" w:firstColumn="0" w:lastColumn="0" w:oddVBand="0" w:evenVBand="0" w:oddHBand="0" w:evenHBand="0" w:firstRowFirstColumn="0" w:firstRowLastColumn="0" w:lastRowFirstColumn="0" w:lastRowLastColumn="0"/>
              <w:rPr>
                <w:b/>
              </w:rPr>
            </w:pPr>
          </w:p>
        </w:tc>
        <w:tc>
          <w:tcPr>
            <w:tcW w:w="325" w:type="pct"/>
          </w:tcPr>
          <w:p w:rsidR="005A055C" w:rsidRPr="00C24267" w:rsidRDefault="005A055C" w:rsidP="002F0506">
            <w:pPr>
              <w:pStyle w:val="TableTextRight"/>
              <w:cnfStyle w:val="000000000000" w:firstRow="0" w:lastRow="0" w:firstColumn="0" w:lastColumn="0" w:oddVBand="0" w:evenVBand="0" w:oddHBand="0" w:evenHBand="0" w:firstRowFirstColumn="0" w:firstRowLastColumn="0" w:lastRowFirstColumn="0" w:lastRowLastColumn="0"/>
            </w:pPr>
          </w:p>
        </w:tc>
        <w:tc>
          <w:tcPr>
            <w:tcW w:w="325" w:type="pct"/>
          </w:tcPr>
          <w:p w:rsidR="005A055C" w:rsidRPr="00C24267" w:rsidRDefault="005A055C" w:rsidP="002F0506">
            <w:pPr>
              <w:pStyle w:val="TableTextRight"/>
              <w:cnfStyle w:val="000000000000" w:firstRow="0" w:lastRow="0" w:firstColumn="0" w:lastColumn="0" w:oddVBand="0" w:evenVBand="0" w:oddHBand="0" w:evenHBand="0" w:firstRowFirstColumn="0" w:firstRowLastColumn="0" w:lastRowFirstColumn="0" w:lastRowLastColumn="0"/>
            </w:pPr>
          </w:p>
        </w:tc>
        <w:tc>
          <w:tcPr>
            <w:tcW w:w="325" w:type="pct"/>
          </w:tcPr>
          <w:p w:rsidR="005A055C" w:rsidRPr="00C24267" w:rsidRDefault="005A055C" w:rsidP="002F0506">
            <w:pPr>
              <w:pStyle w:val="TableTextRight"/>
              <w:cnfStyle w:val="000000000000" w:firstRow="0" w:lastRow="0" w:firstColumn="0" w:lastColumn="0" w:oddVBand="0" w:evenVBand="0" w:oddHBand="0" w:evenHBand="0" w:firstRowFirstColumn="0" w:firstRowLastColumn="0" w:lastRowFirstColumn="0" w:lastRowLastColumn="0"/>
            </w:pPr>
          </w:p>
        </w:tc>
        <w:tc>
          <w:tcPr>
            <w:tcW w:w="325" w:type="pct"/>
          </w:tcPr>
          <w:p w:rsidR="005A055C" w:rsidRPr="00C24267" w:rsidRDefault="005A055C" w:rsidP="002F0506">
            <w:pPr>
              <w:pStyle w:val="TableTextRight"/>
              <w:cnfStyle w:val="000000000000" w:firstRow="0" w:lastRow="0" w:firstColumn="0" w:lastColumn="0" w:oddVBand="0" w:evenVBand="0" w:oddHBand="0" w:evenHBand="0" w:firstRowFirstColumn="0" w:firstRowLastColumn="0" w:lastRowFirstColumn="0" w:lastRowLastColumn="0"/>
            </w:pPr>
          </w:p>
        </w:tc>
        <w:tc>
          <w:tcPr>
            <w:tcW w:w="325" w:type="pct"/>
          </w:tcPr>
          <w:p w:rsidR="005A055C" w:rsidRPr="00C24267" w:rsidRDefault="005A055C" w:rsidP="002F0506">
            <w:pPr>
              <w:pStyle w:val="TableTextRight"/>
              <w:cnfStyle w:val="000000000000" w:firstRow="0" w:lastRow="0" w:firstColumn="0" w:lastColumn="0" w:oddVBand="0" w:evenVBand="0" w:oddHBand="0" w:evenHBand="0" w:firstRowFirstColumn="0" w:firstRowLastColumn="0" w:lastRowFirstColumn="0" w:lastRowLastColumn="0"/>
            </w:pPr>
          </w:p>
        </w:tc>
        <w:tc>
          <w:tcPr>
            <w:tcW w:w="325" w:type="pct"/>
          </w:tcPr>
          <w:p w:rsidR="005A055C" w:rsidRPr="00C24267" w:rsidRDefault="005A055C" w:rsidP="002F0506">
            <w:pPr>
              <w:pStyle w:val="TableTextRight"/>
              <w:cnfStyle w:val="000000000000" w:firstRow="0" w:lastRow="0" w:firstColumn="0" w:lastColumn="0" w:oddVBand="0" w:evenVBand="0" w:oddHBand="0" w:evenHBand="0" w:firstRowFirstColumn="0" w:firstRowLastColumn="0" w:lastRowFirstColumn="0" w:lastRowLastColumn="0"/>
            </w:pPr>
          </w:p>
        </w:tc>
        <w:tc>
          <w:tcPr>
            <w:tcW w:w="325" w:type="pct"/>
          </w:tcPr>
          <w:p w:rsidR="005A055C" w:rsidRPr="00C24267" w:rsidRDefault="005A055C" w:rsidP="002F0506">
            <w:pPr>
              <w:pStyle w:val="TableTextRight"/>
              <w:cnfStyle w:val="000000000000" w:firstRow="0" w:lastRow="0" w:firstColumn="0" w:lastColumn="0" w:oddVBand="0" w:evenVBand="0" w:oddHBand="0" w:evenHBand="0" w:firstRowFirstColumn="0" w:firstRowLastColumn="0" w:lastRowFirstColumn="0" w:lastRowLastColumn="0"/>
            </w:pPr>
          </w:p>
        </w:tc>
        <w:tc>
          <w:tcPr>
            <w:tcW w:w="326" w:type="pct"/>
          </w:tcPr>
          <w:p w:rsidR="005A055C" w:rsidRPr="00AE30B5" w:rsidRDefault="005A055C" w:rsidP="002F0506">
            <w:pPr>
              <w:pStyle w:val="TableTextRight"/>
              <w:cnfStyle w:val="000000000000" w:firstRow="0" w:lastRow="0" w:firstColumn="0" w:lastColumn="0" w:oddVBand="0" w:evenVBand="0" w:oddHBand="0" w:evenHBand="0" w:firstRowFirstColumn="0" w:firstRowLastColumn="0" w:lastRowFirstColumn="0" w:lastRowLastColumn="0"/>
              <w:rPr>
                <w:b/>
              </w:rPr>
            </w:pPr>
          </w:p>
        </w:tc>
      </w:tr>
      <w:tr w:rsidR="00B84F8D" w:rsidTr="00404B0B">
        <w:trPr>
          <w:cantSplit/>
        </w:trPr>
        <w:tc>
          <w:tcPr>
            <w:cnfStyle w:val="001000000000" w:firstRow="0" w:lastRow="0" w:firstColumn="1" w:lastColumn="0" w:oddVBand="0" w:evenVBand="0" w:oddHBand="0" w:evenHBand="0" w:firstRowFirstColumn="0" w:firstRowLastColumn="0" w:lastRowFirstColumn="0" w:lastRowLastColumn="0"/>
            <w:tcW w:w="771" w:type="pct"/>
          </w:tcPr>
          <w:p w:rsidR="00B84F8D" w:rsidRPr="0007264D" w:rsidRDefault="00B84F8D" w:rsidP="002F0506">
            <w:pPr>
              <w:keepNext/>
              <w:keepLines/>
              <w:spacing w:before="70" w:after="70" w:line="240" w:lineRule="auto"/>
              <w:ind w:left="57" w:right="57"/>
            </w:pPr>
            <w:r>
              <w:t>Administered</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409.9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784.3</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758.9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747.3</w:t>
            </w:r>
          </w:p>
        </w:tc>
        <w:tc>
          <w:tcPr>
            <w:tcW w:w="327"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2,700.4</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756.6</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752.0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754.6</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763.0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773.3</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773.3</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773.3</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8,046.6</w:t>
            </w:r>
          </w:p>
        </w:tc>
      </w:tr>
      <w:tr w:rsidR="00B84F8D" w:rsidTr="00404B0B">
        <w:trPr>
          <w:cantSplit/>
        </w:trPr>
        <w:tc>
          <w:tcPr>
            <w:cnfStyle w:val="001000000000" w:firstRow="0" w:lastRow="0" w:firstColumn="1" w:lastColumn="0" w:oddVBand="0" w:evenVBand="0" w:oddHBand="0" w:evenHBand="0" w:firstRowFirstColumn="0" w:firstRowLastColumn="0" w:lastRowFirstColumn="0" w:lastRowLastColumn="0"/>
            <w:tcW w:w="771" w:type="pct"/>
          </w:tcPr>
          <w:p w:rsidR="00B84F8D" w:rsidRPr="0007264D" w:rsidRDefault="00B84F8D" w:rsidP="002F0506">
            <w:pPr>
              <w:keepNext/>
              <w:keepLines/>
              <w:spacing w:before="70" w:after="70" w:line="240" w:lineRule="auto"/>
              <w:ind w:left="57" w:right="57"/>
            </w:pPr>
            <w:r>
              <w:t>Departmental</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16.0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31.5</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31.1</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31.0</w:t>
            </w:r>
          </w:p>
        </w:tc>
        <w:tc>
          <w:tcPr>
            <w:tcW w:w="327"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109.7</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30.9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30.9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30.8</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31.0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31.4</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31.4</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31.4</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327.3</w:t>
            </w:r>
          </w:p>
        </w:tc>
      </w:tr>
      <w:tr w:rsidR="00B84F8D" w:rsidTr="00404B0B">
        <w:trPr>
          <w:cantSplit/>
        </w:trPr>
        <w:tc>
          <w:tcPr>
            <w:cnfStyle w:val="001000000000" w:firstRow="0" w:lastRow="0" w:firstColumn="1" w:lastColumn="0" w:oddVBand="0" w:evenVBand="0" w:oddHBand="0" w:evenHBand="0" w:firstRowFirstColumn="0" w:firstRowLastColumn="0" w:lastRowFirstColumn="0" w:lastRowLastColumn="0"/>
            <w:tcW w:w="771" w:type="pct"/>
          </w:tcPr>
          <w:p w:rsidR="00B84F8D" w:rsidRDefault="00B84F8D" w:rsidP="002F0506">
            <w:pPr>
              <w:keepNext/>
              <w:keepLines/>
              <w:spacing w:before="70" w:after="70" w:line="240" w:lineRule="auto"/>
              <w:ind w:left="57" w:right="57"/>
            </w:pPr>
            <w:r>
              <w:t>Capital</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0.5</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1.3</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7"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2.8</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2.8</w:t>
            </w:r>
          </w:p>
        </w:tc>
      </w:tr>
      <w:tr w:rsidR="006B2032" w:rsidTr="00404B0B">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B84F8D" w:rsidRPr="00B56984" w:rsidRDefault="00B84F8D" w:rsidP="002F0506">
            <w:pPr>
              <w:keepNext/>
              <w:keepLines/>
              <w:spacing w:before="70" w:after="70" w:line="240" w:lineRule="auto"/>
              <w:ind w:left="57" w:right="57"/>
              <w:rPr>
                <w:b/>
              </w:rPr>
            </w:pPr>
            <w:r w:rsidRPr="00B56984">
              <w:rPr>
                <w:b/>
              </w:rPr>
              <w:t>Total offshore detention</w:t>
            </w:r>
          </w:p>
        </w:tc>
        <w:tc>
          <w:tcPr>
            <w:tcW w:w="326"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426.4</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816.8</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791.3</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778.3</w:t>
            </w:r>
          </w:p>
        </w:tc>
        <w:tc>
          <w:tcPr>
            <w:tcW w:w="327"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2,812.8</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787.5</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782.9</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785.4</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794.1</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804.7</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804.7</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804.7</w:t>
            </w:r>
          </w:p>
        </w:tc>
        <w:tc>
          <w:tcPr>
            <w:tcW w:w="326"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8,376.7</w:t>
            </w:r>
          </w:p>
        </w:tc>
      </w:tr>
      <w:tr w:rsidR="00B84F8D" w:rsidRPr="008D6ECA" w:rsidTr="00404B0B">
        <w:trPr>
          <w:cantSplit/>
        </w:trPr>
        <w:tc>
          <w:tcPr>
            <w:cnfStyle w:val="001000000000" w:firstRow="0" w:lastRow="0" w:firstColumn="1" w:lastColumn="0" w:oddVBand="0" w:evenVBand="0" w:oddHBand="0" w:evenHBand="0" w:firstRowFirstColumn="0" w:firstRowLastColumn="0" w:lastRowFirstColumn="0" w:lastRowLastColumn="0"/>
            <w:tcW w:w="771" w:type="pct"/>
          </w:tcPr>
          <w:p w:rsidR="00B84F8D" w:rsidRDefault="00B84F8D" w:rsidP="002F0506">
            <w:pPr>
              <w:keepNext/>
              <w:keepLines/>
              <w:spacing w:before="70" w:after="70" w:line="240" w:lineRule="auto"/>
              <w:ind w:left="57" w:right="57"/>
              <w:rPr>
                <w:b/>
              </w:rPr>
            </w:pPr>
            <w:r>
              <w:rPr>
                <w:b/>
              </w:rPr>
              <w:t>Onshore detention</w:t>
            </w:r>
            <w:r w:rsidRPr="00272DD2">
              <w:rPr>
                <w:b/>
                <w:vertAlign w:val="superscript"/>
              </w:rPr>
              <w:t>(c)</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w:t>
            </w:r>
          </w:p>
        </w:tc>
        <w:tc>
          <w:tcPr>
            <w:tcW w:w="327"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w:t>
            </w:r>
          </w:p>
        </w:tc>
      </w:tr>
      <w:tr w:rsidR="00B84F8D" w:rsidRPr="008D6ECA" w:rsidTr="00404B0B">
        <w:trPr>
          <w:cantSplit/>
        </w:trPr>
        <w:tc>
          <w:tcPr>
            <w:cnfStyle w:val="001000000000" w:firstRow="0" w:lastRow="0" w:firstColumn="1" w:lastColumn="0" w:oddVBand="0" w:evenVBand="0" w:oddHBand="0" w:evenHBand="0" w:firstRowFirstColumn="0" w:firstRowLastColumn="0" w:lastRowFirstColumn="0" w:lastRowLastColumn="0"/>
            <w:tcW w:w="771" w:type="pct"/>
          </w:tcPr>
          <w:p w:rsidR="00B84F8D" w:rsidRPr="00272DD2" w:rsidRDefault="00B84F8D" w:rsidP="002F0506">
            <w:pPr>
              <w:keepNext/>
              <w:keepLines/>
              <w:spacing w:before="70" w:after="70" w:line="240" w:lineRule="auto"/>
              <w:ind w:left="57" w:right="57"/>
            </w:pPr>
            <w:r w:rsidRPr="00272DD2">
              <w:t>Administered</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87.0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217.2</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212.8</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204.7</w:t>
            </w:r>
          </w:p>
        </w:tc>
        <w:tc>
          <w:tcPr>
            <w:tcW w:w="327"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721.7</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202.1</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251.1</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245.5</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259.3</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274.7</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252.0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229.4</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2,435.8</w:t>
            </w:r>
          </w:p>
        </w:tc>
      </w:tr>
      <w:tr w:rsidR="00B84F8D" w:rsidRPr="008D6ECA" w:rsidTr="00404B0B">
        <w:trPr>
          <w:cantSplit/>
        </w:trPr>
        <w:tc>
          <w:tcPr>
            <w:cnfStyle w:val="001000000000" w:firstRow="0" w:lastRow="0" w:firstColumn="1" w:lastColumn="0" w:oddVBand="0" w:evenVBand="0" w:oddHBand="0" w:evenHBand="0" w:firstRowFirstColumn="0" w:firstRowLastColumn="0" w:lastRowFirstColumn="0" w:lastRowLastColumn="0"/>
            <w:tcW w:w="771" w:type="pct"/>
          </w:tcPr>
          <w:p w:rsidR="00B84F8D" w:rsidRPr="00272DD2" w:rsidRDefault="00B84F8D" w:rsidP="002F0506">
            <w:pPr>
              <w:keepNext/>
              <w:keepLines/>
              <w:spacing w:before="70" w:after="70" w:line="240" w:lineRule="auto"/>
              <w:ind w:left="57" w:right="57"/>
            </w:pPr>
            <w:r w:rsidRPr="00272DD2">
              <w:t>Departmental</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-4.9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-6.0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-2.8</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-2.3</w:t>
            </w:r>
          </w:p>
        </w:tc>
        <w:tc>
          <w:tcPr>
            <w:tcW w:w="327"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-16.0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-2.2</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-2.8</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-2.7</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-2.8</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-3.0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-2.7</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-2.5</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-34.6</w:t>
            </w:r>
          </w:p>
        </w:tc>
      </w:tr>
      <w:tr w:rsidR="006B2032" w:rsidRPr="008D6ECA" w:rsidTr="00404B0B">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B84F8D" w:rsidRPr="00B56984" w:rsidRDefault="00B84F8D" w:rsidP="002F0506">
            <w:pPr>
              <w:keepNext/>
              <w:keepLines/>
              <w:spacing w:before="70" w:after="70" w:line="240" w:lineRule="auto"/>
              <w:ind w:left="57" w:right="57"/>
              <w:rPr>
                <w:b/>
              </w:rPr>
            </w:pPr>
            <w:r w:rsidRPr="00B56984">
              <w:rPr>
                <w:b/>
              </w:rPr>
              <w:t>Total onshore detention</w:t>
            </w:r>
          </w:p>
        </w:tc>
        <w:tc>
          <w:tcPr>
            <w:tcW w:w="326"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noProof/>
                <w:color w:val="000000"/>
                <w:szCs w:val="20"/>
              </w:rPr>
              <w:t xml:space="preserve"> 82.2</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noProof/>
                <w:color w:val="000000"/>
                <w:szCs w:val="20"/>
              </w:rPr>
              <w:t xml:space="preserve"> 211.2</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noProof/>
                <w:color w:val="000000"/>
                <w:szCs w:val="20"/>
              </w:rPr>
              <w:t xml:space="preserve"> 209.9</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noProof/>
                <w:color w:val="000000"/>
                <w:szCs w:val="20"/>
              </w:rPr>
              <w:t xml:space="preserve"> 202.4</w:t>
            </w:r>
          </w:p>
        </w:tc>
        <w:tc>
          <w:tcPr>
            <w:tcW w:w="327" w:type="pct"/>
            <w:shd w:val="clear" w:color="auto" w:fill="D7DDE9"/>
          </w:tcPr>
          <w:p w:rsidR="00B84F8D" w:rsidRPr="00263AC3"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sidRPr="00263AC3">
              <w:rPr>
                <w:rFonts w:ascii="Calibri" w:hAnsi="Calibri"/>
                <w:b/>
                <w:bCs/>
                <w:noProof/>
                <w:color w:val="000000"/>
                <w:szCs w:val="20"/>
              </w:rPr>
              <w:t xml:space="preserve"> 705.7</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noProof/>
                <w:color w:val="000000"/>
                <w:szCs w:val="20"/>
              </w:rPr>
              <w:t xml:space="preserve"> 199.8</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noProof/>
                <w:color w:val="000000"/>
                <w:szCs w:val="20"/>
              </w:rPr>
              <w:t xml:space="preserve"> 248.4</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noProof/>
                <w:color w:val="000000"/>
                <w:szCs w:val="20"/>
              </w:rPr>
              <w:t xml:space="preserve"> 242.8</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noProof/>
                <w:color w:val="000000"/>
                <w:szCs w:val="20"/>
              </w:rPr>
              <w:t xml:space="preserve"> 256.5</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noProof/>
                <w:color w:val="000000"/>
                <w:szCs w:val="20"/>
              </w:rPr>
              <w:t xml:space="preserve"> 271.7</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noProof/>
                <w:color w:val="000000"/>
                <w:szCs w:val="20"/>
              </w:rPr>
              <w:t xml:space="preserve"> 249.3</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noProof/>
                <w:color w:val="000000"/>
                <w:szCs w:val="20"/>
              </w:rPr>
              <w:t xml:space="preserve"> 226.9</w:t>
            </w:r>
          </w:p>
        </w:tc>
        <w:tc>
          <w:tcPr>
            <w:tcW w:w="326"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2,401.2</w:t>
            </w:r>
          </w:p>
        </w:tc>
      </w:tr>
      <w:tr w:rsidR="006B2032" w:rsidRPr="008D6ECA" w:rsidTr="00404B0B">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B84F8D" w:rsidRPr="008D6ECA" w:rsidRDefault="00B84F8D" w:rsidP="002F0506">
            <w:pPr>
              <w:keepNext/>
              <w:keepLines/>
              <w:spacing w:before="70" w:after="70" w:line="240" w:lineRule="auto"/>
              <w:ind w:left="57" w:right="57"/>
              <w:rPr>
                <w:b/>
              </w:rPr>
            </w:pPr>
            <w:r>
              <w:rPr>
                <w:b/>
              </w:rPr>
              <w:t>Total</w:t>
            </w:r>
          </w:p>
        </w:tc>
        <w:tc>
          <w:tcPr>
            <w:tcW w:w="326"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 508.6</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 1,028.0</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 1,001.2</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 980.7</w:t>
            </w:r>
          </w:p>
        </w:tc>
        <w:tc>
          <w:tcPr>
            <w:tcW w:w="327"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 3,518.5</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 987.3</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 1,031.2</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 1,028.3</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 1,050.6</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 1,076.4</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 1,054.0</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 1,031.6</w:t>
            </w:r>
          </w:p>
        </w:tc>
        <w:tc>
          <w:tcPr>
            <w:tcW w:w="326"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 xml:space="preserve"> 10,777.9</w:t>
            </w:r>
          </w:p>
        </w:tc>
      </w:tr>
    </w:tbl>
    <w:p w:rsidR="005A055C" w:rsidRPr="00FC6579" w:rsidRDefault="005A055C" w:rsidP="00404B0B">
      <w:pPr>
        <w:pStyle w:val="Footnotes"/>
        <w:numPr>
          <w:ilvl w:val="0"/>
          <w:numId w:val="24"/>
        </w:numPr>
        <w:ind w:left="284" w:hanging="284"/>
      </w:pPr>
      <w:r w:rsidRPr="00DB3B7E">
        <w:t>A positive number indicates an increase in revenue or a decrease in expenses or net capita</w:t>
      </w:r>
      <w:r>
        <w:t xml:space="preserve">l investment in accrual </w:t>
      </w:r>
      <w:r w:rsidR="00184D77">
        <w:t xml:space="preserve">and cash </w:t>
      </w:r>
      <w:r>
        <w:t xml:space="preserve">terms.  </w:t>
      </w:r>
      <w:r w:rsidRPr="00DB3B7E">
        <w:t xml:space="preserve">A negative number indicates a decrease in revenue or an increase in expenses or net capital investment in accrual </w:t>
      </w:r>
      <w:r w:rsidR="00184D77">
        <w:t xml:space="preserve">and cash </w:t>
      </w:r>
      <w:r w:rsidRPr="00DB3B7E">
        <w:t>terms.</w:t>
      </w:r>
    </w:p>
    <w:p w:rsidR="005A055C" w:rsidRDefault="005A055C" w:rsidP="005A055C">
      <w:pPr>
        <w:pStyle w:val="Footnotes"/>
      </w:pPr>
      <w:r>
        <w:t>Figures may not sum to totals due to rounding.</w:t>
      </w:r>
    </w:p>
    <w:p w:rsidR="00272DD2" w:rsidRDefault="00272DD2" w:rsidP="005A055C">
      <w:pPr>
        <w:pStyle w:val="Footnotes"/>
      </w:pPr>
      <w:r>
        <w:t>The reduction in expenditure on onshore detention reflects the difference between costs associated with onshore held detention and onshore community detention.</w:t>
      </w:r>
    </w:p>
    <w:p w:rsidR="005A055C" w:rsidRPr="00CA5D42" w:rsidRDefault="005A055C" w:rsidP="005A055C">
      <w:pPr>
        <w:pStyle w:val="Footnotes"/>
        <w:numPr>
          <w:ilvl w:val="0"/>
          <w:numId w:val="0"/>
        </w:numPr>
        <w:ind w:left="284" w:hanging="284"/>
      </w:pPr>
      <w:r>
        <w:t>-</w:t>
      </w:r>
      <w:r>
        <w:tab/>
        <w:t>Indicates nil.</w:t>
      </w:r>
    </w:p>
    <w:p w:rsidR="005A055C" w:rsidRPr="00FC6579" w:rsidRDefault="005A055C" w:rsidP="005A055C">
      <w:pPr>
        <w:pStyle w:val="Captionheading"/>
      </w:pPr>
      <w:r w:rsidRPr="00FC6579">
        <w:lastRenderedPageBreak/>
        <w:t xml:space="preserve">Table </w:t>
      </w:r>
      <w:r>
        <w:t>A</w:t>
      </w:r>
      <w:r w:rsidR="00AA3632">
        <w:t>4</w:t>
      </w:r>
      <w:r w:rsidRPr="00FC6579">
        <w:t xml:space="preserve">: </w:t>
      </w:r>
      <w:r>
        <w:t>Component 2 – Increase Australia’s humanitarian intake</w:t>
      </w:r>
      <w:r w:rsidRPr="005A055C">
        <w:t xml:space="preserve"> </w:t>
      </w:r>
      <w:r>
        <w:t>– Fiscal balance</w:t>
      </w:r>
      <w:r w:rsidRPr="001F7D6A">
        <w:rPr>
          <w:vertAlign w:val="superscript"/>
        </w:rPr>
        <w:t>(a)(b)</w:t>
      </w:r>
    </w:p>
    <w:tbl>
      <w:tblPr>
        <w:tblStyle w:val="TableGrid"/>
        <w:tblW w:w="4948" w:type="pct"/>
        <w:tblLook w:val="0680" w:firstRow="0" w:lastRow="0" w:firstColumn="1" w:lastColumn="0" w:noHBand="1" w:noVBand="1"/>
      </w:tblPr>
      <w:tblGrid>
        <w:gridCol w:w="2139"/>
        <w:gridCol w:w="905"/>
        <w:gridCol w:w="902"/>
        <w:gridCol w:w="902"/>
        <w:gridCol w:w="901"/>
        <w:gridCol w:w="907"/>
        <w:gridCol w:w="901"/>
        <w:gridCol w:w="901"/>
        <w:gridCol w:w="901"/>
        <w:gridCol w:w="901"/>
        <w:gridCol w:w="901"/>
        <w:gridCol w:w="901"/>
        <w:gridCol w:w="901"/>
        <w:gridCol w:w="904"/>
      </w:tblGrid>
      <w:tr w:rsidR="006B2032" w:rsidRPr="00B31810" w:rsidTr="002F0506">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5A055C" w:rsidRPr="00B31810" w:rsidRDefault="005A055C" w:rsidP="002F0506">
            <w:pPr>
              <w:keepNext/>
              <w:keepLines/>
              <w:spacing w:before="70" w:after="70" w:line="240" w:lineRule="auto"/>
              <w:ind w:left="57" w:right="57"/>
            </w:pPr>
            <w:r w:rsidRPr="00B31810">
              <w:t>($m)</w:t>
            </w:r>
          </w:p>
        </w:tc>
        <w:tc>
          <w:tcPr>
            <w:tcW w:w="326"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2016–17</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2017–18</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2018–19</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2019–20</w:t>
            </w:r>
          </w:p>
        </w:tc>
        <w:tc>
          <w:tcPr>
            <w:tcW w:w="327" w:type="pct"/>
            <w:shd w:val="clear" w:color="auto" w:fill="D7DDE9"/>
          </w:tcPr>
          <w:p w:rsidR="005A055C" w:rsidRPr="00AE30B5"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rPr>
                <w:b/>
              </w:rPr>
            </w:pPr>
            <w:r w:rsidRPr="00AE30B5">
              <w:rPr>
                <w:b/>
              </w:rPr>
              <w:t>Total to 2019–20</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2020–21</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2021–22</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2022–23</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2023–24</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2024–25</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2025–26</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2026–27</w:t>
            </w:r>
          </w:p>
        </w:tc>
        <w:tc>
          <w:tcPr>
            <w:tcW w:w="326" w:type="pct"/>
            <w:shd w:val="clear" w:color="auto" w:fill="D7DDE9"/>
          </w:tcPr>
          <w:p w:rsidR="005A055C" w:rsidRPr="00AE30B5"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rPr>
                <w:b/>
              </w:rPr>
            </w:pPr>
            <w:r w:rsidRPr="00AE30B5">
              <w:rPr>
                <w:b/>
              </w:rPr>
              <w:t>Total to 2026–27</w:t>
            </w:r>
          </w:p>
        </w:tc>
      </w:tr>
      <w:tr w:rsidR="00B84F8D" w:rsidRPr="00B31810" w:rsidTr="002F0506">
        <w:trPr>
          <w:cantSplit/>
        </w:trPr>
        <w:tc>
          <w:tcPr>
            <w:cnfStyle w:val="001000000000" w:firstRow="0" w:lastRow="0" w:firstColumn="1" w:lastColumn="0" w:oddVBand="0" w:evenVBand="0" w:oddHBand="0" w:evenHBand="0" w:firstRowFirstColumn="0" w:firstRowLastColumn="0" w:lastRowFirstColumn="0" w:lastRowLastColumn="0"/>
            <w:tcW w:w="771" w:type="pct"/>
          </w:tcPr>
          <w:p w:rsidR="00B84F8D" w:rsidRPr="00B31810" w:rsidRDefault="00B84F8D" w:rsidP="002F0506">
            <w:pPr>
              <w:keepNext/>
              <w:keepLines/>
              <w:spacing w:before="70" w:after="70" w:line="240" w:lineRule="auto"/>
              <w:ind w:left="57" w:right="57"/>
            </w:pPr>
            <w:r>
              <w:t>Revenue</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8.4</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35.9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98.8</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161.3</w:t>
            </w:r>
          </w:p>
        </w:tc>
        <w:tc>
          <w:tcPr>
            <w:tcW w:w="327"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304.4</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195.7</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200.1</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204.6</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209.2</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213.9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218.7</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223.6</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1,770.1</w:t>
            </w:r>
          </w:p>
        </w:tc>
      </w:tr>
      <w:tr w:rsidR="005A055C" w:rsidRPr="00EF1D6A" w:rsidTr="002F0506">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88184"/>
              <w:left w:val="single" w:sz="4" w:space="0" w:color="788184"/>
              <w:bottom w:val="single" w:sz="4" w:space="0" w:color="788184"/>
              <w:right w:val="single" w:sz="4" w:space="0" w:color="788184"/>
            </w:tcBorders>
            <w:shd w:val="clear" w:color="auto" w:fill="E9ECF3"/>
          </w:tcPr>
          <w:p w:rsidR="005A055C" w:rsidRPr="00AE30B5" w:rsidRDefault="005A055C" w:rsidP="002F0506">
            <w:pPr>
              <w:pStyle w:val="TableHeadingCentred"/>
              <w:jc w:val="left"/>
              <w:rPr>
                <w:b/>
              </w:rPr>
            </w:pPr>
            <w:r>
              <w:rPr>
                <w:b/>
              </w:rPr>
              <w:t>Expenses</w:t>
            </w:r>
          </w:p>
        </w:tc>
      </w:tr>
      <w:tr w:rsidR="00B84F8D" w:rsidTr="002F0506">
        <w:trPr>
          <w:cantSplit/>
        </w:trPr>
        <w:tc>
          <w:tcPr>
            <w:cnfStyle w:val="001000000000" w:firstRow="0" w:lastRow="0" w:firstColumn="1" w:lastColumn="0" w:oddVBand="0" w:evenVBand="0" w:oddHBand="0" w:evenHBand="0" w:firstRowFirstColumn="0" w:firstRowLastColumn="0" w:lastRowFirstColumn="0" w:lastRowLastColumn="0"/>
            <w:tcW w:w="771" w:type="pct"/>
          </w:tcPr>
          <w:p w:rsidR="00B84F8D" w:rsidRPr="0007264D" w:rsidRDefault="00B84F8D" w:rsidP="002F0506">
            <w:pPr>
              <w:keepNext/>
              <w:keepLines/>
              <w:spacing w:before="70" w:after="70" w:line="240" w:lineRule="auto"/>
              <w:ind w:left="57" w:right="57"/>
            </w:pPr>
            <w:r>
              <w:t>Administered</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-146.8</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-503.4</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-934.6</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-1,346.9</w:t>
            </w:r>
          </w:p>
        </w:tc>
        <w:tc>
          <w:tcPr>
            <w:tcW w:w="327"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-2,931.6</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-1,299.8</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-1,243.6</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-1,162.2</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-1,041.2</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-870.3</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-744.0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-646.3</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-9,939.1</w:t>
            </w:r>
          </w:p>
        </w:tc>
      </w:tr>
      <w:tr w:rsidR="00B84F8D" w:rsidTr="002F0506">
        <w:trPr>
          <w:cantSplit/>
        </w:trPr>
        <w:tc>
          <w:tcPr>
            <w:cnfStyle w:val="001000000000" w:firstRow="0" w:lastRow="0" w:firstColumn="1" w:lastColumn="0" w:oddVBand="0" w:evenVBand="0" w:oddHBand="0" w:evenHBand="0" w:firstRowFirstColumn="0" w:firstRowLastColumn="0" w:lastRowFirstColumn="0" w:lastRowLastColumn="0"/>
            <w:tcW w:w="771" w:type="pct"/>
          </w:tcPr>
          <w:p w:rsidR="00B84F8D" w:rsidRPr="0007264D" w:rsidRDefault="00B84F8D" w:rsidP="002F0506">
            <w:pPr>
              <w:keepNext/>
              <w:keepLines/>
              <w:spacing w:before="70" w:after="70" w:line="240" w:lineRule="auto"/>
              <w:ind w:left="57" w:right="57"/>
            </w:pPr>
            <w:r>
              <w:t>Departmental</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-11.0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-34.9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-51.9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-60.8</w:t>
            </w:r>
          </w:p>
        </w:tc>
        <w:tc>
          <w:tcPr>
            <w:tcW w:w="327"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-158.6</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-37.6</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-31.0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-26.5</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-21.5</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-18.0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-15.4</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-13.3</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-321.9</w:t>
            </w:r>
          </w:p>
        </w:tc>
      </w:tr>
      <w:tr w:rsidR="006B2032" w:rsidTr="002F0506">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B84F8D" w:rsidRDefault="00B84F8D" w:rsidP="002F0506">
            <w:pPr>
              <w:keepNext/>
              <w:keepLines/>
              <w:spacing w:before="70" w:after="70" w:line="240" w:lineRule="auto"/>
              <w:ind w:left="57" w:right="57"/>
            </w:pPr>
            <w:r>
              <w:t>Total expenses</w:t>
            </w:r>
          </w:p>
        </w:tc>
        <w:tc>
          <w:tcPr>
            <w:tcW w:w="326"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-157.8</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-538.3</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-986.5</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-1,407.7</w:t>
            </w:r>
          </w:p>
        </w:tc>
        <w:tc>
          <w:tcPr>
            <w:tcW w:w="327" w:type="pct"/>
            <w:shd w:val="clear" w:color="auto" w:fill="D7DDE9"/>
          </w:tcPr>
          <w:p w:rsidR="00B84F8D" w:rsidRPr="00263AC3"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sidRPr="00263AC3">
              <w:rPr>
                <w:rFonts w:ascii="Calibri" w:hAnsi="Calibri"/>
                <w:b/>
                <w:bCs/>
                <w:color w:val="000000"/>
                <w:szCs w:val="20"/>
              </w:rPr>
              <w:t>-3,090.3</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-1,337.4</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-1,274.6</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-1,188.7</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-1,062.7</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-888.3</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-759.3</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-659.6</w:t>
            </w:r>
          </w:p>
        </w:tc>
        <w:tc>
          <w:tcPr>
            <w:tcW w:w="326"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-10,261.0</w:t>
            </w:r>
          </w:p>
        </w:tc>
      </w:tr>
      <w:tr w:rsidR="006B2032" w:rsidRPr="008D6ECA" w:rsidTr="002F0506">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B84F8D" w:rsidRPr="008D6ECA" w:rsidRDefault="00B84F8D" w:rsidP="002F0506">
            <w:pPr>
              <w:keepNext/>
              <w:keepLines/>
              <w:spacing w:before="70" w:after="70" w:line="240" w:lineRule="auto"/>
              <w:ind w:left="57" w:right="57"/>
              <w:rPr>
                <w:b/>
              </w:rPr>
            </w:pPr>
            <w:r>
              <w:rPr>
                <w:b/>
              </w:rPr>
              <w:t>Total</w:t>
            </w:r>
          </w:p>
        </w:tc>
        <w:tc>
          <w:tcPr>
            <w:tcW w:w="326"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-149.4</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-502.4</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-887.7</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-1,246.4</w:t>
            </w:r>
          </w:p>
        </w:tc>
        <w:tc>
          <w:tcPr>
            <w:tcW w:w="327"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-2,785.9</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-1,141.7</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-1,074.5</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-984.2</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-853.5</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-674.4</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-540.7</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-436.0</w:t>
            </w:r>
          </w:p>
        </w:tc>
        <w:tc>
          <w:tcPr>
            <w:tcW w:w="326"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-8,490.9</w:t>
            </w:r>
          </w:p>
        </w:tc>
      </w:tr>
    </w:tbl>
    <w:p w:rsidR="005A055C" w:rsidRPr="00FC6579" w:rsidRDefault="005A055C" w:rsidP="00404B0B">
      <w:pPr>
        <w:pStyle w:val="Footnotes"/>
        <w:numPr>
          <w:ilvl w:val="0"/>
          <w:numId w:val="25"/>
        </w:numPr>
        <w:ind w:left="284" w:hanging="284"/>
      </w:pPr>
      <w:r w:rsidRPr="00DB3B7E">
        <w:t>A positive number for the fiscal balance indicates an increase in revenue or a decrease in expenses or net capita</w:t>
      </w:r>
      <w:r>
        <w:t xml:space="preserve">l investment in accrual terms.  </w:t>
      </w:r>
      <w:r w:rsidRPr="00DB3B7E">
        <w:t>A negative number for the fiscal balance indicates a decrease in revenue or an increase in expenses or net capital investment in accrual terms.</w:t>
      </w:r>
    </w:p>
    <w:p w:rsidR="005A055C" w:rsidRDefault="005A055C" w:rsidP="005A055C">
      <w:pPr>
        <w:pStyle w:val="Footnotes"/>
      </w:pPr>
      <w:r>
        <w:t>Figures may not sum to totals due to rounding.</w:t>
      </w:r>
    </w:p>
    <w:p w:rsidR="005A055C" w:rsidRPr="00FC6579" w:rsidRDefault="005A055C" w:rsidP="005A055C">
      <w:pPr>
        <w:pStyle w:val="Captionheading"/>
      </w:pPr>
      <w:r w:rsidRPr="00FC6579">
        <w:lastRenderedPageBreak/>
        <w:t xml:space="preserve">Table </w:t>
      </w:r>
      <w:r>
        <w:t>A</w:t>
      </w:r>
      <w:r w:rsidR="00AA3632">
        <w:t>5</w:t>
      </w:r>
      <w:r w:rsidRPr="00FC6579">
        <w:t xml:space="preserve">: </w:t>
      </w:r>
      <w:r>
        <w:t>Component 2 – Increase Australia’s humanitarian intake</w:t>
      </w:r>
      <w:r w:rsidRPr="005A055C">
        <w:t xml:space="preserve"> </w:t>
      </w:r>
      <w:r>
        <w:t>– Underlying cash balance</w:t>
      </w:r>
      <w:r w:rsidRPr="001F7D6A">
        <w:rPr>
          <w:vertAlign w:val="superscript"/>
        </w:rPr>
        <w:t>(a)(b)</w:t>
      </w:r>
    </w:p>
    <w:tbl>
      <w:tblPr>
        <w:tblStyle w:val="TableGrid"/>
        <w:tblW w:w="4948" w:type="pct"/>
        <w:tblLook w:val="0680" w:firstRow="0" w:lastRow="0" w:firstColumn="1" w:lastColumn="0" w:noHBand="1" w:noVBand="1"/>
      </w:tblPr>
      <w:tblGrid>
        <w:gridCol w:w="2139"/>
        <w:gridCol w:w="905"/>
        <w:gridCol w:w="902"/>
        <w:gridCol w:w="902"/>
        <w:gridCol w:w="901"/>
        <w:gridCol w:w="907"/>
        <w:gridCol w:w="901"/>
        <w:gridCol w:w="901"/>
        <w:gridCol w:w="901"/>
        <w:gridCol w:w="901"/>
        <w:gridCol w:w="901"/>
        <w:gridCol w:w="901"/>
        <w:gridCol w:w="901"/>
        <w:gridCol w:w="904"/>
      </w:tblGrid>
      <w:tr w:rsidR="006B2032" w:rsidRPr="00B31810" w:rsidTr="00404B0B">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5A055C" w:rsidRPr="00B31810" w:rsidRDefault="005A055C" w:rsidP="002F0506">
            <w:pPr>
              <w:keepNext/>
              <w:keepLines/>
              <w:spacing w:before="70" w:after="70" w:line="240" w:lineRule="auto"/>
              <w:ind w:left="57" w:right="57"/>
            </w:pPr>
            <w:r w:rsidRPr="00B31810">
              <w:t>($m)</w:t>
            </w:r>
          </w:p>
        </w:tc>
        <w:tc>
          <w:tcPr>
            <w:tcW w:w="326"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2016–17</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2017–18</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2018–19</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2019–20</w:t>
            </w:r>
          </w:p>
        </w:tc>
        <w:tc>
          <w:tcPr>
            <w:tcW w:w="327" w:type="pct"/>
            <w:shd w:val="clear" w:color="auto" w:fill="D7DDE9"/>
          </w:tcPr>
          <w:p w:rsidR="005A055C" w:rsidRPr="00AE30B5"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rPr>
                <w:b/>
              </w:rPr>
            </w:pPr>
            <w:r w:rsidRPr="00AE30B5">
              <w:rPr>
                <w:b/>
              </w:rPr>
              <w:t>Total to 2019–20</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2020–21</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2021–22</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2022–23</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2023–24</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2024–25</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2025–26</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2026–27</w:t>
            </w:r>
          </w:p>
        </w:tc>
        <w:tc>
          <w:tcPr>
            <w:tcW w:w="326" w:type="pct"/>
            <w:shd w:val="clear" w:color="auto" w:fill="D7DDE9"/>
          </w:tcPr>
          <w:p w:rsidR="005A055C" w:rsidRPr="00AE30B5"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rPr>
                <w:b/>
              </w:rPr>
            </w:pPr>
            <w:r w:rsidRPr="00AE30B5">
              <w:rPr>
                <w:b/>
              </w:rPr>
              <w:t>Total to 2026–27</w:t>
            </w:r>
          </w:p>
        </w:tc>
      </w:tr>
      <w:tr w:rsidR="00B84F8D" w:rsidRPr="00B31810" w:rsidTr="002F0506">
        <w:trPr>
          <w:cantSplit/>
        </w:trPr>
        <w:tc>
          <w:tcPr>
            <w:cnfStyle w:val="001000000000" w:firstRow="0" w:lastRow="0" w:firstColumn="1" w:lastColumn="0" w:oddVBand="0" w:evenVBand="0" w:oddHBand="0" w:evenHBand="0" w:firstRowFirstColumn="0" w:firstRowLastColumn="0" w:lastRowFirstColumn="0" w:lastRowLastColumn="0"/>
            <w:tcW w:w="771" w:type="pct"/>
          </w:tcPr>
          <w:p w:rsidR="00B84F8D" w:rsidRPr="00B31810" w:rsidRDefault="00B84F8D" w:rsidP="002F0506">
            <w:pPr>
              <w:keepNext/>
              <w:keepLines/>
              <w:spacing w:before="70" w:after="70" w:line="240" w:lineRule="auto"/>
              <w:ind w:left="57" w:right="57"/>
            </w:pPr>
            <w:r>
              <w:t>Revenue</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8.4</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35.9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98.8</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161.3</w:t>
            </w:r>
          </w:p>
        </w:tc>
        <w:tc>
          <w:tcPr>
            <w:tcW w:w="327" w:type="pct"/>
          </w:tcPr>
          <w:p w:rsidR="00B84F8D" w:rsidRPr="00404B0B"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Cs w:val="20"/>
              </w:rPr>
            </w:pPr>
            <w:r w:rsidRPr="00404B0B">
              <w:rPr>
                <w:rFonts w:ascii="Calibri" w:hAnsi="Calibri"/>
                <w:b/>
                <w:i/>
                <w:iCs/>
                <w:color w:val="000000"/>
                <w:szCs w:val="20"/>
              </w:rPr>
              <w:t xml:space="preserve"> 304.4</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195.7</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200.1</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204.6</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209.2</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213.9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218.7</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223.6</w:t>
            </w:r>
          </w:p>
        </w:tc>
        <w:tc>
          <w:tcPr>
            <w:tcW w:w="326" w:type="pct"/>
          </w:tcPr>
          <w:p w:rsidR="00B84F8D" w:rsidRPr="00404B0B"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Cs w:val="20"/>
              </w:rPr>
            </w:pPr>
            <w:r>
              <w:rPr>
                <w:rFonts w:ascii="Calibri" w:hAnsi="Calibri"/>
                <w:i/>
                <w:iCs/>
                <w:color w:val="000000"/>
                <w:szCs w:val="20"/>
              </w:rPr>
              <w:t xml:space="preserve"> </w:t>
            </w:r>
            <w:r w:rsidRPr="00404B0B">
              <w:rPr>
                <w:rFonts w:ascii="Calibri" w:hAnsi="Calibri"/>
                <w:b/>
                <w:i/>
                <w:iCs/>
                <w:color w:val="000000"/>
                <w:szCs w:val="20"/>
              </w:rPr>
              <w:t>1,770.1</w:t>
            </w:r>
          </w:p>
        </w:tc>
      </w:tr>
      <w:tr w:rsidR="005A055C" w:rsidRPr="00EF1D6A" w:rsidTr="00404B0B">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88184"/>
              <w:left w:val="single" w:sz="4" w:space="0" w:color="788184"/>
              <w:bottom w:val="single" w:sz="4" w:space="0" w:color="788184"/>
              <w:right w:val="single" w:sz="4" w:space="0" w:color="788184"/>
            </w:tcBorders>
            <w:shd w:val="clear" w:color="auto" w:fill="E9ECF3"/>
          </w:tcPr>
          <w:p w:rsidR="005A055C" w:rsidRPr="00AE30B5" w:rsidRDefault="005A055C" w:rsidP="002F0506">
            <w:pPr>
              <w:pStyle w:val="TableHeadingCentred"/>
              <w:jc w:val="left"/>
              <w:rPr>
                <w:b/>
              </w:rPr>
            </w:pPr>
            <w:r>
              <w:rPr>
                <w:b/>
              </w:rPr>
              <w:t>Expenses</w:t>
            </w:r>
          </w:p>
        </w:tc>
      </w:tr>
      <w:tr w:rsidR="00B84F8D" w:rsidTr="002F0506">
        <w:trPr>
          <w:cantSplit/>
        </w:trPr>
        <w:tc>
          <w:tcPr>
            <w:cnfStyle w:val="001000000000" w:firstRow="0" w:lastRow="0" w:firstColumn="1" w:lastColumn="0" w:oddVBand="0" w:evenVBand="0" w:oddHBand="0" w:evenHBand="0" w:firstRowFirstColumn="0" w:firstRowLastColumn="0" w:lastRowFirstColumn="0" w:lastRowLastColumn="0"/>
            <w:tcW w:w="771" w:type="pct"/>
          </w:tcPr>
          <w:p w:rsidR="00B84F8D" w:rsidRPr="0007264D" w:rsidRDefault="00B84F8D" w:rsidP="002F0506">
            <w:pPr>
              <w:keepNext/>
              <w:keepLines/>
              <w:spacing w:before="70" w:after="70" w:line="240" w:lineRule="auto"/>
              <w:ind w:left="57" w:right="57"/>
            </w:pPr>
            <w:r>
              <w:t>Administered</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-146.7</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-503.1</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-933.9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-1,346.1</w:t>
            </w:r>
          </w:p>
        </w:tc>
        <w:tc>
          <w:tcPr>
            <w:tcW w:w="327"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-2,929.9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-1,298.9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-1,242.7</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-1,161.2</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-1,040.3</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-869.3</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-743.1</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-645.2</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-9,930.6</w:t>
            </w:r>
          </w:p>
        </w:tc>
      </w:tr>
      <w:tr w:rsidR="00B84F8D" w:rsidTr="002F0506">
        <w:trPr>
          <w:cantSplit/>
        </w:trPr>
        <w:tc>
          <w:tcPr>
            <w:cnfStyle w:val="001000000000" w:firstRow="0" w:lastRow="0" w:firstColumn="1" w:lastColumn="0" w:oddVBand="0" w:evenVBand="0" w:oddHBand="0" w:evenHBand="0" w:firstRowFirstColumn="0" w:firstRowLastColumn="0" w:lastRowFirstColumn="0" w:lastRowLastColumn="0"/>
            <w:tcW w:w="771" w:type="pct"/>
          </w:tcPr>
          <w:p w:rsidR="00B84F8D" w:rsidRPr="0007264D" w:rsidRDefault="00B84F8D" w:rsidP="002F0506">
            <w:pPr>
              <w:keepNext/>
              <w:keepLines/>
              <w:spacing w:before="70" w:after="70" w:line="240" w:lineRule="auto"/>
              <w:ind w:left="57" w:right="57"/>
            </w:pPr>
            <w:r>
              <w:t>Departmental</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-11.0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-34.9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-51.9</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-60.8</w:t>
            </w:r>
          </w:p>
        </w:tc>
        <w:tc>
          <w:tcPr>
            <w:tcW w:w="327"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-158.6</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-37.6</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-31.0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-26.5</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-21.5</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-18.0</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-15.4</w:t>
            </w:r>
          </w:p>
        </w:tc>
        <w:tc>
          <w:tcPr>
            <w:tcW w:w="325"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-13.3</w:t>
            </w:r>
          </w:p>
        </w:tc>
        <w:tc>
          <w:tcPr>
            <w:tcW w:w="326" w:type="pct"/>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-321.9</w:t>
            </w:r>
          </w:p>
        </w:tc>
      </w:tr>
      <w:tr w:rsidR="006B2032" w:rsidTr="002F0506">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B84F8D" w:rsidRDefault="00B84F8D" w:rsidP="002F0506">
            <w:pPr>
              <w:keepNext/>
              <w:keepLines/>
              <w:spacing w:before="70" w:after="70" w:line="240" w:lineRule="auto"/>
              <w:ind w:left="57" w:right="57"/>
            </w:pPr>
            <w:r>
              <w:t>Total expenses</w:t>
            </w:r>
          </w:p>
        </w:tc>
        <w:tc>
          <w:tcPr>
            <w:tcW w:w="326"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-157.7</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-538.0</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-985.8</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-1,406.9</w:t>
            </w:r>
          </w:p>
        </w:tc>
        <w:tc>
          <w:tcPr>
            <w:tcW w:w="327" w:type="pct"/>
            <w:shd w:val="clear" w:color="auto" w:fill="D7DDE9"/>
          </w:tcPr>
          <w:p w:rsidR="00B84F8D" w:rsidRPr="0060501A"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sidRPr="00263AC3">
              <w:rPr>
                <w:rFonts w:ascii="Calibri" w:hAnsi="Calibri"/>
                <w:b/>
                <w:bCs/>
                <w:color w:val="000000"/>
                <w:szCs w:val="20"/>
              </w:rPr>
              <w:t>-3,088.5</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-1,336.5</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-1,273.7</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-1,187.7</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-1,061.8</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-887.3</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-758.4</w:t>
            </w:r>
          </w:p>
        </w:tc>
        <w:tc>
          <w:tcPr>
            <w:tcW w:w="325" w:type="pct"/>
            <w:shd w:val="clear" w:color="auto" w:fill="D7DDE9"/>
          </w:tcPr>
          <w:p w:rsidR="00B84F8D" w:rsidRPr="002C1458"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Cs w:val="20"/>
              </w:rPr>
            </w:pPr>
            <w:r w:rsidRPr="002C1458">
              <w:rPr>
                <w:rFonts w:ascii="Calibri" w:hAnsi="Calibri"/>
                <w:color w:val="000000"/>
                <w:szCs w:val="20"/>
              </w:rPr>
              <w:t>-658.5</w:t>
            </w:r>
          </w:p>
        </w:tc>
        <w:tc>
          <w:tcPr>
            <w:tcW w:w="326"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color w:val="000000"/>
                <w:szCs w:val="20"/>
              </w:rPr>
              <w:t>-10,252.5</w:t>
            </w:r>
          </w:p>
        </w:tc>
      </w:tr>
      <w:tr w:rsidR="006B2032" w:rsidRPr="008D6ECA" w:rsidTr="002F0506">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B84F8D" w:rsidRPr="008D6ECA" w:rsidRDefault="00B84F8D" w:rsidP="002F0506">
            <w:pPr>
              <w:keepNext/>
              <w:keepLines/>
              <w:spacing w:before="70" w:after="70" w:line="240" w:lineRule="auto"/>
              <w:ind w:left="57" w:right="57"/>
              <w:rPr>
                <w:b/>
              </w:rPr>
            </w:pPr>
            <w:r>
              <w:rPr>
                <w:b/>
              </w:rPr>
              <w:t>Total</w:t>
            </w:r>
          </w:p>
        </w:tc>
        <w:tc>
          <w:tcPr>
            <w:tcW w:w="326"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-149.3</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-502.2</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-887.0</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-1,245.6</w:t>
            </w:r>
          </w:p>
        </w:tc>
        <w:tc>
          <w:tcPr>
            <w:tcW w:w="327"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-2,784.1</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-1,140.8</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-1,073.6</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-983.2</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-852.6</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-673.4</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-539.7</w:t>
            </w:r>
          </w:p>
        </w:tc>
        <w:tc>
          <w:tcPr>
            <w:tcW w:w="325"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-434.9</w:t>
            </w:r>
          </w:p>
        </w:tc>
        <w:tc>
          <w:tcPr>
            <w:tcW w:w="326" w:type="pct"/>
            <w:shd w:val="clear" w:color="auto" w:fill="D7DDE9"/>
          </w:tcPr>
          <w:p w:rsidR="00B84F8D" w:rsidRDefault="00B84F8D" w:rsidP="002F0506">
            <w:pPr>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-8,482.4</w:t>
            </w:r>
          </w:p>
        </w:tc>
      </w:tr>
    </w:tbl>
    <w:p w:rsidR="005A055C" w:rsidRPr="00FC6579" w:rsidRDefault="005A055C" w:rsidP="00404B0B">
      <w:pPr>
        <w:pStyle w:val="Footnotes"/>
        <w:numPr>
          <w:ilvl w:val="0"/>
          <w:numId w:val="26"/>
        </w:numPr>
        <w:ind w:left="284" w:hanging="284"/>
      </w:pPr>
      <w:r w:rsidRPr="00DB3B7E">
        <w:t xml:space="preserve">A positive number for the </w:t>
      </w:r>
      <w:r w:rsidR="00184D77">
        <w:t>underlying cash</w:t>
      </w:r>
      <w:r w:rsidR="00184D77" w:rsidRPr="00DB3B7E">
        <w:t xml:space="preserve"> </w:t>
      </w:r>
      <w:r w:rsidRPr="00DB3B7E">
        <w:t>balance indicates an increase in revenue or a decrease in expenses or net capita</w:t>
      </w:r>
      <w:r>
        <w:t xml:space="preserve">l investment in </w:t>
      </w:r>
      <w:r w:rsidR="00184D77">
        <w:t>cash</w:t>
      </w:r>
      <w:r>
        <w:t xml:space="preserve"> terms.  </w:t>
      </w:r>
      <w:r w:rsidRPr="00DB3B7E">
        <w:t xml:space="preserve">A negative number for the </w:t>
      </w:r>
      <w:r w:rsidR="00184D77">
        <w:t>underlying cash</w:t>
      </w:r>
      <w:r w:rsidR="00184D77" w:rsidRPr="00DB3B7E">
        <w:t xml:space="preserve"> </w:t>
      </w:r>
      <w:r w:rsidRPr="00DB3B7E">
        <w:t xml:space="preserve">balance indicates a decrease in revenue or an increase in expenses or net capital investment in </w:t>
      </w:r>
      <w:r w:rsidR="00184D77">
        <w:t xml:space="preserve">cash </w:t>
      </w:r>
      <w:r w:rsidRPr="00DB3B7E">
        <w:t>terms.</w:t>
      </w:r>
    </w:p>
    <w:p w:rsidR="005A055C" w:rsidRDefault="005A055C" w:rsidP="005A055C">
      <w:pPr>
        <w:pStyle w:val="Footnotes"/>
      </w:pPr>
      <w:r>
        <w:t>Figures may not sum to totals due to rounding.</w:t>
      </w:r>
    </w:p>
    <w:p w:rsidR="005A055C" w:rsidRPr="00FC6579" w:rsidRDefault="005A055C" w:rsidP="002F0506">
      <w:pPr>
        <w:pStyle w:val="Captionheading"/>
        <w:keepLines/>
      </w:pPr>
      <w:r w:rsidRPr="00FC6579">
        <w:lastRenderedPageBreak/>
        <w:t xml:space="preserve">Table </w:t>
      </w:r>
      <w:r>
        <w:t>A</w:t>
      </w:r>
      <w:r w:rsidR="00AA3632">
        <w:t>6</w:t>
      </w:r>
      <w:r w:rsidRPr="00FC6579">
        <w:t xml:space="preserve">: </w:t>
      </w:r>
      <w:r w:rsidRPr="005A055C">
        <w:t xml:space="preserve">Component 3: Refugee skilled visa places </w:t>
      </w:r>
      <w:r>
        <w:t>– Financial implications (outturn prices)</w:t>
      </w:r>
      <w:r w:rsidRPr="001F7D6A">
        <w:rPr>
          <w:vertAlign w:val="superscript"/>
        </w:rPr>
        <w:t>(a)(b)</w:t>
      </w:r>
    </w:p>
    <w:tbl>
      <w:tblPr>
        <w:tblStyle w:val="TableGrid"/>
        <w:tblW w:w="4948" w:type="pct"/>
        <w:tblLook w:val="0680" w:firstRow="0" w:lastRow="0" w:firstColumn="1" w:lastColumn="0" w:noHBand="1" w:noVBand="1"/>
      </w:tblPr>
      <w:tblGrid>
        <w:gridCol w:w="2139"/>
        <w:gridCol w:w="905"/>
        <w:gridCol w:w="902"/>
        <w:gridCol w:w="902"/>
        <w:gridCol w:w="901"/>
        <w:gridCol w:w="907"/>
        <w:gridCol w:w="901"/>
        <w:gridCol w:w="901"/>
        <w:gridCol w:w="901"/>
        <w:gridCol w:w="901"/>
        <w:gridCol w:w="901"/>
        <w:gridCol w:w="901"/>
        <w:gridCol w:w="901"/>
        <w:gridCol w:w="904"/>
      </w:tblGrid>
      <w:tr w:rsidR="006B2032" w:rsidRPr="00B31810" w:rsidTr="00404B0B">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5A055C" w:rsidRPr="00B31810" w:rsidRDefault="005A055C" w:rsidP="002F0506">
            <w:pPr>
              <w:keepNext/>
              <w:keepLines/>
              <w:spacing w:before="70" w:after="70" w:line="240" w:lineRule="auto"/>
              <w:ind w:left="57" w:right="57"/>
            </w:pPr>
            <w:r w:rsidRPr="00B31810">
              <w:t>($m)</w:t>
            </w:r>
          </w:p>
        </w:tc>
        <w:tc>
          <w:tcPr>
            <w:tcW w:w="326"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2016–17</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2017–18</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2018–19</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2019–20</w:t>
            </w:r>
          </w:p>
        </w:tc>
        <w:tc>
          <w:tcPr>
            <w:tcW w:w="327" w:type="pct"/>
            <w:shd w:val="clear" w:color="auto" w:fill="D7DDE9"/>
          </w:tcPr>
          <w:p w:rsidR="005A055C" w:rsidRPr="00AE30B5"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rPr>
                <w:b/>
              </w:rPr>
            </w:pPr>
            <w:r w:rsidRPr="00AE30B5">
              <w:rPr>
                <w:b/>
              </w:rPr>
              <w:t>Total to 2019–20</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2020–21</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2021–22</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2022–23</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2023–24</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2024–25</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2025–26</w:t>
            </w:r>
          </w:p>
        </w:tc>
        <w:tc>
          <w:tcPr>
            <w:tcW w:w="325" w:type="pct"/>
            <w:shd w:val="clear" w:color="auto" w:fill="D7DDE9"/>
          </w:tcPr>
          <w:p w:rsidR="005A055C" w:rsidRPr="00C24267"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2026–27</w:t>
            </w:r>
          </w:p>
        </w:tc>
        <w:tc>
          <w:tcPr>
            <w:tcW w:w="326" w:type="pct"/>
            <w:shd w:val="clear" w:color="auto" w:fill="D7DDE9"/>
          </w:tcPr>
          <w:p w:rsidR="005A055C" w:rsidRPr="00AE30B5" w:rsidRDefault="005A055C" w:rsidP="002F0506">
            <w:pPr>
              <w:pStyle w:val="TableHeadingCentred"/>
              <w:cnfStyle w:val="000000000000" w:firstRow="0" w:lastRow="0" w:firstColumn="0" w:lastColumn="0" w:oddVBand="0" w:evenVBand="0" w:oddHBand="0" w:evenHBand="0" w:firstRowFirstColumn="0" w:firstRowLastColumn="0" w:lastRowFirstColumn="0" w:lastRowLastColumn="0"/>
              <w:rPr>
                <w:b/>
              </w:rPr>
            </w:pPr>
            <w:r w:rsidRPr="00AE30B5">
              <w:rPr>
                <w:b/>
              </w:rPr>
              <w:t>Total to 2026–27</w:t>
            </w:r>
          </w:p>
        </w:tc>
      </w:tr>
      <w:tr w:rsidR="005A055C" w:rsidRPr="00EF1D6A" w:rsidTr="00404B0B">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88184"/>
              <w:left w:val="single" w:sz="4" w:space="0" w:color="788184"/>
              <w:bottom w:val="single" w:sz="4" w:space="0" w:color="788184"/>
              <w:right w:val="single" w:sz="4" w:space="0" w:color="788184"/>
            </w:tcBorders>
            <w:shd w:val="clear" w:color="auto" w:fill="E9ECF3"/>
          </w:tcPr>
          <w:p w:rsidR="005A055C" w:rsidRPr="00AE30B5" w:rsidRDefault="00404B0B" w:rsidP="002F0506">
            <w:pPr>
              <w:pStyle w:val="TableHeadingCentred"/>
              <w:jc w:val="left"/>
              <w:rPr>
                <w:b/>
              </w:rPr>
            </w:pPr>
            <w:r>
              <w:rPr>
                <w:b/>
              </w:rPr>
              <w:t>Impact on fiscal and underlying cash balances</w:t>
            </w:r>
          </w:p>
        </w:tc>
      </w:tr>
      <w:tr w:rsidR="00404B0B" w:rsidTr="00404B0B">
        <w:trPr>
          <w:cantSplit/>
        </w:trPr>
        <w:tc>
          <w:tcPr>
            <w:cnfStyle w:val="001000000000" w:firstRow="0" w:lastRow="0" w:firstColumn="1" w:lastColumn="0" w:oddVBand="0" w:evenVBand="0" w:oddHBand="0" w:evenHBand="0" w:firstRowFirstColumn="0" w:firstRowLastColumn="0" w:lastRowFirstColumn="0" w:lastRowLastColumn="0"/>
            <w:tcW w:w="771" w:type="pct"/>
          </w:tcPr>
          <w:p w:rsidR="00404B0B" w:rsidRPr="0007264D" w:rsidRDefault="00404B0B" w:rsidP="002F0506">
            <w:pPr>
              <w:keepNext/>
              <w:keepLines/>
              <w:spacing w:before="70" w:after="70" w:line="240" w:lineRule="auto"/>
              <w:ind w:left="57" w:right="57"/>
            </w:pPr>
            <w:r>
              <w:t>Administered</w:t>
            </w:r>
          </w:p>
        </w:tc>
        <w:tc>
          <w:tcPr>
            <w:tcW w:w="326"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7"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6"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w:t>
            </w:r>
          </w:p>
        </w:tc>
      </w:tr>
      <w:tr w:rsidR="00404B0B" w:rsidTr="00404B0B">
        <w:trPr>
          <w:cantSplit/>
        </w:trPr>
        <w:tc>
          <w:tcPr>
            <w:cnfStyle w:val="001000000000" w:firstRow="0" w:lastRow="0" w:firstColumn="1" w:lastColumn="0" w:oddVBand="0" w:evenVBand="0" w:oddHBand="0" w:evenHBand="0" w:firstRowFirstColumn="0" w:firstRowLastColumn="0" w:lastRowFirstColumn="0" w:lastRowLastColumn="0"/>
            <w:tcW w:w="771" w:type="pct"/>
          </w:tcPr>
          <w:p w:rsidR="00404B0B" w:rsidRPr="0007264D" w:rsidRDefault="00404B0B" w:rsidP="002F0506">
            <w:pPr>
              <w:keepNext/>
              <w:keepLines/>
              <w:spacing w:before="70" w:after="70" w:line="240" w:lineRule="auto"/>
              <w:ind w:left="57" w:right="57"/>
            </w:pPr>
            <w:r>
              <w:t>Departmental</w:t>
            </w:r>
          </w:p>
        </w:tc>
        <w:tc>
          <w:tcPr>
            <w:tcW w:w="326"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7"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6"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w:t>
            </w:r>
          </w:p>
        </w:tc>
      </w:tr>
      <w:tr w:rsidR="006B2032" w:rsidRPr="008D6ECA" w:rsidTr="00404B0B">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404B0B" w:rsidRPr="008D6ECA" w:rsidRDefault="00404B0B" w:rsidP="002F0506">
            <w:pPr>
              <w:keepNext/>
              <w:keepLines/>
              <w:spacing w:before="70" w:after="70" w:line="240" w:lineRule="auto"/>
              <w:ind w:left="57" w:right="57"/>
              <w:rPr>
                <w:b/>
              </w:rPr>
            </w:pPr>
            <w:r>
              <w:rPr>
                <w:b/>
              </w:rPr>
              <w:t>Total</w:t>
            </w:r>
          </w:p>
        </w:tc>
        <w:tc>
          <w:tcPr>
            <w:tcW w:w="326"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7"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6"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r>
    </w:tbl>
    <w:p w:rsidR="005A055C" w:rsidRPr="00FC6579" w:rsidRDefault="005A055C" w:rsidP="002F0506">
      <w:pPr>
        <w:pStyle w:val="Footnotes"/>
        <w:keepNext/>
        <w:keepLines/>
        <w:numPr>
          <w:ilvl w:val="0"/>
          <w:numId w:val="28"/>
        </w:numPr>
        <w:ind w:left="284" w:hanging="284"/>
      </w:pPr>
      <w:r w:rsidRPr="00DB3B7E">
        <w:t>A positive number indicates an increase in revenue or a decrease in expenses or net capita</w:t>
      </w:r>
      <w:r>
        <w:t xml:space="preserve">l investment in accrual </w:t>
      </w:r>
      <w:r w:rsidR="00184D77">
        <w:t xml:space="preserve">and cash </w:t>
      </w:r>
      <w:r>
        <w:t xml:space="preserve">terms.  </w:t>
      </w:r>
      <w:r w:rsidRPr="00DB3B7E">
        <w:t>A negative number indicates a decrease in revenue or an increase in expenses or net capital investment in accrual</w:t>
      </w:r>
      <w:r w:rsidR="00184D77">
        <w:t xml:space="preserve"> and cash</w:t>
      </w:r>
      <w:r w:rsidRPr="00DB3B7E">
        <w:t xml:space="preserve"> terms.</w:t>
      </w:r>
    </w:p>
    <w:p w:rsidR="005A055C" w:rsidRDefault="005A055C" w:rsidP="005A055C">
      <w:pPr>
        <w:pStyle w:val="Footnotes"/>
      </w:pPr>
      <w:r>
        <w:t>Figures may not sum to totals due to rounding.</w:t>
      </w:r>
    </w:p>
    <w:p w:rsidR="005A055C" w:rsidRPr="00CA5D42" w:rsidRDefault="005A055C" w:rsidP="005A055C">
      <w:pPr>
        <w:pStyle w:val="Footnotes"/>
        <w:numPr>
          <w:ilvl w:val="0"/>
          <w:numId w:val="0"/>
        </w:numPr>
        <w:ind w:left="284" w:hanging="284"/>
      </w:pPr>
      <w:r>
        <w:t>-</w:t>
      </w:r>
      <w:r>
        <w:tab/>
        <w:t>Indicates nil.</w:t>
      </w:r>
    </w:p>
    <w:p w:rsidR="00AA3632" w:rsidRPr="00FC6579" w:rsidRDefault="00AA3632" w:rsidP="002F0506">
      <w:pPr>
        <w:pStyle w:val="Captionheading"/>
        <w:keepLines/>
      </w:pPr>
      <w:r w:rsidRPr="00FC6579">
        <w:lastRenderedPageBreak/>
        <w:t xml:space="preserve">Table </w:t>
      </w:r>
      <w:r>
        <w:t>A7</w:t>
      </w:r>
      <w:r w:rsidRPr="00FC6579">
        <w:t xml:space="preserve">: </w:t>
      </w:r>
      <w:r w:rsidRPr="00AA3632">
        <w:t xml:space="preserve">Component 4: UNHCR funding </w:t>
      </w:r>
      <w:r>
        <w:t>– Financial implications (outturn prices)</w:t>
      </w:r>
      <w:r w:rsidRPr="001F7D6A">
        <w:rPr>
          <w:vertAlign w:val="superscript"/>
        </w:rPr>
        <w:t>(a)(b)</w:t>
      </w:r>
    </w:p>
    <w:tbl>
      <w:tblPr>
        <w:tblStyle w:val="TableGrid"/>
        <w:tblW w:w="4948" w:type="pct"/>
        <w:tblLook w:val="0680" w:firstRow="0" w:lastRow="0" w:firstColumn="1" w:lastColumn="0" w:noHBand="1" w:noVBand="1"/>
      </w:tblPr>
      <w:tblGrid>
        <w:gridCol w:w="2139"/>
        <w:gridCol w:w="905"/>
        <w:gridCol w:w="902"/>
        <w:gridCol w:w="902"/>
        <w:gridCol w:w="901"/>
        <w:gridCol w:w="907"/>
        <w:gridCol w:w="901"/>
        <w:gridCol w:w="901"/>
        <w:gridCol w:w="901"/>
        <w:gridCol w:w="901"/>
        <w:gridCol w:w="901"/>
        <w:gridCol w:w="901"/>
        <w:gridCol w:w="901"/>
        <w:gridCol w:w="904"/>
      </w:tblGrid>
      <w:tr w:rsidR="006B2032" w:rsidRPr="00AE30B5" w:rsidTr="00404B0B">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404B0B" w:rsidRPr="00B31810" w:rsidRDefault="00404B0B" w:rsidP="002F0506">
            <w:pPr>
              <w:keepNext/>
              <w:keepLines/>
              <w:spacing w:before="70" w:after="70" w:line="240" w:lineRule="auto"/>
              <w:ind w:left="57" w:right="57"/>
            </w:pPr>
            <w:r w:rsidRPr="00B31810">
              <w:t>($m)</w:t>
            </w:r>
          </w:p>
        </w:tc>
        <w:tc>
          <w:tcPr>
            <w:tcW w:w="326" w:type="pct"/>
            <w:shd w:val="clear" w:color="auto" w:fill="D7DDE9"/>
          </w:tcPr>
          <w:p w:rsidR="00404B0B" w:rsidRPr="00C24267" w:rsidRDefault="00404B0B"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2016–17</w:t>
            </w:r>
          </w:p>
        </w:tc>
        <w:tc>
          <w:tcPr>
            <w:tcW w:w="325" w:type="pct"/>
            <w:shd w:val="clear" w:color="auto" w:fill="D7DDE9"/>
          </w:tcPr>
          <w:p w:rsidR="00404B0B" w:rsidRPr="00C24267" w:rsidRDefault="00404B0B"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2017–18</w:t>
            </w:r>
          </w:p>
        </w:tc>
        <w:tc>
          <w:tcPr>
            <w:tcW w:w="325" w:type="pct"/>
            <w:shd w:val="clear" w:color="auto" w:fill="D7DDE9"/>
          </w:tcPr>
          <w:p w:rsidR="00404B0B" w:rsidRPr="00C24267" w:rsidRDefault="00404B0B"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2018–19</w:t>
            </w:r>
          </w:p>
        </w:tc>
        <w:tc>
          <w:tcPr>
            <w:tcW w:w="325" w:type="pct"/>
            <w:shd w:val="clear" w:color="auto" w:fill="D7DDE9"/>
          </w:tcPr>
          <w:p w:rsidR="00404B0B" w:rsidRPr="00C24267" w:rsidRDefault="00404B0B"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2019–20</w:t>
            </w:r>
          </w:p>
        </w:tc>
        <w:tc>
          <w:tcPr>
            <w:tcW w:w="327" w:type="pct"/>
            <w:shd w:val="clear" w:color="auto" w:fill="D7DDE9"/>
          </w:tcPr>
          <w:p w:rsidR="00404B0B" w:rsidRPr="00AE30B5" w:rsidRDefault="00404B0B" w:rsidP="002F0506">
            <w:pPr>
              <w:pStyle w:val="TableHeadingCentred"/>
              <w:cnfStyle w:val="000000000000" w:firstRow="0" w:lastRow="0" w:firstColumn="0" w:lastColumn="0" w:oddVBand="0" w:evenVBand="0" w:oddHBand="0" w:evenHBand="0" w:firstRowFirstColumn="0" w:firstRowLastColumn="0" w:lastRowFirstColumn="0" w:lastRowLastColumn="0"/>
              <w:rPr>
                <w:b/>
              </w:rPr>
            </w:pPr>
            <w:r w:rsidRPr="00AE30B5">
              <w:rPr>
                <w:b/>
              </w:rPr>
              <w:t>Total to 2019–20</w:t>
            </w:r>
          </w:p>
        </w:tc>
        <w:tc>
          <w:tcPr>
            <w:tcW w:w="325" w:type="pct"/>
            <w:shd w:val="clear" w:color="auto" w:fill="D7DDE9"/>
          </w:tcPr>
          <w:p w:rsidR="00404B0B" w:rsidRPr="00C24267" w:rsidRDefault="00404B0B"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2020–21</w:t>
            </w:r>
          </w:p>
        </w:tc>
        <w:tc>
          <w:tcPr>
            <w:tcW w:w="325" w:type="pct"/>
            <w:shd w:val="clear" w:color="auto" w:fill="D7DDE9"/>
          </w:tcPr>
          <w:p w:rsidR="00404B0B" w:rsidRPr="00C24267" w:rsidRDefault="00404B0B"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2021–22</w:t>
            </w:r>
          </w:p>
        </w:tc>
        <w:tc>
          <w:tcPr>
            <w:tcW w:w="325" w:type="pct"/>
            <w:shd w:val="clear" w:color="auto" w:fill="D7DDE9"/>
          </w:tcPr>
          <w:p w:rsidR="00404B0B" w:rsidRPr="00C24267" w:rsidRDefault="00404B0B"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2022–23</w:t>
            </w:r>
          </w:p>
        </w:tc>
        <w:tc>
          <w:tcPr>
            <w:tcW w:w="325" w:type="pct"/>
            <w:shd w:val="clear" w:color="auto" w:fill="D7DDE9"/>
          </w:tcPr>
          <w:p w:rsidR="00404B0B" w:rsidRPr="00C24267" w:rsidRDefault="00404B0B"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2023–24</w:t>
            </w:r>
          </w:p>
        </w:tc>
        <w:tc>
          <w:tcPr>
            <w:tcW w:w="325" w:type="pct"/>
            <w:shd w:val="clear" w:color="auto" w:fill="D7DDE9"/>
          </w:tcPr>
          <w:p w:rsidR="00404B0B" w:rsidRPr="00C24267" w:rsidRDefault="00404B0B"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2024–25</w:t>
            </w:r>
          </w:p>
        </w:tc>
        <w:tc>
          <w:tcPr>
            <w:tcW w:w="325" w:type="pct"/>
            <w:shd w:val="clear" w:color="auto" w:fill="D7DDE9"/>
          </w:tcPr>
          <w:p w:rsidR="00404B0B" w:rsidRPr="00C24267" w:rsidRDefault="00404B0B"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2025–26</w:t>
            </w:r>
          </w:p>
        </w:tc>
        <w:tc>
          <w:tcPr>
            <w:tcW w:w="325" w:type="pct"/>
            <w:shd w:val="clear" w:color="auto" w:fill="D7DDE9"/>
          </w:tcPr>
          <w:p w:rsidR="00404B0B" w:rsidRPr="00C24267" w:rsidRDefault="00404B0B" w:rsidP="002F0506">
            <w:pPr>
              <w:pStyle w:val="TableHeadingCentred"/>
              <w:cnfStyle w:val="000000000000" w:firstRow="0" w:lastRow="0" w:firstColumn="0" w:lastColumn="0" w:oddVBand="0" w:evenVBand="0" w:oddHBand="0" w:evenHBand="0" w:firstRowFirstColumn="0" w:firstRowLastColumn="0" w:lastRowFirstColumn="0" w:lastRowLastColumn="0"/>
            </w:pPr>
            <w:r w:rsidRPr="00C24267">
              <w:t>2026–27</w:t>
            </w:r>
          </w:p>
        </w:tc>
        <w:tc>
          <w:tcPr>
            <w:tcW w:w="326" w:type="pct"/>
            <w:shd w:val="clear" w:color="auto" w:fill="D7DDE9"/>
          </w:tcPr>
          <w:p w:rsidR="00404B0B" w:rsidRPr="00AE30B5" w:rsidRDefault="00404B0B" w:rsidP="002F0506">
            <w:pPr>
              <w:pStyle w:val="TableHeadingCentred"/>
              <w:cnfStyle w:val="000000000000" w:firstRow="0" w:lastRow="0" w:firstColumn="0" w:lastColumn="0" w:oddVBand="0" w:evenVBand="0" w:oddHBand="0" w:evenHBand="0" w:firstRowFirstColumn="0" w:firstRowLastColumn="0" w:lastRowFirstColumn="0" w:lastRowLastColumn="0"/>
              <w:rPr>
                <w:b/>
              </w:rPr>
            </w:pPr>
            <w:r w:rsidRPr="00AE30B5">
              <w:rPr>
                <w:b/>
              </w:rPr>
              <w:t>Total to 2026–27</w:t>
            </w:r>
          </w:p>
        </w:tc>
      </w:tr>
      <w:tr w:rsidR="00404B0B" w:rsidRPr="00AE30B5" w:rsidTr="00404B0B">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88184"/>
              <w:left w:val="single" w:sz="4" w:space="0" w:color="788184"/>
              <w:bottom w:val="single" w:sz="4" w:space="0" w:color="788184"/>
              <w:right w:val="single" w:sz="4" w:space="0" w:color="788184"/>
            </w:tcBorders>
            <w:shd w:val="clear" w:color="auto" w:fill="E9ECF3"/>
          </w:tcPr>
          <w:p w:rsidR="00404B0B" w:rsidRPr="00AE30B5" w:rsidRDefault="00404B0B" w:rsidP="002F0506">
            <w:pPr>
              <w:pStyle w:val="TableHeadingCentred"/>
              <w:jc w:val="left"/>
              <w:rPr>
                <w:b/>
              </w:rPr>
            </w:pPr>
            <w:r>
              <w:rPr>
                <w:b/>
              </w:rPr>
              <w:t>Impact on fiscal and underlying cash balances</w:t>
            </w:r>
          </w:p>
        </w:tc>
      </w:tr>
      <w:tr w:rsidR="00404B0B" w:rsidTr="00404B0B">
        <w:trPr>
          <w:cantSplit/>
        </w:trPr>
        <w:tc>
          <w:tcPr>
            <w:cnfStyle w:val="001000000000" w:firstRow="0" w:lastRow="0" w:firstColumn="1" w:lastColumn="0" w:oddVBand="0" w:evenVBand="0" w:oddHBand="0" w:evenHBand="0" w:firstRowFirstColumn="0" w:firstRowLastColumn="0" w:lastRowFirstColumn="0" w:lastRowLastColumn="0"/>
            <w:tcW w:w="771" w:type="pct"/>
          </w:tcPr>
          <w:p w:rsidR="00404B0B" w:rsidRPr="0007264D" w:rsidRDefault="00404B0B" w:rsidP="002F0506">
            <w:pPr>
              <w:keepNext/>
              <w:keepLines/>
              <w:spacing w:before="70" w:after="70" w:line="240" w:lineRule="auto"/>
              <w:ind w:left="57" w:right="57"/>
            </w:pPr>
            <w:r>
              <w:t>Administered</w:t>
            </w:r>
          </w:p>
        </w:tc>
        <w:tc>
          <w:tcPr>
            <w:tcW w:w="326"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71.4</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142.9</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142.9</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142.9</w:t>
            </w:r>
          </w:p>
        </w:tc>
        <w:tc>
          <w:tcPr>
            <w:tcW w:w="327"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500.0</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6"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500.0</w:t>
            </w:r>
          </w:p>
        </w:tc>
      </w:tr>
      <w:tr w:rsidR="00404B0B" w:rsidTr="00404B0B">
        <w:trPr>
          <w:cantSplit/>
        </w:trPr>
        <w:tc>
          <w:tcPr>
            <w:cnfStyle w:val="001000000000" w:firstRow="0" w:lastRow="0" w:firstColumn="1" w:lastColumn="0" w:oddVBand="0" w:evenVBand="0" w:oddHBand="0" w:evenHBand="0" w:firstRowFirstColumn="0" w:firstRowLastColumn="0" w:lastRowFirstColumn="0" w:lastRowLastColumn="0"/>
            <w:tcW w:w="771" w:type="pct"/>
          </w:tcPr>
          <w:p w:rsidR="00404B0B" w:rsidRPr="0007264D" w:rsidRDefault="00404B0B" w:rsidP="002F0506">
            <w:pPr>
              <w:keepNext/>
              <w:keepLines/>
              <w:spacing w:before="70" w:after="70" w:line="240" w:lineRule="auto"/>
              <w:ind w:left="57" w:right="57"/>
            </w:pPr>
            <w:r>
              <w:t>Departmental</w:t>
            </w:r>
          </w:p>
        </w:tc>
        <w:tc>
          <w:tcPr>
            <w:tcW w:w="326"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7"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6" w:type="pct"/>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w:t>
            </w:r>
          </w:p>
        </w:tc>
      </w:tr>
      <w:tr w:rsidR="006B2032" w:rsidTr="00404B0B">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404B0B" w:rsidRPr="008D6ECA" w:rsidRDefault="00404B0B" w:rsidP="002F0506">
            <w:pPr>
              <w:keepNext/>
              <w:keepLines/>
              <w:spacing w:before="70" w:after="70" w:line="240" w:lineRule="auto"/>
              <w:ind w:left="57" w:right="57"/>
              <w:rPr>
                <w:b/>
              </w:rPr>
            </w:pPr>
            <w:r>
              <w:rPr>
                <w:b/>
              </w:rPr>
              <w:t>Total</w:t>
            </w:r>
          </w:p>
        </w:tc>
        <w:tc>
          <w:tcPr>
            <w:tcW w:w="326"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71.4</w:t>
            </w:r>
          </w:p>
        </w:tc>
        <w:tc>
          <w:tcPr>
            <w:tcW w:w="325"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142.9</w:t>
            </w:r>
          </w:p>
        </w:tc>
        <w:tc>
          <w:tcPr>
            <w:tcW w:w="325"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142.9</w:t>
            </w:r>
          </w:p>
        </w:tc>
        <w:tc>
          <w:tcPr>
            <w:tcW w:w="325"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142.9</w:t>
            </w:r>
          </w:p>
        </w:tc>
        <w:tc>
          <w:tcPr>
            <w:tcW w:w="327"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500.0</w:t>
            </w:r>
          </w:p>
        </w:tc>
        <w:tc>
          <w:tcPr>
            <w:tcW w:w="325"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6" w:type="pct"/>
            <w:shd w:val="clear" w:color="auto" w:fill="D7DDE9"/>
          </w:tcPr>
          <w:p w:rsidR="00404B0B" w:rsidRDefault="00404B0B" w:rsidP="002F0506">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500.0</w:t>
            </w:r>
          </w:p>
        </w:tc>
      </w:tr>
    </w:tbl>
    <w:p w:rsidR="00AA3632" w:rsidRPr="00FC6579" w:rsidRDefault="00AA3632" w:rsidP="002F0506">
      <w:pPr>
        <w:pStyle w:val="Footnotes"/>
        <w:keepNext/>
        <w:keepLines/>
        <w:numPr>
          <w:ilvl w:val="0"/>
          <w:numId w:val="29"/>
        </w:numPr>
        <w:ind w:left="284" w:hanging="284"/>
      </w:pPr>
      <w:r w:rsidRPr="00DB3B7E">
        <w:t>A positive number indicates an increase in revenue or a decrease in expenses or net capita</w:t>
      </w:r>
      <w:r>
        <w:t>l investment in accrual</w:t>
      </w:r>
      <w:r w:rsidR="00184D77">
        <w:t xml:space="preserve"> and cash</w:t>
      </w:r>
      <w:r>
        <w:t xml:space="preserve"> terms.  </w:t>
      </w:r>
      <w:r w:rsidRPr="00DB3B7E">
        <w:t>A negative number indicates a decrease in revenue or an increase in expenses or net capital investment in accrual</w:t>
      </w:r>
      <w:r w:rsidR="00184D77">
        <w:t xml:space="preserve"> and cash</w:t>
      </w:r>
      <w:r w:rsidRPr="00DB3B7E">
        <w:t xml:space="preserve"> terms.</w:t>
      </w:r>
    </w:p>
    <w:p w:rsidR="00AA3632" w:rsidRDefault="00AA3632" w:rsidP="002F0506">
      <w:pPr>
        <w:pStyle w:val="Footnotes"/>
        <w:keepNext/>
        <w:keepLines/>
      </w:pPr>
      <w:r>
        <w:t>Figures may not sum to totals due to rounding.</w:t>
      </w:r>
    </w:p>
    <w:p w:rsidR="00AA3632" w:rsidRPr="00CA5D42" w:rsidRDefault="00AA3632" w:rsidP="00AA3632">
      <w:pPr>
        <w:pStyle w:val="Footnotes"/>
        <w:numPr>
          <w:ilvl w:val="0"/>
          <w:numId w:val="0"/>
        </w:numPr>
        <w:ind w:left="284" w:hanging="284"/>
      </w:pPr>
      <w:r>
        <w:t>-</w:t>
      </w:r>
      <w:r>
        <w:tab/>
        <w:t>Indicates nil.</w:t>
      </w:r>
    </w:p>
    <w:p w:rsidR="00AA3632" w:rsidRPr="00FC6579" w:rsidRDefault="00AA3632" w:rsidP="002F0506">
      <w:pPr>
        <w:pStyle w:val="Captionheading"/>
        <w:keepLines/>
      </w:pPr>
      <w:r w:rsidRPr="00FC6579">
        <w:lastRenderedPageBreak/>
        <w:t xml:space="preserve">Table </w:t>
      </w:r>
      <w:r>
        <w:t>A8</w:t>
      </w:r>
      <w:r w:rsidRPr="00FC6579">
        <w:t xml:space="preserve">: </w:t>
      </w:r>
      <w:r w:rsidRPr="00AA3632">
        <w:t xml:space="preserve">Component 5: Immigration administration </w:t>
      </w:r>
      <w:r>
        <w:t>– Financial implications (outturn prices)</w:t>
      </w:r>
      <w:r w:rsidRPr="001F7D6A">
        <w:rPr>
          <w:vertAlign w:val="superscript"/>
        </w:rPr>
        <w:t>(a)(b)</w:t>
      </w:r>
    </w:p>
    <w:tbl>
      <w:tblPr>
        <w:tblStyle w:val="TableGrid"/>
        <w:tblW w:w="4948" w:type="pct"/>
        <w:tblLook w:val="0680" w:firstRow="0" w:lastRow="0" w:firstColumn="1" w:lastColumn="0" w:noHBand="1" w:noVBand="1"/>
      </w:tblPr>
      <w:tblGrid>
        <w:gridCol w:w="2139"/>
        <w:gridCol w:w="905"/>
        <w:gridCol w:w="902"/>
        <w:gridCol w:w="902"/>
        <w:gridCol w:w="901"/>
        <w:gridCol w:w="907"/>
        <w:gridCol w:w="901"/>
        <w:gridCol w:w="901"/>
        <w:gridCol w:w="901"/>
        <w:gridCol w:w="901"/>
        <w:gridCol w:w="901"/>
        <w:gridCol w:w="901"/>
        <w:gridCol w:w="901"/>
        <w:gridCol w:w="904"/>
      </w:tblGrid>
      <w:tr w:rsidR="006B2032" w:rsidRPr="00AE30B5" w:rsidTr="00404B0B">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404B0B" w:rsidRPr="00B31810" w:rsidRDefault="00404B0B" w:rsidP="00830291">
            <w:pPr>
              <w:keepNext/>
              <w:keepLines/>
              <w:spacing w:before="70" w:after="70" w:line="240" w:lineRule="auto"/>
              <w:ind w:left="57" w:right="57"/>
            </w:pPr>
            <w:r w:rsidRPr="00B31810">
              <w:t>($m)</w:t>
            </w:r>
          </w:p>
        </w:tc>
        <w:tc>
          <w:tcPr>
            <w:tcW w:w="326" w:type="pct"/>
            <w:shd w:val="clear" w:color="auto" w:fill="D7DDE9"/>
          </w:tcPr>
          <w:p w:rsidR="00404B0B" w:rsidRPr="00C24267" w:rsidRDefault="00404B0B" w:rsidP="00830291">
            <w:pPr>
              <w:pStyle w:val="TableHeadingCentred"/>
              <w:cnfStyle w:val="000000000000" w:firstRow="0" w:lastRow="0" w:firstColumn="0" w:lastColumn="0" w:oddVBand="0" w:evenVBand="0" w:oddHBand="0" w:evenHBand="0" w:firstRowFirstColumn="0" w:firstRowLastColumn="0" w:lastRowFirstColumn="0" w:lastRowLastColumn="0"/>
            </w:pPr>
            <w:r w:rsidRPr="00C24267">
              <w:t>2016–17</w:t>
            </w:r>
          </w:p>
        </w:tc>
        <w:tc>
          <w:tcPr>
            <w:tcW w:w="325" w:type="pct"/>
            <w:shd w:val="clear" w:color="auto" w:fill="D7DDE9"/>
          </w:tcPr>
          <w:p w:rsidR="00404B0B" w:rsidRPr="00C24267" w:rsidRDefault="00404B0B" w:rsidP="00830291">
            <w:pPr>
              <w:pStyle w:val="TableHeadingCentred"/>
              <w:cnfStyle w:val="000000000000" w:firstRow="0" w:lastRow="0" w:firstColumn="0" w:lastColumn="0" w:oddVBand="0" w:evenVBand="0" w:oddHBand="0" w:evenHBand="0" w:firstRowFirstColumn="0" w:firstRowLastColumn="0" w:lastRowFirstColumn="0" w:lastRowLastColumn="0"/>
            </w:pPr>
            <w:r w:rsidRPr="00C24267">
              <w:t>2017–18</w:t>
            </w:r>
          </w:p>
        </w:tc>
        <w:tc>
          <w:tcPr>
            <w:tcW w:w="325" w:type="pct"/>
            <w:shd w:val="clear" w:color="auto" w:fill="D7DDE9"/>
          </w:tcPr>
          <w:p w:rsidR="00404B0B" w:rsidRPr="00C24267" w:rsidRDefault="00404B0B" w:rsidP="00830291">
            <w:pPr>
              <w:pStyle w:val="TableHeadingCentred"/>
              <w:cnfStyle w:val="000000000000" w:firstRow="0" w:lastRow="0" w:firstColumn="0" w:lastColumn="0" w:oddVBand="0" w:evenVBand="0" w:oddHBand="0" w:evenHBand="0" w:firstRowFirstColumn="0" w:firstRowLastColumn="0" w:lastRowFirstColumn="0" w:lastRowLastColumn="0"/>
            </w:pPr>
            <w:r w:rsidRPr="00C24267">
              <w:t>2018–19</w:t>
            </w:r>
          </w:p>
        </w:tc>
        <w:tc>
          <w:tcPr>
            <w:tcW w:w="325" w:type="pct"/>
            <w:shd w:val="clear" w:color="auto" w:fill="D7DDE9"/>
          </w:tcPr>
          <w:p w:rsidR="00404B0B" w:rsidRPr="00C24267" w:rsidRDefault="00404B0B" w:rsidP="00830291">
            <w:pPr>
              <w:pStyle w:val="TableHeadingCentred"/>
              <w:cnfStyle w:val="000000000000" w:firstRow="0" w:lastRow="0" w:firstColumn="0" w:lastColumn="0" w:oddVBand="0" w:evenVBand="0" w:oddHBand="0" w:evenHBand="0" w:firstRowFirstColumn="0" w:firstRowLastColumn="0" w:lastRowFirstColumn="0" w:lastRowLastColumn="0"/>
            </w:pPr>
            <w:r w:rsidRPr="00C24267">
              <w:t>2019–20</w:t>
            </w:r>
          </w:p>
        </w:tc>
        <w:tc>
          <w:tcPr>
            <w:tcW w:w="327" w:type="pct"/>
            <w:shd w:val="clear" w:color="auto" w:fill="D7DDE9"/>
          </w:tcPr>
          <w:p w:rsidR="00404B0B" w:rsidRPr="00AE30B5" w:rsidRDefault="00404B0B" w:rsidP="00830291">
            <w:pPr>
              <w:pStyle w:val="TableHeadingCentred"/>
              <w:cnfStyle w:val="000000000000" w:firstRow="0" w:lastRow="0" w:firstColumn="0" w:lastColumn="0" w:oddVBand="0" w:evenVBand="0" w:oddHBand="0" w:evenHBand="0" w:firstRowFirstColumn="0" w:firstRowLastColumn="0" w:lastRowFirstColumn="0" w:lastRowLastColumn="0"/>
              <w:rPr>
                <w:b/>
              </w:rPr>
            </w:pPr>
            <w:r w:rsidRPr="00AE30B5">
              <w:rPr>
                <w:b/>
              </w:rPr>
              <w:t>Total to 2019–20</w:t>
            </w:r>
          </w:p>
        </w:tc>
        <w:tc>
          <w:tcPr>
            <w:tcW w:w="325" w:type="pct"/>
            <w:shd w:val="clear" w:color="auto" w:fill="D7DDE9"/>
          </w:tcPr>
          <w:p w:rsidR="00404B0B" w:rsidRPr="00C24267" w:rsidRDefault="00404B0B" w:rsidP="00830291">
            <w:pPr>
              <w:pStyle w:val="TableHeadingCentred"/>
              <w:cnfStyle w:val="000000000000" w:firstRow="0" w:lastRow="0" w:firstColumn="0" w:lastColumn="0" w:oddVBand="0" w:evenVBand="0" w:oddHBand="0" w:evenHBand="0" w:firstRowFirstColumn="0" w:firstRowLastColumn="0" w:lastRowFirstColumn="0" w:lastRowLastColumn="0"/>
            </w:pPr>
            <w:r w:rsidRPr="00C24267">
              <w:t>2020–21</w:t>
            </w:r>
          </w:p>
        </w:tc>
        <w:tc>
          <w:tcPr>
            <w:tcW w:w="325" w:type="pct"/>
            <w:shd w:val="clear" w:color="auto" w:fill="D7DDE9"/>
          </w:tcPr>
          <w:p w:rsidR="00404B0B" w:rsidRPr="00C24267" w:rsidRDefault="00404B0B" w:rsidP="00830291">
            <w:pPr>
              <w:pStyle w:val="TableHeadingCentred"/>
              <w:cnfStyle w:val="000000000000" w:firstRow="0" w:lastRow="0" w:firstColumn="0" w:lastColumn="0" w:oddVBand="0" w:evenVBand="0" w:oddHBand="0" w:evenHBand="0" w:firstRowFirstColumn="0" w:firstRowLastColumn="0" w:lastRowFirstColumn="0" w:lastRowLastColumn="0"/>
            </w:pPr>
            <w:r w:rsidRPr="00C24267">
              <w:t>2021–22</w:t>
            </w:r>
          </w:p>
        </w:tc>
        <w:tc>
          <w:tcPr>
            <w:tcW w:w="325" w:type="pct"/>
            <w:shd w:val="clear" w:color="auto" w:fill="D7DDE9"/>
          </w:tcPr>
          <w:p w:rsidR="00404B0B" w:rsidRPr="00C24267" w:rsidRDefault="00404B0B" w:rsidP="00830291">
            <w:pPr>
              <w:pStyle w:val="TableHeadingCentred"/>
              <w:cnfStyle w:val="000000000000" w:firstRow="0" w:lastRow="0" w:firstColumn="0" w:lastColumn="0" w:oddVBand="0" w:evenVBand="0" w:oddHBand="0" w:evenHBand="0" w:firstRowFirstColumn="0" w:firstRowLastColumn="0" w:lastRowFirstColumn="0" w:lastRowLastColumn="0"/>
            </w:pPr>
            <w:r w:rsidRPr="00C24267">
              <w:t>2022–23</w:t>
            </w:r>
          </w:p>
        </w:tc>
        <w:tc>
          <w:tcPr>
            <w:tcW w:w="325" w:type="pct"/>
            <w:shd w:val="clear" w:color="auto" w:fill="D7DDE9"/>
          </w:tcPr>
          <w:p w:rsidR="00404B0B" w:rsidRPr="00C24267" w:rsidRDefault="00404B0B" w:rsidP="00830291">
            <w:pPr>
              <w:pStyle w:val="TableHeadingCentred"/>
              <w:cnfStyle w:val="000000000000" w:firstRow="0" w:lastRow="0" w:firstColumn="0" w:lastColumn="0" w:oddVBand="0" w:evenVBand="0" w:oddHBand="0" w:evenHBand="0" w:firstRowFirstColumn="0" w:firstRowLastColumn="0" w:lastRowFirstColumn="0" w:lastRowLastColumn="0"/>
            </w:pPr>
            <w:r w:rsidRPr="00C24267">
              <w:t>2023–24</w:t>
            </w:r>
          </w:p>
        </w:tc>
        <w:tc>
          <w:tcPr>
            <w:tcW w:w="325" w:type="pct"/>
            <w:shd w:val="clear" w:color="auto" w:fill="D7DDE9"/>
          </w:tcPr>
          <w:p w:rsidR="00404B0B" w:rsidRPr="00C24267" w:rsidRDefault="00404B0B" w:rsidP="00830291">
            <w:pPr>
              <w:pStyle w:val="TableHeadingCentred"/>
              <w:cnfStyle w:val="000000000000" w:firstRow="0" w:lastRow="0" w:firstColumn="0" w:lastColumn="0" w:oddVBand="0" w:evenVBand="0" w:oddHBand="0" w:evenHBand="0" w:firstRowFirstColumn="0" w:firstRowLastColumn="0" w:lastRowFirstColumn="0" w:lastRowLastColumn="0"/>
            </w:pPr>
            <w:r w:rsidRPr="00C24267">
              <w:t>2024–25</w:t>
            </w:r>
          </w:p>
        </w:tc>
        <w:tc>
          <w:tcPr>
            <w:tcW w:w="325" w:type="pct"/>
            <w:shd w:val="clear" w:color="auto" w:fill="D7DDE9"/>
          </w:tcPr>
          <w:p w:rsidR="00404B0B" w:rsidRPr="00C24267" w:rsidRDefault="00404B0B" w:rsidP="00830291">
            <w:pPr>
              <w:pStyle w:val="TableHeadingCentred"/>
              <w:cnfStyle w:val="000000000000" w:firstRow="0" w:lastRow="0" w:firstColumn="0" w:lastColumn="0" w:oddVBand="0" w:evenVBand="0" w:oddHBand="0" w:evenHBand="0" w:firstRowFirstColumn="0" w:firstRowLastColumn="0" w:lastRowFirstColumn="0" w:lastRowLastColumn="0"/>
            </w:pPr>
            <w:r w:rsidRPr="00C24267">
              <w:t>2025–26</w:t>
            </w:r>
          </w:p>
        </w:tc>
        <w:tc>
          <w:tcPr>
            <w:tcW w:w="325" w:type="pct"/>
            <w:shd w:val="clear" w:color="auto" w:fill="D7DDE9"/>
          </w:tcPr>
          <w:p w:rsidR="00404B0B" w:rsidRPr="00C24267" w:rsidRDefault="00404B0B" w:rsidP="00830291">
            <w:pPr>
              <w:pStyle w:val="TableHeadingCentred"/>
              <w:cnfStyle w:val="000000000000" w:firstRow="0" w:lastRow="0" w:firstColumn="0" w:lastColumn="0" w:oddVBand="0" w:evenVBand="0" w:oddHBand="0" w:evenHBand="0" w:firstRowFirstColumn="0" w:firstRowLastColumn="0" w:lastRowFirstColumn="0" w:lastRowLastColumn="0"/>
            </w:pPr>
            <w:r w:rsidRPr="00C24267">
              <w:t>2026–27</w:t>
            </w:r>
          </w:p>
        </w:tc>
        <w:tc>
          <w:tcPr>
            <w:tcW w:w="326" w:type="pct"/>
            <w:shd w:val="clear" w:color="auto" w:fill="D7DDE9"/>
          </w:tcPr>
          <w:p w:rsidR="00404B0B" w:rsidRPr="00AE30B5" w:rsidRDefault="00404B0B" w:rsidP="00830291">
            <w:pPr>
              <w:pStyle w:val="TableHeadingCentred"/>
              <w:cnfStyle w:val="000000000000" w:firstRow="0" w:lastRow="0" w:firstColumn="0" w:lastColumn="0" w:oddVBand="0" w:evenVBand="0" w:oddHBand="0" w:evenHBand="0" w:firstRowFirstColumn="0" w:firstRowLastColumn="0" w:lastRowFirstColumn="0" w:lastRowLastColumn="0"/>
              <w:rPr>
                <w:b/>
              </w:rPr>
            </w:pPr>
            <w:r w:rsidRPr="00AE30B5">
              <w:rPr>
                <w:b/>
              </w:rPr>
              <w:t>Total to 2026–27</w:t>
            </w:r>
          </w:p>
        </w:tc>
      </w:tr>
      <w:tr w:rsidR="00404B0B" w:rsidRPr="00AE30B5" w:rsidTr="00404B0B">
        <w:tblPrEx>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Ex>
        <w:trPr>
          <w:cantSplit/>
        </w:trPr>
        <w:tc>
          <w:tcPr>
            <w:cnfStyle w:val="001000000000" w:firstRow="0" w:lastRow="0" w:firstColumn="1" w:lastColumn="0" w:oddVBand="0" w:evenVBand="0" w:oddHBand="0" w:evenHBand="0" w:firstRowFirstColumn="0" w:firstRowLastColumn="0" w:lastRowFirstColumn="0" w:lastRowLastColumn="0"/>
            <w:tcW w:w="5000" w:type="pct"/>
            <w:gridSpan w:val="14"/>
            <w:tcBorders>
              <w:top w:val="single" w:sz="4" w:space="0" w:color="788184"/>
              <w:left w:val="single" w:sz="4" w:space="0" w:color="788184"/>
              <w:bottom w:val="single" w:sz="4" w:space="0" w:color="788184"/>
              <w:right w:val="single" w:sz="4" w:space="0" w:color="788184"/>
            </w:tcBorders>
            <w:shd w:val="clear" w:color="auto" w:fill="E9ECF3"/>
          </w:tcPr>
          <w:p w:rsidR="00404B0B" w:rsidRPr="00AE30B5" w:rsidRDefault="00404B0B" w:rsidP="00830291">
            <w:pPr>
              <w:pStyle w:val="TableHeadingCentred"/>
              <w:jc w:val="left"/>
              <w:rPr>
                <w:b/>
              </w:rPr>
            </w:pPr>
            <w:r>
              <w:rPr>
                <w:b/>
              </w:rPr>
              <w:t>Impact on fiscal and underlying cash balances</w:t>
            </w:r>
          </w:p>
        </w:tc>
      </w:tr>
      <w:tr w:rsidR="00404B0B" w:rsidTr="00404B0B">
        <w:trPr>
          <w:cantSplit/>
        </w:trPr>
        <w:tc>
          <w:tcPr>
            <w:cnfStyle w:val="001000000000" w:firstRow="0" w:lastRow="0" w:firstColumn="1" w:lastColumn="0" w:oddVBand="0" w:evenVBand="0" w:oddHBand="0" w:evenHBand="0" w:firstRowFirstColumn="0" w:firstRowLastColumn="0" w:lastRowFirstColumn="0" w:lastRowLastColumn="0"/>
            <w:tcW w:w="771" w:type="pct"/>
          </w:tcPr>
          <w:p w:rsidR="00404B0B" w:rsidRPr="0007264D" w:rsidRDefault="00404B0B" w:rsidP="00830291">
            <w:pPr>
              <w:keepNext/>
              <w:keepLines/>
              <w:spacing w:before="70" w:after="70" w:line="240" w:lineRule="auto"/>
              <w:ind w:left="57" w:right="57"/>
            </w:pPr>
            <w:r>
              <w:t>Administered</w:t>
            </w:r>
          </w:p>
        </w:tc>
        <w:tc>
          <w:tcPr>
            <w:tcW w:w="326"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7"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w:t>
            </w:r>
          </w:p>
        </w:tc>
        <w:tc>
          <w:tcPr>
            <w:tcW w:w="325"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6"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w:t>
            </w:r>
          </w:p>
        </w:tc>
      </w:tr>
      <w:tr w:rsidR="00404B0B" w:rsidTr="00404B0B">
        <w:trPr>
          <w:cantSplit/>
        </w:trPr>
        <w:tc>
          <w:tcPr>
            <w:cnfStyle w:val="001000000000" w:firstRow="0" w:lastRow="0" w:firstColumn="1" w:lastColumn="0" w:oddVBand="0" w:evenVBand="0" w:oddHBand="0" w:evenHBand="0" w:firstRowFirstColumn="0" w:firstRowLastColumn="0" w:lastRowFirstColumn="0" w:lastRowLastColumn="0"/>
            <w:tcW w:w="771" w:type="pct"/>
          </w:tcPr>
          <w:p w:rsidR="00404B0B" w:rsidRPr="0007264D" w:rsidRDefault="00404B0B" w:rsidP="00830291">
            <w:pPr>
              <w:keepNext/>
              <w:keepLines/>
              <w:spacing w:before="70" w:after="70" w:line="240" w:lineRule="auto"/>
              <w:ind w:left="57" w:right="57"/>
            </w:pPr>
            <w:r>
              <w:t>Departmental</w:t>
            </w:r>
          </w:p>
        </w:tc>
        <w:tc>
          <w:tcPr>
            <w:tcW w:w="326"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7"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w:t>
            </w:r>
          </w:p>
        </w:tc>
        <w:tc>
          <w:tcPr>
            <w:tcW w:w="325"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5"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Cs w:val="20"/>
              </w:rPr>
            </w:pPr>
            <w:r>
              <w:rPr>
                <w:rFonts w:ascii="Calibri" w:hAnsi="Calibri"/>
                <w:i/>
                <w:iCs/>
                <w:color w:val="000000"/>
                <w:szCs w:val="20"/>
              </w:rPr>
              <w:t xml:space="preserve"> -</w:t>
            </w:r>
          </w:p>
        </w:tc>
        <w:tc>
          <w:tcPr>
            <w:tcW w:w="326" w:type="pct"/>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i/>
                <w:iCs/>
                <w:color w:val="000000"/>
                <w:szCs w:val="20"/>
              </w:rPr>
            </w:pPr>
            <w:r>
              <w:rPr>
                <w:rFonts w:ascii="Calibri" w:hAnsi="Calibri"/>
                <w:b/>
                <w:bCs/>
                <w:i/>
                <w:iCs/>
                <w:color w:val="000000"/>
                <w:szCs w:val="20"/>
              </w:rPr>
              <w:t xml:space="preserve"> -</w:t>
            </w:r>
          </w:p>
        </w:tc>
      </w:tr>
      <w:tr w:rsidR="006B2032" w:rsidTr="00404B0B">
        <w:trPr>
          <w:cantSplit/>
        </w:trPr>
        <w:tc>
          <w:tcPr>
            <w:cnfStyle w:val="001000000000" w:firstRow="0" w:lastRow="0" w:firstColumn="1" w:lastColumn="0" w:oddVBand="0" w:evenVBand="0" w:oddHBand="0" w:evenHBand="0" w:firstRowFirstColumn="0" w:firstRowLastColumn="0" w:lastRowFirstColumn="0" w:lastRowLastColumn="0"/>
            <w:tcW w:w="771" w:type="pct"/>
            <w:shd w:val="clear" w:color="auto" w:fill="D7DDE9"/>
          </w:tcPr>
          <w:p w:rsidR="00404B0B" w:rsidRPr="008D6ECA" w:rsidRDefault="00404B0B" w:rsidP="00830291">
            <w:pPr>
              <w:keepNext/>
              <w:keepLines/>
              <w:spacing w:before="70" w:after="70" w:line="240" w:lineRule="auto"/>
              <w:ind w:left="57" w:right="57"/>
              <w:rPr>
                <w:b/>
              </w:rPr>
            </w:pPr>
            <w:r>
              <w:rPr>
                <w:b/>
              </w:rPr>
              <w:t>Total</w:t>
            </w:r>
          </w:p>
        </w:tc>
        <w:tc>
          <w:tcPr>
            <w:tcW w:w="326" w:type="pct"/>
            <w:shd w:val="clear" w:color="auto" w:fill="D7DDE9"/>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7" w:type="pct"/>
            <w:shd w:val="clear" w:color="auto" w:fill="D7DDE9"/>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5" w:type="pct"/>
            <w:shd w:val="clear" w:color="auto" w:fill="D7DDE9"/>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c>
          <w:tcPr>
            <w:tcW w:w="326" w:type="pct"/>
            <w:shd w:val="clear" w:color="auto" w:fill="D7DDE9"/>
          </w:tcPr>
          <w:p w:rsidR="00404B0B" w:rsidRDefault="00404B0B" w:rsidP="00830291">
            <w:pPr>
              <w:keepNext/>
              <w:keepLines/>
              <w:spacing w:before="70" w:after="70" w:line="240" w:lineRule="auto"/>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szCs w:val="20"/>
              </w:rPr>
            </w:pPr>
            <w:r>
              <w:rPr>
                <w:rFonts w:ascii="Calibri" w:hAnsi="Calibri"/>
                <w:b/>
                <w:bCs/>
                <w:noProof/>
                <w:color w:val="000000"/>
                <w:szCs w:val="20"/>
              </w:rPr>
              <w:t xml:space="preserve"> -</w:t>
            </w:r>
          </w:p>
        </w:tc>
      </w:tr>
    </w:tbl>
    <w:p w:rsidR="00AA3632" w:rsidRPr="00FC6579" w:rsidRDefault="00AA3632" w:rsidP="002F0506">
      <w:pPr>
        <w:pStyle w:val="Footnotes"/>
        <w:keepNext/>
        <w:keepLines/>
        <w:numPr>
          <w:ilvl w:val="0"/>
          <w:numId w:val="27"/>
        </w:numPr>
        <w:ind w:left="284" w:hanging="284"/>
      </w:pPr>
      <w:r w:rsidRPr="00DB3B7E">
        <w:t>A positive number for the fiscal balance indicates an increase in revenue or a decrease in expenses or net capita</w:t>
      </w:r>
      <w:r>
        <w:t xml:space="preserve">l investment in accrual terms.  </w:t>
      </w:r>
      <w:r w:rsidRPr="00DB3B7E">
        <w:t>A negative number for the fiscal balance indicates a decrease in revenue or an increase in expenses or net capital investment in accrual terms.</w:t>
      </w:r>
    </w:p>
    <w:p w:rsidR="00AA3632" w:rsidRDefault="00AA3632" w:rsidP="002F0506">
      <w:pPr>
        <w:pStyle w:val="Footnotes"/>
        <w:keepNext/>
        <w:keepLines/>
      </w:pPr>
      <w:r>
        <w:t>Figures may not sum to totals due to rounding.</w:t>
      </w:r>
    </w:p>
    <w:p w:rsidR="00AA3632" w:rsidRDefault="00AA3632" w:rsidP="006B49E2">
      <w:pPr>
        <w:pStyle w:val="Footnotes"/>
        <w:numPr>
          <w:ilvl w:val="0"/>
          <w:numId w:val="0"/>
        </w:numPr>
        <w:ind w:left="284" w:hanging="284"/>
      </w:pPr>
      <w:r>
        <w:t>-</w:t>
      </w:r>
      <w:r>
        <w:tab/>
        <w:t>Indicates nil.</w:t>
      </w:r>
    </w:p>
    <w:sectPr w:rsidR="00AA3632" w:rsidSect="00AA3632">
      <w:headerReference w:type="first" r:id="rId16"/>
      <w:footerReference w:type="first" r:id="rId17"/>
      <w:pgSz w:w="16838" w:h="11906" w:orient="landscape"/>
      <w:pgMar w:top="1797" w:right="1361" w:bottom="1797"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506" w:rsidRDefault="002F0506" w:rsidP="008F588A">
      <w:pPr>
        <w:spacing w:line="240" w:lineRule="auto"/>
      </w:pPr>
      <w:r>
        <w:separator/>
      </w:r>
    </w:p>
    <w:p w:rsidR="002F0506" w:rsidRDefault="002F0506"/>
  </w:endnote>
  <w:endnote w:type="continuationSeparator" w:id="0">
    <w:p w:rsidR="002F0506" w:rsidRDefault="002F0506" w:rsidP="008F588A">
      <w:pPr>
        <w:spacing w:line="240" w:lineRule="auto"/>
      </w:pPr>
      <w:r>
        <w:continuationSeparator/>
      </w:r>
    </w:p>
    <w:p w:rsidR="002F0506" w:rsidRDefault="002F0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506" w:rsidRPr="00C24267" w:rsidRDefault="002F0506"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760FF7">
      <w:rPr>
        <w:noProof/>
      </w:rPr>
      <w:t>4</w:t>
    </w:r>
    <w:r w:rsidRPr="00C24267">
      <w:fldChar w:fldCharType="end"/>
    </w:r>
    <w:r w:rsidRPr="00C24267">
      <w:t xml:space="preserve"> of </w:t>
    </w:r>
    <w:r w:rsidR="00760FF7">
      <w:fldChar w:fldCharType="begin"/>
    </w:r>
    <w:r w:rsidR="00760FF7">
      <w:instrText xml:space="preserve"> NUMPAGES  \* Arabic  \* MERGEFORMAT </w:instrText>
    </w:r>
    <w:r w:rsidR="00760FF7">
      <w:fldChar w:fldCharType="separate"/>
    </w:r>
    <w:r w:rsidR="00760FF7">
      <w:rPr>
        <w:noProof/>
      </w:rPr>
      <w:t>14</w:t>
    </w:r>
    <w:r w:rsidR="00760FF7">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506" w:rsidRPr="00C24267" w:rsidRDefault="002F0506" w:rsidP="00C24267">
    <w:pPr>
      <w:pStyle w:val="Letterfooter"/>
    </w:pPr>
    <w:r w:rsidRPr="00C24267">
      <w:t>Parliamentary Budget Office   PO Box 6010   Parliament House   Canberra ACT 2600</w:t>
    </w:r>
  </w:p>
  <w:p w:rsidR="002F0506" w:rsidRPr="00C24267" w:rsidRDefault="002F0506"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506" w:rsidRPr="00C24267" w:rsidRDefault="002F0506"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760FF7">
      <w:rPr>
        <w:noProof/>
      </w:rPr>
      <w:t>2</w:t>
    </w:r>
    <w:r w:rsidRPr="00C24267">
      <w:fldChar w:fldCharType="end"/>
    </w:r>
    <w:r w:rsidRPr="00C24267">
      <w:t xml:space="preserve"> of </w:t>
    </w:r>
    <w:r w:rsidR="00760FF7">
      <w:fldChar w:fldCharType="begin"/>
    </w:r>
    <w:r w:rsidR="00760FF7">
      <w:instrText xml:space="preserve"> NUMPAGES  \* Arabic  \* MERGEFORMAT </w:instrText>
    </w:r>
    <w:r w:rsidR="00760FF7">
      <w:fldChar w:fldCharType="separate"/>
    </w:r>
    <w:r w:rsidR="00760FF7">
      <w:rPr>
        <w:noProof/>
      </w:rPr>
      <w:t>14</w:t>
    </w:r>
    <w:r w:rsidR="00760FF7">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506" w:rsidRPr="00C24267" w:rsidRDefault="002F0506"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760FF7">
      <w:rPr>
        <w:noProof/>
      </w:rPr>
      <w:t>7</w:t>
    </w:r>
    <w:r w:rsidRPr="00C24267">
      <w:fldChar w:fldCharType="end"/>
    </w:r>
    <w:r w:rsidRPr="00C24267">
      <w:t xml:space="preserve"> of </w:t>
    </w:r>
    <w:r w:rsidR="00760FF7">
      <w:fldChar w:fldCharType="begin"/>
    </w:r>
    <w:r w:rsidR="00760FF7">
      <w:instrText xml:space="preserve"> NUMPAGES  \* Arabic  \* MERGEFORMAT </w:instrText>
    </w:r>
    <w:r w:rsidR="00760FF7">
      <w:fldChar w:fldCharType="separate"/>
    </w:r>
    <w:r w:rsidR="00760FF7">
      <w:rPr>
        <w:noProof/>
      </w:rPr>
      <w:t>7</w:t>
    </w:r>
    <w:r w:rsidR="00760FF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506" w:rsidRDefault="002F0506" w:rsidP="008F588A">
      <w:pPr>
        <w:spacing w:line="240" w:lineRule="auto"/>
      </w:pPr>
      <w:r>
        <w:separator/>
      </w:r>
    </w:p>
    <w:p w:rsidR="002F0506" w:rsidRDefault="002F0506"/>
  </w:footnote>
  <w:footnote w:type="continuationSeparator" w:id="0">
    <w:p w:rsidR="002F0506" w:rsidRDefault="002F0506" w:rsidP="008F588A">
      <w:pPr>
        <w:spacing w:line="240" w:lineRule="auto"/>
      </w:pPr>
      <w:r>
        <w:continuationSeparator/>
      </w:r>
    </w:p>
    <w:p w:rsidR="002F0506" w:rsidRDefault="002F05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506" w:rsidRDefault="002F0506" w:rsidP="00CB40E1">
    <w:pPr>
      <w:pStyle w:val="Header"/>
    </w:pPr>
    <w:r>
      <w:rPr>
        <w:noProof/>
        <w:lang w:eastAsia="en-AU"/>
      </w:rPr>
      <w:drawing>
        <wp:inline distT="0" distB="0" distL="0" distR="0" wp14:anchorId="72495790" wp14:editId="02B11AEA">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2F0506" w:rsidRPr="00DA1C8A" w:rsidRDefault="002F0506"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506" w:rsidRPr="00C17112" w:rsidRDefault="002F0506" w:rsidP="00C17112">
    <w:pPr>
      <w:pStyle w:val="Header"/>
    </w:pPr>
    <w:r>
      <w:rPr>
        <w:noProof/>
        <w:lang w:eastAsia="en-AU"/>
      </w:rPr>
      <w:drawing>
        <wp:inline distT="0" distB="0" distL="0" distR="0" wp14:anchorId="62F006EA" wp14:editId="2D461BD8">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506" w:rsidRPr="0051470F" w:rsidRDefault="002F0506" w:rsidP="005147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C5E12A0"/>
    <w:multiLevelType w:val="hybridMultilevel"/>
    <w:tmpl w:val="71E26D08"/>
    <w:lvl w:ilvl="0" w:tplc="003A2CD6">
      <w:start w:val="1"/>
      <w:numFmt w:val="bullet"/>
      <w:lvlText w:val="-"/>
      <w:lvlJc w:val="left"/>
      <w:pPr>
        <w:ind w:left="360" w:hanging="360"/>
      </w:pPr>
      <w:rPr>
        <w:rFonts w:ascii="Times New Roman" w:hAnsi="Times New Roman" w:cs="Times New Roman" w:hint="default"/>
      </w:rPr>
    </w:lvl>
    <w:lvl w:ilvl="1" w:tplc="003A2CD6">
      <w:start w:val="1"/>
      <w:numFmt w:val="bullet"/>
      <w:lvlText w:val="-"/>
      <w:lvlJc w:val="left"/>
      <w:pPr>
        <w:ind w:left="1440" w:hanging="360"/>
      </w:pPr>
      <w:rPr>
        <w:rFonts w:ascii="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6">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7">
    <w:nsid w:val="30E45E35"/>
    <w:multiLevelType w:val="hybridMultilevel"/>
    <w:tmpl w:val="60A06D20"/>
    <w:lvl w:ilvl="0" w:tplc="EE46B378">
      <w:start w:val="1"/>
      <w:numFmt w:val="lowerLetter"/>
      <w:pStyle w:val="Footnotes"/>
      <w:lvlText w:val="(%1)"/>
      <w:lvlJc w:val="left"/>
      <w:pPr>
        <w:ind w:left="83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9">
    <w:nsid w:val="745C3AB2"/>
    <w:multiLevelType w:val="hybridMultilevel"/>
    <w:tmpl w:val="5EB0E89C"/>
    <w:lvl w:ilvl="0" w:tplc="661CA76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8"/>
  </w:num>
  <w:num w:numId="6">
    <w:abstractNumId w:val="7"/>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1"/>
  </w:num>
  <w:num w:numId="12">
    <w:abstractNumId w:val="0"/>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1"/>
  </w:num>
  <w:num w:numId="18">
    <w:abstractNumId w:val="1"/>
  </w:num>
  <w:num w:numId="19">
    <w:abstractNumId w:val="1"/>
  </w:num>
  <w:num w:numId="20">
    <w:abstractNumId w:val="1"/>
  </w:num>
  <w:num w:numId="21">
    <w:abstractNumId w:val="9"/>
  </w:num>
  <w:num w:numId="22">
    <w:abstractNumId w:val="2"/>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1CF"/>
    <w:rsid w:val="00002D5D"/>
    <w:rsid w:val="00015FB2"/>
    <w:rsid w:val="00024933"/>
    <w:rsid w:val="00040DCE"/>
    <w:rsid w:val="00060F22"/>
    <w:rsid w:val="00096F3A"/>
    <w:rsid w:val="000C1A75"/>
    <w:rsid w:val="001278D0"/>
    <w:rsid w:val="0014239B"/>
    <w:rsid w:val="00184D77"/>
    <w:rsid w:val="001A02D1"/>
    <w:rsid w:val="001F7D6A"/>
    <w:rsid w:val="00220BE5"/>
    <w:rsid w:val="002422A3"/>
    <w:rsid w:val="00263AC3"/>
    <w:rsid w:val="00272DD2"/>
    <w:rsid w:val="002B2BE9"/>
    <w:rsid w:val="002C1458"/>
    <w:rsid w:val="002F0506"/>
    <w:rsid w:val="002F7BCA"/>
    <w:rsid w:val="00315E34"/>
    <w:rsid w:val="00326DE2"/>
    <w:rsid w:val="00372AEB"/>
    <w:rsid w:val="003B474B"/>
    <w:rsid w:val="003D7744"/>
    <w:rsid w:val="003D7E77"/>
    <w:rsid w:val="003E4F5F"/>
    <w:rsid w:val="003F73CA"/>
    <w:rsid w:val="00404B0B"/>
    <w:rsid w:val="00410A2C"/>
    <w:rsid w:val="004169C3"/>
    <w:rsid w:val="0043548B"/>
    <w:rsid w:val="00440E32"/>
    <w:rsid w:val="00461597"/>
    <w:rsid w:val="00485374"/>
    <w:rsid w:val="004B15CF"/>
    <w:rsid w:val="004B6080"/>
    <w:rsid w:val="004C283B"/>
    <w:rsid w:val="004D13ED"/>
    <w:rsid w:val="004D5525"/>
    <w:rsid w:val="005035DA"/>
    <w:rsid w:val="00507897"/>
    <w:rsid w:val="0051470F"/>
    <w:rsid w:val="00515A85"/>
    <w:rsid w:val="00532C3C"/>
    <w:rsid w:val="00545F24"/>
    <w:rsid w:val="0055581F"/>
    <w:rsid w:val="0056229A"/>
    <w:rsid w:val="00570154"/>
    <w:rsid w:val="00570B5A"/>
    <w:rsid w:val="00587422"/>
    <w:rsid w:val="005A055C"/>
    <w:rsid w:val="005A6A1F"/>
    <w:rsid w:val="005B1A4A"/>
    <w:rsid w:val="005B7B75"/>
    <w:rsid w:val="005C6967"/>
    <w:rsid w:val="005D0E84"/>
    <w:rsid w:val="005E3562"/>
    <w:rsid w:val="005F7DE0"/>
    <w:rsid w:val="0060501A"/>
    <w:rsid w:val="00640346"/>
    <w:rsid w:val="00656789"/>
    <w:rsid w:val="00660385"/>
    <w:rsid w:val="00662E65"/>
    <w:rsid w:val="0066665A"/>
    <w:rsid w:val="00692DD8"/>
    <w:rsid w:val="006B2032"/>
    <w:rsid w:val="006B49E2"/>
    <w:rsid w:val="006F0CE9"/>
    <w:rsid w:val="007202A8"/>
    <w:rsid w:val="007229A9"/>
    <w:rsid w:val="00726907"/>
    <w:rsid w:val="00760FF7"/>
    <w:rsid w:val="007B029A"/>
    <w:rsid w:val="007D33AA"/>
    <w:rsid w:val="007D3577"/>
    <w:rsid w:val="007D64CD"/>
    <w:rsid w:val="007F7BCF"/>
    <w:rsid w:val="008030EC"/>
    <w:rsid w:val="00811D6D"/>
    <w:rsid w:val="00817E8E"/>
    <w:rsid w:val="00830291"/>
    <w:rsid w:val="00841C3A"/>
    <w:rsid w:val="00844776"/>
    <w:rsid w:val="008850D9"/>
    <w:rsid w:val="008908AF"/>
    <w:rsid w:val="008A4578"/>
    <w:rsid w:val="008C03C3"/>
    <w:rsid w:val="008D3909"/>
    <w:rsid w:val="008D6ECA"/>
    <w:rsid w:val="008F16AC"/>
    <w:rsid w:val="008F588A"/>
    <w:rsid w:val="008F7607"/>
    <w:rsid w:val="00902D2D"/>
    <w:rsid w:val="009074EA"/>
    <w:rsid w:val="00907C2A"/>
    <w:rsid w:val="00915804"/>
    <w:rsid w:val="00954293"/>
    <w:rsid w:val="00957285"/>
    <w:rsid w:val="009573AF"/>
    <w:rsid w:val="00966308"/>
    <w:rsid w:val="00977D7B"/>
    <w:rsid w:val="009963ED"/>
    <w:rsid w:val="009C47A9"/>
    <w:rsid w:val="009D4063"/>
    <w:rsid w:val="00A11249"/>
    <w:rsid w:val="00A41BD3"/>
    <w:rsid w:val="00A449C2"/>
    <w:rsid w:val="00A65EA3"/>
    <w:rsid w:val="00A7322F"/>
    <w:rsid w:val="00AA3632"/>
    <w:rsid w:val="00AA3D6F"/>
    <w:rsid w:val="00AB55AE"/>
    <w:rsid w:val="00AB6F7D"/>
    <w:rsid w:val="00AC7878"/>
    <w:rsid w:val="00AD493E"/>
    <w:rsid w:val="00AD5692"/>
    <w:rsid w:val="00AE30B5"/>
    <w:rsid w:val="00AE5755"/>
    <w:rsid w:val="00AF0264"/>
    <w:rsid w:val="00B06055"/>
    <w:rsid w:val="00B44D8A"/>
    <w:rsid w:val="00B56984"/>
    <w:rsid w:val="00B73AC8"/>
    <w:rsid w:val="00B747A7"/>
    <w:rsid w:val="00B77256"/>
    <w:rsid w:val="00B84F8D"/>
    <w:rsid w:val="00BA2BBF"/>
    <w:rsid w:val="00BC559C"/>
    <w:rsid w:val="00BE1A4A"/>
    <w:rsid w:val="00C17112"/>
    <w:rsid w:val="00C24267"/>
    <w:rsid w:val="00C7421F"/>
    <w:rsid w:val="00C841CF"/>
    <w:rsid w:val="00CA12A0"/>
    <w:rsid w:val="00CA5D42"/>
    <w:rsid w:val="00CB40E1"/>
    <w:rsid w:val="00CF3D63"/>
    <w:rsid w:val="00CF6DB6"/>
    <w:rsid w:val="00CF7D9A"/>
    <w:rsid w:val="00D134CA"/>
    <w:rsid w:val="00D52D5F"/>
    <w:rsid w:val="00D747D2"/>
    <w:rsid w:val="00D805AE"/>
    <w:rsid w:val="00D949A3"/>
    <w:rsid w:val="00DA1506"/>
    <w:rsid w:val="00DA1C8A"/>
    <w:rsid w:val="00DA3B55"/>
    <w:rsid w:val="00DB44F0"/>
    <w:rsid w:val="00DD109E"/>
    <w:rsid w:val="00DD283B"/>
    <w:rsid w:val="00DD3E18"/>
    <w:rsid w:val="00E12103"/>
    <w:rsid w:val="00E14273"/>
    <w:rsid w:val="00E15AAE"/>
    <w:rsid w:val="00E21184"/>
    <w:rsid w:val="00E40B8B"/>
    <w:rsid w:val="00E5742E"/>
    <w:rsid w:val="00E87530"/>
    <w:rsid w:val="00EA265F"/>
    <w:rsid w:val="00EA5685"/>
    <w:rsid w:val="00EB64A3"/>
    <w:rsid w:val="00ED43FF"/>
    <w:rsid w:val="00EE6600"/>
    <w:rsid w:val="00EF1D6A"/>
    <w:rsid w:val="00EF2E51"/>
    <w:rsid w:val="00F13F75"/>
    <w:rsid w:val="00F21865"/>
    <w:rsid w:val="00F31E24"/>
    <w:rsid w:val="00F4535C"/>
    <w:rsid w:val="00F52474"/>
    <w:rsid w:val="00F5529D"/>
    <w:rsid w:val="00F5669E"/>
    <w:rsid w:val="00F64213"/>
    <w:rsid w:val="00F75D33"/>
    <w:rsid w:val="00F954CF"/>
    <w:rsid w:val="00F97DFF"/>
    <w:rsid w:val="00FC6579"/>
    <w:rsid w:val="00FD3FB3"/>
    <w:rsid w:val="00FE1053"/>
    <w:rsid w:val="00FE6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3B474B"/>
    <w:pPr>
      <w:keepNext/>
      <w:keepLines/>
      <w:spacing w:before="70" w:after="70" w:line="240" w:lineRule="auto"/>
      <w:ind w:left="57" w:right="57"/>
    </w:pPr>
    <w:rPr>
      <w:rFonts w:cs="Times New Roman"/>
      <w:b/>
      <w:sz w:val="20"/>
    </w:rPr>
  </w:style>
  <w:style w:type="paragraph" w:customStyle="1" w:styleId="TableHeadingCentred">
    <w:name w:val="Table Heading Centred"/>
    <w:basedOn w:val="TableTextRight"/>
    <w:qFormat/>
    <w:rsid w:val="003B474B"/>
    <w:pPr>
      <w:keepNext/>
      <w:keepLines/>
    </w:pPr>
    <w:rPr>
      <w:rFonts w:eastAsia="Times New Roman"/>
      <w:i w:val="0"/>
      <w:lang w:eastAsia="en-AU"/>
    </w:rPr>
  </w:style>
  <w:style w:type="paragraph" w:customStyle="1" w:styleId="TableText">
    <w:name w:val="Table Text"/>
    <w:basedOn w:val="Normal"/>
    <w:link w:val="TableTextChar"/>
    <w:qFormat/>
    <w:rsid w:val="003B474B"/>
    <w:pPr>
      <w:spacing w:before="70" w:after="70" w:line="240" w:lineRule="auto"/>
      <w:ind w:left="57" w:right="57"/>
    </w:pPr>
    <w:rPr>
      <w:rFonts w:cs="Times New Roman"/>
      <w:sz w:val="20"/>
    </w:rPr>
  </w:style>
  <w:style w:type="paragraph" w:customStyle="1" w:styleId="TableTextCentred">
    <w:name w:val="Table Text Centred"/>
    <w:basedOn w:val="TableText"/>
    <w:qFormat/>
    <w:rsid w:val="003B474B"/>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F13F75"/>
    <w:rPr>
      <w:rFonts w:eastAsia="Times New Roman" w:cs="Times New Roman"/>
      <w:spacing w:val="0"/>
      <w:lang w:eastAsia="en-AU"/>
    </w:rPr>
  </w:style>
  <w:style w:type="paragraph" w:customStyle="1" w:styleId="Bullet2">
    <w:name w:val="Bullet 2"/>
    <w:basedOn w:val="ListBullet2"/>
    <w:link w:val="Bullet2Char"/>
    <w:qFormat/>
    <w:rsid w:val="008F16AC"/>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F13F75"/>
    <w:rPr>
      <w:rFonts w:eastAsia="Times New Roman" w:cs="Times New Roman"/>
      <w:sz w:val="20"/>
      <w:lang w:eastAsia="en-AU"/>
    </w:rPr>
  </w:style>
  <w:style w:type="paragraph" w:customStyle="1" w:styleId="Bullet3">
    <w:name w:val="Bullet 3"/>
    <w:basedOn w:val="TableTextBullet3"/>
    <w:link w:val="Bullet3Char"/>
    <w:qFormat/>
    <w:rsid w:val="008F16AC"/>
    <w:pPr>
      <w:spacing w:before="0" w:after="113" w:line="300" w:lineRule="atLeast"/>
      <w:ind w:left="1361" w:hanging="454"/>
    </w:pPr>
    <w:rPr>
      <w:sz w:val="22"/>
    </w:rPr>
  </w:style>
  <w:style w:type="character" w:customStyle="1" w:styleId="TableTextChar">
    <w:name w:val="Table Text Char"/>
    <w:basedOn w:val="DefaultParagraphFont"/>
    <w:link w:val="TableText"/>
    <w:rsid w:val="003B474B"/>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8F16AC"/>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8F16AC"/>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3B474B"/>
    <w:pPr>
      <w:jc w:val="right"/>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CF7D9A"/>
    <w:pPr>
      <w:spacing w:before="70" w:after="70" w:line="240" w:lineRule="auto"/>
      <w:ind w:left="57" w:right="57"/>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3B474B"/>
    <w:pPr>
      <w:keepNext/>
      <w:keepLines/>
      <w:spacing w:before="70" w:after="70" w:line="240" w:lineRule="auto"/>
      <w:ind w:left="57" w:right="57"/>
    </w:pPr>
    <w:rPr>
      <w:rFonts w:cs="Times New Roman"/>
      <w:b/>
      <w:sz w:val="20"/>
    </w:rPr>
  </w:style>
  <w:style w:type="paragraph" w:customStyle="1" w:styleId="TableHeadingCentred">
    <w:name w:val="Table Heading Centred"/>
    <w:basedOn w:val="TableTextRight"/>
    <w:qFormat/>
    <w:rsid w:val="003B474B"/>
    <w:pPr>
      <w:keepNext/>
      <w:keepLines/>
    </w:pPr>
    <w:rPr>
      <w:rFonts w:eastAsia="Times New Roman"/>
      <w:i w:val="0"/>
      <w:lang w:eastAsia="en-AU"/>
    </w:rPr>
  </w:style>
  <w:style w:type="paragraph" w:customStyle="1" w:styleId="TableText">
    <w:name w:val="Table Text"/>
    <w:basedOn w:val="Normal"/>
    <w:link w:val="TableTextChar"/>
    <w:qFormat/>
    <w:rsid w:val="003B474B"/>
    <w:pPr>
      <w:spacing w:before="70" w:after="70" w:line="240" w:lineRule="auto"/>
      <w:ind w:left="57" w:right="57"/>
    </w:pPr>
    <w:rPr>
      <w:rFonts w:cs="Times New Roman"/>
      <w:sz w:val="20"/>
    </w:rPr>
  </w:style>
  <w:style w:type="paragraph" w:customStyle="1" w:styleId="TableTextCentred">
    <w:name w:val="Table Text Centred"/>
    <w:basedOn w:val="TableText"/>
    <w:qFormat/>
    <w:rsid w:val="003B474B"/>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rsid w:val="00F52474"/>
    <w:pPr>
      <w:numPr>
        <w:ilvl w:val="1"/>
      </w:numPr>
      <w:spacing w:before="240" w:after="0"/>
      <w:ind w:left="681" w:right="0" w:hanging="284"/>
    </w:pPr>
    <w:rPr>
      <w:bCs/>
    </w:rPr>
  </w:style>
  <w:style w:type="paragraph" w:customStyle="1" w:styleId="TableTextBullet3">
    <w:name w:val="Table Text Bullet 3"/>
    <w:basedOn w:val="TableTextBullet2"/>
    <w:link w:val="TableTextBullet3Char"/>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F13F75"/>
    <w:rPr>
      <w:rFonts w:eastAsia="Times New Roman" w:cs="Times New Roman"/>
      <w:spacing w:val="0"/>
      <w:lang w:eastAsia="en-AU"/>
    </w:rPr>
  </w:style>
  <w:style w:type="paragraph" w:customStyle="1" w:styleId="Bullet2">
    <w:name w:val="Bullet 2"/>
    <w:basedOn w:val="ListBullet2"/>
    <w:link w:val="Bullet2Char"/>
    <w:qFormat/>
    <w:rsid w:val="008F16AC"/>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F13F75"/>
    <w:rPr>
      <w:rFonts w:eastAsia="Times New Roman" w:cs="Times New Roman"/>
      <w:sz w:val="20"/>
      <w:lang w:eastAsia="en-AU"/>
    </w:rPr>
  </w:style>
  <w:style w:type="paragraph" w:customStyle="1" w:styleId="Bullet3">
    <w:name w:val="Bullet 3"/>
    <w:basedOn w:val="TableTextBullet3"/>
    <w:link w:val="Bullet3Char"/>
    <w:qFormat/>
    <w:rsid w:val="008F16AC"/>
    <w:pPr>
      <w:spacing w:before="0" w:after="113" w:line="300" w:lineRule="atLeast"/>
      <w:ind w:left="1361" w:hanging="454"/>
    </w:pPr>
    <w:rPr>
      <w:sz w:val="22"/>
    </w:rPr>
  </w:style>
  <w:style w:type="character" w:customStyle="1" w:styleId="TableTextChar">
    <w:name w:val="Table Text Char"/>
    <w:basedOn w:val="DefaultParagraphFont"/>
    <w:link w:val="TableText"/>
    <w:rsid w:val="003B474B"/>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8F16AC"/>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8F16AC"/>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ind w:left="284" w:hanging="284"/>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3B474B"/>
    <w:pPr>
      <w:jc w:val="righ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eens.org.au/sites/greens.org.au/files/20160607_A%20Better%20Way%20for%20People%20Seeking%20Asylum_1.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E28E6B2-D54C-4611-ACD1-5E7977592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37</TotalTime>
  <Pages>14</Pages>
  <Words>2538</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PBO - GRN021 - Close offshore detention and build safer pathways - 29 June 2016</vt:lpstr>
    </vt:vector>
  </TitlesOfParts>
  <Company>Parliament of Australia</Company>
  <LinksUpToDate>false</LinksUpToDate>
  <CharactersWithSpaces>16974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GRN021 - Close offshore detention and build safer pathways - 29 June 2016</dc:title>
  <dc:creator>Parliamentary Budget Office</dc:creator>
  <cp:lastModifiedBy>Milligan, Louise (PBO)</cp:lastModifiedBy>
  <cp:revision>18</cp:revision>
  <cp:lastPrinted>2016-06-29T06:21:00Z</cp:lastPrinted>
  <dcterms:created xsi:type="dcterms:W3CDTF">2016-06-28T06:55:00Z</dcterms:created>
  <dcterms:modified xsi:type="dcterms:W3CDTF">2016-06-29T10:49:00Z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