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B36E5D" w:rsidP="001C325B">
      <w:pPr>
        <w:pStyle w:val="Lettertext"/>
        <w:spacing w:before="1560"/>
      </w:pPr>
      <w:r>
        <w:t>Senator Richard Di Natale</w:t>
      </w:r>
    </w:p>
    <w:p w:rsidR="00040DCE" w:rsidRPr="00002D5D" w:rsidRDefault="00B36E5D" w:rsidP="001C325B">
      <w:pPr>
        <w:pStyle w:val="Lettertext"/>
        <w:spacing w:before="0"/>
      </w:pPr>
      <w:r>
        <w:t>Leader of the Australian Greens</w:t>
      </w:r>
    </w:p>
    <w:p w:rsidR="00040DCE" w:rsidRPr="00002D5D" w:rsidRDefault="005C6967" w:rsidP="001C325B">
      <w:pPr>
        <w:pStyle w:val="Lettertext"/>
        <w:spacing w:before="0"/>
      </w:pPr>
      <w:r>
        <w:t>Parliament House</w:t>
      </w:r>
    </w:p>
    <w:p w:rsidR="00040DCE" w:rsidRPr="00002D5D" w:rsidRDefault="005C6967" w:rsidP="001C325B">
      <w:pPr>
        <w:pStyle w:val="Lettertext"/>
        <w:spacing w:before="0"/>
      </w:pPr>
      <w:proofErr w:type="gramStart"/>
      <w:r>
        <w:t>CANBERRA  ACT</w:t>
      </w:r>
      <w:proofErr w:type="gramEnd"/>
      <w:r>
        <w:t xml:space="preserve">  2600</w:t>
      </w:r>
    </w:p>
    <w:p w:rsidR="00040DCE" w:rsidRPr="00002D5D" w:rsidRDefault="00040DCE" w:rsidP="001C325B">
      <w:pPr>
        <w:pStyle w:val="Lettertext"/>
        <w:spacing w:before="480"/>
      </w:pPr>
      <w:r w:rsidRPr="00002D5D">
        <w:t xml:space="preserve">Dear </w:t>
      </w:r>
      <w:r w:rsidR="00B36E5D">
        <w:t>Senator</w:t>
      </w:r>
      <w:r w:rsidRPr="00002D5D">
        <w:t xml:space="preserve"> </w:t>
      </w:r>
      <w:r w:rsidR="00B36E5D">
        <w:t>Di Natale</w:t>
      </w:r>
    </w:p>
    <w:p w:rsidR="00040DCE" w:rsidRPr="00002D5D" w:rsidRDefault="00040DCE" w:rsidP="001C325B">
      <w:pPr>
        <w:pStyle w:val="Lettertext"/>
      </w:pPr>
      <w:r w:rsidRPr="00002D5D">
        <w:t>Please find attached a re</w:t>
      </w:r>
      <w:r w:rsidR="00626E22">
        <w:t>sponse to your costing request</w:t>
      </w:r>
      <w:r w:rsidRPr="00002D5D">
        <w:t xml:space="preserve">, </w:t>
      </w:r>
      <w:proofErr w:type="gramStart"/>
      <w:r w:rsidR="00447778" w:rsidRPr="00447778">
        <w:rPr>
          <w:i/>
        </w:rPr>
        <w:t>Accelerating</w:t>
      </w:r>
      <w:proofErr w:type="gramEnd"/>
      <w:r w:rsidR="00447778" w:rsidRPr="00447778">
        <w:rPr>
          <w:i/>
        </w:rPr>
        <w:t xml:space="preserve"> the Electric Vehicle Revolution</w:t>
      </w:r>
      <w:r w:rsidR="001D6510" w:rsidRPr="00002D5D">
        <w:t xml:space="preserve"> </w:t>
      </w:r>
      <w:r w:rsidRPr="00002D5D">
        <w:t xml:space="preserve">(letter of </w:t>
      </w:r>
      <w:r w:rsidR="00447778">
        <w:t>24</w:t>
      </w:r>
      <w:r w:rsidR="00727A2F">
        <w:t> </w:t>
      </w:r>
      <w:r w:rsidR="00B36E5D">
        <w:t>June</w:t>
      </w:r>
      <w:r w:rsidR="00727A2F">
        <w:t> </w:t>
      </w:r>
      <w:r w:rsidRPr="00002D5D">
        <w:t>2016).</w:t>
      </w:r>
    </w:p>
    <w:p w:rsidR="00040DCE" w:rsidRPr="00002D5D" w:rsidRDefault="00040DCE" w:rsidP="001C325B">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1C325B">
      <w:pPr>
        <w:pStyle w:val="Lettertext"/>
      </w:pPr>
      <w:r w:rsidRPr="00002D5D">
        <w:t xml:space="preserve">If you have any queries about this costing, please </w:t>
      </w:r>
      <w:r w:rsidR="00F75D33">
        <w:t>contact Colin </w:t>
      </w:r>
      <w:r w:rsidRPr="00002D5D">
        <w:t>Brown on (02)</w:t>
      </w:r>
      <w:r w:rsidR="00626E22">
        <w:t> </w:t>
      </w:r>
      <w:r w:rsidRPr="00002D5D">
        <w:t>6277</w:t>
      </w:r>
      <w:r w:rsidR="00626E22">
        <w:t> </w:t>
      </w:r>
      <w:r w:rsidRPr="00002D5D">
        <w:t>9530.</w:t>
      </w:r>
    </w:p>
    <w:p w:rsidR="00040DCE" w:rsidRPr="00002D5D" w:rsidRDefault="00040DCE" w:rsidP="001C325B">
      <w:pPr>
        <w:pStyle w:val="Lettertext"/>
      </w:pPr>
      <w:r w:rsidRPr="00002D5D">
        <w:t>Yours sincerely</w:t>
      </w:r>
    </w:p>
    <w:p w:rsidR="00040DCE" w:rsidRPr="00002D5D" w:rsidRDefault="00DA1C8A" w:rsidP="001C325B">
      <w:pPr>
        <w:pStyle w:val="Lettertext"/>
        <w:spacing w:before="960"/>
      </w:pPr>
      <w:r w:rsidRPr="00002D5D">
        <w:t>Phil Bowen</w:t>
      </w:r>
    </w:p>
    <w:p w:rsidR="00096F3A" w:rsidRPr="00002D5D" w:rsidRDefault="00F87AFC" w:rsidP="00F87AFC">
      <w:pPr>
        <w:pStyle w:val="Lettertext"/>
        <w:spacing w:before="120"/>
      </w:pPr>
      <w:r>
        <w:t xml:space="preserve">25 </w:t>
      </w:r>
      <w:bookmarkStart w:id="0" w:name="_GoBack"/>
      <w:bookmarkEnd w:id="0"/>
      <w:r w:rsidR="00B36E5D">
        <w:t>June</w:t>
      </w:r>
      <w:r w:rsidR="00040DCE" w:rsidRPr="00002D5D">
        <w:t xml:space="preserv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headerReference w:type="default" r:id="rId10"/>
          <w:footerReference w:type="default" r:id="rId11"/>
          <w:headerReference w:type="first" r:id="rId12"/>
          <w:footerReference w:type="first" r:id="rId13"/>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TableGrid"/>
        <w:tblW w:w="8340" w:type="dxa"/>
        <w:tblLayout w:type="fixed"/>
        <w:tblCellMar>
          <w:left w:w="108" w:type="dxa"/>
          <w:right w:w="108" w:type="dxa"/>
        </w:tblCellMar>
        <w:tblLook w:val="04A0" w:firstRow="1" w:lastRow="0" w:firstColumn="1" w:lastColumn="0" w:noHBand="0" w:noVBand="1"/>
      </w:tblPr>
      <w:tblGrid>
        <w:gridCol w:w="3005"/>
        <w:gridCol w:w="5335"/>
      </w:tblGrid>
      <w:tr w:rsidR="004D5525" w:rsidTr="00280A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4D5525" w:rsidRDefault="004D5525" w:rsidP="00280A97">
            <w:pPr>
              <w:ind w:left="0" w:right="0"/>
            </w:pPr>
            <w:r>
              <w:t>Name of proposal:</w:t>
            </w:r>
          </w:p>
        </w:tc>
        <w:tc>
          <w:tcPr>
            <w:tcW w:w="5335" w:type="dxa"/>
          </w:tcPr>
          <w:p w:rsidR="004D5525" w:rsidRDefault="00447778" w:rsidP="00280A97">
            <w:pPr>
              <w:ind w:left="0" w:right="0"/>
              <w:cnfStyle w:val="100000000000" w:firstRow="1" w:lastRow="0" w:firstColumn="0" w:lastColumn="0" w:oddVBand="0" w:evenVBand="0" w:oddHBand="0" w:evenHBand="0" w:firstRowFirstColumn="0" w:firstRowLastColumn="0" w:lastRowFirstColumn="0" w:lastRowLastColumn="0"/>
            </w:pPr>
            <w:r>
              <w:t>Accelerating the Electric Vehicle Revolution</w:t>
            </w:r>
          </w:p>
        </w:tc>
      </w:tr>
      <w:tr w:rsidR="004D5525" w:rsidTr="0028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280A97">
            <w:pPr>
              <w:pStyle w:val="BodyText"/>
              <w:spacing w:after="114"/>
              <w:ind w:left="0" w:right="0"/>
            </w:pPr>
            <w:r>
              <w:t>Summary of proposal:</w:t>
            </w:r>
          </w:p>
        </w:tc>
        <w:tc>
          <w:tcPr>
            <w:tcW w:w="5335" w:type="dxa"/>
          </w:tcPr>
          <w:p w:rsidR="001D6510" w:rsidRDefault="001D6510" w:rsidP="00280A97">
            <w:pPr>
              <w:ind w:left="0" w:right="0"/>
              <w:cnfStyle w:val="000000100000" w:firstRow="0" w:lastRow="0" w:firstColumn="0" w:lastColumn="0" w:oddVBand="0" w:evenVBand="0" w:oddHBand="1" w:evenHBand="0" w:firstRowFirstColumn="0" w:firstRowLastColumn="0" w:lastRowFirstColumn="0" w:lastRowLastColumn="0"/>
            </w:pPr>
            <w:r w:rsidRPr="00336DF0">
              <w:t xml:space="preserve">The proposal </w:t>
            </w:r>
            <w:r w:rsidR="00030D2D">
              <w:t>has two components</w:t>
            </w:r>
            <w:r w:rsidRPr="00336DF0">
              <w:t>:</w:t>
            </w:r>
          </w:p>
          <w:p w:rsidR="00030D2D" w:rsidRDefault="00030D2D" w:rsidP="00280A97">
            <w:pPr>
              <w:ind w:left="0" w:right="0"/>
              <w:cnfStyle w:val="000000100000" w:firstRow="0" w:lastRow="0" w:firstColumn="0" w:lastColumn="0" w:oddVBand="0" w:evenVBand="0" w:oddHBand="1" w:evenHBand="0" w:firstRowFirstColumn="0" w:firstRowLastColumn="0" w:lastRowFirstColumn="0" w:lastRowLastColumn="0"/>
              <w:rPr>
                <w:u w:val="single"/>
              </w:rPr>
            </w:pPr>
            <w:r>
              <w:rPr>
                <w:u w:val="single"/>
              </w:rPr>
              <w:t>Component 1: Free electric vehicle registration</w:t>
            </w:r>
          </w:p>
          <w:p w:rsidR="00030D2D" w:rsidRPr="00030D2D" w:rsidRDefault="00030D2D" w:rsidP="00280A97">
            <w:pPr>
              <w:ind w:left="0" w:right="0"/>
              <w:cnfStyle w:val="000000100000" w:firstRow="0" w:lastRow="0" w:firstColumn="0" w:lastColumn="0" w:oddVBand="0" w:evenVBand="0" w:oddHBand="1" w:evenHBand="0" w:firstRowFirstColumn="0" w:firstRowLastColumn="0" w:lastRowFirstColumn="0" w:lastRowLastColumn="0"/>
              <w:rPr>
                <w:u w:val="single"/>
              </w:rPr>
            </w:pPr>
            <w:r>
              <w:rPr>
                <w:rStyle w:val="hps-normal1"/>
                <w:rFonts w:eastAsia="Palatino Linotype"/>
              </w:rPr>
              <w:t>This component would pay state registration fees for five</w:t>
            </w:r>
            <w:r w:rsidR="005140F0">
              <w:rPr>
                <w:rStyle w:val="hps-normal1"/>
                <w:rFonts w:eastAsia="Palatino Linotype"/>
              </w:rPr>
              <w:t> </w:t>
            </w:r>
            <w:r>
              <w:rPr>
                <w:rStyle w:val="hps-normal1"/>
                <w:rFonts w:eastAsia="Palatino Linotype"/>
              </w:rPr>
              <w:t>years when someone purchases a new electric vehicle</w:t>
            </w:r>
            <w:r w:rsidR="005326A1">
              <w:t xml:space="preserve"> </w:t>
            </w:r>
            <w:r w:rsidR="005326A1" w:rsidRPr="005326A1">
              <w:rPr>
                <w:rStyle w:val="hps-normal1"/>
                <w:rFonts w:eastAsia="Palatino Linotype"/>
              </w:rPr>
              <w:t>and all new</w:t>
            </w:r>
            <w:r w:rsidR="005326A1">
              <w:rPr>
                <w:rStyle w:val="hps-normal1"/>
                <w:rFonts w:eastAsia="Palatino Linotype"/>
              </w:rPr>
              <w:t xml:space="preserve"> </w:t>
            </w:r>
            <w:r w:rsidR="005326A1" w:rsidRPr="005326A1">
              <w:rPr>
                <w:rStyle w:val="hps-normal1"/>
                <w:rFonts w:eastAsia="Palatino Linotype"/>
              </w:rPr>
              <w:t>electric vehicles purchased prior to 30</w:t>
            </w:r>
            <w:r w:rsidR="005140F0">
              <w:rPr>
                <w:rStyle w:val="hps-normal1"/>
                <w:rFonts w:eastAsia="Palatino Linotype"/>
              </w:rPr>
              <w:t> </w:t>
            </w:r>
            <w:r w:rsidR="005326A1" w:rsidRPr="005326A1">
              <w:rPr>
                <w:rStyle w:val="hps-normal1"/>
                <w:rFonts w:eastAsia="Palatino Linotype"/>
              </w:rPr>
              <w:t>June</w:t>
            </w:r>
            <w:r w:rsidR="005140F0">
              <w:rPr>
                <w:rStyle w:val="hps-normal1"/>
                <w:rFonts w:eastAsia="Palatino Linotype"/>
              </w:rPr>
              <w:t> </w:t>
            </w:r>
            <w:r w:rsidR="005326A1" w:rsidRPr="005326A1">
              <w:rPr>
                <w:rStyle w:val="hps-normal1"/>
                <w:rFonts w:eastAsia="Palatino Linotype"/>
              </w:rPr>
              <w:t>2021 would be</w:t>
            </w:r>
            <w:r w:rsidR="005326A1">
              <w:rPr>
                <w:rStyle w:val="hps-normal1"/>
                <w:rFonts w:eastAsia="Palatino Linotype"/>
              </w:rPr>
              <w:t xml:space="preserve"> </w:t>
            </w:r>
            <w:r w:rsidR="005326A1" w:rsidRPr="005326A1">
              <w:rPr>
                <w:rStyle w:val="hps-normal1"/>
                <w:rFonts w:eastAsia="Palatino Linotype"/>
              </w:rPr>
              <w:t>eligible for access to the scheme</w:t>
            </w:r>
            <w:r>
              <w:rPr>
                <w:rStyle w:val="hps-normal1"/>
                <w:rFonts w:eastAsia="Palatino Linotype"/>
              </w:rPr>
              <w:t>.</w:t>
            </w:r>
            <w:r w:rsidRPr="00030D2D">
              <w:rPr>
                <w:u w:val="single"/>
              </w:rPr>
              <w:t xml:space="preserve"> </w:t>
            </w:r>
          </w:p>
          <w:p w:rsidR="00030D2D" w:rsidRPr="00030D2D" w:rsidRDefault="00030D2D" w:rsidP="00280A97">
            <w:pPr>
              <w:ind w:left="0" w:right="0"/>
              <w:cnfStyle w:val="000000100000" w:firstRow="0" w:lastRow="0" w:firstColumn="0" w:lastColumn="0" w:oddVBand="0" w:evenVBand="0" w:oddHBand="1" w:evenHBand="0" w:firstRowFirstColumn="0" w:firstRowLastColumn="0" w:lastRowFirstColumn="0" w:lastRowLastColumn="0"/>
              <w:rPr>
                <w:u w:val="single"/>
              </w:rPr>
            </w:pPr>
            <w:r>
              <w:rPr>
                <w:u w:val="single"/>
              </w:rPr>
              <w:t xml:space="preserve">Component 2: Building </w:t>
            </w:r>
            <w:r w:rsidR="005140F0">
              <w:rPr>
                <w:u w:val="single"/>
              </w:rPr>
              <w:t xml:space="preserve">electric vehicle </w:t>
            </w:r>
            <w:r>
              <w:rPr>
                <w:u w:val="single"/>
              </w:rPr>
              <w:t>charging infrastructure</w:t>
            </w:r>
          </w:p>
          <w:p w:rsidR="00030D2D" w:rsidRDefault="00030D2D" w:rsidP="00280A97">
            <w:pPr>
              <w:ind w:left="0" w:right="0"/>
              <w:cnfStyle w:val="000000100000" w:firstRow="0" w:lastRow="0" w:firstColumn="0" w:lastColumn="0" w:oddVBand="0" w:evenVBand="0" w:oddHBand="1" w:evenHBand="0" w:firstRowFirstColumn="0" w:firstRowLastColumn="0" w:lastRowFirstColumn="0" w:lastRowLastColumn="0"/>
              <w:rPr>
                <w:rStyle w:val="hps-normal1"/>
                <w:rFonts w:eastAsia="Palatino Linotype"/>
                <w:b/>
              </w:rPr>
            </w:pPr>
            <w:r>
              <w:rPr>
                <w:rStyle w:val="hps-normal1"/>
                <w:rFonts w:eastAsia="Palatino Linotype"/>
              </w:rPr>
              <w:t>This component would provide:</w:t>
            </w:r>
          </w:p>
          <w:p w:rsidR="00030D2D" w:rsidRPr="00280A97" w:rsidRDefault="005140F0" w:rsidP="00280A97">
            <w:pPr>
              <w:pStyle w:val="Bullet1"/>
              <w:cnfStyle w:val="000000100000" w:firstRow="0" w:lastRow="0" w:firstColumn="0" w:lastColumn="0" w:oddVBand="0" w:evenVBand="0" w:oddHBand="1" w:evenHBand="0" w:firstRowFirstColumn="0" w:firstRowLastColumn="0" w:lastRowFirstColumn="0" w:lastRowLastColumn="0"/>
              <w:rPr>
                <w:rStyle w:val="hps-normal1"/>
                <w:rFonts w:eastAsia="Palatino Linotype"/>
                <w:spacing w:val="-1"/>
              </w:rPr>
            </w:pPr>
            <w:r>
              <w:rPr>
                <w:rStyle w:val="hps-normal1"/>
                <w:rFonts w:eastAsia="Palatino Linotype"/>
              </w:rPr>
              <w:t>a</w:t>
            </w:r>
            <w:r w:rsidR="00030D2D" w:rsidRPr="00336DF0">
              <w:rPr>
                <w:rStyle w:val="hps-normal1"/>
                <w:rFonts w:eastAsia="Palatino Linotype"/>
              </w:rPr>
              <w:t xml:space="preserve"> $150 million grants program over the </w:t>
            </w:r>
            <w:r w:rsidR="00030D2D">
              <w:t>2016</w:t>
            </w:r>
            <w:r w:rsidR="00030D2D">
              <w:noBreakHyphen/>
              <w:t>17 Budget forward estimates</w:t>
            </w:r>
            <w:r w:rsidR="005A1748">
              <w:t xml:space="preserve"> period</w:t>
            </w:r>
            <w:r w:rsidR="00030D2D" w:rsidRPr="00336DF0">
              <w:rPr>
                <w:rStyle w:val="hps-normal1"/>
                <w:rFonts w:eastAsia="Palatino Linotype"/>
              </w:rPr>
              <w:t xml:space="preserve"> for the installation of electric vehicle </w:t>
            </w:r>
            <w:r w:rsidR="00030D2D" w:rsidRPr="005140F0">
              <w:rPr>
                <w:rStyle w:val="hps-normal1"/>
                <w:rFonts w:eastAsia="Palatino Linotype"/>
              </w:rPr>
              <w:t xml:space="preserve"> charging infrastructure for local governments (pools, sporting ovals, parks, libraries, council buildings), private companies managing publicly accessible parking (shopping centres) and state governments for public car parks (railway car</w:t>
            </w:r>
            <w:r w:rsidR="00BA4EFD" w:rsidRPr="005140F0">
              <w:rPr>
                <w:rStyle w:val="hps-normal1"/>
                <w:rFonts w:eastAsia="Palatino Linotype"/>
              </w:rPr>
              <w:t xml:space="preserve"> </w:t>
            </w:r>
            <w:r w:rsidR="00030D2D" w:rsidRPr="005140F0">
              <w:rPr>
                <w:rStyle w:val="hps-normal1"/>
                <w:rFonts w:eastAsia="Palatino Linotype"/>
              </w:rPr>
              <w:t>parks).  This program will subsidise the purchase and installation costs for a fast charge roadside station, up to a cap of $45,000 per station.</w:t>
            </w:r>
          </w:p>
          <w:p w:rsidR="00030D2D" w:rsidRPr="000F4175" w:rsidRDefault="005140F0" w:rsidP="00280A97">
            <w:pPr>
              <w:pStyle w:val="Bullet1"/>
              <w:cnfStyle w:val="000000100000" w:firstRow="0" w:lastRow="0" w:firstColumn="0" w:lastColumn="0" w:oddVBand="0" w:evenVBand="0" w:oddHBand="1" w:evenHBand="0" w:firstRowFirstColumn="0" w:firstRowLastColumn="0" w:lastRowFirstColumn="0" w:lastRowLastColumn="0"/>
              <w:rPr>
                <w:rStyle w:val="hps-normal1"/>
                <w:b/>
              </w:rPr>
            </w:pPr>
            <w:r>
              <w:rPr>
                <w:rStyle w:val="hps-normal1"/>
                <w:rFonts w:eastAsia="Palatino Linotype"/>
              </w:rPr>
              <w:t>a</w:t>
            </w:r>
            <w:r w:rsidR="00030D2D" w:rsidRPr="005140F0">
              <w:rPr>
                <w:rStyle w:val="hps-normal1"/>
                <w:rFonts w:eastAsia="Palatino Linotype"/>
              </w:rPr>
              <w:t xml:space="preserve"> $50 million grants program over the 2016-17 Budget forward</w:t>
            </w:r>
            <w:r w:rsidR="00030D2D" w:rsidRPr="000F4175">
              <w:rPr>
                <w:rStyle w:val="hps-normal1"/>
                <w:rFonts w:eastAsia="Palatino Linotype"/>
              </w:rPr>
              <w:t xml:space="preserve"> estimates</w:t>
            </w:r>
            <w:r w:rsidR="00BA4EFD">
              <w:rPr>
                <w:rStyle w:val="hps-normal1"/>
                <w:rFonts w:eastAsia="Palatino Linotype"/>
              </w:rPr>
              <w:t xml:space="preserve"> period</w:t>
            </w:r>
            <w:r w:rsidR="00030D2D" w:rsidRPr="00336DF0">
              <w:rPr>
                <w:rStyle w:val="hps-normal1"/>
                <w:rFonts w:eastAsia="Palatino Linotype"/>
              </w:rPr>
              <w:t xml:space="preserve"> for a non-government organisation (NGO) fleet ‘gap’ subsidy (</w:t>
            </w:r>
            <w:proofErr w:type="spellStart"/>
            <w:r w:rsidR="00030D2D" w:rsidRPr="00336DF0">
              <w:rPr>
                <w:rStyle w:val="hps-normal1"/>
                <w:rFonts w:eastAsia="Palatino Linotype"/>
              </w:rPr>
              <w:t>eg</w:t>
            </w:r>
            <w:proofErr w:type="spellEnd"/>
            <w:r w:rsidR="00030D2D" w:rsidRPr="00336DF0">
              <w:rPr>
                <w:rStyle w:val="hps-normal1"/>
                <w:rFonts w:eastAsia="Palatino Linotype"/>
              </w:rPr>
              <w:t xml:space="preserve"> home care nurses, Red Cross) to upgrade their passenger vehicle fleet to electric cars.  </w:t>
            </w:r>
          </w:p>
          <w:p w:rsidR="000F4175" w:rsidRDefault="000F4175" w:rsidP="00280A97">
            <w:pPr>
              <w:ind w:left="0" w:right="0"/>
              <w:cnfStyle w:val="000000100000" w:firstRow="0" w:lastRow="0" w:firstColumn="0" w:lastColumn="0" w:oddVBand="0" w:evenVBand="0" w:oddHBand="1" w:evenHBand="0" w:firstRowFirstColumn="0" w:firstRowLastColumn="0" w:lastRowFirstColumn="0" w:lastRowLastColumn="0"/>
              <w:rPr>
                <w:rStyle w:val="hps-normal1"/>
                <w:rFonts w:eastAsia="Palatino Linotype"/>
                <w:b/>
                <w:spacing w:val="-1"/>
              </w:rPr>
            </w:pPr>
            <w:r>
              <w:rPr>
                <w:rStyle w:val="hps-normal1"/>
                <w:rFonts w:eastAsia="Palatino Linotype"/>
              </w:rPr>
              <w:t>Departmental expenses for this proposal would be additional to the capped funding amounts.</w:t>
            </w:r>
          </w:p>
          <w:p w:rsidR="000F4175" w:rsidRDefault="000F4175" w:rsidP="00280A97">
            <w:pPr>
              <w:ind w:left="0" w:right="0"/>
              <w:cnfStyle w:val="000000100000" w:firstRow="0" w:lastRow="0" w:firstColumn="0" w:lastColumn="0" w:oddVBand="0" w:evenVBand="0" w:oddHBand="1" w:evenHBand="0" w:firstRowFirstColumn="0" w:firstRowLastColumn="0" w:lastRowFirstColumn="0" w:lastRowLastColumn="0"/>
            </w:pPr>
            <w:r>
              <w:rPr>
                <w:rStyle w:val="hps-normal1"/>
                <w:rFonts w:eastAsia="Palatino Linotype"/>
              </w:rPr>
              <w:t xml:space="preserve">This proposal would commence on </w:t>
            </w:r>
            <w:r w:rsidR="00BA4EFD">
              <w:rPr>
                <w:rStyle w:val="hps-normal1"/>
                <w:rFonts w:eastAsia="Palatino Linotype"/>
              </w:rPr>
              <w:t>1 January 2017</w:t>
            </w:r>
            <w:r>
              <w:rPr>
                <w:rStyle w:val="hps-normal1"/>
                <w:rFonts w:eastAsia="Palatino Linotype"/>
              </w:rPr>
              <w:t>.</w:t>
            </w:r>
          </w:p>
        </w:tc>
      </w:tr>
      <w:tr w:rsidR="004D5525" w:rsidTr="00280A97">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280A97">
            <w:pPr>
              <w:pStyle w:val="BodyText"/>
              <w:spacing w:after="114"/>
              <w:ind w:left="0" w:right="0"/>
            </w:pPr>
            <w:r>
              <w:t>Person/party requesting costing:</w:t>
            </w:r>
          </w:p>
        </w:tc>
        <w:tc>
          <w:tcPr>
            <w:tcW w:w="5335" w:type="dxa"/>
          </w:tcPr>
          <w:p w:rsidR="004D5525" w:rsidRDefault="00E355F6" w:rsidP="00280A97">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rsidRPr="00D60F33">
              <w:t>Senator Richard Di Natale, Australian Greens</w:t>
            </w:r>
          </w:p>
        </w:tc>
      </w:tr>
      <w:tr w:rsidR="00626E22" w:rsidTr="0028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626E22" w:rsidRDefault="00626E22" w:rsidP="00280A97">
            <w:pPr>
              <w:pStyle w:val="BodyText"/>
              <w:spacing w:after="114"/>
              <w:ind w:left="0" w:right="0"/>
            </w:pPr>
            <w:r>
              <w:t>Date of public release of policy:</w:t>
            </w:r>
          </w:p>
        </w:tc>
        <w:tc>
          <w:tcPr>
            <w:tcW w:w="5335" w:type="dxa"/>
          </w:tcPr>
          <w:p w:rsidR="00626E22" w:rsidRPr="00C17112" w:rsidRDefault="00030D2D" w:rsidP="00280A97">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t>18</w:t>
            </w:r>
            <w:r w:rsidR="00447778">
              <w:t xml:space="preserve"> </w:t>
            </w:r>
            <w:r>
              <w:t xml:space="preserve">May </w:t>
            </w:r>
            <w:r w:rsidR="00447778">
              <w:t>2016</w:t>
            </w:r>
          </w:p>
        </w:tc>
      </w:tr>
      <w:tr w:rsidR="00626E22" w:rsidTr="00280A97">
        <w:tc>
          <w:tcPr>
            <w:cnfStyle w:val="001000000000" w:firstRow="0" w:lastRow="0" w:firstColumn="1" w:lastColumn="0" w:oddVBand="0" w:evenVBand="0" w:oddHBand="0" w:evenHBand="0" w:firstRowFirstColumn="0" w:firstRowLastColumn="0" w:lastRowFirstColumn="0" w:lastRowLastColumn="0"/>
            <w:tcW w:w="3005" w:type="dxa"/>
          </w:tcPr>
          <w:p w:rsidR="00626E22" w:rsidRDefault="00626E22" w:rsidP="00280A97">
            <w:pPr>
              <w:pStyle w:val="BodyText"/>
              <w:keepNext/>
              <w:spacing w:after="114"/>
              <w:ind w:left="0" w:right="0"/>
            </w:pPr>
            <w:r>
              <w:lastRenderedPageBreak/>
              <w:t>Date costing request received:</w:t>
            </w:r>
          </w:p>
        </w:tc>
        <w:tc>
          <w:tcPr>
            <w:tcW w:w="5335" w:type="dxa"/>
          </w:tcPr>
          <w:p w:rsidR="00626E22" w:rsidRDefault="00447778" w:rsidP="00280A97">
            <w:pPr>
              <w:pStyle w:val="BodyText"/>
              <w:keepNext/>
              <w:spacing w:after="114"/>
              <w:ind w:left="0" w:right="0"/>
              <w:cnfStyle w:val="000000000000" w:firstRow="0" w:lastRow="0" w:firstColumn="0" w:lastColumn="0" w:oddVBand="0" w:evenVBand="0" w:oddHBand="0" w:evenHBand="0" w:firstRowFirstColumn="0" w:firstRowLastColumn="0" w:lastRowFirstColumn="0" w:lastRowLastColumn="0"/>
            </w:pPr>
            <w:r>
              <w:t>24 June 2016</w:t>
            </w:r>
          </w:p>
        </w:tc>
      </w:tr>
      <w:tr w:rsidR="00626E22" w:rsidTr="00280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626E22" w:rsidRDefault="00626E22" w:rsidP="00280A97">
            <w:pPr>
              <w:pStyle w:val="BodyText"/>
              <w:keepNext/>
              <w:spacing w:after="114"/>
              <w:ind w:left="0" w:right="0"/>
            </w:pPr>
            <w:r>
              <w:t>Date costing completed</w:t>
            </w:r>
          </w:p>
        </w:tc>
        <w:tc>
          <w:tcPr>
            <w:tcW w:w="5335" w:type="dxa"/>
          </w:tcPr>
          <w:p w:rsidR="00626E22" w:rsidRPr="00C17112" w:rsidRDefault="00BA4EFD" w:rsidP="00280A97">
            <w:pPr>
              <w:pStyle w:val="BodyText"/>
              <w:keepNext/>
              <w:spacing w:after="114"/>
              <w:ind w:left="0" w:right="0"/>
              <w:cnfStyle w:val="000000100000" w:firstRow="0" w:lastRow="0" w:firstColumn="0" w:lastColumn="0" w:oddVBand="0" w:evenVBand="0" w:oddHBand="1" w:evenHBand="0" w:firstRowFirstColumn="0" w:firstRowLastColumn="0" w:lastRowFirstColumn="0" w:lastRowLastColumn="0"/>
            </w:pPr>
            <w:r>
              <w:t xml:space="preserve">25 </w:t>
            </w:r>
            <w:r w:rsidR="00447778">
              <w:t>June 2016</w:t>
            </w:r>
          </w:p>
        </w:tc>
      </w:tr>
      <w:tr w:rsidR="004D5525" w:rsidTr="00280A97">
        <w:tc>
          <w:tcPr>
            <w:cnfStyle w:val="001000000000" w:firstRow="0" w:lastRow="0" w:firstColumn="1" w:lastColumn="0" w:oddVBand="0" w:evenVBand="0" w:oddHBand="0" w:evenHBand="0" w:firstRowFirstColumn="0" w:firstRowLastColumn="0" w:lastRowFirstColumn="0" w:lastRowLastColumn="0"/>
            <w:tcW w:w="3005" w:type="dxa"/>
          </w:tcPr>
          <w:p w:rsidR="004D5525" w:rsidRPr="00220BE5" w:rsidRDefault="004D5525" w:rsidP="00280A97">
            <w:pPr>
              <w:pStyle w:val="BodyText"/>
              <w:spacing w:after="114"/>
              <w:ind w:left="0" w:right="0"/>
            </w:pPr>
            <w:r w:rsidRPr="00220BE5">
              <w:t>Expiry date for the costing:</w:t>
            </w:r>
          </w:p>
        </w:tc>
        <w:tc>
          <w:tcPr>
            <w:tcW w:w="5335" w:type="dxa"/>
          </w:tcPr>
          <w:p w:rsidR="004D5525" w:rsidRPr="00220BE5" w:rsidRDefault="003839CE" w:rsidP="00280A97">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rsidRPr="00237B99">
              <w:t>Release of the next economic and fiscal outlook report</w:t>
            </w:r>
          </w:p>
        </w:tc>
      </w:tr>
    </w:tbl>
    <w:p w:rsidR="0055581F" w:rsidRPr="00002D5D" w:rsidRDefault="008030EC" w:rsidP="00FC6579">
      <w:pPr>
        <w:pStyle w:val="Heading2"/>
      </w:pPr>
      <w:r w:rsidRPr="00002D5D">
        <w:t>Costing overview</w:t>
      </w:r>
    </w:p>
    <w:p w:rsidR="001D6510" w:rsidRDefault="001D6510" w:rsidP="001D6510">
      <w:r>
        <w:t>This proposal would be expected to decrease</w:t>
      </w:r>
      <w:r w:rsidR="005E761D">
        <w:t xml:space="preserve"> </w:t>
      </w:r>
      <w:r>
        <w:t xml:space="preserve">the </w:t>
      </w:r>
      <w:r w:rsidR="007C084A">
        <w:t xml:space="preserve">fiscal balance </w:t>
      </w:r>
      <w:r>
        <w:t>by $</w:t>
      </w:r>
      <w:r w:rsidR="001E6EA9">
        <w:t>216.0</w:t>
      </w:r>
      <w:r>
        <w:t xml:space="preserve"> million </w:t>
      </w:r>
      <w:r w:rsidR="001E6EA9">
        <w:t xml:space="preserve">and the underlying cash balance by $214.4 million </w:t>
      </w:r>
      <w:r>
        <w:t>over the 2016-17 Budget forward estimates</w:t>
      </w:r>
      <w:r w:rsidR="005140F0">
        <w:t xml:space="preserve"> period</w:t>
      </w:r>
      <w:r>
        <w:t xml:space="preserve">.  </w:t>
      </w:r>
      <w:r w:rsidR="001E6EA9">
        <w:t xml:space="preserve">In fiscal balance terms, this </w:t>
      </w:r>
      <w:r>
        <w:t xml:space="preserve">reflects an increase in administered </w:t>
      </w:r>
      <w:r w:rsidR="007A7203">
        <w:t>expenses</w:t>
      </w:r>
      <w:r>
        <w:t xml:space="preserve"> </w:t>
      </w:r>
      <w:r w:rsidR="00CE7B5C">
        <w:t xml:space="preserve">of </w:t>
      </w:r>
      <w:r>
        <w:t>$</w:t>
      </w:r>
      <w:r w:rsidR="00413229">
        <w:t>213.4</w:t>
      </w:r>
      <w:r>
        <w:t xml:space="preserve"> million and departmental </w:t>
      </w:r>
      <w:r w:rsidR="007A7203">
        <w:t>expenses</w:t>
      </w:r>
      <w:r>
        <w:t xml:space="preserve"> </w:t>
      </w:r>
      <w:r w:rsidR="00CE7B5C">
        <w:t xml:space="preserve">of </w:t>
      </w:r>
      <w:r>
        <w:t>$</w:t>
      </w:r>
      <w:r w:rsidR="00413229">
        <w:t>2.6</w:t>
      </w:r>
      <w:r>
        <w:t xml:space="preserve"> million.  </w:t>
      </w:r>
    </w:p>
    <w:p w:rsidR="001D6510" w:rsidRPr="00F75686" w:rsidRDefault="00D50BBE" w:rsidP="001D6510">
      <w:r>
        <w:t>This proposal would have an</w:t>
      </w:r>
      <w:r w:rsidR="001D6510">
        <w:t xml:space="preserve"> impact beyond the 2016-17 Budget forward estimates.</w:t>
      </w:r>
      <w:r w:rsidR="00F75686">
        <w:t xml:space="preserve">  A breakdown of the financial impacts over the period 2016-17 to 2026-27 and by component has been provided at </w:t>
      </w:r>
      <w:r w:rsidR="00F75686">
        <w:rPr>
          <w:u w:val="single"/>
        </w:rPr>
        <w:t>Attachment A</w:t>
      </w:r>
      <w:r w:rsidR="00F75686">
        <w:t>.</w:t>
      </w:r>
    </w:p>
    <w:p w:rsidR="001E6EA9" w:rsidRDefault="001E6EA9" w:rsidP="001D6510">
      <w:r>
        <w:t xml:space="preserve">This proposal has a different impact on the fiscal and underlying cash balances due to a lag between when electric vehicles are registered and when state and territory governments </w:t>
      </w:r>
      <w:r w:rsidR="005A1748">
        <w:t xml:space="preserve">would </w:t>
      </w:r>
      <w:r>
        <w:t>lodge claims for payments from the Commonwealth Government.</w:t>
      </w:r>
    </w:p>
    <w:p w:rsidR="001D6510" w:rsidRDefault="001D6510" w:rsidP="001D6510">
      <w:r>
        <w:t xml:space="preserve">The costing is considered to be of high reliability.  The administered </w:t>
      </w:r>
      <w:r w:rsidR="007A7203">
        <w:t>expenses</w:t>
      </w:r>
      <w:r>
        <w:t xml:space="preserve"> estimates for the proposal are as specified in the request and the departmental costs are based on similar programs.</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D50BBE">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C27634" w:rsidRDefault="00CA5D42" w:rsidP="00280A97">
            <w:pPr>
              <w:pStyle w:val="TableText"/>
              <w:keepNext/>
              <w:keepLines/>
              <w:spacing w:line="240" w:lineRule="auto"/>
              <w:ind w:left="57" w:right="57"/>
              <w:rPr>
                <w:rFonts w:ascii="Calibri" w:hAnsi="Calibri"/>
                <w:b w:val="0"/>
                <w:szCs w:val="20"/>
              </w:rPr>
            </w:pPr>
            <w:r w:rsidRPr="00C27634">
              <w:rPr>
                <w:rFonts w:ascii="Calibri" w:hAnsi="Calibri"/>
                <w:b w:val="0"/>
                <w:szCs w:val="20"/>
              </w:rPr>
              <w:t>Impact on</w:t>
            </w:r>
            <w:r w:rsidR="00461597" w:rsidRPr="00C27634">
              <w:rPr>
                <w:rFonts w:ascii="Calibri" w:hAnsi="Calibri"/>
                <w:b w:val="0"/>
                <w:szCs w:val="20"/>
              </w:rPr>
              <w:t xml:space="preserve"> ($m)</w:t>
            </w:r>
          </w:p>
        </w:tc>
        <w:tc>
          <w:tcPr>
            <w:tcW w:w="682" w:type="pct"/>
          </w:tcPr>
          <w:p w:rsidR="00CA5D42" w:rsidRPr="00C27634" w:rsidRDefault="00CA5D42" w:rsidP="00280A97">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C27634">
              <w:rPr>
                <w:rFonts w:ascii="Calibri" w:hAnsi="Calibri"/>
                <w:b w:val="0"/>
                <w:sz w:val="20"/>
                <w:szCs w:val="20"/>
              </w:rPr>
              <w:t>2016–17</w:t>
            </w:r>
          </w:p>
        </w:tc>
        <w:tc>
          <w:tcPr>
            <w:tcW w:w="682" w:type="pct"/>
          </w:tcPr>
          <w:p w:rsidR="00CA5D42" w:rsidRPr="00C27634" w:rsidRDefault="00CA5D42" w:rsidP="00280A97">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C27634">
              <w:rPr>
                <w:rFonts w:ascii="Calibri" w:hAnsi="Calibri"/>
                <w:b w:val="0"/>
                <w:sz w:val="20"/>
                <w:szCs w:val="20"/>
              </w:rPr>
              <w:t>2017–18</w:t>
            </w:r>
          </w:p>
        </w:tc>
        <w:tc>
          <w:tcPr>
            <w:tcW w:w="682" w:type="pct"/>
          </w:tcPr>
          <w:p w:rsidR="00CA5D42" w:rsidRPr="00C27634" w:rsidRDefault="00CA5D42" w:rsidP="00280A97">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C27634">
              <w:rPr>
                <w:rFonts w:ascii="Calibri" w:hAnsi="Calibri"/>
                <w:b w:val="0"/>
                <w:sz w:val="20"/>
                <w:szCs w:val="20"/>
              </w:rPr>
              <w:t>2018–19</w:t>
            </w:r>
          </w:p>
        </w:tc>
        <w:tc>
          <w:tcPr>
            <w:tcW w:w="682" w:type="pct"/>
          </w:tcPr>
          <w:p w:rsidR="00CA5D42" w:rsidRPr="00C27634" w:rsidRDefault="00CA5D42" w:rsidP="00280A97">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C27634">
              <w:rPr>
                <w:rFonts w:ascii="Calibri" w:hAnsi="Calibri"/>
                <w:b w:val="0"/>
                <w:sz w:val="20"/>
                <w:szCs w:val="20"/>
              </w:rPr>
              <w:t>2019–20</w:t>
            </w:r>
          </w:p>
        </w:tc>
        <w:tc>
          <w:tcPr>
            <w:tcW w:w="681" w:type="pct"/>
          </w:tcPr>
          <w:p w:rsidR="00CA5D42" w:rsidRPr="00A6322C" w:rsidRDefault="00CA5D42" w:rsidP="00280A97">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6322C">
              <w:rPr>
                <w:rFonts w:ascii="Calibri" w:hAnsi="Calibri"/>
                <w:sz w:val="20"/>
                <w:szCs w:val="20"/>
              </w:rPr>
              <w:t>Total</w:t>
            </w:r>
          </w:p>
        </w:tc>
      </w:tr>
      <w:tr w:rsidR="0083485A" w:rsidRPr="00B73AC8" w:rsidTr="0083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83485A" w:rsidRPr="007342E8" w:rsidRDefault="0083485A" w:rsidP="00280A97">
            <w:pPr>
              <w:pStyle w:val="TableTextCentred"/>
              <w:keepNext/>
              <w:keepLines/>
              <w:spacing w:line="240" w:lineRule="auto"/>
              <w:ind w:left="57" w:right="57"/>
              <w:jc w:val="left"/>
              <w:rPr>
                <w:rFonts w:ascii="Calibri" w:hAnsi="Calibri"/>
                <w:szCs w:val="20"/>
              </w:rPr>
            </w:pPr>
            <w:r w:rsidRPr="007342E8">
              <w:rPr>
                <w:rFonts w:ascii="Calibri" w:hAnsi="Calibri"/>
                <w:szCs w:val="20"/>
              </w:rPr>
              <w:t>Fiscal balance</w:t>
            </w:r>
          </w:p>
        </w:tc>
        <w:tc>
          <w:tcPr>
            <w:tcW w:w="682" w:type="pct"/>
            <w:vAlign w:val="bottom"/>
          </w:tcPr>
          <w:p w:rsidR="0083485A" w:rsidRDefault="008256D3" w:rsidP="00280A9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-51.0</w:t>
            </w:r>
          </w:p>
        </w:tc>
        <w:tc>
          <w:tcPr>
            <w:tcW w:w="682" w:type="pct"/>
            <w:vAlign w:val="bottom"/>
          </w:tcPr>
          <w:p w:rsidR="0083485A" w:rsidRDefault="0083485A" w:rsidP="008256D3">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-53.0</w:t>
            </w:r>
          </w:p>
        </w:tc>
        <w:tc>
          <w:tcPr>
            <w:tcW w:w="682" w:type="pct"/>
            <w:vAlign w:val="bottom"/>
          </w:tcPr>
          <w:p w:rsidR="0083485A" w:rsidRDefault="008256D3" w:rsidP="00280A97">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-54.9</w:t>
            </w:r>
          </w:p>
        </w:tc>
        <w:tc>
          <w:tcPr>
            <w:tcW w:w="682" w:type="pct"/>
            <w:vAlign w:val="bottom"/>
          </w:tcPr>
          <w:p w:rsidR="0083485A" w:rsidRDefault="0083485A" w:rsidP="008256D3">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-57.1</w:t>
            </w:r>
          </w:p>
        </w:tc>
        <w:tc>
          <w:tcPr>
            <w:tcW w:w="681" w:type="pct"/>
            <w:vAlign w:val="bottom"/>
          </w:tcPr>
          <w:p w:rsidR="0083485A" w:rsidRPr="0083485A" w:rsidRDefault="0083485A" w:rsidP="008256D3">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83485A">
              <w:rPr>
                <w:rFonts w:ascii="Calibri" w:hAnsi="Calibri"/>
                <w:b/>
                <w:sz w:val="20"/>
                <w:szCs w:val="20"/>
              </w:rPr>
              <w:t>-216.0</w:t>
            </w:r>
          </w:p>
        </w:tc>
      </w:tr>
      <w:tr w:rsidR="0083485A" w:rsidRPr="00B73AC8" w:rsidTr="0083485A">
        <w:tc>
          <w:tcPr>
            <w:cnfStyle w:val="001000000000" w:firstRow="0" w:lastRow="0" w:firstColumn="1" w:lastColumn="0" w:oddVBand="0" w:evenVBand="0" w:oddHBand="0" w:evenHBand="0" w:firstRowFirstColumn="0" w:firstRowLastColumn="0" w:lastRowFirstColumn="0" w:lastRowLastColumn="0"/>
            <w:tcW w:w="1591" w:type="pct"/>
          </w:tcPr>
          <w:p w:rsidR="0083485A" w:rsidRPr="007342E8" w:rsidRDefault="0083485A" w:rsidP="00280A97">
            <w:pPr>
              <w:pStyle w:val="TableTextCentred"/>
              <w:keepNext/>
              <w:keepLines/>
              <w:spacing w:line="240" w:lineRule="auto"/>
              <w:ind w:left="57" w:right="57"/>
              <w:jc w:val="left"/>
              <w:rPr>
                <w:rFonts w:ascii="Calibri" w:hAnsi="Calibri"/>
                <w:szCs w:val="20"/>
              </w:rPr>
            </w:pPr>
            <w:r w:rsidRPr="007342E8">
              <w:rPr>
                <w:rFonts w:ascii="Calibri" w:hAnsi="Calibri"/>
                <w:szCs w:val="20"/>
              </w:rPr>
              <w:t>Underlying cash balance</w:t>
            </w:r>
          </w:p>
        </w:tc>
        <w:tc>
          <w:tcPr>
            <w:tcW w:w="682" w:type="pct"/>
            <w:vAlign w:val="bottom"/>
          </w:tcPr>
          <w:p w:rsidR="0083485A" w:rsidRDefault="0083485A" w:rsidP="008256D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-50.9</w:t>
            </w:r>
          </w:p>
        </w:tc>
        <w:tc>
          <w:tcPr>
            <w:tcW w:w="682" w:type="pct"/>
            <w:vAlign w:val="bottom"/>
          </w:tcPr>
          <w:p w:rsidR="0083485A" w:rsidRDefault="0083485A" w:rsidP="008256D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-52.6</w:t>
            </w:r>
          </w:p>
        </w:tc>
        <w:tc>
          <w:tcPr>
            <w:tcW w:w="682" w:type="pct"/>
            <w:vAlign w:val="bottom"/>
          </w:tcPr>
          <w:p w:rsidR="0083485A" w:rsidRDefault="0083485A" w:rsidP="008256D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-54.4</w:t>
            </w:r>
          </w:p>
        </w:tc>
        <w:tc>
          <w:tcPr>
            <w:tcW w:w="682" w:type="pct"/>
            <w:vAlign w:val="bottom"/>
          </w:tcPr>
          <w:p w:rsidR="0083485A" w:rsidRDefault="0083485A" w:rsidP="008256D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-56.5</w:t>
            </w:r>
          </w:p>
        </w:tc>
        <w:tc>
          <w:tcPr>
            <w:tcW w:w="681" w:type="pct"/>
            <w:vAlign w:val="bottom"/>
          </w:tcPr>
          <w:p w:rsidR="0083485A" w:rsidRPr="0083485A" w:rsidRDefault="0083485A" w:rsidP="008256D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83485A">
              <w:rPr>
                <w:rFonts w:ascii="Calibri" w:hAnsi="Calibri"/>
                <w:b/>
                <w:sz w:val="20"/>
                <w:szCs w:val="20"/>
              </w:rPr>
              <w:t>-214.4</w:t>
            </w:r>
          </w:p>
        </w:tc>
      </w:tr>
    </w:tbl>
    <w:p w:rsidR="0083485A" w:rsidRDefault="0083485A" w:rsidP="00280A97">
      <w:pPr>
        <w:pStyle w:val="Footnotes"/>
        <w:numPr>
          <w:ilvl w:val="0"/>
          <w:numId w:val="18"/>
        </w:numPr>
        <w:ind w:left="284" w:hanging="284"/>
      </w:pPr>
      <w:r w:rsidRPr="005140F0">
        <w:t>A positive number indicates an increase in the relevant budget balance, a negative number a decrease.</w:t>
      </w:r>
    </w:p>
    <w:p w:rsidR="00280A97" w:rsidRPr="005140F0" w:rsidRDefault="00280A97" w:rsidP="00280A97">
      <w:pPr>
        <w:pStyle w:val="Footnotes"/>
        <w:numPr>
          <w:ilvl w:val="0"/>
          <w:numId w:val="18"/>
        </w:numPr>
        <w:ind w:left="284" w:hanging="284"/>
      </w:pPr>
      <w:r>
        <w:t>Figures may not sum to total due to rounding.</w:t>
      </w:r>
    </w:p>
    <w:p w:rsidR="000F4175" w:rsidRPr="00FC6579" w:rsidRDefault="000F4175" w:rsidP="000F4175">
      <w:pPr>
        <w:pStyle w:val="Heading2"/>
      </w:pPr>
      <w:r>
        <w:t>Key assumptions</w:t>
      </w:r>
    </w:p>
    <w:p w:rsidR="00BB5B13" w:rsidRPr="005F4D85" w:rsidRDefault="00BB5B13" w:rsidP="005F4D85">
      <w:pPr>
        <w:spacing w:before="120" w:after="120"/>
        <w:rPr>
          <w:u w:val="single"/>
        </w:rPr>
      </w:pPr>
      <w:r w:rsidRPr="005F4D85">
        <w:rPr>
          <w:u w:val="single"/>
        </w:rPr>
        <w:t>Component 1: Free electric vehicle registration</w:t>
      </w:r>
    </w:p>
    <w:p w:rsidR="00950B93" w:rsidRDefault="00950B93" w:rsidP="00950B93">
      <w:pPr>
        <w:pStyle w:val="ListBullet"/>
        <w:numPr>
          <w:ilvl w:val="0"/>
          <w:numId w:val="0"/>
        </w:numPr>
      </w:pPr>
      <w:r>
        <w:t>In costing this component, the following assumptions have been made:</w:t>
      </w:r>
    </w:p>
    <w:p w:rsidR="00950B93" w:rsidRPr="005140F0" w:rsidRDefault="005140F0" w:rsidP="00280A97">
      <w:pPr>
        <w:pStyle w:val="Bullet1"/>
      </w:pPr>
      <w:r>
        <w:t>G</w:t>
      </w:r>
      <w:r w:rsidR="00950B93" w:rsidRPr="00B43D94">
        <w:t xml:space="preserve">rowth in </w:t>
      </w:r>
      <w:r w:rsidR="00950B93" w:rsidRPr="005140F0">
        <w:t>electric vehicle sales would broadly be consistent with historic growth</w:t>
      </w:r>
      <w:r>
        <w:t>.</w:t>
      </w:r>
    </w:p>
    <w:p w:rsidR="00950B93" w:rsidRPr="005140F0" w:rsidRDefault="005140F0" w:rsidP="00280A97">
      <w:pPr>
        <w:pStyle w:val="Bullet1"/>
      </w:pPr>
      <w:r>
        <w:t>T</w:t>
      </w:r>
      <w:r w:rsidR="00950B93" w:rsidRPr="005140F0">
        <w:t>he Commonwealth Government would make payments directly to state and territory governments for the registration of electric vehicles</w:t>
      </w:r>
      <w:r>
        <w:t>.</w:t>
      </w:r>
    </w:p>
    <w:p w:rsidR="00950B93" w:rsidRPr="005140F0" w:rsidRDefault="005140F0" w:rsidP="00280A97">
      <w:pPr>
        <w:pStyle w:val="Bullet1"/>
      </w:pPr>
      <w:r>
        <w:t>D</w:t>
      </w:r>
      <w:r w:rsidR="00950B93" w:rsidRPr="005140F0">
        <w:t>epartmental costs per recipient would be in line with similar rebate schemes</w:t>
      </w:r>
      <w:r>
        <w:t>.</w:t>
      </w:r>
    </w:p>
    <w:p w:rsidR="00950B93" w:rsidRPr="005140F0" w:rsidRDefault="005140F0" w:rsidP="00280A97">
      <w:pPr>
        <w:pStyle w:val="Bullet1"/>
      </w:pPr>
      <w:r>
        <w:lastRenderedPageBreak/>
        <w:t>T</w:t>
      </w:r>
      <w:r w:rsidR="00950B93" w:rsidRPr="005140F0">
        <w:t>he average cost of registration is based on a passenger vehicle of 1,504 kg or less registered for private use and excluding costs associated with compulsory third-party insurance and one-off charges such as licence plate costs</w:t>
      </w:r>
      <w:r>
        <w:t>.</w:t>
      </w:r>
    </w:p>
    <w:p w:rsidR="00950B93" w:rsidRDefault="005140F0" w:rsidP="00280A97">
      <w:pPr>
        <w:pStyle w:val="Bullet1"/>
      </w:pPr>
      <w:r>
        <w:t>O</w:t>
      </w:r>
      <w:r w:rsidR="00950B93" w:rsidRPr="005140F0">
        <w:t>n average, there would be a three-month lag between the registration of an electric vehicle</w:t>
      </w:r>
      <w:r w:rsidR="00950B93" w:rsidRPr="00B43D94">
        <w:t xml:space="preserve"> and payments being made by the Commonwealth Government.</w:t>
      </w:r>
    </w:p>
    <w:p w:rsidR="00BB5B13" w:rsidRPr="005F4D85" w:rsidRDefault="00BB5B13" w:rsidP="005F4D85">
      <w:pPr>
        <w:spacing w:before="120" w:after="120"/>
        <w:rPr>
          <w:u w:val="single"/>
        </w:rPr>
      </w:pPr>
      <w:r w:rsidRPr="005F4D85">
        <w:rPr>
          <w:u w:val="single"/>
        </w:rPr>
        <w:t xml:space="preserve">Component 2: Building </w:t>
      </w:r>
      <w:r w:rsidR="005140F0">
        <w:rPr>
          <w:u w:val="single"/>
        </w:rPr>
        <w:t>electric vehicle</w:t>
      </w:r>
      <w:r w:rsidR="005140F0" w:rsidRPr="005F4D85">
        <w:rPr>
          <w:u w:val="single"/>
        </w:rPr>
        <w:t xml:space="preserve"> </w:t>
      </w:r>
      <w:r w:rsidRPr="005F4D85">
        <w:rPr>
          <w:u w:val="single"/>
        </w:rPr>
        <w:t xml:space="preserve">charging infrastructure </w:t>
      </w:r>
    </w:p>
    <w:p w:rsidR="00BB5B13" w:rsidRDefault="00BB5B13" w:rsidP="00BB5B13">
      <w:pPr>
        <w:pStyle w:val="ListBullet"/>
      </w:pPr>
      <w:r>
        <w:t>While the component would commence on 1 January 2016, it has been assumed that the full 2016-17 funding allocation could be delivered within the year.</w:t>
      </w:r>
    </w:p>
    <w:p w:rsidR="005E3562" w:rsidRPr="00FC6579" w:rsidRDefault="005E3562" w:rsidP="00E40B8B">
      <w:pPr>
        <w:pStyle w:val="Heading2"/>
      </w:pPr>
      <w:r w:rsidRPr="00FC6579">
        <w:t>Methodology</w:t>
      </w:r>
    </w:p>
    <w:p w:rsidR="00950B93" w:rsidRDefault="00950B93" w:rsidP="00950B93">
      <w:pPr>
        <w:spacing w:before="120" w:after="120"/>
        <w:rPr>
          <w:u w:val="single"/>
        </w:rPr>
      </w:pPr>
      <w:r>
        <w:rPr>
          <w:u w:val="single"/>
        </w:rPr>
        <w:t>Component 1: Free electric vehicle registration</w:t>
      </w:r>
    </w:p>
    <w:p w:rsidR="005326A1" w:rsidRDefault="005326A1" w:rsidP="005326A1">
      <w:pPr>
        <w:rPr>
          <w:b/>
          <w:bCs/>
        </w:rPr>
      </w:pPr>
      <w:r>
        <w:t>Historic electric vehicle sales numbers have been projected and multiplied by the average motor vehicle registration costs.</w:t>
      </w:r>
    </w:p>
    <w:p w:rsidR="00950B93" w:rsidRDefault="00950B93" w:rsidP="00950B93">
      <w:pPr>
        <w:pStyle w:val="ListBullet"/>
        <w:numPr>
          <w:ilvl w:val="0"/>
          <w:numId w:val="0"/>
        </w:numPr>
      </w:pPr>
      <w:r>
        <w:rPr>
          <w:u w:val="single"/>
        </w:rPr>
        <w:t xml:space="preserve">Component 2: Building </w:t>
      </w:r>
      <w:r w:rsidR="003A6E6E">
        <w:rPr>
          <w:u w:val="single"/>
        </w:rPr>
        <w:t xml:space="preserve">electric vehicle </w:t>
      </w:r>
      <w:r>
        <w:rPr>
          <w:u w:val="single"/>
        </w:rPr>
        <w:t>charging infrastructure</w:t>
      </w:r>
      <w:r>
        <w:t xml:space="preserve"> </w:t>
      </w:r>
    </w:p>
    <w:p w:rsidR="005326A1" w:rsidRDefault="005326A1" w:rsidP="005326A1">
      <w:r>
        <w:t>Administered expenditure estimates are as specified in the request.   The departmental expenditure estimates are in addition to capped amounts, as specified, and are based on other like initiatives and estimates account for the net effect of indexation parameters and the efficiency dividend, in accordance with the Department of Finance’s costing practices.</w:t>
      </w:r>
    </w:p>
    <w:p w:rsidR="005E3562" w:rsidRPr="00FC6579" w:rsidRDefault="005E3562" w:rsidP="00E40B8B">
      <w:pPr>
        <w:pStyle w:val="Heading2"/>
      </w:pPr>
      <w:r w:rsidRPr="00FC6579">
        <w:t>Data sources</w:t>
      </w:r>
    </w:p>
    <w:p w:rsidR="00950B93" w:rsidRDefault="00950B93" w:rsidP="00280A97">
      <w:pPr>
        <w:pStyle w:val="Bullet1"/>
      </w:pPr>
      <w:r>
        <w:t>The Department of Industry, Innovation and Science provided historic data on electric vehicle sales.</w:t>
      </w:r>
    </w:p>
    <w:p w:rsidR="00CA5D42" w:rsidRPr="001D6510" w:rsidRDefault="005E761D" w:rsidP="00280A97">
      <w:pPr>
        <w:pStyle w:val="Bullet1"/>
        <w:rPr>
          <w:spacing w:val="-1"/>
        </w:rPr>
        <w:sectPr w:rsidR="00CA5D42" w:rsidRPr="001D6510" w:rsidSect="00002D5D">
          <w:headerReference w:type="first" r:id="rId14"/>
          <w:footerReference w:type="first" r:id="rId15"/>
          <w:pgSz w:w="11906" w:h="16838"/>
          <w:pgMar w:top="1361" w:right="1797" w:bottom="1474" w:left="1797" w:header="709" w:footer="709" w:gutter="0"/>
          <w:cols w:space="708"/>
          <w:titlePg/>
          <w:docGrid w:linePitch="360"/>
        </w:sectPr>
      </w:pPr>
      <w:r>
        <w:t xml:space="preserve">The </w:t>
      </w:r>
      <w:r w:rsidR="001D6510" w:rsidRPr="001D6510">
        <w:t>Department of Finance provided efficiency dividend and indexation parameters.</w:t>
      </w:r>
    </w:p>
    <w:p w:rsidR="001A02D1" w:rsidRDefault="001A02D1" w:rsidP="00447778">
      <w:pPr>
        <w:pStyle w:val="Heading1"/>
      </w:pPr>
      <w:r w:rsidRPr="00FC6579">
        <w:lastRenderedPageBreak/>
        <w:t>Attachment A:</w:t>
      </w:r>
      <w:r w:rsidR="00C27634">
        <w:t xml:space="preserve"> </w:t>
      </w:r>
      <w:r w:rsidR="00447778" w:rsidRPr="00447778">
        <w:t>Accelerating the Electric Vehicle Revolution</w:t>
      </w:r>
      <w:r w:rsidR="00440E32">
        <w:t>—financial implications</w:t>
      </w:r>
    </w:p>
    <w:p w:rsidR="0083485A" w:rsidRPr="00FC6579" w:rsidRDefault="0083485A" w:rsidP="0083485A">
      <w:pPr>
        <w:pStyle w:val="Captionheading"/>
      </w:pPr>
      <w:r w:rsidRPr="00FC6579">
        <w:t xml:space="preserve">Table </w:t>
      </w:r>
      <w:r>
        <w:t>A1</w:t>
      </w:r>
      <w:r w:rsidRPr="00FC6579">
        <w:t xml:space="preserve">: </w:t>
      </w:r>
      <w:r w:rsidRPr="00447778">
        <w:t>Accelerating the Electric Vehicle Revolution</w:t>
      </w:r>
      <w:r w:rsidR="009056F6">
        <w:t>—</w:t>
      </w:r>
      <w:r>
        <w:t xml:space="preserve">Fiscal </w:t>
      </w:r>
      <w:proofErr w:type="gramStart"/>
      <w:r>
        <w:t>balance</w:t>
      </w:r>
      <w:r w:rsidRPr="001F7D6A">
        <w:rPr>
          <w:vertAlign w:val="superscript"/>
        </w:rPr>
        <w:t>(</w:t>
      </w:r>
      <w:proofErr w:type="gramEnd"/>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7165D3" w:rsidRPr="00B31810" w:rsidTr="009056F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83485A" w:rsidRPr="00280A97" w:rsidRDefault="0083485A">
            <w:pPr>
              <w:keepNext/>
              <w:keepLines/>
              <w:spacing w:before="70" w:after="70" w:line="240" w:lineRule="auto"/>
              <w:ind w:left="57" w:right="57"/>
              <w:rPr>
                <w:sz w:val="20"/>
                <w:szCs w:val="20"/>
              </w:rPr>
            </w:pPr>
            <w:r w:rsidRPr="00280A97">
              <w:rPr>
                <w:sz w:val="20"/>
                <w:szCs w:val="20"/>
              </w:rPr>
              <w:t>($m)</w:t>
            </w:r>
          </w:p>
        </w:tc>
        <w:tc>
          <w:tcPr>
            <w:tcW w:w="326"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vAlign w:val="center"/>
          </w:tcPr>
          <w:p w:rsidR="0083485A" w:rsidRPr="00AE30B5"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vAlign w:val="center"/>
          </w:tcPr>
          <w:p w:rsidR="0083485A" w:rsidRPr="00C24267"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vAlign w:val="center"/>
          </w:tcPr>
          <w:p w:rsidR="0083485A" w:rsidRPr="00AE30B5" w:rsidRDefault="0083485A" w:rsidP="00280A97">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83485A" w:rsidTr="0083485A">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83485A" w:rsidRPr="0007264D" w:rsidRDefault="0083485A">
            <w:pPr>
              <w:keepNext/>
              <w:keepLines/>
              <w:spacing w:before="70" w:after="70" w:line="240" w:lineRule="auto"/>
              <w:ind w:left="57" w:right="57"/>
            </w:pPr>
            <w:r>
              <w:t>Administered</w:t>
            </w:r>
          </w:p>
        </w:tc>
        <w:tc>
          <w:tcPr>
            <w:tcW w:w="326"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-50.5</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-52.4</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-54.2</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-56.3</w:t>
            </w:r>
          </w:p>
        </w:tc>
        <w:tc>
          <w:tcPr>
            <w:tcW w:w="327"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-213.4</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-8.8</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-7.9</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-6.5</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-4.8</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-2.6</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5" w:type="pct"/>
            <w:vAlign w:val="center"/>
          </w:tcPr>
          <w:p w:rsidR="0083485A" w:rsidRDefault="00B81ADD" w:rsidP="00280A9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6"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-244.0</w:t>
            </w:r>
          </w:p>
        </w:tc>
      </w:tr>
      <w:tr w:rsidR="0083485A" w:rsidTr="0083485A">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83485A" w:rsidRPr="0007264D" w:rsidRDefault="0083485A">
            <w:pPr>
              <w:keepNext/>
              <w:keepLines/>
              <w:spacing w:before="70" w:after="70" w:line="240" w:lineRule="auto"/>
              <w:ind w:left="57" w:right="57"/>
            </w:pPr>
            <w:r>
              <w:t>Departmental</w:t>
            </w:r>
          </w:p>
        </w:tc>
        <w:tc>
          <w:tcPr>
            <w:tcW w:w="326"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-0.7</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-0.7</w:t>
            </w:r>
          </w:p>
        </w:tc>
        <w:tc>
          <w:tcPr>
            <w:tcW w:w="327"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-2.6</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-0.4</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-0.2</w:t>
            </w:r>
          </w:p>
        </w:tc>
        <w:tc>
          <w:tcPr>
            <w:tcW w:w="325"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6" w:type="pct"/>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-5.3</w:t>
            </w:r>
          </w:p>
        </w:tc>
      </w:tr>
      <w:tr w:rsidR="00551567" w:rsidRPr="008D6ECA" w:rsidTr="0083485A">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83485A" w:rsidRPr="008D6ECA" w:rsidRDefault="0083485A">
            <w:pPr>
              <w:keepNext/>
              <w:keepLines/>
              <w:spacing w:before="70" w:after="70" w:line="240" w:lineRule="auto"/>
              <w:ind w:left="57" w:right="57"/>
              <w:rPr>
                <w:b/>
              </w:rPr>
            </w:pPr>
            <w:r>
              <w:rPr>
                <w:b/>
              </w:rPr>
              <w:t>Total</w:t>
            </w:r>
          </w:p>
        </w:tc>
        <w:tc>
          <w:tcPr>
            <w:tcW w:w="326"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-51.0</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-53.0</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-54.9</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-57.1</w:t>
            </w:r>
          </w:p>
        </w:tc>
        <w:tc>
          <w:tcPr>
            <w:tcW w:w="327"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-216.0</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-9.2</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-8.4</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-7.0</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-5.3</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-3.2</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-0.2</w:t>
            </w:r>
          </w:p>
        </w:tc>
        <w:tc>
          <w:tcPr>
            <w:tcW w:w="325"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26" w:type="pct"/>
            <w:shd w:val="clear" w:color="auto" w:fill="D7DDE9"/>
            <w:vAlign w:val="center"/>
          </w:tcPr>
          <w:p w:rsidR="0083485A" w:rsidRDefault="0083485A" w:rsidP="00B81ADD">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-249.3</w:t>
            </w:r>
          </w:p>
        </w:tc>
      </w:tr>
    </w:tbl>
    <w:p w:rsidR="009056F6" w:rsidRPr="006E7357" w:rsidRDefault="009056F6" w:rsidP="00280A97">
      <w:pPr>
        <w:pStyle w:val="Footnotes"/>
        <w:numPr>
          <w:ilvl w:val="0"/>
          <w:numId w:val="24"/>
        </w:numPr>
      </w:pPr>
      <w:r>
        <w:t xml:space="preserve">A </w:t>
      </w:r>
      <w:r w:rsidRPr="006E7357">
        <w:t>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83485A" w:rsidRDefault="0083485A">
      <w:pPr>
        <w:pStyle w:val="Footnotes"/>
      </w:pPr>
      <w:r>
        <w:t>Figures may not sum to totals due to rounding.</w:t>
      </w:r>
    </w:p>
    <w:p w:rsidR="0083485A" w:rsidRDefault="0083485A" w:rsidP="00280A97">
      <w:pPr>
        <w:pStyle w:val="Footnotes"/>
        <w:numPr>
          <w:ilvl w:val="0"/>
          <w:numId w:val="0"/>
        </w:numPr>
        <w:ind w:left="284" w:hanging="284"/>
      </w:pPr>
      <w:r>
        <w:t>-</w:t>
      </w:r>
      <w:r>
        <w:tab/>
        <w:t>Indicates nil.</w:t>
      </w:r>
    </w:p>
    <w:p w:rsidR="0083485A" w:rsidRPr="00FC6579" w:rsidRDefault="0083485A" w:rsidP="00095EB1">
      <w:pPr>
        <w:pStyle w:val="Captionheading"/>
        <w:keepLines/>
      </w:pPr>
      <w:r w:rsidRPr="00FC6579">
        <w:lastRenderedPageBreak/>
        <w:t xml:space="preserve">Table </w:t>
      </w:r>
      <w:r>
        <w:t>A2</w:t>
      </w:r>
      <w:r w:rsidRPr="00FC6579">
        <w:t xml:space="preserve">: </w:t>
      </w:r>
      <w:r w:rsidRPr="00447778">
        <w:t>Accelerating the Electric Vehicle Revolution</w:t>
      </w:r>
      <w:r w:rsidR="009056F6">
        <w:t>—</w:t>
      </w:r>
      <w:r>
        <w:t xml:space="preserve">Underlying cash </w:t>
      </w:r>
      <w:proofErr w:type="gramStart"/>
      <w:r>
        <w:t>balance</w:t>
      </w:r>
      <w:r w:rsidRPr="001F7D6A">
        <w:rPr>
          <w:vertAlign w:val="superscript"/>
        </w:rPr>
        <w:t>(</w:t>
      </w:r>
      <w:proofErr w:type="gramEnd"/>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280A97" w:rsidRPr="00B31810" w:rsidTr="00C573F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280A97" w:rsidRPr="00280A97" w:rsidRDefault="00280A97" w:rsidP="00095EB1">
            <w:pPr>
              <w:keepNext/>
              <w:keepLines/>
              <w:spacing w:before="70" w:after="70" w:line="240" w:lineRule="auto"/>
              <w:ind w:left="57" w:right="57"/>
              <w:rPr>
                <w:sz w:val="20"/>
                <w:szCs w:val="20"/>
              </w:rPr>
            </w:pPr>
            <w:r w:rsidRPr="00280A97">
              <w:rPr>
                <w:sz w:val="20"/>
                <w:szCs w:val="20"/>
              </w:rPr>
              <w:t>($m)</w:t>
            </w:r>
          </w:p>
        </w:tc>
        <w:tc>
          <w:tcPr>
            <w:tcW w:w="326"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vAlign w:val="center"/>
          </w:tcPr>
          <w:p w:rsidR="00280A97" w:rsidRPr="00AE30B5"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vAlign w:val="center"/>
          </w:tcPr>
          <w:p w:rsidR="00280A97" w:rsidRPr="00C24267"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vAlign w:val="center"/>
          </w:tcPr>
          <w:p w:rsidR="00280A97" w:rsidRPr="00AE30B5" w:rsidRDefault="00280A97"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413229" w:rsidRPr="0007264D" w:rsidRDefault="00413229" w:rsidP="00095EB1">
            <w:pPr>
              <w:keepNext/>
              <w:keepLines/>
              <w:spacing w:before="70" w:after="70" w:line="240" w:lineRule="auto"/>
              <w:ind w:left="57" w:right="57"/>
            </w:pPr>
            <w:r>
              <w:t>Administered</w:t>
            </w:r>
          </w:p>
        </w:tc>
        <w:tc>
          <w:tcPr>
            <w:tcW w:w="326"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-50.4</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-51.9</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-53.7</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-55.8</w:t>
            </w:r>
          </w:p>
        </w:tc>
        <w:tc>
          <w:tcPr>
            <w:tcW w:w="327"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-211.8</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-8.2</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-8.1</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-6.9</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-5.2</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-3.1</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6"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-244.0</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413229" w:rsidRPr="0007264D" w:rsidRDefault="00413229" w:rsidP="00095EB1">
            <w:pPr>
              <w:keepNext/>
              <w:keepLines/>
              <w:spacing w:before="70" w:after="70" w:line="240" w:lineRule="auto"/>
              <w:ind w:left="57" w:right="57"/>
            </w:pPr>
            <w:r>
              <w:t>Departmental</w:t>
            </w:r>
          </w:p>
        </w:tc>
        <w:tc>
          <w:tcPr>
            <w:tcW w:w="326"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-0.7</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-0.7</w:t>
            </w:r>
          </w:p>
        </w:tc>
        <w:tc>
          <w:tcPr>
            <w:tcW w:w="327"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-2.6</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-0.4</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-0.2</w:t>
            </w:r>
          </w:p>
        </w:tc>
        <w:tc>
          <w:tcPr>
            <w:tcW w:w="325"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6"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-5.3</w:t>
            </w:r>
          </w:p>
        </w:tc>
      </w:tr>
      <w:tr w:rsidR="00551567" w:rsidRPr="008D6ECA" w:rsidTr="00413229">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413229" w:rsidRPr="008D6ECA" w:rsidRDefault="00413229" w:rsidP="00095EB1">
            <w:pPr>
              <w:keepNext/>
              <w:keepLines/>
              <w:spacing w:before="70" w:after="70" w:line="240" w:lineRule="auto"/>
              <w:ind w:left="57" w:right="57"/>
              <w:rPr>
                <w:b/>
              </w:rPr>
            </w:pPr>
            <w:r>
              <w:rPr>
                <w:b/>
              </w:rPr>
              <w:t>Total</w:t>
            </w:r>
          </w:p>
        </w:tc>
        <w:tc>
          <w:tcPr>
            <w:tcW w:w="326"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-50.9</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-52.6</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-54.4</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-56.5</w:t>
            </w:r>
          </w:p>
        </w:tc>
        <w:tc>
          <w:tcPr>
            <w:tcW w:w="327"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-214.4</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-8.6</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-8.6</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-7.4</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-5.8</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-3.7</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-0.8</w:t>
            </w:r>
          </w:p>
        </w:tc>
        <w:tc>
          <w:tcPr>
            <w:tcW w:w="325"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26"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-249.3</w:t>
            </w:r>
          </w:p>
        </w:tc>
      </w:tr>
    </w:tbl>
    <w:p w:rsidR="009056F6" w:rsidRPr="006E7357" w:rsidRDefault="009056F6" w:rsidP="00095EB1">
      <w:pPr>
        <w:pStyle w:val="Footnotes"/>
        <w:keepNext/>
        <w:keepLines/>
        <w:numPr>
          <w:ilvl w:val="0"/>
          <w:numId w:val="20"/>
        </w:numPr>
        <w:ind w:left="284" w:hanging="284"/>
      </w:pPr>
      <w:r w:rsidRPr="006E7357">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83485A" w:rsidRDefault="0083485A" w:rsidP="00280A97">
      <w:pPr>
        <w:pStyle w:val="Footnotes"/>
        <w:numPr>
          <w:ilvl w:val="0"/>
          <w:numId w:val="20"/>
        </w:numPr>
        <w:ind w:left="284" w:hanging="284"/>
      </w:pPr>
      <w:r>
        <w:t>Figures may not sum to totals due to rounding.</w:t>
      </w:r>
    </w:p>
    <w:p w:rsidR="0083485A" w:rsidRPr="00CA5D42" w:rsidRDefault="0083485A" w:rsidP="00280A97">
      <w:pPr>
        <w:pStyle w:val="Footnotes"/>
        <w:numPr>
          <w:ilvl w:val="0"/>
          <w:numId w:val="0"/>
        </w:numPr>
        <w:ind w:left="284" w:hanging="284"/>
      </w:pPr>
      <w:r>
        <w:t>-</w:t>
      </w:r>
      <w:r>
        <w:tab/>
        <w:t>Indicates nil.</w:t>
      </w:r>
    </w:p>
    <w:p w:rsidR="00413229" w:rsidRPr="00FC6579" w:rsidRDefault="00413229" w:rsidP="00413229">
      <w:pPr>
        <w:pStyle w:val="Captionheading"/>
      </w:pPr>
      <w:r w:rsidRPr="00FC6579">
        <w:t xml:space="preserve">Table </w:t>
      </w:r>
      <w:r>
        <w:t>A3</w:t>
      </w:r>
      <w:r w:rsidRPr="00FC6579">
        <w:t xml:space="preserve">: </w:t>
      </w:r>
      <w:r w:rsidRPr="0083485A">
        <w:t>Component 1: Free electric vehicle registration</w:t>
      </w:r>
      <w:r w:rsidR="009056F6">
        <w:t>—</w:t>
      </w:r>
      <w:r>
        <w:t xml:space="preserve">Fiscal </w:t>
      </w:r>
      <w:proofErr w:type="gramStart"/>
      <w:r>
        <w:t>balance</w:t>
      </w:r>
      <w:r w:rsidRPr="001F7D6A">
        <w:rPr>
          <w:vertAlign w:val="superscript"/>
        </w:rPr>
        <w:t>(</w:t>
      </w:r>
      <w:proofErr w:type="gramEnd"/>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7165D3" w:rsidRPr="00B31810" w:rsidTr="009056F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413229" w:rsidRPr="00373368" w:rsidRDefault="00413229">
            <w:pPr>
              <w:keepNext/>
              <w:keepLines/>
              <w:spacing w:before="70" w:after="70" w:line="240" w:lineRule="auto"/>
              <w:ind w:left="57" w:right="57"/>
              <w:rPr>
                <w:sz w:val="20"/>
                <w:szCs w:val="20"/>
              </w:rPr>
            </w:pPr>
            <w:r w:rsidRPr="00373368">
              <w:rPr>
                <w:sz w:val="20"/>
                <w:szCs w:val="20"/>
              </w:rPr>
              <w:t>($m)</w:t>
            </w:r>
          </w:p>
        </w:tc>
        <w:tc>
          <w:tcPr>
            <w:tcW w:w="326"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vAlign w:val="center"/>
          </w:tcPr>
          <w:p w:rsidR="00413229" w:rsidRPr="00AE30B5"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vAlign w:val="center"/>
          </w:tcPr>
          <w:p w:rsidR="00413229" w:rsidRPr="00C24267"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vAlign w:val="center"/>
          </w:tcPr>
          <w:p w:rsidR="00413229" w:rsidRPr="00AE30B5" w:rsidRDefault="00413229" w:rsidP="0037336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413229" w:rsidRDefault="00413229" w:rsidP="00373368">
            <w:pPr>
              <w:spacing w:before="70" w:after="70" w:line="240" w:lineRule="auto"/>
              <w:ind w:left="57" w:right="57"/>
              <w:rPr>
                <w:rFonts w:ascii="Calibri" w:hAnsi="Calibri"/>
                <w:color w:val="000000"/>
                <w:sz w:val="20"/>
                <w:szCs w:val="20"/>
              </w:rPr>
            </w:pPr>
            <w:r>
              <w:rPr>
                <w:rFonts w:ascii="Calibri" w:hAnsi="Calibri"/>
                <w:color w:val="000000"/>
                <w:sz w:val="20"/>
                <w:szCs w:val="20"/>
              </w:rPr>
              <w:t>Administered</w:t>
            </w:r>
          </w:p>
        </w:tc>
        <w:tc>
          <w:tcPr>
            <w:tcW w:w="326"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-2.4</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-4.2</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-6.3</w:t>
            </w:r>
          </w:p>
        </w:tc>
        <w:tc>
          <w:tcPr>
            <w:tcW w:w="327"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-13.4</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-8.8</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-7.9</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-6.5</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-4.8</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-2.6</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6"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-44.0</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771" w:type="pct"/>
            <w:vAlign w:val="center"/>
          </w:tcPr>
          <w:p w:rsidR="00413229" w:rsidRDefault="00413229" w:rsidP="00373368">
            <w:pPr>
              <w:spacing w:before="70" w:after="70" w:line="240" w:lineRule="auto"/>
              <w:ind w:left="57" w:right="57"/>
              <w:rPr>
                <w:rFonts w:ascii="Calibri" w:hAnsi="Calibri"/>
                <w:color w:val="000000"/>
                <w:sz w:val="20"/>
                <w:szCs w:val="20"/>
              </w:rPr>
            </w:pPr>
            <w:r>
              <w:rPr>
                <w:rFonts w:ascii="Calibri" w:hAnsi="Calibri"/>
                <w:color w:val="000000"/>
                <w:sz w:val="20"/>
                <w:szCs w:val="20"/>
              </w:rPr>
              <w:t>Departmental</w:t>
            </w:r>
          </w:p>
        </w:tc>
        <w:tc>
          <w:tcPr>
            <w:tcW w:w="326"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-0.2</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-0.3</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-0.3</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-0.4</w:t>
            </w:r>
          </w:p>
        </w:tc>
        <w:tc>
          <w:tcPr>
            <w:tcW w:w="327"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-1.2</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-0.4</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-0.2</w:t>
            </w:r>
          </w:p>
        </w:tc>
        <w:tc>
          <w:tcPr>
            <w:tcW w:w="325"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6" w:type="pct"/>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-3.9</w:t>
            </w:r>
          </w:p>
        </w:tc>
      </w:tr>
      <w:tr w:rsidR="00551567" w:rsidRPr="008D6ECA" w:rsidTr="00413229">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413229" w:rsidRDefault="00413229" w:rsidP="00373368">
            <w:pPr>
              <w:spacing w:before="70" w:after="70" w:line="240" w:lineRule="auto"/>
              <w:ind w:left="57" w:right="57"/>
              <w:rPr>
                <w:rFonts w:ascii="Calibri" w:hAnsi="Calibri"/>
                <w:b/>
                <w:bCs/>
                <w:color w:val="000000"/>
                <w:sz w:val="20"/>
                <w:szCs w:val="20"/>
              </w:rPr>
            </w:pPr>
            <w:r>
              <w:rPr>
                <w:rFonts w:ascii="Calibri" w:hAnsi="Calibri"/>
                <w:b/>
                <w:bCs/>
                <w:color w:val="000000"/>
                <w:sz w:val="20"/>
                <w:szCs w:val="20"/>
              </w:rPr>
              <w:t>Total</w:t>
            </w:r>
          </w:p>
        </w:tc>
        <w:tc>
          <w:tcPr>
            <w:tcW w:w="326"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-0.7</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-2.7</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-4.5</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-6.7</w:t>
            </w:r>
          </w:p>
        </w:tc>
        <w:tc>
          <w:tcPr>
            <w:tcW w:w="327"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-14.6</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-9.2</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-8.4</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-7.0</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-5.3</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-3.2</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-0.2</w:t>
            </w:r>
          </w:p>
        </w:tc>
        <w:tc>
          <w:tcPr>
            <w:tcW w:w="325"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26" w:type="pct"/>
            <w:shd w:val="clear" w:color="auto" w:fill="D7DDE9"/>
            <w:vAlign w:val="center"/>
          </w:tcPr>
          <w:p w:rsidR="00413229" w:rsidRDefault="00413229" w:rsidP="00FA2C8C">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-47.9</w:t>
            </w:r>
          </w:p>
        </w:tc>
      </w:tr>
    </w:tbl>
    <w:p w:rsidR="009056F6" w:rsidRPr="006E7357" w:rsidRDefault="009056F6" w:rsidP="00373368">
      <w:pPr>
        <w:pStyle w:val="Footnotes"/>
        <w:numPr>
          <w:ilvl w:val="0"/>
          <w:numId w:val="21"/>
        </w:numPr>
        <w:ind w:left="284" w:hanging="284"/>
      </w:pPr>
      <w:r>
        <w:t xml:space="preserve">A </w:t>
      </w:r>
      <w:r w:rsidRPr="006E7357">
        <w:t>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413229" w:rsidRDefault="00413229" w:rsidP="00373368">
      <w:pPr>
        <w:pStyle w:val="Footnotes"/>
        <w:numPr>
          <w:ilvl w:val="0"/>
          <w:numId w:val="21"/>
        </w:numPr>
        <w:ind w:left="284" w:hanging="284"/>
      </w:pPr>
      <w:r>
        <w:t>Figures may not sum to totals due to rounding.</w:t>
      </w:r>
    </w:p>
    <w:p w:rsidR="00413229" w:rsidRPr="00CA5D42" w:rsidRDefault="00413229" w:rsidP="00373368">
      <w:pPr>
        <w:pStyle w:val="Footnotes"/>
        <w:numPr>
          <w:ilvl w:val="0"/>
          <w:numId w:val="0"/>
        </w:numPr>
        <w:ind w:left="284" w:hanging="284"/>
      </w:pPr>
      <w:r>
        <w:t>-</w:t>
      </w:r>
      <w:r>
        <w:tab/>
        <w:t>Indicates nil.</w:t>
      </w:r>
    </w:p>
    <w:p w:rsidR="0083485A" w:rsidRPr="00FC6579" w:rsidRDefault="0083485A" w:rsidP="0083485A">
      <w:pPr>
        <w:pStyle w:val="Captionheading"/>
      </w:pPr>
      <w:r w:rsidRPr="00FC6579">
        <w:lastRenderedPageBreak/>
        <w:t xml:space="preserve">Table </w:t>
      </w:r>
      <w:r>
        <w:t>A</w:t>
      </w:r>
      <w:r w:rsidR="00413229">
        <w:t>4</w:t>
      </w:r>
      <w:r w:rsidRPr="00FC6579">
        <w:t xml:space="preserve">: </w:t>
      </w:r>
      <w:r w:rsidRPr="0083485A">
        <w:t>Component 1: Free electric vehicle registration</w:t>
      </w:r>
      <w:r w:rsidR="009056F6">
        <w:t>—</w:t>
      </w:r>
      <w:r>
        <w:t xml:space="preserve">Underlying cash </w:t>
      </w:r>
      <w:proofErr w:type="gramStart"/>
      <w:r>
        <w:t>balance</w:t>
      </w:r>
      <w:r w:rsidRPr="001F7D6A">
        <w:rPr>
          <w:vertAlign w:val="superscript"/>
        </w:rPr>
        <w:t>(</w:t>
      </w:r>
      <w:proofErr w:type="gramEnd"/>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373368" w:rsidRPr="00B31810" w:rsidTr="00C573F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center"/>
          </w:tcPr>
          <w:p w:rsidR="00373368" w:rsidRPr="00373368" w:rsidRDefault="00373368" w:rsidP="00C573F6">
            <w:pPr>
              <w:keepNext/>
              <w:keepLines/>
              <w:spacing w:before="70" w:after="70" w:line="240" w:lineRule="auto"/>
              <w:ind w:left="57" w:right="57"/>
              <w:rPr>
                <w:sz w:val="20"/>
                <w:szCs w:val="20"/>
              </w:rPr>
            </w:pPr>
            <w:r w:rsidRPr="00373368">
              <w:rPr>
                <w:sz w:val="20"/>
                <w:szCs w:val="20"/>
              </w:rPr>
              <w:t>($m)</w:t>
            </w:r>
          </w:p>
        </w:tc>
        <w:tc>
          <w:tcPr>
            <w:tcW w:w="326"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vAlign w:val="center"/>
          </w:tcPr>
          <w:p w:rsidR="00373368" w:rsidRPr="00AE30B5"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vAlign w:val="center"/>
          </w:tcPr>
          <w:p w:rsidR="00373368" w:rsidRPr="00C24267"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vAlign w:val="center"/>
          </w:tcPr>
          <w:p w:rsidR="00373368" w:rsidRPr="00AE30B5" w:rsidRDefault="00373368" w:rsidP="00C573F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413229" w:rsidTr="00551567">
        <w:trPr>
          <w:cantSplit/>
        </w:trPr>
        <w:tc>
          <w:tcPr>
            <w:cnfStyle w:val="001000000000" w:firstRow="0" w:lastRow="0" w:firstColumn="1" w:lastColumn="0" w:oddVBand="0" w:evenVBand="0" w:oddHBand="0" w:evenHBand="0" w:firstRowFirstColumn="0" w:firstRowLastColumn="0" w:lastRowFirstColumn="0" w:lastRowLastColumn="0"/>
            <w:tcW w:w="771" w:type="pct"/>
            <w:vAlign w:val="bottom"/>
          </w:tcPr>
          <w:p w:rsidR="00413229" w:rsidRDefault="00413229" w:rsidP="00373368">
            <w:pPr>
              <w:spacing w:before="70" w:after="70" w:line="240" w:lineRule="auto"/>
              <w:ind w:left="57" w:right="57"/>
              <w:rPr>
                <w:rFonts w:ascii="Calibri" w:hAnsi="Calibri"/>
                <w:color w:val="000000"/>
                <w:sz w:val="20"/>
                <w:szCs w:val="20"/>
              </w:rPr>
            </w:pPr>
            <w:r>
              <w:rPr>
                <w:rFonts w:ascii="Calibri" w:hAnsi="Calibri"/>
                <w:color w:val="000000"/>
                <w:sz w:val="20"/>
                <w:szCs w:val="20"/>
              </w:rPr>
              <w:t>Administered</w:t>
            </w:r>
          </w:p>
        </w:tc>
        <w:tc>
          <w:tcPr>
            <w:tcW w:w="326"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-0.4</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-3.7</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-5.8</w:t>
            </w:r>
          </w:p>
        </w:tc>
        <w:tc>
          <w:tcPr>
            <w:tcW w:w="327"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-11.8</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-8.2</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-8.1</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-6.9</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-5.2</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-3.1</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6"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-44.0</w:t>
            </w:r>
          </w:p>
        </w:tc>
      </w:tr>
      <w:tr w:rsidR="00413229" w:rsidTr="00551567">
        <w:trPr>
          <w:cantSplit/>
        </w:trPr>
        <w:tc>
          <w:tcPr>
            <w:cnfStyle w:val="001000000000" w:firstRow="0" w:lastRow="0" w:firstColumn="1" w:lastColumn="0" w:oddVBand="0" w:evenVBand="0" w:oddHBand="0" w:evenHBand="0" w:firstRowFirstColumn="0" w:firstRowLastColumn="0" w:lastRowFirstColumn="0" w:lastRowLastColumn="0"/>
            <w:tcW w:w="771" w:type="pct"/>
            <w:vAlign w:val="bottom"/>
          </w:tcPr>
          <w:p w:rsidR="00413229" w:rsidRDefault="00413229" w:rsidP="00373368">
            <w:pPr>
              <w:spacing w:before="70" w:after="70" w:line="240" w:lineRule="auto"/>
              <w:ind w:left="57" w:right="57"/>
              <w:rPr>
                <w:rFonts w:ascii="Calibri" w:hAnsi="Calibri"/>
                <w:color w:val="000000"/>
                <w:sz w:val="20"/>
                <w:szCs w:val="20"/>
              </w:rPr>
            </w:pPr>
            <w:r>
              <w:rPr>
                <w:rFonts w:ascii="Calibri" w:hAnsi="Calibri"/>
                <w:color w:val="000000"/>
                <w:sz w:val="20"/>
                <w:szCs w:val="20"/>
              </w:rPr>
              <w:t>Departmental</w:t>
            </w:r>
          </w:p>
        </w:tc>
        <w:tc>
          <w:tcPr>
            <w:tcW w:w="326"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-0.2</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-0.3</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-0.3</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-0.4</w:t>
            </w:r>
          </w:p>
        </w:tc>
        <w:tc>
          <w:tcPr>
            <w:tcW w:w="327"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-1.2</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-0.4</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-0.5</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-0.6</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-0.2</w:t>
            </w:r>
          </w:p>
        </w:tc>
        <w:tc>
          <w:tcPr>
            <w:tcW w:w="325"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26" w:type="pct"/>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-3.9</w:t>
            </w:r>
          </w:p>
        </w:tc>
      </w:tr>
      <w:tr w:rsidR="00551567" w:rsidRPr="008D6ECA" w:rsidTr="00551567">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vAlign w:val="bottom"/>
          </w:tcPr>
          <w:p w:rsidR="00413229" w:rsidRDefault="00413229" w:rsidP="00373368">
            <w:pPr>
              <w:spacing w:before="70" w:after="70" w:line="240" w:lineRule="auto"/>
              <w:ind w:left="57" w:right="57"/>
              <w:rPr>
                <w:rFonts w:ascii="Calibri" w:hAnsi="Calibri"/>
                <w:b/>
                <w:bCs/>
                <w:color w:val="000000"/>
                <w:sz w:val="20"/>
                <w:szCs w:val="20"/>
              </w:rPr>
            </w:pPr>
            <w:r>
              <w:rPr>
                <w:rFonts w:ascii="Calibri" w:hAnsi="Calibri"/>
                <w:b/>
                <w:bCs/>
                <w:color w:val="000000"/>
                <w:sz w:val="20"/>
                <w:szCs w:val="20"/>
              </w:rPr>
              <w:t>Total</w:t>
            </w:r>
          </w:p>
        </w:tc>
        <w:tc>
          <w:tcPr>
            <w:tcW w:w="326"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-0.6</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-2.2</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-4.1</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-6.2</w:t>
            </w:r>
          </w:p>
        </w:tc>
        <w:tc>
          <w:tcPr>
            <w:tcW w:w="327"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-13.0</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-8.6</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-8.6</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-7.4</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-5.8</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-3.7</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-0.8</w:t>
            </w:r>
          </w:p>
        </w:tc>
        <w:tc>
          <w:tcPr>
            <w:tcW w:w="325"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26" w:type="pct"/>
            <w:shd w:val="clear" w:color="auto" w:fill="D7DDE9"/>
            <w:vAlign w:val="center"/>
          </w:tcPr>
          <w:p w:rsidR="00413229" w:rsidRDefault="00413229" w:rsidP="00092607">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-47.9</w:t>
            </w:r>
          </w:p>
        </w:tc>
      </w:tr>
    </w:tbl>
    <w:p w:rsidR="009056F6" w:rsidRPr="006E7357" w:rsidRDefault="009056F6" w:rsidP="00373368">
      <w:pPr>
        <w:pStyle w:val="Footnotes"/>
        <w:numPr>
          <w:ilvl w:val="0"/>
          <w:numId w:val="22"/>
        </w:numPr>
        <w:ind w:left="284" w:hanging="284"/>
      </w:pPr>
      <w:r w:rsidRPr="006E7357">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83485A" w:rsidRDefault="0083485A" w:rsidP="00373368">
      <w:pPr>
        <w:pStyle w:val="Footnotes"/>
        <w:numPr>
          <w:ilvl w:val="0"/>
          <w:numId w:val="22"/>
        </w:numPr>
        <w:ind w:left="284" w:hanging="284"/>
      </w:pPr>
      <w:r>
        <w:t>Figures may not sum to totals due to rounding.</w:t>
      </w:r>
    </w:p>
    <w:p w:rsidR="0083485A" w:rsidRPr="00CA5D42" w:rsidRDefault="0083485A" w:rsidP="00373368">
      <w:pPr>
        <w:pStyle w:val="Footnotes"/>
        <w:numPr>
          <w:ilvl w:val="0"/>
          <w:numId w:val="0"/>
        </w:numPr>
        <w:ind w:left="284" w:hanging="284"/>
      </w:pPr>
      <w:r>
        <w:t>-</w:t>
      </w:r>
      <w:r>
        <w:tab/>
        <w:t>Indicates nil.</w:t>
      </w:r>
    </w:p>
    <w:p w:rsidR="0083485A" w:rsidRPr="00FC6579" w:rsidRDefault="0083485A" w:rsidP="00095EB1">
      <w:pPr>
        <w:pStyle w:val="Captionheading"/>
        <w:keepLines/>
      </w:pPr>
      <w:r w:rsidRPr="00FC6579">
        <w:lastRenderedPageBreak/>
        <w:t xml:space="preserve">Table </w:t>
      </w:r>
      <w:r>
        <w:t>A</w:t>
      </w:r>
      <w:r w:rsidR="00413229">
        <w:t>5</w:t>
      </w:r>
      <w:r w:rsidRPr="00FC6579">
        <w:t xml:space="preserve">: </w:t>
      </w:r>
      <w:r w:rsidRPr="0083485A">
        <w:t xml:space="preserve">Component 2: Building </w:t>
      </w:r>
      <w:r w:rsidR="009056F6">
        <w:t>electric vehicle</w:t>
      </w:r>
      <w:r w:rsidR="009056F6" w:rsidRPr="0083485A">
        <w:t xml:space="preserve"> </w:t>
      </w:r>
      <w:r w:rsidRPr="0083485A">
        <w:t>charging infrastructure</w:t>
      </w:r>
      <w:r w:rsidR="009056F6">
        <w:t>—</w:t>
      </w:r>
      <w:r w:rsidR="00D50BBE">
        <w:t>Financial implications (outturn prices</w:t>
      </w:r>
      <w:proofErr w:type="gramStart"/>
      <w:r w:rsidR="00D50BBE">
        <w:t>)</w:t>
      </w:r>
      <w:r w:rsidRPr="001F7D6A">
        <w:rPr>
          <w:vertAlign w:val="superscript"/>
        </w:rPr>
        <w:t>(</w:t>
      </w:r>
      <w:proofErr w:type="gramEnd"/>
      <w:r w:rsidRPr="001F7D6A">
        <w:rPr>
          <w:vertAlign w:val="superscript"/>
        </w:rPr>
        <w:t>a)(b)</w:t>
      </w:r>
    </w:p>
    <w:tbl>
      <w:tblPr>
        <w:tblStyle w:val="TableGrid"/>
        <w:tblW w:w="4997" w:type="pct"/>
        <w:tblInd w:w="5" w:type="dxa"/>
        <w:tblLook w:val="0680" w:firstRow="0" w:lastRow="0" w:firstColumn="1" w:lastColumn="0" w:noHBand="1" w:noVBand="1"/>
      </w:tblPr>
      <w:tblGrid>
        <w:gridCol w:w="2276"/>
        <w:gridCol w:w="905"/>
        <w:gridCol w:w="902"/>
        <w:gridCol w:w="902"/>
        <w:gridCol w:w="902"/>
        <w:gridCol w:w="908"/>
        <w:gridCol w:w="902"/>
        <w:gridCol w:w="902"/>
        <w:gridCol w:w="902"/>
        <w:gridCol w:w="902"/>
        <w:gridCol w:w="902"/>
        <w:gridCol w:w="902"/>
        <w:gridCol w:w="902"/>
        <w:gridCol w:w="896"/>
      </w:tblGrid>
      <w:tr w:rsidR="007165D3" w:rsidRPr="00B31810" w:rsidTr="009056F6">
        <w:trPr>
          <w:cantSplit/>
        </w:trPr>
        <w:tc>
          <w:tcPr>
            <w:cnfStyle w:val="001000000000" w:firstRow="0" w:lastRow="0" w:firstColumn="1" w:lastColumn="0" w:oddVBand="0" w:evenVBand="0" w:oddHBand="0" w:evenHBand="0" w:firstRowFirstColumn="0" w:firstRowLastColumn="0" w:lastRowFirstColumn="0" w:lastRowLastColumn="0"/>
            <w:tcW w:w="813" w:type="pct"/>
            <w:shd w:val="clear" w:color="auto" w:fill="D7DDE9"/>
            <w:vAlign w:val="center"/>
          </w:tcPr>
          <w:p w:rsidR="0083485A" w:rsidRPr="00373368" w:rsidRDefault="0083485A" w:rsidP="00095EB1">
            <w:pPr>
              <w:keepNext/>
              <w:keepLines/>
              <w:spacing w:before="70" w:after="70" w:line="240" w:lineRule="auto"/>
              <w:ind w:left="57" w:right="57"/>
              <w:rPr>
                <w:sz w:val="20"/>
                <w:szCs w:val="20"/>
              </w:rPr>
            </w:pPr>
            <w:r w:rsidRPr="00373368">
              <w:rPr>
                <w:sz w:val="20"/>
                <w:szCs w:val="20"/>
              </w:rPr>
              <w:t>($m)</w:t>
            </w:r>
          </w:p>
        </w:tc>
        <w:tc>
          <w:tcPr>
            <w:tcW w:w="323"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4" w:type="pct"/>
            <w:shd w:val="clear" w:color="auto" w:fill="D7DDE9"/>
            <w:vAlign w:val="center"/>
          </w:tcPr>
          <w:p w:rsidR="0083485A" w:rsidRPr="00AE30B5"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2" w:type="pct"/>
            <w:shd w:val="clear" w:color="auto" w:fill="D7DDE9"/>
            <w:vAlign w:val="center"/>
          </w:tcPr>
          <w:p w:rsidR="0083485A" w:rsidRPr="00C24267"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0" w:type="pct"/>
            <w:shd w:val="clear" w:color="auto" w:fill="D7DDE9"/>
            <w:vAlign w:val="center"/>
          </w:tcPr>
          <w:p w:rsidR="0083485A" w:rsidRPr="00AE30B5" w:rsidRDefault="0083485A" w:rsidP="00095EB1">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D50BBE" w:rsidRPr="00B31810" w:rsidTr="00D50BBE">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7DDE9"/>
          </w:tcPr>
          <w:p w:rsidR="00D50BBE" w:rsidRPr="00AE30B5" w:rsidRDefault="005326A1" w:rsidP="00095EB1">
            <w:pPr>
              <w:pStyle w:val="TableHeadingCentred"/>
              <w:spacing w:line="240" w:lineRule="auto"/>
              <w:ind w:left="57" w:right="57"/>
              <w:jc w:val="left"/>
              <w:rPr>
                <w:b/>
              </w:rPr>
            </w:pPr>
            <w:r>
              <w:rPr>
                <w:b/>
              </w:rPr>
              <w:t>Impact on f</w:t>
            </w:r>
            <w:r w:rsidR="00D50BBE">
              <w:rPr>
                <w:b/>
              </w:rPr>
              <w:t xml:space="preserve">iscal and underlying cash balances </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413229" w:rsidRPr="00AE30B5" w:rsidRDefault="00413229" w:rsidP="00095EB1">
            <w:pPr>
              <w:pStyle w:val="TableTextRight"/>
              <w:keepNext/>
              <w:keepLines/>
              <w:spacing w:line="240" w:lineRule="auto"/>
              <w:ind w:left="57" w:right="57"/>
              <w:jc w:val="left"/>
              <w:rPr>
                <w:b/>
              </w:rPr>
            </w:pPr>
            <w:r>
              <w:rPr>
                <w:b/>
              </w:rPr>
              <w:t>Administered</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813" w:type="pct"/>
          </w:tcPr>
          <w:p w:rsidR="00413229" w:rsidRDefault="00413229" w:rsidP="00095EB1">
            <w:pPr>
              <w:keepNext/>
              <w:keepLines/>
              <w:spacing w:before="70" w:after="70" w:line="240" w:lineRule="auto"/>
              <w:ind w:left="57" w:right="57"/>
            </w:pPr>
            <w:r>
              <w:t>Electric vehicle charging infrastructure</w:t>
            </w:r>
          </w:p>
        </w:tc>
        <w:tc>
          <w:tcPr>
            <w:tcW w:w="323"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-37.5</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-37.5</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-37.5</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-37.5</w:t>
            </w:r>
          </w:p>
        </w:tc>
        <w:tc>
          <w:tcPr>
            <w:tcW w:w="324"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-150.0</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0" w:type="pct"/>
            <w:vAlign w:val="center"/>
          </w:tcPr>
          <w:p w:rsidR="00413229" w:rsidRDefault="000637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-150.0</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813" w:type="pct"/>
          </w:tcPr>
          <w:p w:rsidR="00413229" w:rsidRDefault="00413229" w:rsidP="00095EB1">
            <w:pPr>
              <w:keepNext/>
              <w:keepLines/>
              <w:spacing w:before="70" w:after="70" w:line="240" w:lineRule="auto"/>
              <w:ind w:left="57" w:right="57"/>
            </w:pPr>
            <w:r>
              <w:t>NGO fleet gap subsidy</w:t>
            </w:r>
          </w:p>
        </w:tc>
        <w:tc>
          <w:tcPr>
            <w:tcW w:w="323"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-12.5</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-12.5</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-12.5</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-12.5</w:t>
            </w:r>
          </w:p>
        </w:tc>
        <w:tc>
          <w:tcPr>
            <w:tcW w:w="324"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-50.0</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0" w:type="pct"/>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-50.0</w:t>
            </w:r>
          </w:p>
        </w:tc>
      </w:tr>
      <w:tr w:rsidR="00551567" w:rsidTr="00413229">
        <w:trPr>
          <w:cantSplit/>
        </w:trPr>
        <w:tc>
          <w:tcPr>
            <w:cnfStyle w:val="001000000000" w:firstRow="0" w:lastRow="0" w:firstColumn="1" w:lastColumn="0" w:oddVBand="0" w:evenVBand="0" w:oddHBand="0" w:evenHBand="0" w:firstRowFirstColumn="0" w:firstRowLastColumn="0" w:lastRowFirstColumn="0" w:lastRowLastColumn="0"/>
            <w:tcW w:w="813" w:type="pct"/>
            <w:shd w:val="clear" w:color="auto" w:fill="D7DDE9"/>
          </w:tcPr>
          <w:p w:rsidR="00413229" w:rsidRPr="00413229" w:rsidRDefault="00413229" w:rsidP="00095EB1">
            <w:pPr>
              <w:keepNext/>
              <w:keepLines/>
              <w:spacing w:before="70" w:after="70" w:line="240" w:lineRule="auto"/>
              <w:ind w:left="57" w:right="57"/>
              <w:rPr>
                <w:b/>
              </w:rPr>
            </w:pPr>
            <w:r>
              <w:rPr>
                <w:b/>
              </w:rPr>
              <w:t>Total administered</w:t>
            </w:r>
          </w:p>
        </w:tc>
        <w:tc>
          <w:tcPr>
            <w:tcW w:w="323"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-50.0</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-50.0</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-50.0</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-50.0</w:t>
            </w:r>
          </w:p>
        </w:tc>
        <w:tc>
          <w:tcPr>
            <w:tcW w:w="324"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-200.0</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0" w:type="pct"/>
            <w:shd w:val="clear" w:color="auto" w:fill="D7DDE9"/>
            <w:vAlign w:val="center"/>
          </w:tcPr>
          <w:p w:rsidR="00413229" w:rsidRDefault="00413229" w:rsidP="00095EB1">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-200.0</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413229" w:rsidRPr="00AE30B5" w:rsidRDefault="00413229" w:rsidP="00095EB1">
            <w:pPr>
              <w:pStyle w:val="TableTextRight"/>
              <w:keepNext/>
              <w:keepLines/>
              <w:spacing w:line="240" w:lineRule="auto"/>
              <w:ind w:left="57" w:right="57"/>
              <w:jc w:val="left"/>
              <w:rPr>
                <w:b/>
              </w:rPr>
            </w:pPr>
            <w:r>
              <w:rPr>
                <w:b/>
              </w:rPr>
              <w:t>Departmental</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813" w:type="pct"/>
          </w:tcPr>
          <w:p w:rsidR="00413229" w:rsidRDefault="00413229">
            <w:pPr>
              <w:keepNext/>
              <w:keepLines/>
              <w:spacing w:before="70" w:after="70" w:line="240" w:lineRule="auto"/>
              <w:ind w:left="57" w:right="57"/>
            </w:pPr>
            <w:r>
              <w:t>Electric vehicle charging infrastructure</w:t>
            </w:r>
          </w:p>
        </w:tc>
        <w:tc>
          <w:tcPr>
            <w:tcW w:w="323"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-0.3</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-0.3</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-0.3</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-0.3</w:t>
            </w:r>
          </w:p>
        </w:tc>
        <w:tc>
          <w:tcPr>
            <w:tcW w:w="324"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-1.1</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0"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-1.1</w:t>
            </w:r>
          </w:p>
        </w:tc>
      </w:tr>
      <w:tr w:rsidR="00413229" w:rsidTr="00413229">
        <w:trPr>
          <w:cantSplit/>
        </w:trPr>
        <w:tc>
          <w:tcPr>
            <w:cnfStyle w:val="001000000000" w:firstRow="0" w:lastRow="0" w:firstColumn="1" w:lastColumn="0" w:oddVBand="0" w:evenVBand="0" w:oddHBand="0" w:evenHBand="0" w:firstRowFirstColumn="0" w:firstRowLastColumn="0" w:lastRowFirstColumn="0" w:lastRowLastColumn="0"/>
            <w:tcW w:w="813" w:type="pct"/>
          </w:tcPr>
          <w:p w:rsidR="00413229" w:rsidRDefault="00413229">
            <w:pPr>
              <w:keepNext/>
              <w:keepLines/>
              <w:spacing w:before="70" w:after="70" w:line="240" w:lineRule="auto"/>
              <w:ind w:left="57" w:right="57"/>
            </w:pPr>
            <w:r>
              <w:t>NGO fleet gap subsidy</w:t>
            </w:r>
          </w:p>
        </w:tc>
        <w:tc>
          <w:tcPr>
            <w:tcW w:w="323"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-0.1</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-0.1</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-0.1</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-0.1</w:t>
            </w:r>
          </w:p>
        </w:tc>
        <w:tc>
          <w:tcPr>
            <w:tcW w:w="324"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-0.4</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2"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w:t>
            </w:r>
          </w:p>
        </w:tc>
        <w:tc>
          <w:tcPr>
            <w:tcW w:w="320" w:type="pct"/>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-0.4</w:t>
            </w:r>
          </w:p>
        </w:tc>
      </w:tr>
      <w:tr w:rsidR="00551567" w:rsidTr="00413229">
        <w:trPr>
          <w:cantSplit/>
        </w:trPr>
        <w:tc>
          <w:tcPr>
            <w:cnfStyle w:val="001000000000" w:firstRow="0" w:lastRow="0" w:firstColumn="1" w:lastColumn="0" w:oddVBand="0" w:evenVBand="0" w:oddHBand="0" w:evenHBand="0" w:firstRowFirstColumn="0" w:firstRowLastColumn="0" w:lastRowFirstColumn="0" w:lastRowLastColumn="0"/>
            <w:tcW w:w="813" w:type="pct"/>
            <w:shd w:val="clear" w:color="auto" w:fill="D7DDE9"/>
          </w:tcPr>
          <w:p w:rsidR="00413229" w:rsidRPr="00413229" w:rsidRDefault="00413229">
            <w:pPr>
              <w:keepNext/>
              <w:keepLines/>
              <w:spacing w:before="70" w:after="70" w:line="240" w:lineRule="auto"/>
              <w:ind w:left="57" w:right="57"/>
              <w:rPr>
                <w:b/>
              </w:rPr>
            </w:pPr>
            <w:r w:rsidRPr="00413229">
              <w:rPr>
                <w:b/>
              </w:rPr>
              <w:t>Total departmental</w:t>
            </w:r>
          </w:p>
        </w:tc>
        <w:tc>
          <w:tcPr>
            <w:tcW w:w="323"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-0.4</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-0.4</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-0.4</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-0.4</w:t>
            </w:r>
          </w:p>
        </w:tc>
        <w:tc>
          <w:tcPr>
            <w:tcW w:w="324"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-1.4</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0"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-1.4</w:t>
            </w:r>
          </w:p>
        </w:tc>
      </w:tr>
      <w:tr w:rsidR="00551567" w:rsidRPr="008D6ECA" w:rsidTr="00413229">
        <w:trPr>
          <w:cantSplit/>
        </w:trPr>
        <w:tc>
          <w:tcPr>
            <w:cnfStyle w:val="001000000000" w:firstRow="0" w:lastRow="0" w:firstColumn="1" w:lastColumn="0" w:oddVBand="0" w:evenVBand="0" w:oddHBand="0" w:evenHBand="0" w:firstRowFirstColumn="0" w:firstRowLastColumn="0" w:lastRowFirstColumn="0" w:lastRowLastColumn="0"/>
            <w:tcW w:w="813" w:type="pct"/>
            <w:shd w:val="clear" w:color="auto" w:fill="D7DDE9"/>
          </w:tcPr>
          <w:p w:rsidR="00413229" w:rsidRPr="008D6ECA" w:rsidRDefault="00413229">
            <w:pPr>
              <w:keepNext/>
              <w:keepLines/>
              <w:spacing w:before="70" w:after="70" w:line="240" w:lineRule="auto"/>
              <w:ind w:left="57" w:right="57"/>
              <w:rPr>
                <w:b/>
              </w:rPr>
            </w:pPr>
            <w:r>
              <w:rPr>
                <w:b/>
              </w:rPr>
              <w:t>Total</w:t>
            </w:r>
          </w:p>
        </w:tc>
        <w:tc>
          <w:tcPr>
            <w:tcW w:w="323"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-50.4</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-50.4</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-50.4</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-50.4</w:t>
            </w:r>
          </w:p>
        </w:tc>
        <w:tc>
          <w:tcPr>
            <w:tcW w:w="324"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-201.4</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2"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w:t>
            </w:r>
          </w:p>
        </w:tc>
        <w:tc>
          <w:tcPr>
            <w:tcW w:w="320" w:type="pct"/>
            <w:shd w:val="clear" w:color="auto" w:fill="D7DDE9"/>
            <w:vAlign w:val="center"/>
          </w:tcPr>
          <w:p w:rsidR="00413229" w:rsidRDefault="00413229" w:rsidP="0006372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Pr>
                <w:rFonts w:ascii="Calibri" w:hAnsi="Calibri"/>
                <w:b/>
                <w:bCs/>
                <w:sz w:val="20"/>
                <w:szCs w:val="20"/>
              </w:rPr>
              <w:t>-201.4</w:t>
            </w:r>
          </w:p>
        </w:tc>
      </w:tr>
    </w:tbl>
    <w:p w:rsidR="009056F6" w:rsidRPr="006E7357" w:rsidRDefault="009056F6" w:rsidP="00373368">
      <w:pPr>
        <w:pStyle w:val="Footnotes"/>
        <w:numPr>
          <w:ilvl w:val="0"/>
          <w:numId w:val="25"/>
        </w:numPr>
        <w:ind w:left="284" w:hanging="284"/>
      </w:pPr>
      <w:r>
        <w:t xml:space="preserve">A </w:t>
      </w:r>
      <w:r w:rsidRPr="006E7357">
        <w:t>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83485A" w:rsidRDefault="0083485A" w:rsidP="00373368">
      <w:pPr>
        <w:pStyle w:val="Footnotes"/>
      </w:pPr>
      <w:r w:rsidRPr="009056F6">
        <w:t>Figures may not sum</w:t>
      </w:r>
      <w:r>
        <w:t xml:space="preserve"> to totals due to rounding.</w:t>
      </w:r>
    </w:p>
    <w:p w:rsidR="0083485A" w:rsidRPr="0083485A" w:rsidRDefault="0083485A" w:rsidP="00373368">
      <w:pPr>
        <w:pStyle w:val="Footnotes"/>
        <w:numPr>
          <w:ilvl w:val="0"/>
          <w:numId w:val="0"/>
        </w:numPr>
        <w:ind w:left="284" w:hanging="284"/>
      </w:pPr>
      <w:r>
        <w:t>-</w:t>
      </w:r>
      <w:r>
        <w:tab/>
        <w:t>Indicates nil.</w:t>
      </w:r>
    </w:p>
    <w:sectPr w:rsidR="0083485A" w:rsidRPr="0083485A" w:rsidSect="0083485A">
      <w:headerReference w:type="first" r:id="rId16"/>
      <w:footerReference w:type="first" r:id="rId17"/>
      <w:pgSz w:w="16838" w:h="11906" w:orient="landscape"/>
      <w:pgMar w:top="1797" w:right="1361" w:bottom="1797"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0F0" w:rsidRDefault="005140F0" w:rsidP="008F588A">
      <w:pPr>
        <w:spacing w:line="240" w:lineRule="auto"/>
      </w:pPr>
      <w:r>
        <w:separator/>
      </w:r>
    </w:p>
    <w:p w:rsidR="005140F0" w:rsidRDefault="005140F0"/>
  </w:endnote>
  <w:endnote w:type="continuationSeparator" w:id="0">
    <w:p w:rsidR="005140F0" w:rsidRDefault="005140F0" w:rsidP="008F588A">
      <w:pPr>
        <w:spacing w:line="240" w:lineRule="auto"/>
      </w:pPr>
      <w:r>
        <w:continuationSeparator/>
      </w:r>
    </w:p>
    <w:p w:rsidR="005140F0" w:rsidRDefault="00514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F0" w:rsidRPr="00C24267" w:rsidRDefault="005140F0"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D14E39">
      <w:rPr>
        <w:noProof/>
      </w:rPr>
      <w:t>8</w:t>
    </w:r>
    <w:r w:rsidRPr="00C24267">
      <w:fldChar w:fldCharType="end"/>
    </w:r>
    <w:r w:rsidRPr="00C24267">
      <w:t xml:space="preserve"> of </w:t>
    </w:r>
    <w:fldSimple w:instr=" NUMPAGES  \* Arabic  \* MERGEFORMAT ">
      <w:r w:rsidR="00D14E39">
        <w:rPr>
          <w:noProof/>
        </w:rPr>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F0" w:rsidRPr="00C24267" w:rsidRDefault="005140F0" w:rsidP="00C24267">
    <w:pPr>
      <w:pStyle w:val="Letterfooter"/>
    </w:pPr>
    <w:r w:rsidRPr="00C24267">
      <w:t>Parliamentary Budget Office   PO Box 6010   Parliament House   Canberra ACT 2600</w:t>
    </w:r>
  </w:p>
  <w:p w:rsidR="005140F0" w:rsidRPr="00C24267" w:rsidRDefault="005140F0"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F0" w:rsidRPr="00C24267" w:rsidRDefault="005140F0"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D14E39">
      <w:rPr>
        <w:noProof/>
      </w:rPr>
      <w:t>2</w:t>
    </w:r>
    <w:r w:rsidRPr="00C24267">
      <w:fldChar w:fldCharType="end"/>
    </w:r>
    <w:r w:rsidRPr="00C24267">
      <w:t xml:space="preserve"> of </w:t>
    </w:r>
    <w:fldSimple w:instr=" NUMPAGES  \* Arabic  \* MERGEFORMAT ">
      <w:r w:rsidR="00D14E39">
        <w:rPr>
          <w:noProof/>
        </w:rPr>
        <w:t>8</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F0" w:rsidRPr="00C24267" w:rsidRDefault="005140F0"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D14E39">
      <w:rPr>
        <w:noProof/>
      </w:rPr>
      <w:t>5</w:t>
    </w:r>
    <w:r w:rsidRPr="00C24267">
      <w:fldChar w:fldCharType="end"/>
    </w:r>
    <w:r w:rsidRPr="00C24267">
      <w:t xml:space="preserve"> of </w:t>
    </w:r>
    <w:fldSimple w:instr=" NUMPAGES  \* Arabic  \* MERGEFORMAT ">
      <w:r w:rsidR="00D14E39">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0F0" w:rsidRDefault="005140F0" w:rsidP="008F588A">
      <w:pPr>
        <w:spacing w:line="240" w:lineRule="auto"/>
      </w:pPr>
      <w:r>
        <w:separator/>
      </w:r>
    </w:p>
    <w:p w:rsidR="005140F0" w:rsidRDefault="005140F0"/>
  </w:footnote>
  <w:footnote w:type="continuationSeparator" w:id="0">
    <w:p w:rsidR="005140F0" w:rsidRDefault="005140F0" w:rsidP="008F588A">
      <w:pPr>
        <w:spacing w:line="240" w:lineRule="auto"/>
      </w:pPr>
      <w:r>
        <w:continuationSeparator/>
      </w:r>
    </w:p>
    <w:p w:rsidR="005140F0" w:rsidRDefault="005140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F0" w:rsidRPr="00280A97" w:rsidRDefault="005140F0" w:rsidP="00C17112">
    <w:pPr>
      <w:pStyle w:val="Header"/>
      <w:spacing w:before="0" w:after="0"/>
      <w:jc w:val="right"/>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F0" w:rsidRDefault="005140F0" w:rsidP="00CB40E1">
    <w:pPr>
      <w:pStyle w:val="Header"/>
    </w:pPr>
    <w:r>
      <w:rPr>
        <w:noProof/>
        <w:lang w:eastAsia="en-AU"/>
      </w:rPr>
      <w:drawing>
        <wp:inline distT="0" distB="0" distL="0" distR="0" wp14:anchorId="3F6DD1D9" wp14:editId="73184CB8">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5140F0" w:rsidRPr="00DA1C8A" w:rsidRDefault="005140F0" w:rsidP="00002D5D">
    <w:pPr>
      <w:pStyle w:val="PBOheader"/>
      <w:spacing w:before="720"/>
      <w:ind w:left="5783"/>
      <w:rPr>
        <w:b w:val="0"/>
      </w:rPr>
    </w:pPr>
    <w:r>
      <w:t>P</w:t>
    </w:r>
    <w:r w:rsidRPr="009030A0">
      <w:t>hil Bowen PSM FCPA</w:t>
    </w:r>
    <w:r>
      <w:br/>
    </w:r>
    <w:r w:rsidRPr="009030A0">
      <w:t>Parliamentary Budget Officer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F0" w:rsidRPr="00C17112" w:rsidRDefault="005140F0" w:rsidP="00C17112">
    <w:pPr>
      <w:pStyle w:val="Header"/>
    </w:pPr>
    <w:r>
      <w:rPr>
        <w:noProof/>
        <w:lang w:eastAsia="en-AU"/>
      </w:rPr>
      <w:drawing>
        <wp:inline distT="0" distB="0" distL="0" distR="0" wp14:anchorId="404FF929" wp14:editId="57166053">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F0" w:rsidRPr="00C17112" w:rsidRDefault="005140F0" w:rsidP="00C17112">
    <w:pPr>
      <w:pStyle w:val="Header"/>
      <w:spacing w:before="0" w:after="0"/>
      <w:jc w:val="right"/>
      <w:rPr>
        <w:b/>
        <w:color w:val="FF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8">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9EA63D9"/>
    <w:multiLevelType w:val="hybridMultilevel"/>
    <w:tmpl w:val="7ADA6986"/>
    <w:lvl w:ilvl="0" w:tplc="7F6A985C">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3"/>
  </w:num>
  <w:num w:numId="2">
    <w:abstractNumId w:val="6"/>
  </w:num>
  <w:num w:numId="3">
    <w:abstractNumId w:val="4"/>
  </w:num>
  <w:num w:numId="4">
    <w:abstractNumId w:val="5"/>
  </w:num>
  <w:num w:numId="5">
    <w:abstractNumId w:val="8"/>
  </w:num>
  <w:num w:numId="6">
    <w:abstractNumId w:val="7"/>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1"/>
  </w:num>
  <w:num w:numId="12">
    <w:abstractNumId w:val="0"/>
  </w:num>
  <w:num w:numId="13">
    <w:abstractNumId w:val="2"/>
  </w:num>
  <w:num w:numId="14">
    <w:abstractNumId w:val="9"/>
  </w:num>
  <w:num w:numId="15">
    <w:abstractNumId w:val="7"/>
    <w:lvlOverride w:ilvl="0">
      <w:startOverride w:val="1"/>
    </w:lvlOverride>
  </w:num>
  <w:num w:numId="16">
    <w:abstractNumId w:val="1"/>
  </w:num>
  <w:num w:numId="17">
    <w:abstractNumId w:val="7"/>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attachedTemplate r:id="rId1"/>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24"/>
    <w:rsid w:val="00002D5D"/>
    <w:rsid w:val="00030D2D"/>
    <w:rsid w:val="00040C9D"/>
    <w:rsid w:val="00040DCE"/>
    <w:rsid w:val="00063729"/>
    <w:rsid w:val="00092607"/>
    <w:rsid w:val="00095EB1"/>
    <w:rsid w:val="00096F3A"/>
    <w:rsid w:val="000C1A75"/>
    <w:rsid w:val="000F4175"/>
    <w:rsid w:val="001278D0"/>
    <w:rsid w:val="0014239B"/>
    <w:rsid w:val="001A02D1"/>
    <w:rsid w:val="001B5472"/>
    <w:rsid w:val="001C325B"/>
    <w:rsid w:val="001D6510"/>
    <w:rsid w:val="001E6EA9"/>
    <w:rsid w:val="00220BE5"/>
    <w:rsid w:val="002422A3"/>
    <w:rsid w:val="00280A97"/>
    <w:rsid w:val="00315E34"/>
    <w:rsid w:val="00326DE2"/>
    <w:rsid w:val="00373368"/>
    <w:rsid w:val="003839CE"/>
    <w:rsid w:val="003A6E6E"/>
    <w:rsid w:val="003C6842"/>
    <w:rsid w:val="003F2724"/>
    <w:rsid w:val="003F73CA"/>
    <w:rsid w:val="00413229"/>
    <w:rsid w:val="00440E32"/>
    <w:rsid w:val="00447778"/>
    <w:rsid w:val="00461597"/>
    <w:rsid w:val="004C283B"/>
    <w:rsid w:val="004D13ED"/>
    <w:rsid w:val="004D5525"/>
    <w:rsid w:val="005035DA"/>
    <w:rsid w:val="00507897"/>
    <w:rsid w:val="005140F0"/>
    <w:rsid w:val="00515A85"/>
    <w:rsid w:val="00521420"/>
    <w:rsid w:val="0052523F"/>
    <w:rsid w:val="005326A1"/>
    <w:rsid w:val="00545F24"/>
    <w:rsid w:val="00551567"/>
    <w:rsid w:val="0055581F"/>
    <w:rsid w:val="0056229A"/>
    <w:rsid w:val="00570154"/>
    <w:rsid w:val="00570B5A"/>
    <w:rsid w:val="005A1748"/>
    <w:rsid w:val="005C6967"/>
    <w:rsid w:val="005E3562"/>
    <w:rsid w:val="005E4F6D"/>
    <w:rsid w:val="005E761D"/>
    <w:rsid w:val="005F4D85"/>
    <w:rsid w:val="005F7DE0"/>
    <w:rsid w:val="00626E22"/>
    <w:rsid w:val="00640346"/>
    <w:rsid w:val="00660385"/>
    <w:rsid w:val="00662E65"/>
    <w:rsid w:val="0066665A"/>
    <w:rsid w:val="00692DD8"/>
    <w:rsid w:val="006F0CE9"/>
    <w:rsid w:val="007165D3"/>
    <w:rsid w:val="007202A8"/>
    <w:rsid w:val="00727A2F"/>
    <w:rsid w:val="007342E8"/>
    <w:rsid w:val="007A7203"/>
    <w:rsid w:val="007B029A"/>
    <w:rsid w:val="007C084A"/>
    <w:rsid w:val="007D33AA"/>
    <w:rsid w:val="007F7BCF"/>
    <w:rsid w:val="008030EC"/>
    <w:rsid w:val="00811D6D"/>
    <w:rsid w:val="008165B5"/>
    <w:rsid w:val="008256D3"/>
    <w:rsid w:val="0083485A"/>
    <w:rsid w:val="00844776"/>
    <w:rsid w:val="008850D9"/>
    <w:rsid w:val="008A4578"/>
    <w:rsid w:val="008B4F75"/>
    <w:rsid w:val="008C03C3"/>
    <w:rsid w:val="008D3909"/>
    <w:rsid w:val="008F588A"/>
    <w:rsid w:val="00902D2D"/>
    <w:rsid w:val="009056F6"/>
    <w:rsid w:val="00915804"/>
    <w:rsid w:val="00950B93"/>
    <w:rsid w:val="00957285"/>
    <w:rsid w:val="009573AF"/>
    <w:rsid w:val="009963ED"/>
    <w:rsid w:val="009C7C05"/>
    <w:rsid w:val="009D4063"/>
    <w:rsid w:val="00A23B61"/>
    <w:rsid w:val="00A41BD3"/>
    <w:rsid w:val="00A449C2"/>
    <w:rsid w:val="00A6322C"/>
    <w:rsid w:val="00AA3D6F"/>
    <w:rsid w:val="00AB6F7D"/>
    <w:rsid w:val="00AB7E49"/>
    <w:rsid w:val="00AC7878"/>
    <w:rsid w:val="00AD493E"/>
    <w:rsid w:val="00AD4FD1"/>
    <w:rsid w:val="00B06055"/>
    <w:rsid w:val="00B36E5D"/>
    <w:rsid w:val="00B44D8A"/>
    <w:rsid w:val="00B61152"/>
    <w:rsid w:val="00B73AC8"/>
    <w:rsid w:val="00B747A7"/>
    <w:rsid w:val="00B81ADD"/>
    <w:rsid w:val="00B93D3A"/>
    <w:rsid w:val="00BA4EFD"/>
    <w:rsid w:val="00BB5B13"/>
    <w:rsid w:val="00BC559C"/>
    <w:rsid w:val="00BC5CA8"/>
    <w:rsid w:val="00BD792C"/>
    <w:rsid w:val="00C17112"/>
    <w:rsid w:val="00C24267"/>
    <w:rsid w:val="00C27634"/>
    <w:rsid w:val="00CA5D42"/>
    <w:rsid w:val="00CB40E1"/>
    <w:rsid w:val="00CC52FA"/>
    <w:rsid w:val="00CE6AAD"/>
    <w:rsid w:val="00CE7B5C"/>
    <w:rsid w:val="00CF6DB6"/>
    <w:rsid w:val="00D134CA"/>
    <w:rsid w:val="00D14E39"/>
    <w:rsid w:val="00D50BBE"/>
    <w:rsid w:val="00DA1C8A"/>
    <w:rsid w:val="00DB44F0"/>
    <w:rsid w:val="00DB5776"/>
    <w:rsid w:val="00DD109E"/>
    <w:rsid w:val="00DD3E18"/>
    <w:rsid w:val="00E12103"/>
    <w:rsid w:val="00E15AAE"/>
    <w:rsid w:val="00E21184"/>
    <w:rsid w:val="00E355F6"/>
    <w:rsid w:val="00E40B8B"/>
    <w:rsid w:val="00E5742E"/>
    <w:rsid w:val="00EA265F"/>
    <w:rsid w:val="00EA5705"/>
    <w:rsid w:val="00ED0713"/>
    <w:rsid w:val="00ED43FF"/>
    <w:rsid w:val="00EF1D6A"/>
    <w:rsid w:val="00EF2E51"/>
    <w:rsid w:val="00F31E24"/>
    <w:rsid w:val="00F52474"/>
    <w:rsid w:val="00F5669E"/>
    <w:rsid w:val="00F75686"/>
    <w:rsid w:val="00F75D33"/>
    <w:rsid w:val="00F83A02"/>
    <w:rsid w:val="00F87AFC"/>
    <w:rsid w:val="00F954CF"/>
    <w:rsid w:val="00FA2C8C"/>
    <w:rsid w:val="00FC6579"/>
    <w:rsid w:val="00FD3FB3"/>
    <w:rsid w:val="00FE6904"/>
    <w:rsid w:val="00FF40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paragraph" w:styleId="Heading5">
    <w:name w:val="heading 5"/>
    <w:basedOn w:val="Normal"/>
    <w:next w:val="Normal"/>
    <w:link w:val="Heading5Char"/>
    <w:uiPriority w:val="9"/>
    <w:semiHidden/>
    <w:unhideWhenUsed/>
    <w:qFormat/>
    <w:rsid w:val="001D65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280A97"/>
    <w:rPr>
      <w:rFonts w:eastAsia="Times New Roman" w:cs="Times New Roman"/>
      <w:spacing w:val="0"/>
      <w:lang w:eastAsia="en-AU"/>
    </w:rPr>
  </w:style>
  <w:style w:type="paragraph" w:customStyle="1" w:styleId="Bullet2">
    <w:name w:val="Bullet 2"/>
    <w:basedOn w:val="ListBullet2"/>
    <w:link w:val="Bullet2Char"/>
    <w:qFormat/>
    <w:rsid w:val="00280A97"/>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280A97"/>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280A97"/>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1D6510"/>
    <w:pPr>
      <w:spacing w:before="80" w:after="80" w:line="260" w:lineRule="exact"/>
    </w:pPr>
    <w:rPr>
      <w:rFonts w:ascii="Book Antiqua" w:eastAsia="Times New Roman" w:hAnsi="Book Antiqua" w:cs="Times New Roman"/>
      <w:sz w:val="20"/>
      <w:szCs w:val="20"/>
      <w:lang w:eastAsia="en-AU"/>
    </w:rPr>
  </w:style>
  <w:style w:type="character" w:customStyle="1" w:styleId="hps-normal1">
    <w:name w:val="hps-normal1"/>
    <w:rsid w:val="001D6510"/>
  </w:style>
  <w:style w:type="character" w:customStyle="1" w:styleId="Heading5Char">
    <w:name w:val="Heading 5 Char"/>
    <w:basedOn w:val="DefaultParagraphFont"/>
    <w:link w:val="Heading5"/>
    <w:uiPriority w:val="9"/>
    <w:semiHidden/>
    <w:rsid w:val="001D6510"/>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5A1748"/>
    <w:rPr>
      <w:sz w:val="16"/>
      <w:szCs w:val="16"/>
    </w:rPr>
  </w:style>
  <w:style w:type="paragraph" w:styleId="CommentText">
    <w:name w:val="annotation text"/>
    <w:basedOn w:val="Normal"/>
    <w:link w:val="CommentTextChar"/>
    <w:uiPriority w:val="99"/>
    <w:semiHidden/>
    <w:unhideWhenUsed/>
    <w:rsid w:val="005A1748"/>
    <w:pPr>
      <w:spacing w:line="240" w:lineRule="auto"/>
    </w:pPr>
    <w:rPr>
      <w:sz w:val="20"/>
      <w:szCs w:val="20"/>
    </w:rPr>
  </w:style>
  <w:style w:type="character" w:customStyle="1" w:styleId="CommentTextChar">
    <w:name w:val="Comment Text Char"/>
    <w:basedOn w:val="DefaultParagraphFont"/>
    <w:link w:val="CommentText"/>
    <w:uiPriority w:val="99"/>
    <w:semiHidden/>
    <w:rsid w:val="005A1748"/>
    <w:rPr>
      <w:sz w:val="20"/>
      <w:szCs w:val="20"/>
    </w:rPr>
  </w:style>
  <w:style w:type="paragraph" w:styleId="CommentSubject">
    <w:name w:val="annotation subject"/>
    <w:basedOn w:val="CommentText"/>
    <w:next w:val="CommentText"/>
    <w:link w:val="CommentSubjectChar"/>
    <w:uiPriority w:val="99"/>
    <w:semiHidden/>
    <w:unhideWhenUsed/>
    <w:rsid w:val="005A1748"/>
    <w:rPr>
      <w:b/>
      <w:bCs/>
    </w:rPr>
  </w:style>
  <w:style w:type="character" w:customStyle="1" w:styleId="CommentSubjectChar">
    <w:name w:val="Comment Subject Char"/>
    <w:basedOn w:val="CommentTextChar"/>
    <w:link w:val="CommentSubject"/>
    <w:uiPriority w:val="99"/>
    <w:semiHidden/>
    <w:rsid w:val="005A17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paragraph" w:styleId="Heading5">
    <w:name w:val="heading 5"/>
    <w:basedOn w:val="Normal"/>
    <w:next w:val="Normal"/>
    <w:link w:val="Heading5Char"/>
    <w:uiPriority w:val="9"/>
    <w:semiHidden/>
    <w:unhideWhenUsed/>
    <w:qFormat/>
    <w:rsid w:val="001D65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280A97"/>
    <w:rPr>
      <w:rFonts w:eastAsia="Times New Roman" w:cs="Times New Roman"/>
      <w:spacing w:val="0"/>
      <w:lang w:eastAsia="en-AU"/>
    </w:rPr>
  </w:style>
  <w:style w:type="paragraph" w:customStyle="1" w:styleId="Bullet2">
    <w:name w:val="Bullet 2"/>
    <w:basedOn w:val="ListBullet2"/>
    <w:link w:val="Bullet2Char"/>
    <w:qFormat/>
    <w:rsid w:val="00280A97"/>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280A97"/>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280A97"/>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1D6510"/>
    <w:pPr>
      <w:spacing w:before="80" w:after="80" w:line="260" w:lineRule="exact"/>
    </w:pPr>
    <w:rPr>
      <w:rFonts w:ascii="Book Antiqua" w:eastAsia="Times New Roman" w:hAnsi="Book Antiqua" w:cs="Times New Roman"/>
      <w:sz w:val="20"/>
      <w:szCs w:val="20"/>
      <w:lang w:eastAsia="en-AU"/>
    </w:rPr>
  </w:style>
  <w:style w:type="character" w:customStyle="1" w:styleId="hps-normal1">
    <w:name w:val="hps-normal1"/>
    <w:rsid w:val="001D6510"/>
  </w:style>
  <w:style w:type="character" w:customStyle="1" w:styleId="Heading5Char">
    <w:name w:val="Heading 5 Char"/>
    <w:basedOn w:val="DefaultParagraphFont"/>
    <w:link w:val="Heading5"/>
    <w:uiPriority w:val="9"/>
    <w:semiHidden/>
    <w:rsid w:val="001D6510"/>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5A1748"/>
    <w:rPr>
      <w:sz w:val="16"/>
      <w:szCs w:val="16"/>
    </w:rPr>
  </w:style>
  <w:style w:type="paragraph" w:styleId="CommentText">
    <w:name w:val="annotation text"/>
    <w:basedOn w:val="Normal"/>
    <w:link w:val="CommentTextChar"/>
    <w:uiPriority w:val="99"/>
    <w:semiHidden/>
    <w:unhideWhenUsed/>
    <w:rsid w:val="005A1748"/>
    <w:pPr>
      <w:spacing w:line="240" w:lineRule="auto"/>
    </w:pPr>
    <w:rPr>
      <w:sz w:val="20"/>
      <w:szCs w:val="20"/>
    </w:rPr>
  </w:style>
  <w:style w:type="character" w:customStyle="1" w:styleId="CommentTextChar">
    <w:name w:val="Comment Text Char"/>
    <w:basedOn w:val="DefaultParagraphFont"/>
    <w:link w:val="CommentText"/>
    <w:uiPriority w:val="99"/>
    <w:semiHidden/>
    <w:rsid w:val="005A1748"/>
    <w:rPr>
      <w:sz w:val="20"/>
      <w:szCs w:val="20"/>
    </w:rPr>
  </w:style>
  <w:style w:type="paragraph" w:styleId="CommentSubject">
    <w:name w:val="annotation subject"/>
    <w:basedOn w:val="CommentText"/>
    <w:next w:val="CommentText"/>
    <w:link w:val="CommentSubjectChar"/>
    <w:uiPriority w:val="99"/>
    <w:semiHidden/>
    <w:unhideWhenUsed/>
    <w:rsid w:val="005A1748"/>
    <w:rPr>
      <w:b/>
      <w:bCs/>
    </w:rPr>
  </w:style>
  <w:style w:type="character" w:customStyle="1" w:styleId="CommentSubjectChar">
    <w:name w:val="Comment Subject Char"/>
    <w:basedOn w:val="CommentTextChar"/>
    <w:link w:val="CommentSubject"/>
    <w:uiPriority w:val="99"/>
    <w:semiHidden/>
    <w:rsid w:val="005A1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4474">
      <w:bodyDiv w:val="1"/>
      <w:marLeft w:val="0"/>
      <w:marRight w:val="0"/>
      <w:marTop w:val="0"/>
      <w:marBottom w:val="0"/>
      <w:divBdr>
        <w:top w:val="none" w:sz="0" w:space="0" w:color="auto"/>
        <w:left w:val="none" w:sz="0" w:space="0" w:color="auto"/>
        <w:bottom w:val="none" w:sz="0" w:space="0" w:color="auto"/>
        <w:right w:val="none" w:sz="0" w:space="0" w:color="auto"/>
      </w:divBdr>
    </w:div>
    <w:div w:id="108109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AF8A9-AE23-4790-9B41-CFA4EE02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20</TotalTime>
  <Pages>8</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PBO - GRN017 - Accelerating the Electric Vehicle Revolution - 25 June 2016</vt:lpstr>
    </vt:vector>
  </TitlesOfParts>
  <Company>Parliament of Australia</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GRN017 - Accelerating the Electric Vehicle Revolution - 25 June 2016</dc:title>
  <dc:creator>Parliamentary Budget Office</dc:creator>
  <cp:lastModifiedBy>Milligan, Louise (PBO)</cp:lastModifiedBy>
  <cp:revision>17</cp:revision>
  <cp:lastPrinted>2016-06-25T04:52:00Z</cp:lastPrinted>
  <dcterms:created xsi:type="dcterms:W3CDTF">2016-06-25T08:41:00Z</dcterms:created>
  <dcterms:modified xsi:type="dcterms:W3CDTF">2016-06-27T01:43:00Z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