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2D" w:rsidRDefault="00B13B2D" w:rsidP="00274909">
      <w:pPr>
        <w:pStyle w:val="Lettertext"/>
        <w:spacing w:before="1560"/>
      </w:pPr>
      <w:r>
        <w:t>Senator</w:t>
      </w:r>
      <w:r w:rsidRPr="00002D5D">
        <w:t xml:space="preserve"> </w:t>
      </w:r>
      <w:r>
        <w:t>Richard</w:t>
      </w:r>
      <w:r w:rsidRPr="00002D5D">
        <w:t xml:space="preserve"> </w:t>
      </w:r>
      <w:r>
        <w:t>Di Natale</w:t>
      </w:r>
    </w:p>
    <w:p w:rsidR="00B13B2D" w:rsidRPr="00002D5D" w:rsidRDefault="00B13B2D" w:rsidP="00274909">
      <w:pPr>
        <w:pStyle w:val="Lettertext"/>
        <w:spacing w:before="0"/>
      </w:pPr>
      <w:r>
        <w:t>Leader of the Australian Greens</w:t>
      </w:r>
    </w:p>
    <w:p w:rsidR="00040DCE" w:rsidRPr="00002D5D" w:rsidRDefault="005C6967" w:rsidP="00274909">
      <w:pPr>
        <w:pStyle w:val="Lettertext"/>
        <w:spacing w:before="0"/>
      </w:pPr>
      <w:r>
        <w:t>Parliament House</w:t>
      </w:r>
    </w:p>
    <w:p w:rsidR="00040DCE" w:rsidRPr="00002D5D" w:rsidRDefault="005C6967" w:rsidP="00274909">
      <w:pPr>
        <w:pStyle w:val="Lettertext"/>
        <w:spacing w:before="0"/>
      </w:pPr>
      <w:proofErr w:type="gramStart"/>
      <w:r>
        <w:t>CANBERRA  ACT</w:t>
      </w:r>
      <w:proofErr w:type="gramEnd"/>
      <w:r>
        <w:t xml:space="preserve">  2600</w:t>
      </w:r>
    </w:p>
    <w:p w:rsidR="00B13B2D" w:rsidRPr="00002D5D" w:rsidRDefault="00B13B2D" w:rsidP="00274909">
      <w:pPr>
        <w:pStyle w:val="Lettertext"/>
        <w:spacing w:before="360"/>
      </w:pPr>
      <w:r w:rsidRPr="00002D5D">
        <w:t xml:space="preserve">Dear </w:t>
      </w:r>
      <w:r>
        <w:t>Senator</w:t>
      </w:r>
      <w:r w:rsidRPr="00002D5D">
        <w:t xml:space="preserve"> </w:t>
      </w:r>
      <w:r>
        <w:t>Di Natale</w:t>
      </w:r>
    </w:p>
    <w:p w:rsidR="00040DCE" w:rsidRPr="00002D5D" w:rsidRDefault="00040DCE" w:rsidP="00274909">
      <w:pPr>
        <w:pStyle w:val="Lettertext"/>
      </w:pPr>
      <w:r w:rsidRPr="00002D5D">
        <w:t xml:space="preserve">Please find attached a response to your costing request, </w:t>
      </w:r>
      <w:r w:rsidR="00B13B2D" w:rsidRPr="00B13B2D">
        <w:rPr>
          <w:i/>
        </w:rPr>
        <w:t>Ending Tax Avoidance: Restoring Staff to the Tax Office</w:t>
      </w:r>
      <w:r w:rsidRPr="00002D5D">
        <w:t xml:space="preserve"> (letter of </w:t>
      </w:r>
      <w:r w:rsidR="00B13B2D">
        <w:t>2</w:t>
      </w:r>
      <w:r w:rsidR="003668FA">
        <w:t>4</w:t>
      </w:r>
      <w:r w:rsidR="00B13B2D">
        <w:t xml:space="preserve"> June</w:t>
      </w:r>
      <w:r w:rsidRPr="00002D5D">
        <w:t xml:space="preserve"> 2016).</w:t>
      </w:r>
    </w:p>
    <w:p w:rsidR="00040DCE" w:rsidRPr="00002D5D" w:rsidRDefault="00040DCE" w:rsidP="00274909">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274909">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274909">
      <w:pPr>
        <w:pStyle w:val="Lettertext"/>
      </w:pPr>
      <w:r w:rsidRPr="00002D5D">
        <w:t>Yours sincerely</w:t>
      </w:r>
    </w:p>
    <w:p w:rsidR="00040DCE" w:rsidRPr="00002D5D" w:rsidRDefault="00DA1C8A" w:rsidP="00274909">
      <w:pPr>
        <w:pStyle w:val="Lettertext"/>
        <w:spacing w:before="960"/>
      </w:pPr>
      <w:r w:rsidRPr="00002D5D">
        <w:t>Phil Bowen</w:t>
      </w:r>
    </w:p>
    <w:p w:rsidR="00096F3A" w:rsidRPr="00002D5D" w:rsidRDefault="00D75D00" w:rsidP="00D75D00">
      <w:pPr>
        <w:pStyle w:val="Lettertext"/>
        <w:spacing w:before="120"/>
      </w:pPr>
      <w:r>
        <w:t xml:space="preserve">25 </w:t>
      </w:r>
      <w:bookmarkStart w:id="0" w:name="_GoBack"/>
      <w:bookmarkEnd w:id="0"/>
      <w:r w:rsidR="006E5742">
        <w:t>June</w:t>
      </w:r>
      <w:r w:rsidR="00040DCE" w:rsidRPr="00002D5D">
        <w:t xml:space="preserve"> </w:t>
      </w:r>
      <w:r w:rsidR="00DA1C8A" w:rsidRPr="00002D5D">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headerReference w:type="default" r:id="rId10"/>
          <w:footerReference w:type="default" r:id="rId11"/>
          <w:headerReference w:type="first" r:id="rId12"/>
          <w:footerReference w:type="first" r:id="rId13"/>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528" w:type="dxa"/>
        <w:tblLayout w:type="fixed"/>
        <w:tblLook w:val="04A0" w:firstRow="1" w:lastRow="0" w:firstColumn="1" w:lastColumn="0" w:noHBand="0" w:noVBand="1"/>
      </w:tblPr>
      <w:tblGrid>
        <w:gridCol w:w="2943"/>
        <w:gridCol w:w="5585"/>
      </w:tblGrid>
      <w:tr w:rsidR="004D5525" w:rsidTr="004F45A8">
        <w:trPr>
          <w:cnfStyle w:val="100000000000" w:firstRow="1" w:lastRow="0" w:firstColumn="0" w:lastColumn="0" w:oddVBand="0" w:evenVBand="0" w:oddHBand="0" w:evenHBand="0" w:firstRowFirstColumn="0" w:firstRowLastColumn="0" w:lastRowFirstColumn="0" w:lastRowLastColumn="0"/>
        </w:trPr>
        <w:tc>
          <w:tcPr>
            <w:tcW w:w="2943" w:type="dxa"/>
          </w:tcPr>
          <w:p w:rsidR="004D5525" w:rsidRPr="00CC7351" w:rsidRDefault="004D5525" w:rsidP="004D5525">
            <w:pPr>
              <w:pStyle w:val="BodyText"/>
              <w:rPr>
                <w:sz w:val="22"/>
              </w:rPr>
            </w:pPr>
            <w:r w:rsidRPr="00CC7351">
              <w:rPr>
                <w:sz w:val="22"/>
              </w:rPr>
              <w:t>Name of proposal:</w:t>
            </w:r>
          </w:p>
        </w:tc>
        <w:tc>
          <w:tcPr>
            <w:tcW w:w="5585" w:type="dxa"/>
          </w:tcPr>
          <w:p w:rsidR="004D5525" w:rsidRPr="00CC7351" w:rsidRDefault="006E5742" w:rsidP="004D5525">
            <w:pPr>
              <w:pStyle w:val="BodyText"/>
              <w:rPr>
                <w:sz w:val="22"/>
              </w:rPr>
            </w:pPr>
            <w:r w:rsidRPr="00CC7351">
              <w:rPr>
                <w:sz w:val="22"/>
              </w:rPr>
              <w:t>Ending Tax Avoidance: Restoring Staff to the Tax Office</w:t>
            </w:r>
          </w:p>
        </w:tc>
      </w:tr>
      <w:tr w:rsidR="004D5525" w:rsidTr="004F45A8">
        <w:tc>
          <w:tcPr>
            <w:tcW w:w="2943" w:type="dxa"/>
          </w:tcPr>
          <w:p w:rsidR="004D5525" w:rsidRPr="00CC7351" w:rsidRDefault="004D5525" w:rsidP="004D5525">
            <w:pPr>
              <w:pStyle w:val="BodyText"/>
            </w:pPr>
            <w:r w:rsidRPr="00CC7351">
              <w:t>Summary of proposal:</w:t>
            </w:r>
          </w:p>
        </w:tc>
        <w:tc>
          <w:tcPr>
            <w:tcW w:w="5585" w:type="dxa"/>
          </w:tcPr>
          <w:p w:rsidR="00145EB8" w:rsidRPr="00CC7351" w:rsidRDefault="004D5525" w:rsidP="004D5525">
            <w:r w:rsidRPr="00CC7351">
              <w:t xml:space="preserve">The proposal </w:t>
            </w:r>
            <w:r w:rsidR="00145EB8" w:rsidRPr="00CC7351">
              <w:t>has two components.</w:t>
            </w:r>
          </w:p>
          <w:p w:rsidR="00734B0B" w:rsidRPr="00CC7351" w:rsidRDefault="00145EB8" w:rsidP="006C03E1">
            <w:r w:rsidRPr="00CC7351">
              <w:t xml:space="preserve">The first component </w:t>
            </w:r>
            <w:r w:rsidR="004D5525" w:rsidRPr="00CC7351">
              <w:t>would</w:t>
            </w:r>
            <w:r w:rsidRPr="00CC7351">
              <w:t xml:space="preserve"> </w:t>
            </w:r>
            <w:r w:rsidR="00DB7534" w:rsidRPr="00CC7351">
              <w:t>r</w:t>
            </w:r>
            <w:r w:rsidR="00734B0B" w:rsidRPr="00CC7351">
              <w:t xml:space="preserve">everse the funding cuts within the Australian Taxation Office (ATO) that have occurred since the change of government on 12 September 2013. </w:t>
            </w:r>
            <w:r w:rsidR="00467F4E" w:rsidRPr="00CC7351">
              <w:t xml:space="preserve"> </w:t>
            </w:r>
            <w:r w:rsidR="00734B0B" w:rsidRPr="00CC7351">
              <w:t>The number of ATO employees would be returned to the level on 12 September 2013</w:t>
            </w:r>
            <w:r w:rsidRPr="00CC7351">
              <w:t>.</w:t>
            </w:r>
          </w:p>
          <w:p w:rsidR="004D5525" w:rsidRPr="00CC7351" w:rsidRDefault="00145EB8" w:rsidP="006C03E1">
            <w:r w:rsidRPr="00CC7351">
              <w:t xml:space="preserve">The second component would </w:t>
            </w:r>
            <w:r w:rsidR="00DB7534" w:rsidRPr="00CC7351">
              <w:t>invest $400 million</w:t>
            </w:r>
            <w:r w:rsidR="00117594" w:rsidRPr="00CC7351">
              <w:t xml:space="preserve"> evenly across </w:t>
            </w:r>
            <w:r w:rsidR="00C75D30" w:rsidRPr="00CC7351">
              <w:t xml:space="preserve">four </w:t>
            </w:r>
            <w:r w:rsidR="00117594" w:rsidRPr="00CC7351">
              <w:t xml:space="preserve">years </w:t>
            </w:r>
            <w:r w:rsidR="00DB7534" w:rsidRPr="00CC7351">
              <w:t>in global diplomacy to ensure Australia is taking a leadership role in ending global tax avoidance strategies.</w:t>
            </w:r>
            <w:r w:rsidR="002A0AE2" w:rsidRPr="00CC7351">
              <w:t xml:space="preserve">  </w:t>
            </w:r>
          </w:p>
          <w:p w:rsidR="004D5525" w:rsidRPr="00CC7351" w:rsidRDefault="00DB7534" w:rsidP="004D5525">
            <w:pPr>
              <w:pStyle w:val="BodyText"/>
            </w:pPr>
            <w:r w:rsidRPr="00CC7351">
              <w:t>The proposal would have effect from 1 September 2016</w:t>
            </w:r>
            <w:r w:rsidR="004D5525" w:rsidRPr="00CC7351">
              <w:t>.</w:t>
            </w:r>
          </w:p>
        </w:tc>
      </w:tr>
      <w:tr w:rsidR="004D5525" w:rsidTr="004F45A8">
        <w:tc>
          <w:tcPr>
            <w:tcW w:w="2943" w:type="dxa"/>
          </w:tcPr>
          <w:p w:rsidR="004D5525" w:rsidRPr="00CC7351" w:rsidRDefault="004D5525" w:rsidP="004D5525">
            <w:pPr>
              <w:pStyle w:val="BodyText"/>
            </w:pPr>
            <w:r w:rsidRPr="00CC7351">
              <w:t>Person/party requesting costing:</w:t>
            </w:r>
          </w:p>
        </w:tc>
        <w:tc>
          <w:tcPr>
            <w:tcW w:w="5585" w:type="dxa"/>
          </w:tcPr>
          <w:p w:rsidR="004D5525" w:rsidRPr="00CC7351" w:rsidRDefault="006E5742" w:rsidP="004D5525">
            <w:pPr>
              <w:pStyle w:val="BodyText"/>
            </w:pPr>
            <w:r w:rsidRPr="00CC7351">
              <w:t xml:space="preserve">Senator </w:t>
            </w:r>
            <w:r w:rsidR="00E94339" w:rsidRPr="00CC7351">
              <w:t xml:space="preserve">Richard </w:t>
            </w:r>
            <w:r w:rsidRPr="00CC7351">
              <w:t>Di Natale, Australian Greens</w:t>
            </w:r>
          </w:p>
        </w:tc>
      </w:tr>
      <w:tr w:rsidR="007D3577" w:rsidTr="004F45A8">
        <w:tc>
          <w:tcPr>
            <w:tcW w:w="2943" w:type="dxa"/>
          </w:tcPr>
          <w:p w:rsidR="007D3577" w:rsidRPr="00CC7351" w:rsidRDefault="007D3577" w:rsidP="00060F22">
            <w:pPr>
              <w:pStyle w:val="BodyText"/>
            </w:pPr>
            <w:r w:rsidRPr="00CC7351">
              <w:t>Date of public release of policy:</w:t>
            </w:r>
          </w:p>
        </w:tc>
        <w:tc>
          <w:tcPr>
            <w:tcW w:w="5585" w:type="dxa"/>
          </w:tcPr>
          <w:p w:rsidR="007D3577" w:rsidRPr="00CC7351" w:rsidRDefault="00145EB8" w:rsidP="00060F22">
            <w:pPr>
              <w:pStyle w:val="BodyText"/>
            </w:pPr>
            <w:r w:rsidRPr="00CC7351">
              <w:t>22 June 2016</w:t>
            </w:r>
          </w:p>
          <w:p w:rsidR="00D233A3" w:rsidRPr="00CC7351" w:rsidRDefault="009D7836" w:rsidP="00060F22">
            <w:pPr>
              <w:pStyle w:val="BodyText"/>
            </w:pPr>
            <w:hyperlink r:id="rId14" w:history="1">
              <w:r w:rsidR="00D233A3" w:rsidRPr="00CC7351">
                <w:rPr>
                  <w:rStyle w:val="Hyperlink"/>
                </w:rPr>
                <w:t>http://greens.org.au/sites/greens.org.au/files/Tax%20Avoidance%20Package_0.pdf</w:t>
              </w:r>
            </w:hyperlink>
          </w:p>
        </w:tc>
      </w:tr>
      <w:tr w:rsidR="004D5525" w:rsidTr="004F45A8">
        <w:tc>
          <w:tcPr>
            <w:tcW w:w="2943" w:type="dxa"/>
          </w:tcPr>
          <w:p w:rsidR="004D5525" w:rsidRPr="00CC7351" w:rsidRDefault="004D5525" w:rsidP="004D5525">
            <w:pPr>
              <w:pStyle w:val="BodyText"/>
            </w:pPr>
            <w:r w:rsidRPr="00CC7351">
              <w:t>Date costing request received:</w:t>
            </w:r>
          </w:p>
        </w:tc>
        <w:tc>
          <w:tcPr>
            <w:tcW w:w="5585" w:type="dxa"/>
          </w:tcPr>
          <w:p w:rsidR="004D5525" w:rsidRPr="00CC7351" w:rsidRDefault="006E5742" w:rsidP="004D5525">
            <w:pPr>
              <w:pStyle w:val="BodyText"/>
            </w:pPr>
            <w:r w:rsidRPr="00CC7351">
              <w:t>24 June 2016</w:t>
            </w:r>
          </w:p>
        </w:tc>
      </w:tr>
      <w:tr w:rsidR="004D5525" w:rsidTr="004F45A8">
        <w:tc>
          <w:tcPr>
            <w:tcW w:w="2943" w:type="dxa"/>
          </w:tcPr>
          <w:p w:rsidR="004D5525" w:rsidRPr="00CC7351" w:rsidRDefault="004D5525" w:rsidP="004D5525">
            <w:pPr>
              <w:pStyle w:val="BodyText"/>
            </w:pPr>
            <w:r w:rsidRPr="00CC7351">
              <w:t>Date costing completed</w:t>
            </w:r>
          </w:p>
        </w:tc>
        <w:tc>
          <w:tcPr>
            <w:tcW w:w="5585" w:type="dxa"/>
          </w:tcPr>
          <w:p w:rsidR="004D5525" w:rsidRPr="00CC7351" w:rsidRDefault="00A85A56" w:rsidP="006E5742">
            <w:pPr>
              <w:pStyle w:val="BodyText"/>
            </w:pPr>
            <w:r w:rsidRPr="00CC7351">
              <w:t>25</w:t>
            </w:r>
            <w:r w:rsidR="006E5742" w:rsidRPr="00CC7351">
              <w:t xml:space="preserve"> June 2016</w:t>
            </w:r>
          </w:p>
        </w:tc>
      </w:tr>
      <w:tr w:rsidR="004D5525" w:rsidTr="004F45A8">
        <w:tc>
          <w:tcPr>
            <w:tcW w:w="2943" w:type="dxa"/>
          </w:tcPr>
          <w:p w:rsidR="004D5525" w:rsidRPr="00CC7351" w:rsidRDefault="004D5525" w:rsidP="004D5525">
            <w:pPr>
              <w:pStyle w:val="BodyText"/>
            </w:pPr>
            <w:r w:rsidRPr="00CC7351">
              <w:t>Expiry date for the costing:</w:t>
            </w:r>
          </w:p>
        </w:tc>
        <w:tc>
          <w:tcPr>
            <w:tcW w:w="5585" w:type="dxa"/>
          </w:tcPr>
          <w:p w:rsidR="004D5525" w:rsidRPr="00CC7351" w:rsidRDefault="00F4535C" w:rsidP="00220BE5">
            <w:pPr>
              <w:pStyle w:val="BodyText"/>
            </w:pPr>
            <w:r w:rsidRPr="00CC7351">
              <w:t>Release of the next economic and fiscal outlook report</w:t>
            </w:r>
          </w:p>
        </w:tc>
      </w:tr>
    </w:tbl>
    <w:p w:rsidR="0055581F" w:rsidRPr="00002D5D" w:rsidRDefault="008030EC" w:rsidP="00FC6579">
      <w:pPr>
        <w:pStyle w:val="Heading2"/>
      </w:pPr>
      <w:r w:rsidRPr="00002D5D">
        <w:t>Costing overview</w:t>
      </w:r>
    </w:p>
    <w:p w:rsidR="005E43A4" w:rsidRPr="00987B0A" w:rsidRDefault="005E43A4" w:rsidP="00987B0A">
      <w:pPr>
        <w:rPr>
          <w:bCs/>
        </w:rPr>
      </w:pPr>
      <w:r w:rsidRPr="00987B0A">
        <w:t>The proposal would be expected to decrease</w:t>
      </w:r>
      <w:r w:rsidR="00957D06" w:rsidRPr="00987B0A">
        <w:rPr>
          <w:bCs/>
        </w:rPr>
        <w:t xml:space="preserve"> both </w:t>
      </w:r>
      <w:r w:rsidRPr="00987B0A">
        <w:t xml:space="preserve">the fiscal and </w:t>
      </w:r>
      <w:r w:rsidR="00957D06" w:rsidRPr="00987B0A">
        <w:rPr>
          <w:bCs/>
        </w:rPr>
        <w:t>underlying cash balances by $1,9</w:t>
      </w:r>
      <w:r w:rsidRPr="00987B0A">
        <w:t xml:space="preserve">60 million over the 2016-17 Budget forward estimates period.  </w:t>
      </w:r>
      <w:r w:rsidR="00957D06" w:rsidRPr="00987B0A">
        <w:rPr>
          <w:bCs/>
        </w:rPr>
        <w:t xml:space="preserve">This impact </w:t>
      </w:r>
      <w:r w:rsidR="00145EB8">
        <w:rPr>
          <w:bCs/>
        </w:rPr>
        <w:t xml:space="preserve">entirely </w:t>
      </w:r>
      <w:r w:rsidR="00957D06" w:rsidRPr="00987B0A">
        <w:rPr>
          <w:bCs/>
        </w:rPr>
        <w:t>reflects a</w:t>
      </w:r>
      <w:r w:rsidR="00A3273A">
        <w:rPr>
          <w:bCs/>
        </w:rPr>
        <w:t>n</w:t>
      </w:r>
      <w:r w:rsidR="00957D06" w:rsidRPr="00987B0A">
        <w:rPr>
          <w:bCs/>
        </w:rPr>
        <w:t xml:space="preserve"> in</w:t>
      </w:r>
      <w:r w:rsidR="00957D06" w:rsidRPr="00987B0A">
        <w:t xml:space="preserve">crease in </w:t>
      </w:r>
      <w:r w:rsidR="00A3273A">
        <w:rPr>
          <w:bCs/>
        </w:rPr>
        <w:t>departmental expen</w:t>
      </w:r>
      <w:r w:rsidR="00521E2E">
        <w:rPr>
          <w:bCs/>
        </w:rPr>
        <w:t>ses</w:t>
      </w:r>
      <w:r w:rsidRPr="00987B0A">
        <w:t>.</w:t>
      </w:r>
    </w:p>
    <w:p w:rsidR="005E43A4" w:rsidRPr="00987B0A" w:rsidDel="00145EB8" w:rsidRDefault="00C021B4" w:rsidP="00987B0A">
      <w:pPr>
        <w:rPr>
          <w:bCs/>
        </w:rPr>
      </w:pPr>
      <w:r w:rsidDel="00145EB8">
        <w:t xml:space="preserve">A detailed breakdown of the financial implications </w:t>
      </w:r>
      <w:r w:rsidR="003C0E7A">
        <w:t xml:space="preserve">of the components of the proposal </w:t>
      </w:r>
      <w:r w:rsidDel="00145EB8">
        <w:t>over the 2016-17 Budget forward estimates period is</w:t>
      </w:r>
      <w:r w:rsidR="008054C4" w:rsidRPr="00987B0A" w:rsidDel="00145EB8">
        <w:t xml:space="preserve"> included at </w:t>
      </w:r>
      <w:r w:rsidR="00DC6F13" w:rsidRPr="00987B0A" w:rsidDel="00145EB8">
        <w:rPr>
          <w:u w:val="single"/>
        </w:rPr>
        <w:t>Attachment </w:t>
      </w:r>
      <w:r w:rsidR="008054C4" w:rsidRPr="00987B0A" w:rsidDel="00145EB8">
        <w:rPr>
          <w:u w:val="single"/>
        </w:rPr>
        <w:t>A</w:t>
      </w:r>
      <w:r w:rsidR="008054C4" w:rsidRPr="00987B0A" w:rsidDel="00145EB8">
        <w:t>.</w:t>
      </w:r>
    </w:p>
    <w:p w:rsidR="00987B0A" w:rsidRPr="00987B0A" w:rsidRDefault="00145EB8" w:rsidP="00987B0A">
      <w:pPr>
        <w:rPr>
          <w:bCs/>
        </w:rPr>
      </w:pPr>
      <w:r>
        <w:t>The</w:t>
      </w:r>
      <w:r w:rsidR="008054C4" w:rsidRPr="00987B0A">
        <w:t xml:space="preserve"> </w:t>
      </w:r>
      <w:r>
        <w:t xml:space="preserve">proposed </w:t>
      </w:r>
      <w:r w:rsidR="008054C4" w:rsidRPr="00987B0A">
        <w:t xml:space="preserve">increase in ATO staffing levels </w:t>
      </w:r>
      <w:r>
        <w:t xml:space="preserve">in the first component of the proposal </w:t>
      </w:r>
      <w:r w:rsidR="008054C4" w:rsidRPr="00987B0A">
        <w:t xml:space="preserve">would be expected to have an impact on the level of revenue collections.  However, there is not a simple relationship between the level of ATO staff and the level of revenue collections as the </w:t>
      </w:r>
      <w:r w:rsidR="008054C4" w:rsidRPr="00987B0A">
        <w:lastRenderedPageBreak/>
        <w:t>nature of functions undertaken by ATO staff can vary substantially.  As the request does not indicate the roles of the additional ATO staff under the proposal, increased revenue attributable to additional ATO staffing levels would not be able to be reliably estimated.</w:t>
      </w:r>
    </w:p>
    <w:p w:rsidR="005E43A4" w:rsidRDefault="00152035" w:rsidP="00987B0A">
      <w:r w:rsidRPr="00987B0A">
        <w:t xml:space="preserve">The </w:t>
      </w:r>
      <w:r w:rsidR="00145EB8">
        <w:t xml:space="preserve">first </w:t>
      </w:r>
      <w:r w:rsidRPr="00987B0A">
        <w:t>component of this costing</w:t>
      </w:r>
      <w:r w:rsidR="00145EB8">
        <w:t xml:space="preserve"> (restoring ATO staffing levels)</w:t>
      </w:r>
      <w:r w:rsidRPr="00987B0A">
        <w:t xml:space="preserve"> </w:t>
      </w:r>
      <w:r w:rsidR="008054C4" w:rsidRPr="00987B0A">
        <w:t xml:space="preserve">is considered to be of </w:t>
      </w:r>
      <w:r w:rsidR="00624A62">
        <w:t>medium</w:t>
      </w:r>
      <w:r w:rsidR="00624A62" w:rsidRPr="00987B0A">
        <w:t xml:space="preserve"> </w:t>
      </w:r>
      <w:r w:rsidR="008054C4" w:rsidRPr="00987B0A">
        <w:t>reliability.  Estimates of ATO staff numbers in the baseline and in the proposal are based on 2016</w:t>
      </w:r>
      <w:r w:rsidR="002A6C9B">
        <w:t>-</w:t>
      </w:r>
      <w:r w:rsidR="008054C4" w:rsidRPr="00987B0A">
        <w:t>17 Budget estimates and several assumptions.  While additional ATO staff</w:t>
      </w:r>
      <w:r w:rsidR="008054C4" w:rsidRPr="008054C4">
        <w:t xml:space="preserve"> may result in increased revenue collections, under the current specification of the proposal, this amount is not able to be reliably estimated.</w:t>
      </w:r>
    </w:p>
    <w:p w:rsidR="00D94E43" w:rsidRDefault="00145EB8" w:rsidP="00D94E43">
      <w:r w:rsidRPr="00987B0A">
        <w:t xml:space="preserve">The </w:t>
      </w:r>
      <w:r>
        <w:t>second</w:t>
      </w:r>
      <w:r w:rsidRPr="00987B0A">
        <w:t xml:space="preserve"> component</w:t>
      </w:r>
      <w:r>
        <w:t xml:space="preserve"> of this costing (global tax diplomacy) is</w:t>
      </w:r>
      <w:r w:rsidRPr="00987B0A">
        <w:t xml:space="preserve"> considered to be of</w:t>
      </w:r>
      <w:r>
        <w:t xml:space="preserve"> high reliability as the amount</w:t>
      </w:r>
      <w:r w:rsidRPr="00987B0A">
        <w:t xml:space="preserve"> of funding </w:t>
      </w:r>
      <w:r>
        <w:t>is</w:t>
      </w:r>
      <w:r w:rsidRPr="00987B0A">
        <w:t xml:space="preserve"> fixed.  </w:t>
      </w:r>
      <w:r w:rsidR="00D94E43">
        <w:t>However,</w:t>
      </w:r>
      <w:r>
        <w:t xml:space="preserve"> no analysis has been undertaken to determine the adequacy of the prescribed funding amounts to achieve the objective of the proposal.</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F82089">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CF7D9A">
            <w:pPr>
              <w:pStyle w:val="TableText"/>
              <w:keepNext/>
              <w:keepLines/>
              <w:spacing w:line="240" w:lineRule="auto"/>
              <w:ind w:left="57" w:right="57"/>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F97DFF"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177F5F" w:rsidRPr="00B73AC8" w:rsidTr="00EA2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177F5F" w:rsidRPr="00B73AC8" w:rsidRDefault="00177F5F" w:rsidP="00CF7D9A">
            <w:pPr>
              <w:pStyle w:val="TableTextCentred"/>
              <w:keepNext/>
              <w:keepLines/>
              <w:spacing w:line="240" w:lineRule="auto"/>
              <w:ind w:left="57" w:right="57"/>
              <w:jc w:val="left"/>
              <w:rPr>
                <w:szCs w:val="20"/>
              </w:rPr>
            </w:pPr>
            <w:r w:rsidRPr="00B73AC8">
              <w:rPr>
                <w:szCs w:val="20"/>
              </w:rPr>
              <w:t>Fiscal balance</w:t>
            </w:r>
          </w:p>
        </w:tc>
        <w:tc>
          <w:tcPr>
            <w:tcW w:w="682" w:type="pct"/>
          </w:tcPr>
          <w:p w:rsidR="00177F5F" w:rsidRPr="00177F5F" w:rsidRDefault="00177F5F" w:rsidP="002B36E7">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szCs w:val="20"/>
              </w:rPr>
            </w:pPr>
            <w:r w:rsidRPr="00177F5F">
              <w:rPr>
                <w:szCs w:val="20"/>
              </w:rPr>
              <w:t>-390</w:t>
            </w:r>
            <w:r w:rsidR="002B36E7">
              <w:rPr>
                <w:szCs w:val="20"/>
              </w:rPr>
              <w:t>.0</w:t>
            </w:r>
          </w:p>
        </w:tc>
        <w:tc>
          <w:tcPr>
            <w:tcW w:w="682" w:type="pct"/>
          </w:tcPr>
          <w:p w:rsidR="00177F5F" w:rsidRPr="00177F5F" w:rsidRDefault="00177F5F"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szCs w:val="20"/>
              </w:rPr>
            </w:pPr>
            <w:r w:rsidRPr="00177F5F">
              <w:rPr>
                <w:szCs w:val="20"/>
              </w:rPr>
              <w:t>-500</w:t>
            </w:r>
            <w:r w:rsidR="00467F4E">
              <w:rPr>
                <w:szCs w:val="20"/>
              </w:rPr>
              <w:t>.0</w:t>
            </w:r>
          </w:p>
        </w:tc>
        <w:tc>
          <w:tcPr>
            <w:tcW w:w="682" w:type="pct"/>
          </w:tcPr>
          <w:p w:rsidR="00177F5F" w:rsidRPr="00177F5F" w:rsidRDefault="00177F5F"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szCs w:val="20"/>
              </w:rPr>
            </w:pPr>
            <w:r w:rsidRPr="00177F5F">
              <w:rPr>
                <w:szCs w:val="20"/>
              </w:rPr>
              <w:t>-510</w:t>
            </w:r>
            <w:r w:rsidR="00467F4E">
              <w:rPr>
                <w:szCs w:val="20"/>
              </w:rPr>
              <w:t>.0</w:t>
            </w:r>
          </w:p>
        </w:tc>
        <w:tc>
          <w:tcPr>
            <w:tcW w:w="682" w:type="pct"/>
          </w:tcPr>
          <w:p w:rsidR="00177F5F" w:rsidRPr="00177F5F" w:rsidRDefault="00177F5F"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szCs w:val="20"/>
              </w:rPr>
            </w:pPr>
            <w:r w:rsidRPr="00177F5F">
              <w:rPr>
                <w:szCs w:val="20"/>
              </w:rPr>
              <w:t>-560</w:t>
            </w:r>
            <w:r w:rsidR="00467F4E">
              <w:rPr>
                <w:szCs w:val="20"/>
              </w:rPr>
              <w:t>.0</w:t>
            </w:r>
          </w:p>
        </w:tc>
        <w:tc>
          <w:tcPr>
            <w:tcW w:w="681" w:type="pct"/>
          </w:tcPr>
          <w:p w:rsidR="00177F5F" w:rsidRPr="00177F5F" w:rsidRDefault="00177F5F"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b/>
                <w:szCs w:val="20"/>
              </w:rPr>
            </w:pPr>
            <w:r w:rsidRPr="00177F5F">
              <w:rPr>
                <w:b/>
                <w:szCs w:val="20"/>
              </w:rPr>
              <w:t>-1</w:t>
            </w:r>
            <w:r w:rsidR="00696186">
              <w:rPr>
                <w:b/>
                <w:szCs w:val="20"/>
              </w:rPr>
              <w:t>,</w:t>
            </w:r>
            <w:r w:rsidRPr="00177F5F">
              <w:rPr>
                <w:b/>
                <w:szCs w:val="20"/>
              </w:rPr>
              <w:t>960</w:t>
            </w:r>
            <w:r w:rsidR="00467F4E">
              <w:rPr>
                <w:b/>
                <w:szCs w:val="20"/>
              </w:rPr>
              <w:t>.0</w:t>
            </w:r>
          </w:p>
        </w:tc>
      </w:tr>
      <w:tr w:rsidR="00177F5F" w:rsidRPr="00B73AC8" w:rsidTr="00EA265F">
        <w:tc>
          <w:tcPr>
            <w:cnfStyle w:val="001000000000" w:firstRow="0" w:lastRow="0" w:firstColumn="1" w:lastColumn="0" w:oddVBand="0" w:evenVBand="0" w:oddHBand="0" w:evenHBand="0" w:firstRowFirstColumn="0" w:firstRowLastColumn="0" w:lastRowFirstColumn="0" w:lastRowLastColumn="0"/>
            <w:tcW w:w="1591" w:type="pct"/>
          </w:tcPr>
          <w:p w:rsidR="00177F5F" w:rsidRPr="00B73AC8" w:rsidRDefault="00177F5F" w:rsidP="00CF7D9A">
            <w:pPr>
              <w:pStyle w:val="TableTextCentred"/>
              <w:keepNext/>
              <w:keepLines/>
              <w:spacing w:line="240" w:lineRule="auto"/>
              <w:ind w:left="57" w:right="57"/>
              <w:jc w:val="left"/>
              <w:rPr>
                <w:szCs w:val="20"/>
              </w:rPr>
            </w:pPr>
            <w:r w:rsidRPr="00B73AC8">
              <w:rPr>
                <w:szCs w:val="20"/>
              </w:rPr>
              <w:t>Underlying cash balance</w:t>
            </w:r>
          </w:p>
        </w:tc>
        <w:tc>
          <w:tcPr>
            <w:tcW w:w="682" w:type="pct"/>
          </w:tcPr>
          <w:p w:rsidR="00177F5F" w:rsidRPr="00177F5F" w:rsidRDefault="00177F5F"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177F5F">
              <w:rPr>
                <w:szCs w:val="20"/>
              </w:rPr>
              <w:t>-390</w:t>
            </w:r>
            <w:r w:rsidR="002B36E7">
              <w:rPr>
                <w:szCs w:val="20"/>
              </w:rPr>
              <w:t>.0</w:t>
            </w:r>
          </w:p>
        </w:tc>
        <w:tc>
          <w:tcPr>
            <w:tcW w:w="682" w:type="pct"/>
          </w:tcPr>
          <w:p w:rsidR="00177F5F" w:rsidRPr="00177F5F" w:rsidRDefault="00177F5F"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177F5F">
              <w:rPr>
                <w:szCs w:val="20"/>
              </w:rPr>
              <w:t>-500</w:t>
            </w:r>
            <w:r w:rsidR="00467F4E">
              <w:rPr>
                <w:szCs w:val="20"/>
              </w:rPr>
              <w:t>.0</w:t>
            </w:r>
          </w:p>
        </w:tc>
        <w:tc>
          <w:tcPr>
            <w:tcW w:w="682" w:type="pct"/>
          </w:tcPr>
          <w:p w:rsidR="00177F5F" w:rsidRPr="00177F5F" w:rsidRDefault="00177F5F"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177F5F">
              <w:rPr>
                <w:szCs w:val="20"/>
              </w:rPr>
              <w:t>-510</w:t>
            </w:r>
            <w:r w:rsidR="00467F4E">
              <w:rPr>
                <w:szCs w:val="20"/>
              </w:rPr>
              <w:t>.0</w:t>
            </w:r>
          </w:p>
        </w:tc>
        <w:tc>
          <w:tcPr>
            <w:tcW w:w="682" w:type="pct"/>
          </w:tcPr>
          <w:p w:rsidR="00177F5F" w:rsidRPr="00177F5F" w:rsidRDefault="00177F5F"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177F5F">
              <w:rPr>
                <w:szCs w:val="20"/>
              </w:rPr>
              <w:t>-560</w:t>
            </w:r>
            <w:r w:rsidR="00467F4E">
              <w:rPr>
                <w:szCs w:val="20"/>
              </w:rPr>
              <w:t>.0</w:t>
            </w:r>
          </w:p>
        </w:tc>
        <w:tc>
          <w:tcPr>
            <w:tcW w:w="681" w:type="pct"/>
          </w:tcPr>
          <w:p w:rsidR="00177F5F" w:rsidRPr="00177F5F" w:rsidRDefault="00177F5F"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Cs w:val="20"/>
              </w:rPr>
            </w:pPr>
            <w:r w:rsidRPr="00177F5F">
              <w:rPr>
                <w:b/>
                <w:szCs w:val="20"/>
              </w:rPr>
              <w:t>-1</w:t>
            </w:r>
            <w:r w:rsidR="00696186">
              <w:rPr>
                <w:b/>
                <w:szCs w:val="20"/>
              </w:rPr>
              <w:t>,</w:t>
            </w:r>
            <w:r w:rsidRPr="00177F5F">
              <w:rPr>
                <w:b/>
                <w:szCs w:val="20"/>
              </w:rPr>
              <w:t>960</w:t>
            </w:r>
            <w:r w:rsidR="00467F4E">
              <w:rPr>
                <w:b/>
                <w:szCs w:val="20"/>
              </w:rPr>
              <w:t>.0</w:t>
            </w:r>
          </w:p>
        </w:tc>
      </w:tr>
    </w:tbl>
    <w:p w:rsidR="0073343F" w:rsidRDefault="0073343F" w:rsidP="00041417">
      <w:pPr>
        <w:pStyle w:val="Footnotes"/>
        <w:numPr>
          <w:ilvl w:val="0"/>
          <w:numId w:val="19"/>
        </w:numPr>
        <w:ind w:left="284" w:hanging="284"/>
      </w:pPr>
      <w:r>
        <w:t xml:space="preserve">A </w:t>
      </w:r>
      <w:r w:rsidR="00A342BA" w:rsidRPr="00FF5D6B">
        <w:t>positive number indicates an increase in the relevant budget balance, a negative number a decrease.</w:t>
      </w:r>
    </w:p>
    <w:p w:rsidR="0073343F" w:rsidRDefault="0073343F" w:rsidP="00041417">
      <w:pPr>
        <w:pStyle w:val="Footnotes"/>
        <w:ind w:left="284" w:hanging="284"/>
      </w:pPr>
      <w:r>
        <w:t>Figures may not sum to totals due to rounding.</w:t>
      </w:r>
    </w:p>
    <w:p w:rsidR="008D3909" w:rsidRPr="00FC6579" w:rsidRDefault="005E3562" w:rsidP="00E40B8B">
      <w:pPr>
        <w:pStyle w:val="Heading2"/>
      </w:pPr>
      <w:r w:rsidRPr="00FC6579">
        <w:t>Key assumptions</w:t>
      </w:r>
    </w:p>
    <w:p w:rsidR="00502996" w:rsidRPr="00002D5D" w:rsidRDefault="00502996" w:rsidP="00502996">
      <w:pPr>
        <w:pStyle w:val="Bullet1"/>
      </w:pPr>
      <w:r w:rsidRPr="00502996">
        <w:t>The number of ATO employees as of 12 September 2013 is assumed to be equal to the number of ATO employees reported by the Australian Public Service Commission (APSC) as of 30 June 2013.</w:t>
      </w:r>
    </w:p>
    <w:p w:rsidR="005E3562" w:rsidRPr="00FC6579" w:rsidRDefault="005E3562" w:rsidP="00E40B8B">
      <w:pPr>
        <w:pStyle w:val="Heading2"/>
      </w:pPr>
      <w:r w:rsidRPr="00FC6579">
        <w:t>Methodology</w:t>
      </w:r>
    </w:p>
    <w:p w:rsidR="00145EB8" w:rsidRDefault="00921AF5" w:rsidP="00987B0A">
      <w:pPr>
        <w:rPr>
          <w:bCs/>
          <w:iCs/>
        </w:rPr>
      </w:pPr>
      <w:r w:rsidRPr="00921AF5">
        <w:t>To estimate the cost of the proposal, the estimated ATO staffing level under the proposal and the baseline were compared, and the difference in staff numbers was multiplied by the average ATO staffing cost from the 2016-17 Budget.</w:t>
      </w:r>
    </w:p>
    <w:p w:rsidR="00987B0A" w:rsidRDefault="00FA03F2" w:rsidP="00987B0A">
      <w:r w:rsidRPr="0004514C">
        <w:rPr>
          <w:bCs/>
          <w:iCs/>
        </w:rPr>
        <w:t xml:space="preserve">The estimated cost of the global diplomacy portion of the </w:t>
      </w:r>
      <w:r w:rsidR="0004514C">
        <w:rPr>
          <w:bCs/>
          <w:iCs/>
        </w:rPr>
        <w:t>proposal</w:t>
      </w:r>
      <w:r w:rsidRPr="0004514C">
        <w:rPr>
          <w:bCs/>
          <w:iCs/>
        </w:rPr>
        <w:t xml:space="preserve"> </w:t>
      </w:r>
      <w:r w:rsidRPr="00FA03F2">
        <w:t xml:space="preserve">reflects the capped funding amounts specified in the request.  </w:t>
      </w:r>
    </w:p>
    <w:p w:rsidR="00987B0A" w:rsidRDefault="00921AF5" w:rsidP="00987B0A">
      <w:r w:rsidRPr="00921AF5">
        <w:t>Estimate</w:t>
      </w:r>
      <w:r w:rsidR="00293470">
        <w:t>s</w:t>
      </w:r>
      <w:r w:rsidRPr="00921AF5">
        <w:t xml:space="preserve"> have been rounded to the nearest $10 million.</w:t>
      </w:r>
    </w:p>
    <w:p w:rsidR="005E3562" w:rsidRPr="00FC6579" w:rsidRDefault="005E3562" w:rsidP="00921AF5">
      <w:pPr>
        <w:pStyle w:val="Heading2"/>
      </w:pPr>
      <w:r w:rsidRPr="00FC6579">
        <w:t>Data sources</w:t>
      </w:r>
    </w:p>
    <w:p w:rsidR="00921AF5" w:rsidRPr="00C75D30" w:rsidRDefault="00921AF5">
      <w:pPr>
        <w:pStyle w:val="Bullet1"/>
      </w:pPr>
      <w:r w:rsidRPr="00921AF5">
        <w:t xml:space="preserve">Treasury </w:t>
      </w:r>
      <w:r w:rsidRPr="00C75D30">
        <w:t>Portfolio Budget Statements 2016-17 (ATO section)</w:t>
      </w:r>
    </w:p>
    <w:p w:rsidR="00921AF5" w:rsidRDefault="00921AF5">
      <w:pPr>
        <w:pStyle w:val="Bullet1"/>
        <w:rPr>
          <w:bCs/>
          <w:iCs/>
        </w:rPr>
      </w:pPr>
      <w:r w:rsidRPr="00C75D30">
        <w:t>APSC Statisti</w:t>
      </w:r>
      <w:r w:rsidRPr="00921AF5">
        <w:t>cal Bulletin 30 June 2013</w:t>
      </w:r>
    </w:p>
    <w:p w:rsidR="00CA5D42" w:rsidRPr="00FC6579" w:rsidRDefault="00CA5D42" w:rsidP="00921AF5">
      <w:pPr>
        <w:pStyle w:val="Bullet1"/>
        <w:rPr>
          <w:highlight w:val="yellow"/>
        </w:rPr>
        <w:sectPr w:rsidR="00CA5D42" w:rsidRPr="00FC6579" w:rsidSect="00002D5D">
          <w:headerReference w:type="first" r:id="rId15"/>
          <w:footerReference w:type="first" r:id="rId16"/>
          <w:pgSz w:w="11906" w:h="16838"/>
          <w:pgMar w:top="1361" w:right="1797" w:bottom="1474" w:left="1797" w:header="709" w:footer="709" w:gutter="0"/>
          <w:cols w:space="708"/>
          <w:titlePg/>
          <w:docGrid w:linePitch="360"/>
        </w:sectPr>
      </w:pPr>
    </w:p>
    <w:p w:rsidR="001A02D1" w:rsidRPr="00FC6579" w:rsidRDefault="001A02D1" w:rsidP="005A247E">
      <w:pPr>
        <w:pStyle w:val="Heading1"/>
      </w:pPr>
      <w:r w:rsidRPr="00FC6579">
        <w:lastRenderedPageBreak/>
        <w:t>Attachment A:</w:t>
      </w:r>
      <w:r w:rsidR="00841C3A">
        <w:t xml:space="preserve"> </w:t>
      </w:r>
      <w:r w:rsidR="005A247E" w:rsidRPr="005A247E">
        <w:t>Ending Tax Avoidance: Restoring Staff to the Tax Office</w:t>
      </w:r>
      <w:r w:rsidR="00440E32">
        <w:t>—financial</w:t>
      </w:r>
      <w:r w:rsidR="00841C3A">
        <w:t> </w:t>
      </w:r>
      <w:r w:rsidR="00440E32">
        <w:t>implications</w:t>
      </w:r>
    </w:p>
    <w:p w:rsidR="00EA5685" w:rsidRPr="00E40B8B" w:rsidRDefault="00EA5685" w:rsidP="00EA5685">
      <w:pPr>
        <w:pStyle w:val="Captionheading"/>
        <w:rPr>
          <w:vertAlign w:val="superscript"/>
        </w:rPr>
      </w:pPr>
      <w:r w:rsidRPr="00FC6579">
        <w:t xml:space="preserve">Table </w:t>
      </w:r>
      <w:r>
        <w:t>A</w:t>
      </w:r>
      <w:r w:rsidRPr="00FC6579">
        <w:t xml:space="preserve">: </w:t>
      </w:r>
      <w:r w:rsidR="002201F8" w:rsidRPr="002201F8">
        <w:t>Ending Tax Avoidance: Restoring Staff to the Tax Office</w:t>
      </w:r>
      <w:r>
        <w:t>—Financial implications (outturn prices</w:t>
      </w:r>
      <w:proofErr w:type="gramStart"/>
      <w:r>
        <w:t>)</w:t>
      </w:r>
      <w:r>
        <w:rPr>
          <w:vertAlign w:val="superscript"/>
        </w:rPr>
        <w:t>(</w:t>
      </w:r>
      <w:proofErr w:type="gramEnd"/>
      <w:r>
        <w:rPr>
          <w:vertAlign w:val="superscript"/>
        </w:rPr>
        <w:t>a)</w:t>
      </w:r>
      <w:r w:rsidR="00F4535C">
        <w:rPr>
          <w:vertAlign w:val="superscript"/>
        </w:rPr>
        <w:t>(b)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4"/>
        <w:gridCol w:w="1134"/>
        <w:gridCol w:w="1134"/>
        <w:gridCol w:w="1134"/>
        <w:gridCol w:w="1134"/>
        <w:gridCol w:w="1134"/>
      </w:tblGrid>
      <w:tr w:rsidR="00EA5685" w:rsidRPr="00EF1D6A" w:rsidTr="00CF7D9A">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EA5685" w:rsidRPr="00EF1D6A" w:rsidRDefault="00EA5685" w:rsidP="00CF7D9A">
            <w:pPr>
              <w:pStyle w:val="TableText"/>
              <w:keepNext/>
              <w:keepLines/>
              <w:spacing w:line="240" w:lineRule="auto"/>
              <w:ind w:left="57" w:right="57"/>
              <w:rPr>
                <w:rFonts w:ascii="Calibri" w:hAnsi="Calibri"/>
                <w:b/>
                <w:szCs w:val="20"/>
              </w:rPr>
            </w:pPr>
            <w:r w:rsidRPr="00EF1D6A">
              <w:rPr>
                <w:rFonts w:ascii="Calibri" w:hAnsi="Calibri"/>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EA5685" w:rsidRPr="00C24267" w:rsidRDefault="00EA5685" w:rsidP="00CF7D9A">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EA5685" w:rsidRPr="00C24267" w:rsidRDefault="00EA5685" w:rsidP="00CF7D9A">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EA5685" w:rsidRPr="00C24267" w:rsidRDefault="00EA5685" w:rsidP="00CF7D9A">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EA5685" w:rsidRPr="00C24267" w:rsidRDefault="00EA5685" w:rsidP="00CF7D9A">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EA5685" w:rsidRPr="00457BAB" w:rsidRDefault="00EA5685" w:rsidP="002201F8">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vertAlign w:val="superscript"/>
              </w:rPr>
            </w:pPr>
            <w:r w:rsidRPr="00457BAB">
              <w:rPr>
                <w:b/>
              </w:rPr>
              <w:t>Total</w:t>
            </w:r>
            <w:r w:rsidRPr="00457BAB">
              <w:rPr>
                <w:b/>
                <w:szCs w:val="20"/>
              </w:rPr>
              <w:t xml:space="preserve"> to 2019–20</w:t>
            </w:r>
          </w:p>
        </w:tc>
      </w:tr>
      <w:tr w:rsidR="00EA5685" w:rsidRPr="00EF1D6A" w:rsidTr="00CF7D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EA5685" w:rsidRPr="00457BAB" w:rsidRDefault="00BA2345" w:rsidP="00CF7D9A">
            <w:pPr>
              <w:pStyle w:val="TableHeadingCentred"/>
              <w:spacing w:line="240" w:lineRule="auto"/>
              <w:ind w:left="57" w:right="57"/>
              <w:jc w:val="left"/>
              <w:rPr>
                <w:b/>
              </w:rPr>
            </w:pPr>
            <w:r w:rsidRPr="00457BAB">
              <w:rPr>
                <w:b/>
              </w:rPr>
              <w:t>Impact on fiscal and underlying cash balances</w:t>
            </w:r>
          </w:p>
        </w:tc>
      </w:tr>
      <w:tr w:rsidR="003C0E7A" w:rsidRPr="0066665A" w:rsidTr="00CF7D9A">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3C0E7A" w:rsidRPr="006C03E1" w:rsidRDefault="003C0E7A" w:rsidP="00341E17">
            <w:pPr>
              <w:pStyle w:val="TableTextCentred"/>
              <w:keepNext/>
              <w:keepLines/>
              <w:spacing w:line="240" w:lineRule="auto"/>
              <w:ind w:left="57" w:right="57"/>
              <w:jc w:val="left"/>
              <w:rPr>
                <w:b/>
                <w:noProof/>
                <w:szCs w:val="20"/>
              </w:rPr>
            </w:pPr>
            <w:r>
              <w:rPr>
                <w:b/>
                <w:noProof/>
                <w:szCs w:val="20"/>
              </w:rPr>
              <w:t>Restoring ATO staffing levels</w:t>
            </w:r>
          </w:p>
        </w:tc>
        <w:tc>
          <w:tcPr>
            <w:tcW w:w="682" w:type="pct"/>
            <w:tcBorders>
              <w:top w:val="single" w:sz="4" w:space="0" w:color="788184"/>
              <w:left w:val="single" w:sz="4" w:space="0" w:color="788184"/>
              <w:bottom w:val="single" w:sz="4" w:space="0" w:color="788184"/>
              <w:right w:val="single" w:sz="4" w:space="0" w:color="788184"/>
            </w:tcBorders>
          </w:tcPr>
          <w:p w:rsidR="003C0E7A" w:rsidRPr="006C03E1"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p>
        </w:tc>
        <w:tc>
          <w:tcPr>
            <w:tcW w:w="682" w:type="pct"/>
            <w:tcBorders>
              <w:top w:val="single" w:sz="4" w:space="0" w:color="788184"/>
              <w:left w:val="single" w:sz="4" w:space="0" w:color="788184"/>
              <w:bottom w:val="single" w:sz="4" w:space="0" w:color="788184"/>
              <w:right w:val="single" w:sz="4" w:space="0" w:color="788184"/>
            </w:tcBorders>
          </w:tcPr>
          <w:p w:rsidR="003C0E7A" w:rsidRPr="006C03E1"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p>
        </w:tc>
        <w:tc>
          <w:tcPr>
            <w:tcW w:w="682" w:type="pct"/>
            <w:tcBorders>
              <w:top w:val="single" w:sz="4" w:space="0" w:color="788184"/>
              <w:left w:val="single" w:sz="4" w:space="0" w:color="788184"/>
              <w:bottom w:val="single" w:sz="4" w:space="0" w:color="788184"/>
              <w:right w:val="single" w:sz="4" w:space="0" w:color="788184"/>
            </w:tcBorders>
          </w:tcPr>
          <w:p w:rsidR="003C0E7A" w:rsidRPr="006C03E1"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p>
        </w:tc>
        <w:tc>
          <w:tcPr>
            <w:tcW w:w="682" w:type="pct"/>
            <w:tcBorders>
              <w:top w:val="single" w:sz="4" w:space="0" w:color="788184"/>
              <w:left w:val="single" w:sz="4" w:space="0" w:color="788184"/>
              <w:bottom w:val="single" w:sz="4" w:space="0" w:color="788184"/>
              <w:right w:val="single" w:sz="4" w:space="0" w:color="788184"/>
            </w:tcBorders>
          </w:tcPr>
          <w:p w:rsidR="003C0E7A" w:rsidRPr="006C03E1"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p>
        </w:tc>
        <w:tc>
          <w:tcPr>
            <w:tcW w:w="682" w:type="pct"/>
            <w:tcBorders>
              <w:top w:val="single" w:sz="4" w:space="0" w:color="788184"/>
              <w:left w:val="single" w:sz="4" w:space="0" w:color="788184"/>
              <w:bottom w:val="single" w:sz="4" w:space="0" w:color="788184"/>
              <w:right w:val="single" w:sz="4" w:space="0" w:color="788184"/>
            </w:tcBorders>
          </w:tcPr>
          <w:p w:rsidR="003C0E7A" w:rsidRPr="006C03E1"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p>
        </w:tc>
      </w:tr>
      <w:tr w:rsidR="003C0E7A" w:rsidRPr="0066665A" w:rsidTr="00CF7D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3C0E7A" w:rsidRPr="00341E17" w:rsidRDefault="003C0E7A" w:rsidP="00341E17">
            <w:pPr>
              <w:pStyle w:val="TableTextCentred"/>
              <w:keepNext/>
              <w:keepLines/>
              <w:spacing w:line="240" w:lineRule="auto"/>
              <w:ind w:left="57" w:right="57"/>
              <w:jc w:val="left"/>
              <w:rPr>
                <w:i/>
                <w:noProof/>
                <w:szCs w:val="20"/>
              </w:rPr>
            </w:pPr>
            <w:r>
              <w:rPr>
                <w:i/>
                <w:noProof/>
                <w:szCs w:val="20"/>
              </w:rPr>
              <w:t xml:space="preserve">Departmental expense </w:t>
            </w:r>
            <w:r>
              <w:rPr>
                <w:i/>
                <w:noProof/>
                <w:szCs w:val="20"/>
              </w:rPr>
              <w:noBreakHyphen/>
              <w:t xml:space="preserve"> </w:t>
            </w:r>
            <w:r w:rsidRPr="00341E17">
              <w:rPr>
                <w:i/>
                <w:noProof/>
                <w:szCs w:val="20"/>
              </w:rPr>
              <w:t>ATO</w:t>
            </w:r>
          </w:p>
        </w:tc>
        <w:tc>
          <w:tcPr>
            <w:tcW w:w="682" w:type="pct"/>
            <w:tcBorders>
              <w:top w:val="single" w:sz="4" w:space="0" w:color="788184"/>
              <w:left w:val="single" w:sz="4" w:space="0" w:color="788184"/>
              <w:bottom w:val="single" w:sz="4" w:space="0" w:color="788184"/>
              <w:right w:val="single" w:sz="4" w:space="0" w:color="788184"/>
            </w:tcBorders>
          </w:tcPr>
          <w:p w:rsidR="003C0E7A" w:rsidRPr="00341E17" w:rsidRDefault="003C0E7A"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i/>
                <w:noProof/>
                <w:szCs w:val="20"/>
              </w:rPr>
            </w:pPr>
            <w:r w:rsidRPr="00341E17">
              <w:rPr>
                <w:i/>
                <w:noProof/>
                <w:szCs w:val="20"/>
              </w:rPr>
              <w:t>-290</w:t>
            </w:r>
            <w:r>
              <w:rPr>
                <w:i/>
                <w:noProof/>
                <w:szCs w:val="20"/>
              </w:rPr>
              <w:t>.0</w:t>
            </w:r>
          </w:p>
        </w:tc>
        <w:tc>
          <w:tcPr>
            <w:tcW w:w="682" w:type="pct"/>
            <w:tcBorders>
              <w:top w:val="single" w:sz="4" w:space="0" w:color="788184"/>
              <w:left w:val="single" w:sz="4" w:space="0" w:color="788184"/>
              <w:bottom w:val="single" w:sz="4" w:space="0" w:color="788184"/>
              <w:right w:val="single" w:sz="4" w:space="0" w:color="788184"/>
            </w:tcBorders>
          </w:tcPr>
          <w:p w:rsidR="003C0E7A" w:rsidRPr="00341E17" w:rsidRDefault="003C0E7A"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i/>
                <w:noProof/>
                <w:szCs w:val="20"/>
              </w:rPr>
            </w:pPr>
            <w:r w:rsidRPr="00341E17">
              <w:rPr>
                <w:i/>
                <w:noProof/>
                <w:szCs w:val="20"/>
              </w:rPr>
              <w:t>-400</w:t>
            </w:r>
            <w:r>
              <w:rPr>
                <w:i/>
                <w:noProof/>
                <w:szCs w:val="20"/>
              </w:rPr>
              <w:t>.0</w:t>
            </w:r>
          </w:p>
        </w:tc>
        <w:tc>
          <w:tcPr>
            <w:tcW w:w="682" w:type="pct"/>
            <w:tcBorders>
              <w:top w:val="single" w:sz="4" w:space="0" w:color="788184"/>
              <w:left w:val="single" w:sz="4" w:space="0" w:color="788184"/>
              <w:bottom w:val="single" w:sz="4" w:space="0" w:color="788184"/>
              <w:right w:val="single" w:sz="4" w:space="0" w:color="788184"/>
            </w:tcBorders>
          </w:tcPr>
          <w:p w:rsidR="003C0E7A" w:rsidRPr="00341E17" w:rsidRDefault="003C0E7A"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i/>
                <w:noProof/>
                <w:szCs w:val="20"/>
              </w:rPr>
            </w:pPr>
            <w:r w:rsidRPr="00341E17">
              <w:rPr>
                <w:i/>
                <w:noProof/>
                <w:szCs w:val="20"/>
              </w:rPr>
              <w:t>-410</w:t>
            </w:r>
            <w:r>
              <w:rPr>
                <w:i/>
                <w:noProof/>
                <w:szCs w:val="20"/>
              </w:rPr>
              <w:t>.0</w:t>
            </w:r>
          </w:p>
        </w:tc>
        <w:tc>
          <w:tcPr>
            <w:tcW w:w="682" w:type="pct"/>
            <w:tcBorders>
              <w:top w:val="single" w:sz="4" w:space="0" w:color="788184"/>
              <w:left w:val="single" w:sz="4" w:space="0" w:color="788184"/>
              <w:bottom w:val="single" w:sz="4" w:space="0" w:color="788184"/>
              <w:right w:val="single" w:sz="4" w:space="0" w:color="788184"/>
            </w:tcBorders>
          </w:tcPr>
          <w:p w:rsidR="003C0E7A" w:rsidRPr="00341E17" w:rsidRDefault="003C0E7A"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i/>
                <w:noProof/>
                <w:szCs w:val="20"/>
              </w:rPr>
            </w:pPr>
            <w:r w:rsidRPr="00341E17">
              <w:rPr>
                <w:i/>
                <w:noProof/>
                <w:szCs w:val="20"/>
              </w:rPr>
              <w:t>-460</w:t>
            </w:r>
            <w:r>
              <w:rPr>
                <w:i/>
                <w:noProof/>
                <w:szCs w:val="20"/>
              </w:rPr>
              <w:t>.0</w:t>
            </w:r>
          </w:p>
        </w:tc>
        <w:tc>
          <w:tcPr>
            <w:tcW w:w="682" w:type="pct"/>
            <w:tcBorders>
              <w:top w:val="single" w:sz="4" w:space="0" w:color="788184"/>
              <w:left w:val="single" w:sz="4" w:space="0" w:color="788184"/>
              <w:bottom w:val="single" w:sz="4" w:space="0" w:color="788184"/>
              <w:right w:val="single" w:sz="4" w:space="0" w:color="788184"/>
            </w:tcBorders>
          </w:tcPr>
          <w:p w:rsidR="003C0E7A" w:rsidRPr="00457BAB" w:rsidRDefault="003C0E7A"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b/>
                <w:i/>
                <w:noProof/>
                <w:szCs w:val="20"/>
              </w:rPr>
            </w:pPr>
            <w:r w:rsidRPr="00457BAB">
              <w:rPr>
                <w:b/>
                <w:i/>
                <w:noProof/>
                <w:szCs w:val="20"/>
              </w:rPr>
              <w:t>-1,560</w:t>
            </w:r>
            <w:r>
              <w:rPr>
                <w:b/>
                <w:i/>
                <w:noProof/>
                <w:szCs w:val="20"/>
              </w:rPr>
              <w:t>.0</w:t>
            </w:r>
          </w:p>
        </w:tc>
      </w:tr>
      <w:tr w:rsidR="003C0E7A" w:rsidRPr="0066665A" w:rsidTr="00CF7D9A">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3C0E7A" w:rsidRPr="006C03E1" w:rsidRDefault="003C0E7A" w:rsidP="004B341F">
            <w:pPr>
              <w:pStyle w:val="TableTextCentred"/>
              <w:keepNext/>
              <w:keepLines/>
              <w:spacing w:line="240" w:lineRule="auto"/>
              <w:ind w:left="57" w:right="57"/>
              <w:jc w:val="left"/>
              <w:rPr>
                <w:b/>
                <w:noProof/>
                <w:szCs w:val="20"/>
              </w:rPr>
            </w:pPr>
            <w:r>
              <w:rPr>
                <w:b/>
                <w:noProof/>
                <w:szCs w:val="20"/>
              </w:rPr>
              <w:t>Global tax diplomacy</w:t>
            </w:r>
          </w:p>
        </w:tc>
        <w:tc>
          <w:tcPr>
            <w:tcW w:w="682" w:type="pct"/>
            <w:tcBorders>
              <w:top w:val="single" w:sz="4" w:space="0" w:color="788184"/>
              <w:left w:val="single" w:sz="4" w:space="0" w:color="788184"/>
              <w:bottom w:val="single" w:sz="4" w:space="0" w:color="788184"/>
              <w:right w:val="single" w:sz="4" w:space="0" w:color="788184"/>
            </w:tcBorders>
          </w:tcPr>
          <w:p w:rsidR="003C0E7A" w:rsidRPr="006C03E1"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p>
        </w:tc>
        <w:tc>
          <w:tcPr>
            <w:tcW w:w="682" w:type="pct"/>
            <w:tcBorders>
              <w:top w:val="single" w:sz="4" w:space="0" w:color="788184"/>
              <w:left w:val="single" w:sz="4" w:space="0" w:color="788184"/>
              <w:bottom w:val="single" w:sz="4" w:space="0" w:color="788184"/>
              <w:right w:val="single" w:sz="4" w:space="0" w:color="788184"/>
            </w:tcBorders>
          </w:tcPr>
          <w:p w:rsidR="003C0E7A" w:rsidRPr="006C03E1"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p>
        </w:tc>
        <w:tc>
          <w:tcPr>
            <w:tcW w:w="682" w:type="pct"/>
            <w:tcBorders>
              <w:top w:val="single" w:sz="4" w:space="0" w:color="788184"/>
              <w:left w:val="single" w:sz="4" w:space="0" w:color="788184"/>
              <w:bottom w:val="single" w:sz="4" w:space="0" w:color="788184"/>
              <w:right w:val="single" w:sz="4" w:space="0" w:color="788184"/>
            </w:tcBorders>
          </w:tcPr>
          <w:p w:rsidR="003C0E7A" w:rsidRPr="006C03E1"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p>
        </w:tc>
        <w:tc>
          <w:tcPr>
            <w:tcW w:w="682" w:type="pct"/>
            <w:tcBorders>
              <w:top w:val="single" w:sz="4" w:space="0" w:color="788184"/>
              <w:left w:val="single" w:sz="4" w:space="0" w:color="788184"/>
              <w:bottom w:val="single" w:sz="4" w:space="0" w:color="788184"/>
              <w:right w:val="single" w:sz="4" w:space="0" w:color="788184"/>
            </w:tcBorders>
          </w:tcPr>
          <w:p w:rsidR="003C0E7A" w:rsidRPr="006C03E1"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p>
        </w:tc>
        <w:tc>
          <w:tcPr>
            <w:tcW w:w="682" w:type="pct"/>
            <w:tcBorders>
              <w:top w:val="single" w:sz="4" w:space="0" w:color="788184"/>
              <w:left w:val="single" w:sz="4" w:space="0" w:color="788184"/>
              <w:bottom w:val="single" w:sz="4" w:space="0" w:color="788184"/>
              <w:right w:val="single" w:sz="4" w:space="0" w:color="788184"/>
            </w:tcBorders>
          </w:tcPr>
          <w:p w:rsidR="003C0E7A" w:rsidRPr="006C03E1"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p>
        </w:tc>
      </w:tr>
      <w:tr w:rsidR="003C0E7A" w:rsidRPr="0066665A" w:rsidTr="00CF7D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3C0E7A" w:rsidRPr="00341E17" w:rsidRDefault="003C0E7A" w:rsidP="004B341F">
            <w:pPr>
              <w:pStyle w:val="TableTextCentred"/>
              <w:keepNext/>
              <w:keepLines/>
              <w:spacing w:line="240" w:lineRule="auto"/>
              <w:ind w:left="57" w:right="57"/>
              <w:jc w:val="left"/>
              <w:rPr>
                <w:i/>
                <w:noProof/>
                <w:szCs w:val="20"/>
              </w:rPr>
            </w:pPr>
            <w:r>
              <w:rPr>
                <w:i/>
                <w:noProof/>
                <w:szCs w:val="20"/>
              </w:rPr>
              <w:t>Departmental expense</w:t>
            </w:r>
          </w:p>
        </w:tc>
        <w:tc>
          <w:tcPr>
            <w:tcW w:w="682" w:type="pct"/>
            <w:tcBorders>
              <w:top w:val="single" w:sz="4" w:space="0" w:color="788184"/>
              <w:left w:val="single" w:sz="4" w:space="0" w:color="788184"/>
              <w:bottom w:val="single" w:sz="4" w:space="0" w:color="788184"/>
              <w:right w:val="single" w:sz="4" w:space="0" w:color="788184"/>
            </w:tcBorders>
          </w:tcPr>
          <w:p w:rsidR="003C0E7A" w:rsidRPr="00341E17" w:rsidRDefault="003C0E7A"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i/>
                <w:noProof/>
                <w:szCs w:val="20"/>
              </w:rPr>
            </w:pPr>
            <w:r w:rsidRPr="00341E17">
              <w:rPr>
                <w:i/>
                <w:noProof/>
                <w:szCs w:val="20"/>
              </w:rPr>
              <w:t>-100</w:t>
            </w:r>
            <w:r>
              <w:rPr>
                <w:i/>
                <w:noProof/>
                <w:szCs w:val="20"/>
              </w:rPr>
              <w:t>.0</w:t>
            </w:r>
          </w:p>
        </w:tc>
        <w:tc>
          <w:tcPr>
            <w:tcW w:w="682" w:type="pct"/>
            <w:tcBorders>
              <w:top w:val="single" w:sz="4" w:space="0" w:color="788184"/>
              <w:left w:val="single" w:sz="4" w:space="0" w:color="788184"/>
              <w:bottom w:val="single" w:sz="4" w:space="0" w:color="788184"/>
              <w:right w:val="single" w:sz="4" w:space="0" w:color="788184"/>
            </w:tcBorders>
          </w:tcPr>
          <w:p w:rsidR="003C0E7A" w:rsidRPr="00341E17" w:rsidRDefault="003C0E7A"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i/>
                <w:noProof/>
                <w:szCs w:val="20"/>
              </w:rPr>
            </w:pPr>
            <w:r w:rsidRPr="00341E17">
              <w:rPr>
                <w:i/>
                <w:noProof/>
                <w:szCs w:val="20"/>
              </w:rPr>
              <w:t>-100</w:t>
            </w:r>
            <w:r>
              <w:rPr>
                <w:i/>
                <w:noProof/>
                <w:szCs w:val="20"/>
              </w:rPr>
              <w:t>.0</w:t>
            </w:r>
          </w:p>
        </w:tc>
        <w:tc>
          <w:tcPr>
            <w:tcW w:w="682" w:type="pct"/>
            <w:tcBorders>
              <w:top w:val="single" w:sz="4" w:space="0" w:color="788184"/>
              <w:left w:val="single" w:sz="4" w:space="0" w:color="788184"/>
              <w:bottom w:val="single" w:sz="4" w:space="0" w:color="788184"/>
              <w:right w:val="single" w:sz="4" w:space="0" w:color="788184"/>
            </w:tcBorders>
          </w:tcPr>
          <w:p w:rsidR="003C0E7A" w:rsidRPr="00341E17" w:rsidRDefault="003C0E7A"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i/>
                <w:noProof/>
                <w:szCs w:val="20"/>
              </w:rPr>
            </w:pPr>
            <w:r w:rsidRPr="00341E17">
              <w:rPr>
                <w:i/>
                <w:noProof/>
                <w:szCs w:val="20"/>
              </w:rPr>
              <w:t>-100</w:t>
            </w:r>
            <w:r>
              <w:rPr>
                <w:i/>
                <w:noProof/>
                <w:szCs w:val="20"/>
              </w:rPr>
              <w:t>.0</w:t>
            </w:r>
          </w:p>
        </w:tc>
        <w:tc>
          <w:tcPr>
            <w:tcW w:w="682" w:type="pct"/>
            <w:tcBorders>
              <w:top w:val="single" w:sz="4" w:space="0" w:color="788184"/>
              <w:left w:val="single" w:sz="4" w:space="0" w:color="788184"/>
              <w:bottom w:val="single" w:sz="4" w:space="0" w:color="788184"/>
              <w:right w:val="single" w:sz="4" w:space="0" w:color="788184"/>
            </w:tcBorders>
          </w:tcPr>
          <w:p w:rsidR="003C0E7A" w:rsidRPr="00341E17" w:rsidRDefault="003C0E7A"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i/>
                <w:noProof/>
                <w:szCs w:val="20"/>
              </w:rPr>
            </w:pPr>
            <w:r w:rsidRPr="00341E17">
              <w:rPr>
                <w:i/>
                <w:noProof/>
                <w:szCs w:val="20"/>
              </w:rPr>
              <w:t>-100</w:t>
            </w:r>
            <w:r>
              <w:rPr>
                <w:i/>
                <w:noProof/>
                <w:szCs w:val="20"/>
              </w:rPr>
              <w:t>.0</w:t>
            </w:r>
          </w:p>
        </w:tc>
        <w:tc>
          <w:tcPr>
            <w:tcW w:w="682" w:type="pct"/>
            <w:tcBorders>
              <w:top w:val="single" w:sz="4" w:space="0" w:color="788184"/>
              <w:left w:val="single" w:sz="4" w:space="0" w:color="788184"/>
              <w:bottom w:val="single" w:sz="4" w:space="0" w:color="788184"/>
              <w:right w:val="single" w:sz="4" w:space="0" w:color="788184"/>
            </w:tcBorders>
          </w:tcPr>
          <w:p w:rsidR="003C0E7A" w:rsidRPr="00457BAB" w:rsidRDefault="003C0E7A" w:rsidP="00696186">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b/>
                <w:i/>
                <w:noProof/>
                <w:szCs w:val="20"/>
              </w:rPr>
            </w:pPr>
            <w:r w:rsidRPr="00457BAB">
              <w:rPr>
                <w:b/>
                <w:i/>
                <w:noProof/>
                <w:szCs w:val="20"/>
              </w:rPr>
              <w:t>-400</w:t>
            </w:r>
            <w:r>
              <w:rPr>
                <w:b/>
                <w:i/>
                <w:noProof/>
                <w:szCs w:val="20"/>
              </w:rPr>
              <w:t>.0</w:t>
            </w:r>
          </w:p>
        </w:tc>
      </w:tr>
      <w:tr w:rsidR="003C0E7A" w:rsidRPr="00457BAB" w:rsidTr="00CF7D9A">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3C0E7A" w:rsidRPr="004F45A8" w:rsidRDefault="003C0E7A" w:rsidP="00CF7D9A">
            <w:pPr>
              <w:pStyle w:val="TableTextCentred"/>
              <w:keepNext/>
              <w:keepLines/>
              <w:spacing w:line="240" w:lineRule="auto"/>
              <w:ind w:left="57" w:right="57"/>
              <w:jc w:val="left"/>
              <w:rPr>
                <w:b/>
                <w:noProof/>
                <w:szCs w:val="20"/>
              </w:rPr>
            </w:pPr>
            <w:r w:rsidRPr="004F45A8">
              <w:rPr>
                <w:b/>
                <w:noProof/>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3C0E7A" w:rsidRPr="004F45A8"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r w:rsidRPr="004F45A8">
              <w:rPr>
                <w:b/>
                <w:noProof/>
                <w:szCs w:val="20"/>
              </w:rPr>
              <w:t>-390.0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3C0E7A" w:rsidRPr="004F45A8"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r w:rsidRPr="004F45A8">
              <w:rPr>
                <w:b/>
                <w:noProof/>
                <w:szCs w:val="20"/>
              </w:rPr>
              <w:t>-500.0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3C0E7A" w:rsidRPr="004F45A8"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r w:rsidRPr="004F45A8">
              <w:rPr>
                <w:b/>
                <w:noProof/>
                <w:szCs w:val="20"/>
              </w:rPr>
              <w:t>-510.0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3C0E7A" w:rsidRPr="004F45A8"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r w:rsidRPr="004F45A8">
              <w:rPr>
                <w:b/>
                <w:noProof/>
                <w:szCs w:val="20"/>
              </w:rPr>
              <w:t>-560.0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3C0E7A" w:rsidRPr="004F45A8" w:rsidRDefault="003C0E7A" w:rsidP="00696186">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noProof/>
                <w:szCs w:val="20"/>
              </w:rPr>
            </w:pPr>
            <w:r w:rsidRPr="004F45A8">
              <w:rPr>
                <w:b/>
                <w:noProof/>
                <w:szCs w:val="20"/>
              </w:rPr>
              <w:t>-1,960.0</w:t>
            </w:r>
          </w:p>
        </w:tc>
      </w:tr>
    </w:tbl>
    <w:p w:rsidR="004B2777" w:rsidRDefault="004B2777" w:rsidP="00041417">
      <w:pPr>
        <w:pStyle w:val="Footnotes"/>
        <w:numPr>
          <w:ilvl w:val="0"/>
          <w:numId w:val="18"/>
        </w:numPr>
        <w:ind w:left="284" w:hanging="284"/>
      </w:pPr>
      <w:r>
        <w:t xml:space="preserve">A positive number indicates an increase in revenue or a decrease in expenses or net capital investment in accrual and cash terms. </w:t>
      </w:r>
      <w:r w:rsidR="00C75D30">
        <w:t xml:space="preserve"> </w:t>
      </w:r>
      <w:r>
        <w:t>A negative number indicates a decrease in revenue or an increase in expenses or net capital investment in accrual and cash terms.</w:t>
      </w:r>
    </w:p>
    <w:p w:rsidR="00485374" w:rsidRPr="00FC6579" w:rsidRDefault="004B2777" w:rsidP="00041417">
      <w:pPr>
        <w:pStyle w:val="Footnotes"/>
        <w:numPr>
          <w:ilvl w:val="0"/>
          <w:numId w:val="18"/>
        </w:numPr>
        <w:ind w:left="284" w:hanging="284"/>
      </w:pPr>
      <w:r>
        <w:t>Figures may not sum to totals due to rounding.</w:t>
      </w:r>
    </w:p>
    <w:sectPr w:rsidR="00485374" w:rsidRPr="00FC6579" w:rsidSect="00E16082">
      <w:headerReference w:type="first" r:id="rId17"/>
      <w:footerReference w:type="first" r:id="rId18"/>
      <w:pgSz w:w="11906" w:h="16838"/>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AE2" w:rsidRDefault="002A0AE2" w:rsidP="008F588A">
      <w:pPr>
        <w:spacing w:line="240" w:lineRule="auto"/>
      </w:pPr>
      <w:r>
        <w:separator/>
      </w:r>
    </w:p>
    <w:p w:rsidR="002A0AE2" w:rsidRDefault="002A0AE2"/>
  </w:endnote>
  <w:endnote w:type="continuationSeparator" w:id="0">
    <w:p w:rsidR="002A0AE2" w:rsidRDefault="002A0AE2" w:rsidP="008F588A">
      <w:pPr>
        <w:spacing w:line="240" w:lineRule="auto"/>
      </w:pPr>
      <w:r>
        <w:continuationSeparator/>
      </w:r>
    </w:p>
    <w:p w:rsidR="002A0AE2" w:rsidRDefault="002A0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E2" w:rsidRPr="00C24267" w:rsidRDefault="002A0AE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9D7836">
      <w:rPr>
        <w:noProof/>
      </w:rPr>
      <w:t>3</w:t>
    </w:r>
    <w:r w:rsidRPr="00C24267">
      <w:fldChar w:fldCharType="end"/>
    </w:r>
    <w:r w:rsidRPr="00C24267">
      <w:t xml:space="preserve"> of </w:t>
    </w:r>
    <w:fldSimple w:instr=" NUMPAGES  \* Arabic  \* MERGEFORMAT ">
      <w:r w:rsidR="009D7836">
        <w:rPr>
          <w:noProof/>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E2" w:rsidRPr="00C24267" w:rsidRDefault="002A0AE2" w:rsidP="00C24267">
    <w:pPr>
      <w:pStyle w:val="Letterfooter"/>
    </w:pPr>
    <w:r w:rsidRPr="00C24267">
      <w:t>Parliamentary Budget Office   PO Box 6010   Parliament House   Canberra ACT 2600</w:t>
    </w:r>
  </w:p>
  <w:p w:rsidR="002A0AE2" w:rsidRPr="00C24267" w:rsidRDefault="002A0AE2"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E2" w:rsidRPr="00C24267" w:rsidRDefault="002A0AE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9D7836">
      <w:rPr>
        <w:noProof/>
      </w:rPr>
      <w:t>2</w:t>
    </w:r>
    <w:r w:rsidRPr="00C24267">
      <w:fldChar w:fldCharType="end"/>
    </w:r>
    <w:r w:rsidRPr="00C24267">
      <w:t xml:space="preserve"> of </w:t>
    </w:r>
    <w:fldSimple w:instr=" NUMPAGES  \* Arabic  \* MERGEFORMAT ">
      <w:r w:rsidR="009D7836">
        <w:rPr>
          <w:noProof/>
        </w:rPr>
        <w:t>4</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E2" w:rsidRPr="00C24267" w:rsidRDefault="002A0AE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9D7836">
      <w:rPr>
        <w:noProof/>
      </w:rPr>
      <w:t>4</w:t>
    </w:r>
    <w:r w:rsidRPr="00C24267">
      <w:fldChar w:fldCharType="end"/>
    </w:r>
    <w:r w:rsidRPr="00C24267">
      <w:t xml:space="preserve"> of </w:t>
    </w:r>
    <w:fldSimple w:instr=" NUMPAGES  \* Arabic  \* MERGEFORMAT ">
      <w:r w:rsidR="009D7836">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AE2" w:rsidRDefault="002A0AE2" w:rsidP="008F588A">
      <w:pPr>
        <w:spacing w:line="240" w:lineRule="auto"/>
      </w:pPr>
      <w:r>
        <w:separator/>
      </w:r>
    </w:p>
    <w:p w:rsidR="002A0AE2" w:rsidRDefault="002A0AE2"/>
  </w:footnote>
  <w:footnote w:type="continuationSeparator" w:id="0">
    <w:p w:rsidR="002A0AE2" w:rsidRDefault="002A0AE2" w:rsidP="008F588A">
      <w:pPr>
        <w:spacing w:line="240" w:lineRule="auto"/>
      </w:pPr>
      <w:r>
        <w:continuationSeparator/>
      </w:r>
    </w:p>
    <w:p w:rsidR="002A0AE2" w:rsidRDefault="002A0A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E2" w:rsidRPr="000E5E6E" w:rsidRDefault="002A0AE2" w:rsidP="00C17112">
    <w:pPr>
      <w:pStyle w:val="Header"/>
      <w:spacing w:before="0" w:after="0"/>
      <w:jc w:val="right"/>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E2" w:rsidRDefault="002A0AE2" w:rsidP="00CB40E1">
    <w:pPr>
      <w:pStyle w:val="Header"/>
    </w:pPr>
    <w:r>
      <w:rPr>
        <w:noProof/>
        <w:lang w:eastAsia="en-AU"/>
      </w:rPr>
      <w:drawing>
        <wp:inline distT="0" distB="0" distL="0" distR="0" wp14:anchorId="5C358E3D" wp14:editId="0D9EAC5B">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2A0AE2" w:rsidRPr="00DA1C8A" w:rsidRDefault="002A0AE2" w:rsidP="00002D5D">
    <w:pPr>
      <w:pStyle w:val="PBOheader"/>
      <w:spacing w:before="720"/>
      <w:ind w:left="5783"/>
      <w:rPr>
        <w:b w:val="0"/>
      </w:rPr>
    </w:pPr>
    <w:r>
      <w:t>P</w:t>
    </w:r>
    <w:r w:rsidRPr="009030A0">
      <w:t>hil Bowen PSM FCPA</w:t>
    </w:r>
    <w:r>
      <w:br/>
    </w:r>
    <w:r w:rsidRPr="009030A0">
      <w:t>Parliamentary Budget Officer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E2" w:rsidRPr="00C17112" w:rsidRDefault="002A0AE2" w:rsidP="00C17112">
    <w:pPr>
      <w:pStyle w:val="Header"/>
    </w:pPr>
    <w:r>
      <w:rPr>
        <w:noProof/>
        <w:lang w:eastAsia="en-AU"/>
      </w:rPr>
      <w:drawing>
        <wp:inline distT="0" distB="0" distL="0" distR="0" wp14:anchorId="27C77B99" wp14:editId="2ADD67F6">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E2" w:rsidRPr="000E5E6E" w:rsidRDefault="002A0AE2" w:rsidP="00C17112">
    <w:pPr>
      <w:pStyle w:val="Header"/>
      <w:spacing w:before="0" w:after="0"/>
      <w:jc w:val="right"/>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D745448"/>
    <w:multiLevelType w:val="multilevel"/>
    <w:tmpl w:val="1CA8BD68"/>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5">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6">
    <w:nsid w:val="260E18FA"/>
    <w:multiLevelType w:val="hybridMultilevel"/>
    <w:tmpl w:val="BC14B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0E45E35"/>
    <w:multiLevelType w:val="hybridMultilevel"/>
    <w:tmpl w:val="06D462A6"/>
    <w:lvl w:ilvl="0" w:tplc="92368850">
      <w:start w:val="2"/>
      <w:numFmt w:val="lowerLetter"/>
      <w:pStyle w:val="Footnotes"/>
      <w:lvlText w:val="(%1)"/>
      <w:lvlJc w:val="left"/>
      <w:pPr>
        <w:ind w:left="360" w:hanging="360"/>
      </w:pPr>
      <w:rPr>
        <w:rFonts w:hint="default"/>
      </w:rPr>
    </w:lvl>
    <w:lvl w:ilvl="1" w:tplc="52C27618">
      <w:numFmt w:val="bullet"/>
      <w:lvlText w:val="•"/>
      <w:lvlJc w:val="left"/>
      <w:pPr>
        <w:ind w:left="1327" w:hanging="720"/>
      </w:pPr>
      <w:rPr>
        <w:rFonts w:ascii="Calibri" w:eastAsiaTheme="minorHAnsi" w:hAnsi="Calibri" w:cstheme="minorBidi" w:hint="default"/>
      </w:r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8">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nsid w:val="79EA63D9"/>
    <w:multiLevelType w:val="hybridMultilevel"/>
    <w:tmpl w:val="92E4AE7E"/>
    <w:lvl w:ilvl="0" w:tplc="CC7AE5C8">
      <w:start w:val="1"/>
      <w:numFmt w:val="lowerLetter"/>
      <w:lvlText w:val="(%1)"/>
      <w:lvlJc w:val="left"/>
      <w:pPr>
        <w:ind w:left="360" w:hanging="360"/>
      </w:pPr>
      <w:rPr>
        <w:rFonts w:asciiTheme="minorHAnsi" w:hAnsiTheme="minorHAnsi" w:hint="default"/>
      </w:r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2"/>
  </w:num>
  <w:num w:numId="2">
    <w:abstractNumId w:val="5"/>
  </w:num>
  <w:num w:numId="3">
    <w:abstractNumId w:val="3"/>
  </w:num>
  <w:num w:numId="4">
    <w:abstractNumId w:val="4"/>
  </w:num>
  <w:num w:numId="5">
    <w:abstractNumId w:val="8"/>
  </w:num>
  <w:num w:numId="6">
    <w:abstractNumId w:val="7"/>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1"/>
  </w:num>
  <w:num w:numId="12">
    <w:abstractNumId w:val="0"/>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6"/>
  </w:num>
  <w:num w:numId="18">
    <w:abstractNumId w:val="7"/>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A6D"/>
    <w:rsid w:val="00002D5D"/>
    <w:rsid w:val="00005473"/>
    <w:rsid w:val="00015FB2"/>
    <w:rsid w:val="00040DCE"/>
    <w:rsid w:val="00041417"/>
    <w:rsid w:val="0004514C"/>
    <w:rsid w:val="00060F22"/>
    <w:rsid w:val="00096F3A"/>
    <w:rsid w:val="000C1A75"/>
    <w:rsid w:val="000E5E6E"/>
    <w:rsid w:val="00117594"/>
    <w:rsid w:val="001236E5"/>
    <w:rsid w:val="001278D0"/>
    <w:rsid w:val="0014239B"/>
    <w:rsid w:val="00145EB8"/>
    <w:rsid w:val="00152035"/>
    <w:rsid w:val="00177F5F"/>
    <w:rsid w:val="001A02D1"/>
    <w:rsid w:val="002201F8"/>
    <w:rsid w:val="00220BE5"/>
    <w:rsid w:val="002240A7"/>
    <w:rsid w:val="002420ED"/>
    <w:rsid w:val="002422A3"/>
    <w:rsid w:val="00274909"/>
    <w:rsid w:val="00293470"/>
    <w:rsid w:val="002A0AE2"/>
    <w:rsid w:val="002A6C9B"/>
    <w:rsid w:val="002B36E7"/>
    <w:rsid w:val="00315E34"/>
    <w:rsid w:val="00322BD3"/>
    <w:rsid w:val="00326DE2"/>
    <w:rsid w:val="00341E17"/>
    <w:rsid w:val="0035556A"/>
    <w:rsid w:val="003668FA"/>
    <w:rsid w:val="003C0E7A"/>
    <w:rsid w:val="003D7744"/>
    <w:rsid w:val="003E4F5F"/>
    <w:rsid w:val="003F73CA"/>
    <w:rsid w:val="00410A2C"/>
    <w:rsid w:val="00422000"/>
    <w:rsid w:val="00440E32"/>
    <w:rsid w:val="00457BAB"/>
    <w:rsid w:val="00461597"/>
    <w:rsid w:val="00467F4E"/>
    <w:rsid w:val="00485374"/>
    <w:rsid w:val="004B2777"/>
    <w:rsid w:val="004B341F"/>
    <w:rsid w:val="004C283B"/>
    <w:rsid w:val="004D13ED"/>
    <w:rsid w:val="004D5525"/>
    <w:rsid w:val="004F45A8"/>
    <w:rsid w:val="00502996"/>
    <w:rsid w:val="005035DA"/>
    <w:rsid w:val="00507897"/>
    <w:rsid w:val="00515A85"/>
    <w:rsid w:val="00521E2E"/>
    <w:rsid w:val="00545F24"/>
    <w:rsid w:val="0055581F"/>
    <w:rsid w:val="0056229A"/>
    <w:rsid w:val="00570154"/>
    <w:rsid w:val="00570B5A"/>
    <w:rsid w:val="00587422"/>
    <w:rsid w:val="005A247E"/>
    <w:rsid w:val="005B1A4A"/>
    <w:rsid w:val="005B7B75"/>
    <w:rsid w:val="005C6967"/>
    <w:rsid w:val="005E3562"/>
    <w:rsid w:val="005E43A4"/>
    <w:rsid w:val="005F7DE0"/>
    <w:rsid w:val="00624A62"/>
    <w:rsid w:val="00640346"/>
    <w:rsid w:val="00660385"/>
    <w:rsid w:val="00662E65"/>
    <w:rsid w:val="0066665A"/>
    <w:rsid w:val="00692DD8"/>
    <w:rsid w:val="00696186"/>
    <w:rsid w:val="006962C0"/>
    <w:rsid w:val="006C03E1"/>
    <w:rsid w:val="006E28B5"/>
    <w:rsid w:val="006E5742"/>
    <w:rsid w:val="006F0CE9"/>
    <w:rsid w:val="007202A8"/>
    <w:rsid w:val="007229A9"/>
    <w:rsid w:val="00731283"/>
    <w:rsid w:val="0073343F"/>
    <w:rsid w:val="00734B0B"/>
    <w:rsid w:val="00737773"/>
    <w:rsid w:val="007B029A"/>
    <w:rsid w:val="007D33AA"/>
    <w:rsid w:val="007D3577"/>
    <w:rsid w:val="007F7BCF"/>
    <w:rsid w:val="00801090"/>
    <w:rsid w:val="008030EC"/>
    <w:rsid w:val="008054C4"/>
    <w:rsid w:val="00811D6D"/>
    <w:rsid w:val="00817E8E"/>
    <w:rsid w:val="0084012F"/>
    <w:rsid w:val="00841C3A"/>
    <w:rsid w:val="008425DF"/>
    <w:rsid w:val="00844776"/>
    <w:rsid w:val="008850D9"/>
    <w:rsid w:val="00893449"/>
    <w:rsid w:val="008A4578"/>
    <w:rsid w:val="008C03C3"/>
    <w:rsid w:val="008D3909"/>
    <w:rsid w:val="008D6ECA"/>
    <w:rsid w:val="008F588A"/>
    <w:rsid w:val="00902D2D"/>
    <w:rsid w:val="00915804"/>
    <w:rsid w:val="00921AF5"/>
    <w:rsid w:val="00957285"/>
    <w:rsid w:val="009573AF"/>
    <w:rsid w:val="00957D06"/>
    <w:rsid w:val="0096726A"/>
    <w:rsid w:val="00977D7B"/>
    <w:rsid w:val="00987B0A"/>
    <w:rsid w:val="009963ED"/>
    <w:rsid w:val="009D4063"/>
    <w:rsid w:val="009D7836"/>
    <w:rsid w:val="009F6C6E"/>
    <w:rsid w:val="00A3273A"/>
    <w:rsid w:val="00A342BA"/>
    <w:rsid w:val="00A41BD3"/>
    <w:rsid w:val="00A449C2"/>
    <w:rsid w:val="00A5361F"/>
    <w:rsid w:val="00A65EA3"/>
    <w:rsid w:val="00A7322F"/>
    <w:rsid w:val="00A85A56"/>
    <w:rsid w:val="00AA3D6F"/>
    <w:rsid w:val="00AA5037"/>
    <w:rsid w:val="00AB55AE"/>
    <w:rsid w:val="00AB6F7D"/>
    <w:rsid w:val="00AC7878"/>
    <w:rsid w:val="00AD493E"/>
    <w:rsid w:val="00AE30B5"/>
    <w:rsid w:val="00AE5755"/>
    <w:rsid w:val="00AF3BF3"/>
    <w:rsid w:val="00B06055"/>
    <w:rsid w:val="00B13B2D"/>
    <w:rsid w:val="00B44D8A"/>
    <w:rsid w:val="00B73AC8"/>
    <w:rsid w:val="00B747A7"/>
    <w:rsid w:val="00BA2345"/>
    <w:rsid w:val="00BA2BBF"/>
    <w:rsid w:val="00BC559C"/>
    <w:rsid w:val="00C021B4"/>
    <w:rsid w:val="00C14A1A"/>
    <w:rsid w:val="00C17112"/>
    <w:rsid w:val="00C24267"/>
    <w:rsid w:val="00C31B60"/>
    <w:rsid w:val="00C75D30"/>
    <w:rsid w:val="00C82349"/>
    <w:rsid w:val="00CA12A0"/>
    <w:rsid w:val="00CA5D42"/>
    <w:rsid w:val="00CB40E1"/>
    <w:rsid w:val="00CC6E31"/>
    <w:rsid w:val="00CC7351"/>
    <w:rsid w:val="00CF6DB6"/>
    <w:rsid w:val="00CF7D9A"/>
    <w:rsid w:val="00D134CA"/>
    <w:rsid w:val="00D1458A"/>
    <w:rsid w:val="00D233A3"/>
    <w:rsid w:val="00D52D5F"/>
    <w:rsid w:val="00D75D00"/>
    <w:rsid w:val="00D949A3"/>
    <w:rsid w:val="00D94E43"/>
    <w:rsid w:val="00DA1C8A"/>
    <w:rsid w:val="00DA3B55"/>
    <w:rsid w:val="00DB44F0"/>
    <w:rsid w:val="00DB7534"/>
    <w:rsid w:val="00DC6F13"/>
    <w:rsid w:val="00DD109E"/>
    <w:rsid w:val="00DD3A71"/>
    <w:rsid w:val="00DD3E18"/>
    <w:rsid w:val="00DE7B13"/>
    <w:rsid w:val="00E12103"/>
    <w:rsid w:val="00E15AAE"/>
    <w:rsid w:val="00E16082"/>
    <w:rsid w:val="00E21184"/>
    <w:rsid w:val="00E40B8B"/>
    <w:rsid w:val="00E5742E"/>
    <w:rsid w:val="00E81A6D"/>
    <w:rsid w:val="00E94339"/>
    <w:rsid w:val="00EA265F"/>
    <w:rsid w:val="00EA5685"/>
    <w:rsid w:val="00ED136C"/>
    <w:rsid w:val="00ED43FF"/>
    <w:rsid w:val="00EE6600"/>
    <w:rsid w:val="00EF1D6A"/>
    <w:rsid w:val="00EF2E51"/>
    <w:rsid w:val="00F21865"/>
    <w:rsid w:val="00F234F7"/>
    <w:rsid w:val="00F31E24"/>
    <w:rsid w:val="00F4535C"/>
    <w:rsid w:val="00F45883"/>
    <w:rsid w:val="00F52474"/>
    <w:rsid w:val="00F5529D"/>
    <w:rsid w:val="00F5669E"/>
    <w:rsid w:val="00F75D33"/>
    <w:rsid w:val="00F82089"/>
    <w:rsid w:val="00F954CF"/>
    <w:rsid w:val="00F97DFF"/>
    <w:rsid w:val="00FA03F2"/>
    <w:rsid w:val="00FC6579"/>
    <w:rsid w:val="00FD3FB3"/>
    <w:rsid w:val="00FE105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character" w:styleId="FollowedHyperlink">
    <w:name w:val="FollowedHyperlink"/>
    <w:basedOn w:val="DefaultParagraphFont"/>
    <w:uiPriority w:val="99"/>
    <w:semiHidden/>
    <w:unhideWhenUsed/>
    <w:rsid w:val="0084012F"/>
    <w:rPr>
      <w:color w:val="800080" w:themeColor="followedHyperlink"/>
      <w:u w:val="single"/>
    </w:rPr>
  </w:style>
  <w:style w:type="character" w:styleId="CommentReference">
    <w:name w:val="annotation reference"/>
    <w:basedOn w:val="DefaultParagraphFont"/>
    <w:uiPriority w:val="99"/>
    <w:semiHidden/>
    <w:unhideWhenUsed/>
    <w:rsid w:val="00145EB8"/>
    <w:rPr>
      <w:sz w:val="16"/>
      <w:szCs w:val="16"/>
    </w:rPr>
  </w:style>
  <w:style w:type="paragraph" w:styleId="CommentText">
    <w:name w:val="annotation text"/>
    <w:basedOn w:val="Normal"/>
    <w:link w:val="CommentTextChar"/>
    <w:uiPriority w:val="99"/>
    <w:semiHidden/>
    <w:unhideWhenUsed/>
    <w:rsid w:val="00145EB8"/>
    <w:pPr>
      <w:spacing w:line="240" w:lineRule="auto"/>
    </w:pPr>
    <w:rPr>
      <w:sz w:val="20"/>
      <w:szCs w:val="20"/>
    </w:rPr>
  </w:style>
  <w:style w:type="character" w:customStyle="1" w:styleId="CommentTextChar">
    <w:name w:val="Comment Text Char"/>
    <w:basedOn w:val="DefaultParagraphFont"/>
    <w:link w:val="CommentText"/>
    <w:uiPriority w:val="99"/>
    <w:semiHidden/>
    <w:rsid w:val="00145EB8"/>
    <w:rPr>
      <w:sz w:val="20"/>
      <w:szCs w:val="20"/>
    </w:rPr>
  </w:style>
  <w:style w:type="paragraph" w:styleId="CommentSubject">
    <w:name w:val="annotation subject"/>
    <w:basedOn w:val="CommentText"/>
    <w:next w:val="CommentText"/>
    <w:link w:val="CommentSubjectChar"/>
    <w:uiPriority w:val="99"/>
    <w:semiHidden/>
    <w:unhideWhenUsed/>
    <w:rsid w:val="00145EB8"/>
    <w:rPr>
      <w:b/>
      <w:bCs/>
    </w:rPr>
  </w:style>
  <w:style w:type="character" w:customStyle="1" w:styleId="CommentSubjectChar">
    <w:name w:val="Comment Subject Char"/>
    <w:basedOn w:val="CommentTextChar"/>
    <w:link w:val="CommentSubject"/>
    <w:uiPriority w:val="99"/>
    <w:semiHidden/>
    <w:rsid w:val="00145EB8"/>
    <w:rPr>
      <w:b/>
      <w:bCs/>
      <w:sz w:val="20"/>
      <w:szCs w:val="20"/>
    </w:rPr>
  </w:style>
  <w:style w:type="paragraph" w:styleId="Revision">
    <w:name w:val="Revision"/>
    <w:hidden/>
    <w:uiPriority w:val="99"/>
    <w:semiHidden/>
    <w:rsid w:val="00145E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character" w:styleId="FollowedHyperlink">
    <w:name w:val="FollowedHyperlink"/>
    <w:basedOn w:val="DefaultParagraphFont"/>
    <w:uiPriority w:val="99"/>
    <w:semiHidden/>
    <w:unhideWhenUsed/>
    <w:rsid w:val="0084012F"/>
    <w:rPr>
      <w:color w:val="800080" w:themeColor="followedHyperlink"/>
      <w:u w:val="single"/>
    </w:rPr>
  </w:style>
  <w:style w:type="character" w:styleId="CommentReference">
    <w:name w:val="annotation reference"/>
    <w:basedOn w:val="DefaultParagraphFont"/>
    <w:uiPriority w:val="99"/>
    <w:semiHidden/>
    <w:unhideWhenUsed/>
    <w:rsid w:val="00145EB8"/>
    <w:rPr>
      <w:sz w:val="16"/>
      <w:szCs w:val="16"/>
    </w:rPr>
  </w:style>
  <w:style w:type="paragraph" w:styleId="CommentText">
    <w:name w:val="annotation text"/>
    <w:basedOn w:val="Normal"/>
    <w:link w:val="CommentTextChar"/>
    <w:uiPriority w:val="99"/>
    <w:semiHidden/>
    <w:unhideWhenUsed/>
    <w:rsid w:val="00145EB8"/>
    <w:pPr>
      <w:spacing w:line="240" w:lineRule="auto"/>
    </w:pPr>
    <w:rPr>
      <w:sz w:val="20"/>
      <w:szCs w:val="20"/>
    </w:rPr>
  </w:style>
  <w:style w:type="character" w:customStyle="1" w:styleId="CommentTextChar">
    <w:name w:val="Comment Text Char"/>
    <w:basedOn w:val="DefaultParagraphFont"/>
    <w:link w:val="CommentText"/>
    <w:uiPriority w:val="99"/>
    <w:semiHidden/>
    <w:rsid w:val="00145EB8"/>
    <w:rPr>
      <w:sz w:val="20"/>
      <w:szCs w:val="20"/>
    </w:rPr>
  </w:style>
  <w:style w:type="paragraph" w:styleId="CommentSubject">
    <w:name w:val="annotation subject"/>
    <w:basedOn w:val="CommentText"/>
    <w:next w:val="CommentText"/>
    <w:link w:val="CommentSubjectChar"/>
    <w:uiPriority w:val="99"/>
    <w:semiHidden/>
    <w:unhideWhenUsed/>
    <w:rsid w:val="00145EB8"/>
    <w:rPr>
      <w:b/>
      <w:bCs/>
    </w:rPr>
  </w:style>
  <w:style w:type="character" w:customStyle="1" w:styleId="CommentSubjectChar">
    <w:name w:val="Comment Subject Char"/>
    <w:basedOn w:val="CommentTextChar"/>
    <w:link w:val="CommentSubject"/>
    <w:uiPriority w:val="99"/>
    <w:semiHidden/>
    <w:rsid w:val="00145EB8"/>
    <w:rPr>
      <w:b/>
      <w:bCs/>
      <w:sz w:val="20"/>
      <w:szCs w:val="20"/>
    </w:rPr>
  </w:style>
  <w:style w:type="paragraph" w:styleId="Revision">
    <w:name w:val="Revision"/>
    <w:hidden/>
    <w:uiPriority w:val="99"/>
    <w:semiHidden/>
    <w:rsid w:val="00145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44716">
      <w:bodyDiv w:val="1"/>
      <w:marLeft w:val="0"/>
      <w:marRight w:val="0"/>
      <w:marTop w:val="0"/>
      <w:marBottom w:val="0"/>
      <w:divBdr>
        <w:top w:val="none" w:sz="0" w:space="0" w:color="auto"/>
        <w:left w:val="none" w:sz="0" w:space="0" w:color="auto"/>
        <w:bottom w:val="none" w:sz="0" w:space="0" w:color="auto"/>
        <w:right w:val="none" w:sz="0" w:space="0" w:color="auto"/>
      </w:divBdr>
    </w:div>
    <w:div w:id="15410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yperlink" Target="http://greens.org.au/sites/greens.org.au/files/Tax%20Avoidance%20Package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685EB01-2518-465A-8C6B-65AEAAF8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4</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PBO - GRN010 - Ending Tax Avoidance: Restoring Staff to the Tax Office</vt:lpstr>
    </vt:vector>
  </TitlesOfParts>
  <Company>Parliament of Australia</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GRN010 - Ending Tax Avoidance: Restoring Staff to the Tax Office</dc:title>
  <dc:creator>Parliamentary Budget Office</dc:creator>
  <cp:lastModifiedBy>Milligan, Louise (PBO)</cp:lastModifiedBy>
  <cp:revision>12</cp:revision>
  <cp:lastPrinted>2016-06-25T06:25:00Z</cp:lastPrinted>
  <dcterms:created xsi:type="dcterms:W3CDTF">2016-06-25T10:18:00Z</dcterms:created>
  <dcterms:modified xsi:type="dcterms:W3CDTF">2016-06-27T01:41:00Z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