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C3" w:rsidRPr="004343A3" w:rsidRDefault="00F03DC3" w:rsidP="00A13308">
      <w:pPr>
        <w:spacing w:before="1560" w:after="0" w:line="240" w:lineRule="auto"/>
        <w:rPr>
          <w:rFonts w:ascii="Times New Roman" w:hAnsi="Times New Roman" w:cs="Times New Roman"/>
          <w:sz w:val="24"/>
          <w:szCs w:val="24"/>
        </w:rPr>
      </w:pPr>
      <w:r w:rsidRPr="004343A3">
        <w:rPr>
          <w:rFonts w:ascii="Times New Roman" w:hAnsi="Times New Roman" w:cs="Times New Roman"/>
          <w:sz w:val="24"/>
          <w:szCs w:val="24"/>
        </w:rPr>
        <w:t>Senator Richard Di Natale</w:t>
      </w:r>
    </w:p>
    <w:p w:rsidR="00F03DC3" w:rsidRDefault="00F03DC3" w:rsidP="00F03DC3">
      <w:pPr>
        <w:spacing w:before="0" w:after="0" w:line="240" w:lineRule="auto"/>
        <w:rPr>
          <w:rFonts w:ascii="Times New Roman" w:hAnsi="Times New Roman" w:cs="Times New Roman"/>
          <w:sz w:val="24"/>
          <w:szCs w:val="24"/>
        </w:rPr>
      </w:pPr>
      <w:r w:rsidRPr="004343A3">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F03DC3" w:rsidRPr="004343A3">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F03DC3" w:rsidRPr="00F03DC3">
        <w:rPr>
          <w:i/>
        </w:rPr>
        <w:t xml:space="preserve">Phasing </w:t>
      </w:r>
      <w:proofErr w:type="gramStart"/>
      <w:r w:rsidR="000323E7">
        <w:rPr>
          <w:i/>
        </w:rPr>
        <w:t>O</w:t>
      </w:r>
      <w:r w:rsidR="00F03DC3" w:rsidRPr="00F03DC3">
        <w:rPr>
          <w:i/>
        </w:rPr>
        <w:t>ut</w:t>
      </w:r>
      <w:proofErr w:type="gramEnd"/>
      <w:r w:rsidR="00F03DC3" w:rsidRPr="00F03DC3">
        <w:rPr>
          <w:i/>
        </w:rPr>
        <w:t xml:space="preserve"> Private Health Insurance </w:t>
      </w:r>
      <w:r w:rsidRPr="00002D5D">
        <w:t xml:space="preserve">(letter of </w:t>
      </w:r>
      <w:r w:rsidR="00A13308">
        <w:t>23 June </w:t>
      </w:r>
      <w:r w:rsidR="00270F64">
        <w:t>2016</w:t>
      </w:r>
      <w:r w:rsidRPr="00002D5D">
        <w:t>).</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If you have any queries about this costing, please</w:t>
      </w:r>
      <w:r w:rsidR="00F75D33">
        <w:t xml:space="preserve"> contact Colin </w:t>
      </w:r>
      <w:r w:rsidRPr="00002D5D">
        <w:t>Brow</w:t>
      </w:r>
      <w:r w:rsidR="00A13308">
        <w:t>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0804AE" w:rsidP="000804A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F03DC3">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BE615A">
            <w:pPr>
              <w:pStyle w:val="BodyText"/>
            </w:pPr>
            <w:r>
              <w:t>Name of proposal:</w:t>
            </w:r>
          </w:p>
        </w:tc>
        <w:tc>
          <w:tcPr>
            <w:tcW w:w="5335" w:type="dxa"/>
          </w:tcPr>
          <w:p w:rsidR="004D5525" w:rsidRDefault="009B7859" w:rsidP="007E665D">
            <w:pPr>
              <w:pStyle w:val="BodyText"/>
              <w:jc w:val="left"/>
              <w:cnfStyle w:val="100000000000" w:firstRow="1" w:lastRow="0" w:firstColumn="0" w:lastColumn="0" w:oddVBand="0" w:evenVBand="0" w:oddHBand="0" w:evenHBand="0" w:firstRowFirstColumn="0" w:firstRowLastColumn="0" w:lastRowFirstColumn="0" w:lastRowLastColumn="0"/>
            </w:pPr>
            <w:r w:rsidRPr="00F5055B">
              <w:rPr>
                <w:b/>
              </w:rPr>
              <w:t xml:space="preserve">Phasing </w:t>
            </w:r>
            <w:r w:rsidR="000323E7">
              <w:rPr>
                <w:b/>
              </w:rPr>
              <w:t>O</w:t>
            </w:r>
            <w:bookmarkStart w:id="0" w:name="_GoBack"/>
            <w:bookmarkEnd w:id="0"/>
            <w:r w:rsidRPr="00F5055B">
              <w:rPr>
                <w:b/>
              </w:rPr>
              <w:t>ut Private Health Insuran</w:t>
            </w:r>
            <w:r>
              <w:rPr>
                <w:b/>
              </w:rPr>
              <w:t>ce</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E615A">
            <w:pPr>
              <w:pStyle w:val="BodyText"/>
            </w:pPr>
            <w:r>
              <w:t>Summary of proposal:</w:t>
            </w:r>
          </w:p>
        </w:tc>
        <w:tc>
          <w:tcPr>
            <w:tcW w:w="5335" w:type="dxa"/>
          </w:tcPr>
          <w:p w:rsidR="009B7859" w:rsidRPr="00DB60F3" w:rsidRDefault="009B7859" w:rsidP="00BE615A">
            <w:pPr>
              <w:spacing w:before="120" w:after="120"/>
              <w:ind w:left="113" w:right="113"/>
              <w:cnfStyle w:val="000000100000" w:firstRow="0" w:lastRow="0" w:firstColumn="0" w:lastColumn="0" w:oddVBand="0" w:evenVBand="0" w:oddHBand="1" w:evenHBand="0" w:firstRowFirstColumn="0" w:firstRowLastColumn="0" w:lastRowFirstColumn="0" w:lastRowLastColumn="0"/>
            </w:pPr>
            <w:r w:rsidRPr="00DB60F3">
              <w:t>The proposal would phase out the Private Health Insurance</w:t>
            </w:r>
            <w:r>
              <w:t xml:space="preserve"> (PHI)</w:t>
            </w:r>
            <w:r w:rsidRPr="00DB60F3">
              <w:t xml:space="preserve"> rebate over the next three years while retaining the additional rebate for over 65s.</w:t>
            </w:r>
          </w:p>
          <w:p w:rsidR="009B7859" w:rsidRDefault="009B7859" w:rsidP="00BE615A">
            <w:pPr>
              <w:spacing w:before="120" w:after="120"/>
              <w:ind w:left="113" w:right="113"/>
              <w:cnfStyle w:val="000000100000" w:firstRow="0" w:lastRow="0" w:firstColumn="0" w:lastColumn="0" w:oddVBand="0" w:evenVBand="0" w:oddHBand="1" w:evenHBand="0" w:firstRowFirstColumn="0" w:firstRowLastColumn="0" w:lastRowFirstColumn="0" w:lastRowLastColumn="0"/>
            </w:pPr>
            <w:r w:rsidRPr="00DB60F3">
              <w:t>The phase out would occur as follows:</w:t>
            </w:r>
          </w:p>
          <w:tbl>
            <w:tblPr>
              <w:tblStyle w:val="TableGrid"/>
              <w:tblW w:w="504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3"/>
              <w:gridCol w:w="749"/>
              <w:gridCol w:w="731"/>
              <w:gridCol w:w="665"/>
              <w:gridCol w:w="670"/>
              <w:gridCol w:w="704"/>
              <w:gridCol w:w="704"/>
            </w:tblGrid>
            <w:tr w:rsidR="004B2465" w:rsidRPr="0034657E" w:rsidTr="009957C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30" w:type="dxa"/>
                </w:tcPr>
                <w:p w:rsidR="009B7859" w:rsidRPr="00955811" w:rsidRDefault="004B2465" w:rsidP="00BE615A">
                  <w:pPr>
                    <w:spacing w:before="60" w:after="60" w:line="240" w:lineRule="auto"/>
                    <w:ind w:left="57" w:right="57"/>
                    <w:rPr>
                      <w:sz w:val="16"/>
                      <w:szCs w:val="18"/>
                    </w:rPr>
                  </w:pPr>
                  <w:r w:rsidRPr="00955811">
                    <w:rPr>
                      <w:sz w:val="16"/>
                      <w:szCs w:val="18"/>
                    </w:rPr>
                    <w:t xml:space="preserve">Income </w:t>
                  </w:r>
                  <w:r w:rsidR="009B7859" w:rsidRPr="00955811">
                    <w:rPr>
                      <w:sz w:val="16"/>
                      <w:szCs w:val="18"/>
                    </w:rPr>
                    <w:t>Tier</w:t>
                  </w:r>
                </w:p>
              </w:tc>
              <w:tc>
                <w:tcPr>
                  <w:tcW w:w="754"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Single</w:t>
                  </w:r>
                  <w:r w:rsidRPr="00955811">
                    <w:rPr>
                      <w:sz w:val="16"/>
                      <w:szCs w:val="18"/>
                    </w:rPr>
                    <w:br/>
                    <w:t>($)</w:t>
                  </w:r>
                </w:p>
              </w:tc>
              <w:tc>
                <w:tcPr>
                  <w:tcW w:w="713"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Family</w:t>
                  </w:r>
                  <w:r w:rsidRPr="00955811">
                    <w:rPr>
                      <w:sz w:val="16"/>
                      <w:szCs w:val="18"/>
                    </w:rPr>
                    <w:br/>
                    <w:t>($)</w:t>
                  </w:r>
                </w:p>
              </w:tc>
              <w:tc>
                <w:tcPr>
                  <w:tcW w:w="667"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 xml:space="preserve">Current </w:t>
                  </w:r>
                  <w:proofErr w:type="gramStart"/>
                  <w:r w:rsidRPr="00955811">
                    <w:rPr>
                      <w:sz w:val="16"/>
                      <w:szCs w:val="18"/>
                    </w:rPr>
                    <w:t>rebate</w:t>
                  </w:r>
                  <w:proofErr w:type="gramEnd"/>
                  <w:r w:rsidRPr="00955811">
                    <w:rPr>
                      <w:sz w:val="16"/>
                      <w:szCs w:val="18"/>
                    </w:rPr>
                    <w:br/>
                    <w:t>(%)</w:t>
                  </w:r>
                </w:p>
              </w:tc>
              <w:tc>
                <w:tcPr>
                  <w:tcW w:w="670"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2016</w:t>
                  </w:r>
                  <w:r w:rsidRPr="00955811">
                    <w:rPr>
                      <w:sz w:val="16"/>
                      <w:szCs w:val="18"/>
                    </w:rPr>
                    <w:noBreakHyphen/>
                  </w:r>
                  <w:proofErr w:type="gramStart"/>
                  <w:r w:rsidRPr="00955811">
                    <w:rPr>
                      <w:sz w:val="16"/>
                      <w:szCs w:val="18"/>
                    </w:rPr>
                    <w:t>17</w:t>
                  </w:r>
                  <w:proofErr w:type="gramEnd"/>
                  <w:r w:rsidRPr="00955811">
                    <w:rPr>
                      <w:sz w:val="16"/>
                      <w:szCs w:val="18"/>
                    </w:rPr>
                    <w:br/>
                    <w:t>(%)</w:t>
                  </w:r>
                </w:p>
              </w:tc>
              <w:tc>
                <w:tcPr>
                  <w:tcW w:w="706"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2017</w:t>
                  </w:r>
                  <w:r w:rsidRPr="00955811">
                    <w:rPr>
                      <w:sz w:val="16"/>
                      <w:szCs w:val="18"/>
                    </w:rPr>
                    <w:noBreakHyphen/>
                  </w:r>
                  <w:proofErr w:type="gramStart"/>
                  <w:r w:rsidRPr="00955811">
                    <w:rPr>
                      <w:sz w:val="16"/>
                      <w:szCs w:val="18"/>
                    </w:rPr>
                    <w:t>18</w:t>
                  </w:r>
                  <w:proofErr w:type="gramEnd"/>
                  <w:r w:rsidRPr="00955811">
                    <w:rPr>
                      <w:sz w:val="16"/>
                      <w:szCs w:val="18"/>
                    </w:rPr>
                    <w:br/>
                    <w:t>(%)</w:t>
                  </w:r>
                </w:p>
              </w:tc>
              <w:tc>
                <w:tcPr>
                  <w:tcW w:w="706" w:type="dxa"/>
                </w:tcPr>
                <w:p w:rsidR="009B7859" w:rsidRPr="00955811" w:rsidRDefault="009B7859" w:rsidP="00BE615A">
                  <w:pPr>
                    <w:spacing w:before="60" w:after="60" w:line="240" w:lineRule="auto"/>
                    <w:ind w:left="57" w:right="57"/>
                    <w:jc w:val="center"/>
                    <w:cnfStyle w:val="100000000000" w:firstRow="1" w:lastRow="0" w:firstColumn="0" w:lastColumn="0" w:oddVBand="0" w:evenVBand="0" w:oddHBand="0" w:evenHBand="0" w:firstRowFirstColumn="0" w:firstRowLastColumn="0" w:lastRowFirstColumn="0" w:lastRowLastColumn="0"/>
                    <w:rPr>
                      <w:sz w:val="16"/>
                      <w:szCs w:val="18"/>
                    </w:rPr>
                  </w:pPr>
                  <w:r w:rsidRPr="00955811">
                    <w:rPr>
                      <w:sz w:val="16"/>
                      <w:szCs w:val="18"/>
                    </w:rPr>
                    <w:t>2018</w:t>
                  </w:r>
                  <w:r w:rsidRPr="00955811">
                    <w:rPr>
                      <w:sz w:val="16"/>
                      <w:szCs w:val="18"/>
                    </w:rPr>
                    <w:noBreakHyphen/>
                  </w:r>
                  <w:proofErr w:type="gramStart"/>
                  <w:r w:rsidRPr="00955811">
                    <w:rPr>
                      <w:sz w:val="16"/>
                      <w:szCs w:val="18"/>
                    </w:rPr>
                    <w:t>19</w:t>
                  </w:r>
                  <w:proofErr w:type="gramEnd"/>
                  <w:r w:rsidRPr="00955811">
                    <w:rPr>
                      <w:sz w:val="16"/>
                      <w:szCs w:val="18"/>
                    </w:rPr>
                    <w:br/>
                    <w:t>(%)</w:t>
                  </w:r>
                </w:p>
              </w:tc>
            </w:tr>
            <w:tr w:rsidR="004B2465" w:rsidRPr="0034657E" w:rsidTr="00BE6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0" w:type="dxa"/>
                </w:tcPr>
                <w:p w:rsidR="009B7859" w:rsidRPr="00955811" w:rsidRDefault="009B7859" w:rsidP="00BE615A">
                  <w:pPr>
                    <w:spacing w:before="60" w:after="60" w:line="240" w:lineRule="auto"/>
                    <w:ind w:left="57" w:right="57"/>
                    <w:rPr>
                      <w:sz w:val="16"/>
                      <w:szCs w:val="18"/>
                    </w:rPr>
                  </w:pPr>
                  <w:r w:rsidRPr="00955811">
                    <w:rPr>
                      <w:sz w:val="16"/>
                      <w:szCs w:val="18"/>
                    </w:rPr>
                    <w:t>Standard</w:t>
                  </w:r>
                </w:p>
              </w:tc>
              <w:tc>
                <w:tcPr>
                  <w:tcW w:w="754" w:type="dxa"/>
                </w:tcPr>
                <w:p w:rsidR="009B7859" w:rsidRPr="00955811" w:rsidRDefault="004B2465" w:rsidP="00BE615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8"/>
                    </w:rPr>
                  </w:pPr>
                  <w:r w:rsidRPr="00955811">
                    <w:rPr>
                      <w:rFonts w:ascii="Calibri" w:hAnsi="Calibri"/>
                      <w:sz w:val="16"/>
                      <w:szCs w:val="18"/>
                    </w:rPr>
                    <w:t>≤</w:t>
                  </w:r>
                  <w:r w:rsidR="009B7859" w:rsidRPr="00955811">
                    <w:rPr>
                      <w:sz w:val="16"/>
                      <w:szCs w:val="18"/>
                    </w:rPr>
                    <w:t>90,000</w:t>
                  </w:r>
                </w:p>
              </w:tc>
              <w:tc>
                <w:tcPr>
                  <w:tcW w:w="713" w:type="dxa"/>
                </w:tcPr>
                <w:p w:rsidR="009B7859" w:rsidRPr="00955811" w:rsidRDefault="004B2465" w:rsidP="00BE615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w:t>
                  </w:r>
                  <w:r w:rsidR="009B7859" w:rsidRPr="00955811">
                    <w:rPr>
                      <w:sz w:val="16"/>
                      <w:szCs w:val="18"/>
                    </w:rPr>
                    <w:t>180,000</w:t>
                  </w:r>
                </w:p>
              </w:tc>
              <w:tc>
                <w:tcPr>
                  <w:tcW w:w="667"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26.79</w:t>
                  </w:r>
                </w:p>
              </w:tc>
              <w:tc>
                <w:tcPr>
                  <w:tcW w:w="670"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20</w:t>
                  </w:r>
                </w:p>
              </w:tc>
              <w:tc>
                <w:tcPr>
                  <w:tcW w:w="706"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10</w:t>
                  </w:r>
                </w:p>
              </w:tc>
              <w:tc>
                <w:tcPr>
                  <w:tcW w:w="706"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w:t>
                  </w:r>
                </w:p>
              </w:tc>
            </w:tr>
            <w:tr w:rsidR="009B7859" w:rsidRPr="0034657E" w:rsidTr="00BE615A">
              <w:trPr>
                <w:jc w:val="center"/>
              </w:trPr>
              <w:tc>
                <w:tcPr>
                  <w:cnfStyle w:val="001000000000" w:firstRow="0" w:lastRow="0" w:firstColumn="1" w:lastColumn="0" w:oddVBand="0" w:evenVBand="0" w:oddHBand="0" w:evenHBand="0" w:firstRowFirstColumn="0" w:firstRowLastColumn="0" w:lastRowFirstColumn="0" w:lastRowLastColumn="0"/>
                  <w:tcW w:w="830" w:type="dxa"/>
                </w:tcPr>
                <w:p w:rsidR="009B7859" w:rsidRPr="00955811" w:rsidRDefault="009B7859" w:rsidP="00BE615A">
                  <w:pPr>
                    <w:spacing w:before="60" w:after="60" w:line="240" w:lineRule="auto"/>
                    <w:ind w:left="57" w:right="57"/>
                    <w:rPr>
                      <w:sz w:val="16"/>
                      <w:szCs w:val="18"/>
                    </w:rPr>
                  </w:pPr>
                  <w:r w:rsidRPr="00955811">
                    <w:rPr>
                      <w:sz w:val="16"/>
                      <w:szCs w:val="18"/>
                    </w:rPr>
                    <w:t>1</w:t>
                  </w:r>
                </w:p>
              </w:tc>
              <w:tc>
                <w:tcPr>
                  <w:tcW w:w="754" w:type="dxa"/>
                </w:tcPr>
                <w:p w:rsidR="009B7859" w:rsidRPr="00955811" w:rsidRDefault="004B2465" w:rsidP="00BE615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 xml:space="preserve">90,001 </w:t>
                  </w:r>
                  <w:r>
                    <w:rPr>
                      <w:sz w:val="16"/>
                      <w:szCs w:val="18"/>
                    </w:rPr>
                    <w:t>to</w:t>
                  </w:r>
                  <w:r w:rsidRPr="00955811">
                    <w:rPr>
                      <w:sz w:val="16"/>
                      <w:szCs w:val="18"/>
                    </w:rPr>
                    <w:t xml:space="preserve"> </w:t>
                  </w:r>
                  <w:r w:rsidR="009B7859" w:rsidRPr="00955811">
                    <w:rPr>
                      <w:sz w:val="16"/>
                      <w:szCs w:val="18"/>
                    </w:rPr>
                    <w:t>105,000</w:t>
                  </w:r>
                </w:p>
              </w:tc>
              <w:tc>
                <w:tcPr>
                  <w:tcW w:w="713" w:type="dxa"/>
                </w:tcPr>
                <w:p w:rsidR="009B7859" w:rsidRPr="00955811" w:rsidRDefault="004B2465" w:rsidP="00BE615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180,001</w:t>
                  </w:r>
                  <w:r w:rsidRPr="00E30FA0">
                    <w:rPr>
                      <w:sz w:val="16"/>
                      <w:szCs w:val="18"/>
                    </w:rPr>
                    <w:t xml:space="preserve"> </w:t>
                  </w:r>
                  <w:r>
                    <w:rPr>
                      <w:sz w:val="16"/>
                      <w:szCs w:val="18"/>
                    </w:rPr>
                    <w:t>to</w:t>
                  </w:r>
                  <w:r w:rsidRPr="00955811">
                    <w:rPr>
                      <w:sz w:val="16"/>
                      <w:szCs w:val="18"/>
                    </w:rPr>
                    <w:t xml:space="preserve"> </w:t>
                  </w:r>
                  <w:r w:rsidR="009B7859" w:rsidRPr="00955811">
                    <w:rPr>
                      <w:sz w:val="16"/>
                      <w:szCs w:val="18"/>
                    </w:rPr>
                    <w:t>210,000</w:t>
                  </w:r>
                </w:p>
              </w:tc>
              <w:tc>
                <w:tcPr>
                  <w:tcW w:w="667" w:type="dxa"/>
                </w:tcPr>
                <w:p w:rsidR="009B7859" w:rsidRPr="00955811" w:rsidRDefault="009B7859" w:rsidP="00BE615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17.86</w:t>
                  </w:r>
                </w:p>
              </w:tc>
              <w:tc>
                <w:tcPr>
                  <w:tcW w:w="670" w:type="dxa"/>
                </w:tcPr>
                <w:p w:rsidR="009B7859" w:rsidRPr="00955811" w:rsidRDefault="009B7859" w:rsidP="00BE615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10</w:t>
                  </w:r>
                </w:p>
              </w:tc>
              <w:tc>
                <w:tcPr>
                  <w:tcW w:w="706" w:type="dxa"/>
                </w:tcPr>
                <w:p w:rsidR="009B7859" w:rsidRPr="00955811" w:rsidRDefault="009B7859" w:rsidP="00BE615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w:t>
                  </w:r>
                </w:p>
              </w:tc>
              <w:tc>
                <w:tcPr>
                  <w:tcW w:w="706" w:type="dxa"/>
                </w:tcPr>
                <w:p w:rsidR="009B7859" w:rsidRPr="00955811" w:rsidRDefault="009B7859" w:rsidP="00BE615A">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16"/>
                      <w:szCs w:val="18"/>
                    </w:rPr>
                  </w:pPr>
                  <w:r w:rsidRPr="00955811">
                    <w:rPr>
                      <w:sz w:val="16"/>
                      <w:szCs w:val="18"/>
                    </w:rPr>
                    <w:t>-</w:t>
                  </w:r>
                </w:p>
              </w:tc>
            </w:tr>
            <w:tr w:rsidR="004B2465" w:rsidRPr="0034657E" w:rsidTr="00BE61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0" w:type="dxa"/>
                </w:tcPr>
                <w:p w:rsidR="009B7859" w:rsidRPr="00955811" w:rsidRDefault="009B7859" w:rsidP="00BE615A">
                  <w:pPr>
                    <w:spacing w:before="60" w:after="60" w:line="240" w:lineRule="auto"/>
                    <w:ind w:left="57" w:right="57"/>
                    <w:rPr>
                      <w:sz w:val="16"/>
                      <w:szCs w:val="18"/>
                    </w:rPr>
                  </w:pPr>
                  <w:r w:rsidRPr="00955811">
                    <w:rPr>
                      <w:sz w:val="16"/>
                      <w:szCs w:val="18"/>
                    </w:rPr>
                    <w:t>2</w:t>
                  </w:r>
                </w:p>
              </w:tc>
              <w:tc>
                <w:tcPr>
                  <w:tcW w:w="754" w:type="dxa"/>
                </w:tcPr>
                <w:p w:rsidR="009B7859" w:rsidRPr="00955811" w:rsidRDefault="004B2465" w:rsidP="00BE615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105,00</w:t>
                  </w:r>
                  <w:r w:rsidR="002E6D40">
                    <w:rPr>
                      <w:sz w:val="16"/>
                      <w:szCs w:val="18"/>
                    </w:rPr>
                    <w:t>1</w:t>
                  </w:r>
                  <w:r w:rsidRPr="00955811">
                    <w:rPr>
                      <w:sz w:val="16"/>
                      <w:szCs w:val="18"/>
                    </w:rPr>
                    <w:t xml:space="preserve"> </w:t>
                  </w:r>
                  <w:r>
                    <w:rPr>
                      <w:sz w:val="16"/>
                      <w:szCs w:val="18"/>
                    </w:rPr>
                    <w:t>to</w:t>
                  </w:r>
                  <w:r w:rsidRPr="00955811">
                    <w:rPr>
                      <w:sz w:val="16"/>
                      <w:szCs w:val="18"/>
                    </w:rPr>
                    <w:t xml:space="preserve"> </w:t>
                  </w:r>
                  <w:r w:rsidR="009B7859" w:rsidRPr="00955811">
                    <w:rPr>
                      <w:sz w:val="16"/>
                      <w:szCs w:val="18"/>
                    </w:rPr>
                    <w:t>140,000</w:t>
                  </w:r>
                </w:p>
              </w:tc>
              <w:tc>
                <w:tcPr>
                  <w:tcW w:w="713" w:type="dxa"/>
                </w:tcPr>
                <w:p w:rsidR="009B7859" w:rsidRPr="00955811" w:rsidRDefault="004B2465" w:rsidP="00BE615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 xml:space="preserve">210,001 to </w:t>
                  </w:r>
                  <w:r w:rsidR="009B7859" w:rsidRPr="00955811">
                    <w:rPr>
                      <w:sz w:val="16"/>
                      <w:szCs w:val="18"/>
                    </w:rPr>
                    <w:t>280,000</w:t>
                  </w:r>
                </w:p>
              </w:tc>
              <w:tc>
                <w:tcPr>
                  <w:tcW w:w="667"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8.93</w:t>
                  </w:r>
                </w:p>
              </w:tc>
              <w:tc>
                <w:tcPr>
                  <w:tcW w:w="670"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w:t>
                  </w:r>
                </w:p>
              </w:tc>
              <w:tc>
                <w:tcPr>
                  <w:tcW w:w="706"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w:t>
                  </w:r>
                </w:p>
              </w:tc>
              <w:tc>
                <w:tcPr>
                  <w:tcW w:w="706" w:type="dxa"/>
                </w:tcPr>
                <w:p w:rsidR="009B7859" w:rsidRPr="00955811" w:rsidRDefault="009B7859" w:rsidP="00BE615A">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16"/>
                      <w:szCs w:val="18"/>
                    </w:rPr>
                  </w:pPr>
                  <w:r w:rsidRPr="00955811">
                    <w:rPr>
                      <w:sz w:val="16"/>
                      <w:szCs w:val="18"/>
                    </w:rPr>
                    <w:t>-</w:t>
                  </w:r>
                </w:p>
              </w:tc>
            </w:tr>
          </w:tbl>
          <w:p w:rsidR="004D5525" w:rsidRDefault="009B7859" w:rsidP="00BE615A">
            <w:pPr>
              <w:pStyle w:val="BodyText"/>
              <w:ind w:left="113" w:right="113"/>
              <w:cnfStyle w:val="000000100000" w:firstRow="0" w:lastRow="0" w:firstColumn="0" w:lastColumn="0" w:oddVBand="0" w:evenVBand="0" w:oddHBand="1" w:evenHBand="0" w:firstRowFirstColumn="0" w:firstRowLastColumn="0" w:lastRowFirstColumn="0" w:lastRowLastColumn="0"/>
            </w:pPr>
            <w:r w:rsidRPr="00DB60F3">
              <w:t xml:space="preserve">The proposal would have effect from 1 </w:t>
            </w:r>
            <w:r>
              <w:t>September</w:t>
            </w:r>
            <w:r w:rsidRPr="00DB60F3">
              <w:t xml:space="preserv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E615A">
            <w:pPr>
              <w:pStyle w:val="BodyText"/>
            </w:pPr>
            <w:r>
              <w:t>Person/party requesting costing:</w:t>
            </w:r>
          </w:p>
        </w:tc>
        <w:tc>
          <w:tcPr>
            <w:tcW w:w="5335" w:type="dxa"/>
          </w:tcPr>
          <w:p w:rsidR="004D5525" w:rsidRDefault="00150BC6" w:rsidP="00BE615A">
            <w:pPr>
              <w:pStyle w:val="BodyText"/>
              <w:ind w:left="113" w:right="113"/>
              <w:cnfStyle w:val="000000000000" w:firstRow="0" w:lastRow="0" w:firstColumn="0" w:lastColumn="0" w:oddVBand="0" w:evenVBand="0" w:oddHBand="0" w:evenHBand="0" w:firstRowFirstColumn="0" w:firstRowLastColumn="0" w:lastRowFirstColumn="0" w:lastRowLastColumn="0"/>
            </w:pPr>
            <w:r w:rsidRPr="005B3A9E">
              <w:t>Senator Richard Di Natale, Australian Greens</w:t>
            </w:r>
          </w:p>
        </w:tc>
      </w:tr>
      <w:tr w:rsidR="004171AF" w:rsidTr="0040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171AF" w:rsidRDefault="004171AF" w:rsidP="00BE615A">
            <w:pPr>
              <w:pStyle w:val="BodyText"/>
            </w:pPr>
            <w:r>
              <w:t>Date of public release of policy:</w:t>
            </w:r>
          </w:p>
        </w:tc>
        <w:tc>
          <w:tcPr>
            <w:tcW w:w="5335" w:type="dxa"/>
          </w:tcPr>
          <w:p w:rsidR="004171AF" w:rsidRPr="00C17112" w:rsidRDefault="00852208" w:rsidP="00BE615A">
            <w:pPr>
              <w:pStyle w:val="BodyText"/>
              <w:ind w:left="113" w:right="113"/>
              <w:cnfStyle w:val="000000100000" w:firstRow="0" w:lastRow="0" w:firstColumn="0" w:lastColumn="0" w:oddVBand="0" w:evenVBand="0" w:oddHBand="1" w:evenHBand="0" w:firstRowFirstColumn="0" w:firstRowLastColumn="0" w:lastRowFirstColumn="0" w:lastRowLastColumn="0"/>
            </w:pPr>
            <w:r>
              <w:t>30 March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E615A">
            <w:pPr>
              <w:pStyle w:val="BodyText"/>
            </w:pPr>
            <w:r>
              <w:t>Date costing request received:</w:t>
            </w:r>
          </w:p>
        </w:tc>
        <w:tc>
          <w:tcPr>
            <w:tcW w:w="5335" w:type="dxa"/>
          </w:tcPr>
          <w:p w:rsidR="004D5525" w:rsidRPr="00DF0136" w:rsidRDefault="00270F64" w:rsidP="00BE615A">
            <w:pPr>
              <w:pStyle w:val="BodyText"/>
              <w:ind w:left="113" w:right="113"/>
              <w:cnfStyle w:val="000000000000" w:firstRow="0" w:lastRow="0" w:firstColumn="0" w:lastColumn="0" w:oddVBand="0" w:evenVBand="0" w:oddHBand="0" w:evenHBand="0" w:firstRowFirstColumn="0" w:firstRowLastColumn="0" w:lastRowFirstColumn="0" w:lastRowLastColumn="0"/>
            </w:pPr>
            <w:r w:rsidRPr="00DF0136">
              <w:t>23</w:t>
            </w:r>
            <w:r w:rsidR="00150BC6" w:rsidRPr="00DF0136">
              <w:t xml:space="preserve">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BE615A">
            <w:pPr>
              <w:pStyle w:val="BodyText"/>
            </w:pPr>
            <w:r>
              <w:t>Date costing completed</w:t>
            </w:r>
          </w:p>
        </w:tc>
        <w:tc>
          <w:tcPr>
            <w:tcW w:w="5335" w:type="dxa"/>
          </w:tcPr>
          <w:p w:rsidR="004D5525" w:rsidRPr="00DF0136" w:rsidRDefault="00270F64" w:rsidP="00BE615A">
            <w:pPr>
              <w:pStyle w:val="BodyText"/>
              <w:ind w:left="113" w:right="113"/>
              <w:cnfStyle w:val="000000100000" w:firstRow="0" w:lastRow="0" w:firstColumn="0" w:lastColumn="0" w:oddVBand="0" w:evenVBand="0" w:oddHBand="1" w:evenHBand="0" w:firstRowFirstColumn="0" w:firstRowLastColumn="0" w:lastRowFirstColumn="0" w:lastRowLastColumn="0"/>
            </w:pPr>
            <w:r w:rsidRPr="00DF0136">
              <w:t>2</w:t>
            </w:r>
            <w:r w:rsidR="0098279E">
              <w:t>4</w:t>
            </w:r>
            <w:r w:rsidR="00150BC6" w:rsidRPr="00DF0136">
              <w:t xml:space="preserve">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BE615A">
            <w:pPr>
              <w:pStyle w:val="BodyText"/>
            </w:pPr>
            <w:r w:rsidRPr="00220BE5">
              <w:t>Expiry date for the costing:</w:t>
            </w:r>
          </w:p>
        </w:tc>
        <w:tc>
          <w:tcPr>
            <w:tcW w:w="5335" w:type="dxa"/>
          </w:tcPr>
          <w:p w:rsidR="004D5525" w:rsidRPr="00220BE5" w:rsidRDefault="0098279E" w:rsidP="00BE615A">
            <w:pPr>
              <w:pStyle w:val="BodyText"/>
              <w:ind w:left="113" w:right="113"/>
              <w:cnfStyle w:val="000000000000" w:firstRow="0" w:lastRow="0" w:firstColumn="0" w:lastColumn="0" w:oddVBand="0" w:evenVBand="0" w:oddHBand="0" w:evenHBand="0" w:firstRowFirstColumn="0" w:firstRowLastColumn="0" w:lastRowFirstColumn="0" w:lastRowLastColumn="0"/>
            </w:pPr>
            <w:r>
              <w:t>Release of the next economic and fiscal outlook report</w:t>
            </w:r>
          </w:p>
        </w:tc>
      </w:tr>
    </w:tbl>
    <w:p w:rsidR="0055581F" w:rsidRPr="00002D5D" w:rsidRDefault="008030EC" w:rsidP="00FC6579">
      <w:pPr>
        <w:pStyle w:val="Heading2"/>
      </w:pPr>
      <w:r w:rsidRPr="00002D5D">
        <w:t>Costing overview</w:t>
      </w:r>
    </w:p>
    <w:p w:rsidR="0082635D" w:rsidRPr="00061BA3" w:rsidRDefault="0082635D" w:rsidP="0082635D">
      <w:r>
        <w:t>The proposal would decrease expenses on the PHI rebate, reflecting the combined effect of lower rebate rates for recipients affected by the proposal and an assumed decrease in PHI coverage arising from the resultant higher out</w:t>
      </w:r>
      <w:r>
        <w:noBreakHyphen/>
        <w:t>of</w:t>
      </w:r>
      <w:r>
        <w:noBreakHyphen/>
        <w:t>pocket cost of PHI.  From 2017-18, there would also be an impact on revenue associated with the Medicare Levy Surcharge (MLS)</w:t>
      </w:r>
      <w:r w:rsidRPr="00DB60F3">
        <w:t xml:space="preserve"> due to some additional individuals becoming liable for the MLS as a result of ceasing their PHI coverage in response to the higher out</w:t>
      </w:r>
      <w:r w:rsidRPr="00DB60F3">
        <w:noBreakHyphen/>
        <w:t>of</w:t>
      </w:r>
      <w:r w:rsidRPr="00DB60F3">
        <w:noBreakHyphen/>
        <w:t xml:space="preserve">pocket premiums under the proposal.  </w:t>
      </w:r>
    </w:p>
    <w:p w:rsidR="0082635D" w:rsidRDefault="0082635D" w:rsidP="0082635D">
      <w:r>
        <w:t>The proposal</w:t>
      </w:r>
      <w:r w:rsidRPr="00216DD0">
        <w:t xml:space="preserve"> </w:t>
      </w:r>
      <w:r>
        <w:t xml:space="preserve">would be expected to </w:t>
      </w:r>
      <w:r w:rsidRPr="00216DD0">
        <w:t>increase the fiscal balanc</w:t>
      </w:r>
      <w:r>
        <w:t xml:space="preserve">e </w:t>
      </w:r>
      <w:r w:rsidRPr="00216DD0">
        <w:t>by $</w:t>
      </w:r>
      <w:r>
        <w:t>13,308 million</w:t>
      </w:r>
      <w:r w:rsidRPr="00216DD0">
        <w:t xml:space="preserve"> and increase </w:t>
      </w:r>
      <w:r>
        <w:t xml:space="preserve">the </w:t>
      </w:r>
      <w:r w:rsidRPr="00216DD0">
        <w:t xml:space="preserve">underlying cash balance </w:t>
      </w:r>
      <w:r>
        <w:t>by $12,858 million over the 2016-</w:t>
      </w:r>
      <w:r w:rsidRPr="00216DD0">
        <w:t>1</w:t>
      </w:r>
      <w:r>
        <w:t>7</w:t>
      </w:r>
      <w:r w:rsidRPr="00216DD0">
        <w:t xml:space="preserve"> Budget forward estimates period.  This impact is primarily due to a decrease in</w:t>
      </w:r>
      <w:r w:rsidR="0098279E">
        <w:t xml:space="preserve"> expenditure on </w:t>
      </w:r>
      <w:r w:rsidRPr="00216DD0">
        <w:t>PHI rebate</w:t>
      </w:r>
      <w:r w:rsidR="0098279E">
        <w:t>s</w:t>
      </w:r>
      <w:r w:rsidRPr="00216DD0">
        <w:t>.</w:t>
      </w:r>
      <w:r>
        <w:t xml:space="preserve">  The proposal has an ongoing impact beyond the forward estimates with the annual impact </w:t>
      </w:r>
      <w:r>
        <w:lastRenderedPageBreak/>
        <w:t>in the years beyond 2019-20 being in line with the impact in 2019-20 growing at around 4</w:t>
      </w:r>
      <w:r w:rsidR="000323E7">
        <w:t> </w:t>
      </w:r>
      <w:r>
        <w:t>per cent per annum.</w:t>
      </w:r>
    </w:p>
    <w:p w:rsidR="0082635D" w:rsidRDefault="0082635D" w:rsidP="0082635D">
      <w:r>
        <w:t xml:space="preserve">The difference between the fiscal and underlying cash balances is due to the timing of the component of the PHI rebate paid through the Australian Taxation Office (ATO), which is paid in the next income year, as individuals file their tax returns.  </w:t>
      </w:r>
    </w:p>
    <w:p w:rsidR="0082635D" w:rsidRDefault="0082635D" w:rsidP="0082635D">
      <w:r>
        <w:t>The Parliamentary Budget Office has estimated departmental expenses based on recent measures with similar administrative complexity.  Departmental expenses of $2 million have been included for implementation of the new policy.  The</w:t>
      </w:r>
      <w:r w:rsidR="0098279E">
        <w:t xml:space="preserve"> proposal would not be expected to reduce </w:t>
      </w:r>
      <w:r>
        <w:t>departmental expense</w:t>
      </w:r>
      <w:r w:rsidR="0098279E">
        <w:t>s</w:t>
      </w:r>
      <w:r>
        <w:t xml:space="preserve"> as the administration costs associated with the rebate are </w:t>
      </w:r>
      <w:r w:rsidR="0098279E">
        <w:t xml:space="preserve">primarily </w:t>
      </w:r>
      <w:r>
        <w:t xml:space="preserve">driven by the number of insurers and policies provided and the scope of services covered by the policies, rather than the number of eligible persons for the PHI rebate. </w:t>
      </w:r>
    </w:p>
    <w:p w:rsidR="0082635D" w:rsidRDefault="0082635D" w:rsidP="0082635D">
      <w:r w:rsidRPr="00523474">
        <w:rPr>
          <w:iCs/>
          <w:lang w:eastAsia="en-AU"/>
        </w:rPr>
        <w:t>Th</w:t>
      </w:r>
      <w:r>
        <w:rPr>
          <w:iCs/>
          <w:lang w:eastAsia="en-AU"/>
        </w:rPr>
        <w:t>is</w:t>
      </w:r>
      <w:r w:rsidRPr="00523474">
        <w:rPr>
          <w:iCs/>
          <w:lang w:eastAsia="en-AU"/>
        </w:rPr>
        <w:t xml:space="preserve"> </w:t>
      </w:r>
      <w:r>
        <w:rPr>
          <w:iCs/>
          <w:lang w:eastAsia="en-AU"/>
        </w:rPr>
        <w:t>costing</w:t>
      </w:r>
      <w:r w:rsidRPr="00523474">
        <w:rPr>
          <w:iCs/>
          <w:lang w:eastAsia="en-AU"/>
        </w:rPr>
        <w:t xml:space="preserve"> </w:t>
      </w:r>
      <w:r>
        <w:rPr>
          <w:iCs/>
          <w:lang w:eastAsia="en-AU"/>
        </w:rPr>
        <w:t>is</w:t>
      </w:r>
      <w:r w:rsidRPr="00523474">
        <w:rPr>
          <w:iCs/>
          <w:lang w:eastAsia="en-AU"/>
        </w:rPr>
        <w:t xml:space="preserve"> considered to be of </w:t>
      </w:r>
      <w:r w:rsidRPr="00212602">
        <w:rPr>
          <w:iCs/>
          <w:lang w:eastAsia="en-AU"/>
        </w:rPr>
        <w:t>medium reliability</w:t>
      </w:r>
      <w:r w:rsidRPr="00523474">
        <w:rPr>
          <w:iCs/>
          <w:lang w:eastAsia="en-AU"/>
        </w:rPr>
        <w:t xml:space="preserve">.  </w:t>
      </w:r>
      <w:r>
        <w:rPr>
          <w:iCs/>
          <w:lang w:eastAsia="en-AU"/>
        </w:rPr>
        <w:t>T</w:t>
      </w:r>
      <w:r w:rsidRPr="00523474">
        <w:rPr>
          <w:iCs/>
          <w:lang w:eastAsia="en-AU"/>
        </w:rPr>
        <w:t xml:space="preserve">he estimates </w:t>
      </w:r>
      <w:r>
        <w:rPr>
          <w:iCs/>
          <w:lang w:eastAsia="en-AU"/>
        </w:rPr>
        <w:t>are</w:t>
      </w:r>
      <w:r w:rsidRPr="00523474">
        <w:rPr>
          <w:iCs/>
          <w:lang w:eastAsia="en-AU"/>
        </w:rPr>
        <w:t xml:space="preserve"> sensitive </w:t>
      </w:r>
      <w:r>
        <w:rPr>
          <w:iCs/>
          <w:lang w:eastAsia="en-AU"/>
        </w:rPr>
        <w:t xml:space="preserve">to </w:t>
      </w:r>
      <w:r w:rsidRPr="00F54F38">
        <w:rPr>
          <w:iCs/>
          <w:lang w:eastAsia="en-AU"/>
        </w:rPr>
        <w:t>changes in health insurance premiums,</w:t>
      </w:r>
      <w:r>
        <w:rPr>
          <w:iCs/>
          <w:lang w:eastAsia="en-AU"/>
        </w:rPr>
        <w:t xml:space="preserve"> the consumer price index,</w:t>
      </w:r>
      <w:r w:rsidRPr="00F54F38">
        <w:rPr>
          <w:iCs/>
          <w:lang w:eastAsia="en-AU"/>
        </w:rPr>
        <w:t xml:space="preserve"> income distributions of individuals and couples with and without PHI cover</w:t>
      </w:r>
      <w:r>
        <w:rPr>
          <w:iCs/>
          <w:lang w:eastAsia="en-AU"/>
        </w:rPr>
        <w:t>,</w:t>
      </w:r>
      <w:r w:rsidRPr="00F54F38">
        <w:rPr>
          <w:iCs/>
          <w:lang w:eastAsia="en-AU"/>
        </w:rPr>
        <w:t xml:space="preserve"> </w:t>
      </w:r>
      <w:r w:rsidRPr="00523474">
        <w:rPr>
          <w:iCs/>
          <w:lang w:eastAsia="en-AU"/>
        </w:rPr>
        <w:t>behavioural responses to changes in the effective costs and benefits of PHI</w:t>
      </w:r>
      <w:r w:rsidR="000323E7">
        <w:rPr>
          <w:iCs/>
          <w:lang w:eastAsia="en-AU"/>
        </w:rPr>
        <w:t>,</w:t>
      </w:r>
      <w:r>
        <w:rPr>
          <w:iCs/>
          <w:lang w:eastAsia="en-AU"/>
        </w:rPr>
        <w:t xml:space="preserve"> and the response of individuals to policy changes since 2012-13 (the year of the data for the costing)</w:t>
      </w:r>
      <w:r w:rsidRPr="00523474">
        <w:rPr>
          <w:iCs/>
          <w:lang w:eastAsia="en-AU"/>
        </w:rPr>
        <w:t xml:space="preserve">. </w:t>
      </w:r>
      <w:r>
        <w:rPr>
          <w:iCs/>
          <w:lang w:eastAsia="en-AU"/>
        </w:rPr>
        <w:t xml:space="preserve"> </w:t>
      </w:r>
    </w:p>
    <w:p w:rsidR="0082635D" w:rsidRDefault="0082635D" w:rsidP="0082635D">
      <w:r>
        <w:t>A</w:t>
      </w:r>
      <w:r w:rsidRPr="00A56B37">
        <w:t xml:space="preserve"> detailed breakdown of the components</w:t>
      </w:r>
      <w:r>
        <w:t xml:space="preserve"> </w:t>
      </w:r>
      <w:r w:rsidRPr="00A56B37">
        <w:t xml:space="preserve">is included at </w:t>
      </w:r>
      <w:r w:rsidRPr="00A56B37">
        <w:rPr>
          <w:u w:val="single"/>
        </w:rPr>
        <w:t>Attachment A</w:t>
      </w:r>
      <w:r w:rsidRPr="00A56B37">
        <w: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6F109C">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BE61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BE62EC">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BE62E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BE62E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BE62E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BE62E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C0643E" w:rsidRDefault="00CA5D42" w:rsidP="00BE62EC">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C0643E">
              <w:rPr>
                <w:rFonts w:ascii="Calibri" w:hAnsi="Calibri"/>
                <w:b/>
                <w:szCs w:val="20"/>
              </w:rPr>
              <w:t>Total</w:t>
            </w:r>
          </w:p>
        </w:tc>
      </w:tr>
      <w:tr w:rsidR="0082635D" w:rsidRPr="00B73AC8" w:rsidTr="00BE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82635D" w:rsidRPr="00B73AC8" w:rsidRDefault="0082635D" w:rsidP="00BE62EC">
            <w:pPr>
              <w:pStyle w:val="TableTextCentred"/>
              <w:keepNext/>
              <w:keepLines/>
              <w:spacing w:line="240" w:lineRule="auto"/>
              <w:ind w:left="57" w:right="57"/>
              <w:jc w:val="left"/>
              <w:rPr>
                <w:szCs w:val="20"/>
              </w:rPr>
            </w:pPr>
            <w:r w:rsidRPr="00B73AC8">
              <w:rPr>
                <w:szCs w:val="20"/>
              </w:rPr>
              <w:t>Fiscal balance</w:t>
            </w:r>
          </w:p>
        </w:tc>
        <w:tc>
          <w:tcPr>
            <w:tcW w:w="682" w:type="pct"/>
          </w:tcPr>
          <w:p w:rsidR="0082635D" w:rsidRPr="00E02058"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E02058">
              <w:t>1,308</w:t>
            </w:r>
            <w:r w:rsidR="00F8595D">
              <w:t>.0</w:t>
            </w:r>
          </w:p>
        </w:tc>
        <w:tc>
          <w:tcPr>
            <w:tcW w:w="682" w:type="pct"/>
          </w:tcPr>
          <w:p w:rsidR="0082635D" w:rsidRPr="00E02058"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E02058">
              <w:t>2,960</w:t>
            </w:r>
            <w:r w:rsidR="00F8595D">
              <w:t>.0</w:t>
            </w:r>
          </w:p>
        </w:tc>
        <w:tc>
          <w:tcPr>
            <w:tcW w:w="682" w:type="pct"/>
          </w:tcPr>
          <w:p w:rsidR="0082635D" w:rsidRPr="00E02058"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E02058">
              <w:t>4,540</w:t>
            </w:r>
            <w:r w:rsidR="00F8595D">
              <w:t>.0</w:t>
            </w:r>
          </w:p>
        </w:tc>
        <w:tc>
          <w:tcPr>
            <w:tcW w:w="682" w:type="pct"/>
          </w:tcPr>
          <w:p w:rsidR="0082635D" w:rsidRPr="00E02058"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E02058">
              <w:t>4,500</w:t>
            </w:r>
            <w:r w:rsidR="00F8595D">
              <w:t>.0</w:t>
            </w:r>
          </w:p>
        </w:tc>
        <w:tc>
          <w:tcPr>
            <w:tcW w:w="681" w:type="pct"/>
          </w:tcPr>
          <w:p w:rsidR="0082635D" w:rsidRPr="00C0643E"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C0643E">
              <w:rPr>
                <w:b/>
              </w:rPr>
              <w:t>13,308</w:t>
            </w:r>
            <w:r w:rsidR="00F8595D">
              <w:rPr>
                <w:b/>
              </w:rPr>
              <w:t>.0</w:t>
            </w:r>
          </w:p>
        </w:tc>
      </w:tr>
      <w:tr w:rsidR="0082635D" w:rsidRPr="00B73AC8" w:rsidTr="00BE615A">
        <w:tc>
          <w:tcPr>
            <w:cnfStyle w:val="001000000000" w:firstRow="0" w:lastRow="0" w:firstColumn="1" w:lastColumn="0" w:oddVBand="0" w:evenVBand="0" w:oddHBand="0" w:evenHBand="0" w:firstRowFirstColumn="0" w:firstRowLastColumn="0" w:lastRowFirstColumn="0" w:lastRowLastColumn="0"/>
            <w:tcW w:w="1591" w:type="pct"/>
          </w:tcPr>
          <w:p w:rsidR="0082635D" w:rsidRPr="00B73AC8" w:rsidRDefault="0082635D" w:rsidP="00BE62EC">
            <w:pPr>
              <w:pStyle w:val="TableTextCentred"/>
              <w:keepNext/>
              <w:keepLines/>
              <w:spacing w:line="240" w:lineRule="auto"/>
              <w:ind w:left="57" w:right="57"/>
              <w:jc w:val="left"/>
              <w:rPr>
                <w:szCs w:val="20"/>
              </w:rPr>
            </w:pPr>
            <w:r w:rsidRPr="00B73AC8">
              <w:rPr>
                <w:szCs w:val="20"/>
              </w:rPr>
              <w:t>Underlying cash balance</w:t>
            </w:r>
          </w:p>
        </w:tc>
        <w:tc>
          <w:tcPr>
            <w:tcW w:w="682" w:type="pct"/>
          </w:tcPr>
          <w:p w:rsidR="0082635D" w:rsidRPr="00E02058"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02058">
              <w:t>1,178</w:t>
            </w:r>
            <w:r w:rsidR="00F8595D">
              <w:t>.0</w:t>
            </w:r>
          </w:p>
        </w:tc>
        <w:tc>
          <w:tcPr>
            <w:tcW w:w="682" w:type="pct"/>
          </w:tcPr>
          <w:p w:rsidR="0082635D" w:rsidRPr="00E02058"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02058">
              <w:t>2,800</w:t>
            </w:r>
            <w:r w:rsidR="00F8595D">
              <w:t>.0</w:t>
            </w:r>
          </w:p>
        </w:tc>
        <w:tc>
          <w:tcPr>
            <w:tcW w:w="682" w:type="pct"/>
          </w:tcPr>
          <w:p w:rsidR="0082635D" w:rsidRPr="00E02058"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02058">
              <w:t>4,380</w:t>
            </w:r>
            <w:r w:rsidR="00F8595D">
              <w:t>.0</w:t>
            </w:r>
          </w:p>
        </w:tc>
        <w:tc>
          <w:tcPr>
            <w:tcW w:w="682" w:type="pct"/>
          </w:tcPr>
          <w:p w:rsidR="0082635D" w:rsidRPr="00E02058"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E02058">
              <w:t>4,500</w:t>
            </w:r>
            <w:r w:rsidR="00F8595D">
              <w:t>.0</w:t>
            </w:r>
          </w:p>
        </w:tc>
        <w:tc>
          <w:tcPr>
            <w:tcW w:w="681" w:type="pct"/>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12,858</w:t>
            </w:r>
            <w:r w:rsidR="00F8595D">
              <w:rPr>
                <w:b/>
              </w:rPr>
              <w:t>.0</w:t>
            </w:r>
          </w:p>
        </w:tc>
      </w:tr>
    </w:tbl>
    <w:p w:rsidR="006F109C" w:rsidRPr="00BB4E22" w:rsidRDefault="006F109C" w:rsidP="006F109C">
      <w:pPr>
        <w:pStyle w:val="Footnotes"/>
        <w:numPr>
          <w:ilvl w:val="0"/>
          <w:numId w:val="7"/>
        </w:numPr>
        <w:ind w:left="284" w:hanging="284"/>
      </w:pPr>
      <w:r w:rsidRPr="001912AF">
        <w:t xml:space="preserve">A positive number represents an increase in the relevant budget </w:t>
      </w:r>
      <w:proofErr w:type="gramStart"/>
      <w:r w:rsidRPr="001912AF">
        <w:t>balance,</w:t>
      </w:r>
      <w:proofErr w:type="gramEnd"/>
      <w:r w:rsidRPr="001912AF">
        <w:t xml:space="preserve"> a negative number represents a decrease.</w:t>
      </w:r>
      <w:r>
        <w:rPr>
          <w:color w:val="1F497D"/>
        </w:rPr>
        <w:t xml:space="preserve"> </w:t>
      </w:r>
    </w:p>
    <w:p w:rsidR="006F109C" w:rsidRPr="00FB2F79" w:rsidRDefault="006F109C" w:rsidP="006F109C">
      <w:pPr>
        <w:pStyle w:val="Footnotes"/>
        <w:numPr>
          <w:ilvl w:val="0"/>
          <w:numId w:val="7"/>
        </w:numPr>
        <w:ind w:left="284" w:hanging="284"/>
      </w:pPr>
      <w:r w:rsidRPr="00FB2F79">
        <w:t>Figures may not sum to total</w:t>
      </w:r>
      <w:r>
        <w:t>s</w:t>
      </w:r>
      <w:r w:rsidRPr="00FB2F79">
        <w:t xml:space="preserve"> due to rounding.</w:t>
      </w:r>
    </w:p>
    <w:p w:rsidR="008D3909" w:rsidRPr="00FC6579" w:rsidRDefault="005E3562" w:rsidP="00E40B8B">
      <w:pPr>
        <w:pStyle w:val="Heading2"/>
      </w:pPr>
      <w:r w:rsidRPr="00FC6579">
        <w:t>Key assumptions</w:t>
      </w:r>
    </w:p>
    <w:p w:rsidR="0082635D" w:rsidRDefault="0082635D" w:rsidP="0082635D">
      <w:pPr>
        <w:rPr>
          <w:color w:val="323232"/>
        </w:rPr>
      </w:pPr>
      <w:r w:rsidRPr="009E4C1B">
        <w:rPr>
          <w:color w:val="323232"/>
        </w:rPr>
        <w:t xml:space="preserve">In costing </w:t>
      </w:r>
      <w:r>
        <w:rPr>
          <w:color w:val="323232"/>
        </w:rPr>
        <w:t>the</w:t>
      </w:r>
      <w:r w:rsidRPr="009E4C1B">
        <w:rPr>
          <w:color w:val="323232"/>
        </w:rPr>
        <w:t xml:space="preserve"> proposal</w:t>
      </w:r>
      <w:r>
        <w:rPr>
          <w:color w:val="323232"/>
        </w:rPr>
        <w:t xml:space="preserve">, </w:t>
      </w:r>
      <w:r w:rsidRPr="009E4C1B">
        <w:rPr>
          <w:color w:val="323232"/>
        </w:rPr>
        <w:t>the following assum</w:t>
      </w:r>
      <w:r>
        <w:rPr>
          <w:color w:val="323232"/>
        </w:rPr>
        <w:t>ptions have been made</w:t>
      </w:r>
      <w:r w:rsidRPr="009E4C1B">
        <w:rPr>
          <w:color w:val="323232"/>
        </w:rPr>
        <w:t>:</w:t>
      </w:r>
    </w:p>
    <w:p w:rsidR="0082635D" w:rsidRDefault="0082635D" w:rsidP="00BE62EC">
      <w:pPr>
        <w:pStyle w:val="Bullet1"/>
      </w:pPr>
      <w:r>
        <w:t>As the proposal would increase the out</w:t>
      </w:r>
      <w:r>
        <w:noBreakHyphen/>
        <w:t>of</w:t>
      </w:r>
      <w:r>
        <w:noBreakHyphen/>
        <w:t>pocket cost of PHI</w:t>
      </w:r>
      <w:r w:rsidR="00473FB0">
        <w:t xml:space="preserve">, </w:t>
      </w:r>
      <w:r w:rsidR="002E6D40">
        <w:t xml:space="preserve">fewer people would take </w:t>
      </w:r>
      <w:r w:rsidR="0098279E">
        <w:t>out</w:t>
      </w:r>
      <w:r>
        <w:t xml:space="preserve"> PHI, with higher income policy holders assumed to be less price responsive (and therefore more likely to maintain their PHI cover) than those on low incomes.</w:t>
      </w:r>
    </w:p>
    <w:p w:rsidR="0082635D" w:rsidRDefault="0082635D" w:rsidP="00BE62EC">
      <w:pPr>
        <w:pStyle w:val="Bullet1"/>
      </w:pPr>
      <w:r>
        <w:t>There is no flow</w:t>
      </w:r>
      <w:r>
        <w:noBreakHyphen/>
        <w:t>on effect to public hospital expenses as a result of individuals ceasing their PHI policy.</w:t>
      </w:r>
    </w:p>
    <w:p w:rsidR="0082635D" w:rsidRDefault="0082635D" w:rsidP="00BE62EC">
      <w:pPr>
        <w:pStyle w:val="Bullet1"/>
      </w:pPr>
      <w:r>
        <w:t xml:space="preserve">The majority of PHI rebate expenses administered by the Department of Health are delivered in the same financial year in which they accrue, with a small proportion delivered in the following financial year.  Additionally, there is an amount </w:t>
      </w:r>
      <w:r w:rsidRPr="007C2DCE">
        <w:t xml:space="preserve">paid through the </w:t>
      </w:r>
      <w:r>
        <w:t>ATO</w:t>
      </w:r>
      <w:r w:rsidRPr="007C2DCE">
        <w:t xml:space="preserve"> </w:t>
      </w:r>
      <w:r>
        <w:t xml:space="preserve">as </w:t>
      </w:r>
      <w:r w:rsidRPr="007C2DCE">
        <w:t>individuals file their tax returns</w:t>
      </w:r>
      <w:r>
        <w:t>.</w:t>
      </w:r>
    </w:p>
    <w:p w:rsidR="0082635D" w:rsidRDefault="0082635D" w:rsidP="00BE62EC">
      <w:pPr>
        <w:pStyle w:val="Bullet1"/>
      </w:pPr>
      <w:r>
        <w:t>MLS revenue is collected over the two years after the liability is incurred, at the time individuals lodge their tax returns.</w:t>
      </w:r>
    </w:p>
    <w:p w:rsidR="0082635D" w:rsidRDefault="0082635D" w:rsidP="00BE62EC">
      <w:pPr>
        <w:pStyle w:val="Bullet1"/>
      </w:pPr>
      <w:r>
        <w:lastRenderedPageBreak/>
        <w:t>The PHI Risk Equalisation program has not been factored into this proposal because it has no net financial implication as this program collects and then redistributes contributions from the industry.</w:t>
      </w:r>
    </w:p>
    <w:p w:rsidR="005E3562" w:rsidRPr="00FC6579" w:rsidRDefault="005E3562" w:rsidP="00E40B8B">
      <w:pPr>
        <w:pStyle w:val="Heading2"/>
      </w:pPr>
      <w:r w:rsidRPr="00FC6579">
        <w:t>Methodology</w:t>
      </w:r>
    </w:p>
    <w:p w:rsidR="0082635D" w:rsidRDefault="0082635D" w:rsidP="0082635D">
      <w:pPr>
        <w:rPr>
          <w:lang w:eastAsia="en-AU"/>
        </w:rPr>
      </w:pPr>
      <w:r>
        <w:rPr>
          <w:lang w:eastAsia="en-AU"/>
        </w:rPr>
        <w:t>Projected income distributions of individuals and families with and without PHI were generated based on de</w:t>
      </w:r>
      <w:r>
        <w:rPr>
          <w:lang w:eastAsia="en-AU"/>
        </w:rPr>
        <w:noBreakHyphen/>
        <w:t>identified 2012-</w:t>
      </w:r>
      <w:r w:rsidRPr="000F1CB5">
        <w:rPr>
          <w:lang w:eastAsia="en-AU"/>
        </w:rPr>
        <w:t>1</w:t>
      </w:r>
      <w:r>
        <w:rPr>
          <w:lang w:eastAsia="en-AU"/>
        </w:rPr>
        <w:t>3 personal income tax data.  Average PHI premiums were estimated using data from the Private Health Insurance Administration Council and projected over the medium term.</w:t>
      </w:r>
    </w:p>
    <w:p w:rsidR="0082635D" w:rsidRDefault="0082635D" w:rsidP="0082635D">
      <w:pPr>
        <w:rPr>
          <w:lang w:eastAsia="en-AU"/>
        </w:rPr>
      </w:pPr>
      <w:r>
        <w:rPr>
          <w:lang w:eastAsia="en-AU"/>
        </w:rPr>
        <w:t xml:space="preserve">The potential MLS liabilities and values of the PHI rebate were estimated under both current and proposed policy settings.  PHI demand elasticities were then applied to the percentage changes in both the net PHI premium costs and MLS liabilities to estimate the behavioural response resulting from the policy change.  The total PHI rebate expense and MLS revenue estimates under the proposal were then compared to the total under the base scenario to determine the cost of the proposal. </w:t>
      </w:r>
    </w:p>
    <w:p w:rsidR="0082635D" w:rsidRDefault="0082635D" w:rsidP="0082635D">
      <w:r>
        <w:t xml:space="preserve">Timing effects have been included in this costing to account for the timing of tax collections and the payment of the PHI rebate. </w:t>
      </w:r>
    </w:p>
    <w:p w:rsidR="0082635D" w:rsidRDefault="0082635D" w:rsidP="0082635D">
      <w:pPr>
        <w:rPr>
          <w:lang w:eastAsia="en-AU"/>
        </w:rPr>
      </w:pPr>
      <w:r w:rsidRPr="00BB40DB">
        <w:rPr>
          <w:lang w:eastAsia="en-AU"/>
        </w:rPr>
        <w:t>Estimates for PHI rebate expenses and MLS revenue have been rounded to the nearest $10 million.</w:t>
      </w:r>
      <w:r>
        <w:rPr>
          <w:lang w:eastAsia="en-AU"/>
        </w:rPr>
        <w:t xml:space="preserve">  Estimates for departmental expenses have been rounded to the nearest $1</w:t>
      </w:r>
      <w:r w:rsidR="000323E7">
        <w:rPr>
          <w:lang w:eastAsia="en-AU"/>
        </w:rPr>
        <w:t> </w:t>
      </w:r>
      <w:r>
        <w:rPr>
          <w:lang w:eastAsia="en-AU"/>
        </w:rPr>
        <w:t>million.</w:t>
      </w:r>
    </w:p>
    <w:p w:rsidR="005E3562" w:rsidRDefault="005E3562" w:rsidP="00E40B8B">
      <w:pPr>
        <w:pStyle w:val="Heading2"/>
      </w:pPr>
      <w:r w:rsidRPr="00FC6579">
        <w:t>Data sources</w:t>
      </w:r>
    </w:p>
    <w:p w:rsidR="00BE62EC" w:rsidRPr="00BE62EC" w:rsidRDefault="00BE62EC" w:rsidP="00BE62EC">
      <w:pPr>
        <w:pStyle w:val="Bullet1"/>
      </w:pPr>
      <w:r w:rsidRPr="00BE62EC">
        <w:t>De-identified personal income tax and superannuation contribution unit record data for 2012-13</w:t>
      </w:r>
      <w:r>
        <w:t>.</w:t>
      </w:r>
    </w:p>
    <w:p w:rsidR="0082635D" w:rsidRPr="003216AD" w:rsidRDefault="0082635D" w:rsidP="00BE62EC">
      <w:pPr>
        <w:pStyle w:val="Bullet1"/>
      </w:pPr>
      <w:r>
        <w:t xml:space="preserve">Australian Prudential Regulation Authority – </w:t>
      </w:r>
      <w:r w:rsidRPr="003A7BCE">
        <w:t xml:space="preserve">Private Health Insurance Quarterly Statistics, </w:t>
      </w:r>
      <w:r>
        <w:t>March</w:t>
      </w:r>
      <w:r w:rsidRPr="003A7BCE">
        <w:t xml:space="preserve"> 201</w:t>
      </w:r>
      <w:r>
        <w:t>6.</w:t>
      </w:r>
    </w:p>
    <w:p w:rsidR="0082635D" w:rsidRPr="00084FB4" w:rsidRDefault="0082635D" w:rsidP="00BE62EC">
      <w:pPr>
        <w:pStyle w:val="Bullet1"/>
      </w:pPr>
      <w:r>
        <w:t xml:space="preserve">2016-17 </w:t>
      </w:r>
      <w:proofErr w:type="gramStart"/>
      <w:r>
        <w:t>Budget</w:t>
      </w:r>
      <w:proofErr w:type="gramEnd"/>
      <w:r>
        <w:t>.</w:t>
      </w:r>
    </w:p>
    <w:p w:rsidR="0082635D" w:rsidRPr="00762E13" w:rsidRDefault="0082635D" w:rsidP="00BE62EC">
      <w:pPr>
        <w:pStyle w:val="Bullet1"/>
      </w:pPr>
      <w:r>
        <w:t>2015 Tax Expenditure Statement.</w:t>
      </w:r>
    </w:p>
    <w:p w:rsidR="0082635D" w:rsidRPr="00BE62EC" w:rsidRDefault="0082635D" w:rsidP="00BE62EC">
      <w:pPr>
        <w:pStyle w:val="Bullet1"/>
      </w:pPr>
      <w:r>
        <w:t xml:space="preserve">Cheng, T. 2011. </w:t>
      </w:r>
      <w:r w:rsidRPr="00A771FC">
        <w:rPr>
          <w:i/>
        </w:rPr>
        <w:t xml:space="preserve">Measuring the effects of removing subsidies for private insurance on public </w:t>
      </w:r>
      <w:r w:rsidRPr="00BE62EC">
        <w:t xml:space="preserve">expenditure for Health care. Melbourne Institute Working Paper 16/11. </w:t>
      </w:r>
    </w:p>
    <w:p w:rsidR="0082635D" w:rsidRPr="00BE62EC" w:rsidRDefault="0082635D" w:rsidP="00BE62EC">
      <w:pPr>
        <w:pStyle w:val="Bullet1"/>
      </w:pPr>
      <w:r w:rsidRPr="00BE62EC">
        <w:t xml:space="preserve">Robson, A., </w:t>
      </w:r>
      <w:proofErr w:type="spellStart"/>
      <w:r w:rsidRPr="00BE62EC">
        <w:t>Ergas</w:t>
      </w:r>
      <w:proofErr w:type="spellEnd"/>
      <w:r w:rsidRPr="00BE62EC">
        <w:t xml:space="preserve">, H. and </w:t>
      </w:r>
      <w:proofErr w:type="spellStart"/>
      <w:r w:rsidRPr="00BE62EC">
        <w:t>Paolucci</w:t>
      </w:r>
      <w:proofErr w:type="spellEnd"/>
      <w:r w:rsidRPr="00BE62EC">
        <w:t xml:space="preserve">, F. 2011. The Analytics of the Australian Private Health Insurance Rebate and the Medicare Levy Surcharge. Agenda. Vol 18, no 2. </w:t>
      </w:r>
    </w:p>
    <w:p w:rsidR="0082635D" w:rsidRPr="00BE62EC" w:rsidRDefault="0082635D" w:rsidP="00BE62EC">
      <w:pPr>
        <w:pStyle w:val="Bullet1"/>
      </w:pPr>
      <w:r w:rsidRPr="00BE62EC">
        <w:t>Ellis, R. and Savage, E. 2008. Run for cover now or later? The impact of premiums, threats and deadlines on private health insurance in Australia. International Journal of Health Care Finance and Economics. Vol 8 pages 257-277.</w:t>
      </w:r>
    </w:p>
    <w:p w:rsidR="00BE62EC" w:rsidRDefault="00BE62EC" w:rsidP="00BE62EC"/>
    <w:p w:rsidR="00BE62EC" w:rsidRDefault="00BE62EC" w:rsidP="00BE62EC">
      <w:pPr>
        <w:pStyle w:val="Bullet1"/>
        <w:sectPr w:rsidR="00BE62EC" w:rsidSect="007217D2">
          <w:headerReference w:type="first" r:id="rId13"/>
          <w:footerReference w:type="first" r:id="rId14"/>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2635D">
        <w:t xml:space="preserve">  Phasing </w:t>
      </w:r>
      <w:r w:rsidR="000323E7">
        <w:t>O</w:t>
      </w:r>
      <w:r w:rsidR="0082635D">
        <w:t>ut Private Health Insurance</w:t>
      </w:r>
      <w:r w:rsidR="00440E32">
        <w:t>—</w:t>
      </w:r>
      <w:r w:rsidR="0082635D">
        <w:t xml:space="preserve"> </w:t>
      </w:r>
      <w:r w:rsidR="00440E32">
        <w:t>financial implications</w:t>
      </w:r>
    </w:p>
    <w:p w:rsidR="00EA265F" w:rsidRPr="00E30FB5" w:rsidRDefault="00EA265F" w:rsidP="00EA265F">
      <w:pPr>
        <w:pStyle w:val="Captionheading"/>
        <w:rPr>
          <w:vertAlign w:val="superscript"/>
        </w:rPr>
      </w:pPr>
      <w:r w:rsidRPr="00FC5643">
        <w:t xml:space="preserve">Table </w:t>
      </w:r>
      <w:r>
        <w:t>A1</w:t>
      </w:r>
      <w:r w:rsidRPr="00FC5643">
        <w:t xml:space="preserve">: </w:t>
      </w:r>
      <w:r>
        <w:t xml:space="preserve">Fiscal </w:t>
      </w:r>
      <w:proofErr w:type="gramStart"/>
      <w:r>
        <w:t>balance</w:t>
      </w:r>
      <w:r>
        <w:rPr>
          <w:vertAlign w:val="superscript"/>
        </w:rPr>
        <w:t>(</w:t>
      </w:r>
      <w:proofErr w:type="gramEnd"/>
      <w:r>
        <w:rPr>
          <w:vertAlign w:val="superscript"/>
        </w:rPr>
        <w:t>a)</w:t>
      </w:r>
      <w:r w:rsidR="00E30FA0">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EA265F" w:rsidRPr="00EF1D6A" w:rsidTr="0048537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EA265F" w:rsidRPr="00BE62EC" w:rsidRDefault="00EA265F" w:rsidP="00BE62EC">
            <w:pPr>
              <w:pStyle w:val="TableText"/>
              <w:keepNext/>
              <w:keepLines/>
              <w:spacing w:line="240" w:lineRule="auto"/>
              <w:ind w:left="57" w:right="57"/>
              <w:rPr>
                <w:szCs w:val="20"/>
              </w:rPr>
            </w:pPr>
            <w:r w:rsidRPr="00BE62EC">
              <w:rPr>
                <w:szCs w:val="20"/>
              </w:rPr>
              <w:t>($m)</w:t>
            </w:r>
          </w:p>
        </w:tc>
        <w:tc>
          <w:tcPr>
            <w:tcW w:w="682" w:type="pct"/>
            <w:tcBorders>
              <w:top w:val="single" w:sz="4" w:space="0" w:color="788184"/>
              <w:left w:val="single" w:sz="4" w:space="0" w:color="788184"/>
              <w:bottom w:val="single" w:sz="4" w:space="0" w:color="788184"/>
              <w:right w:val="single" w:sz="4" w:space="0" w:color="788184"/>
            </w:tcBorders>
          </w:tcPr>
          <w:p w:rsidR="00EA265F" w:rsidRPr="00BE62EC" w:rsidRDefault="00EA265F"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BE62EC">
              <w:t>2016–17</w:t>
            </w:r>
          </w:p>
        </w:tc>
        <w:tc>
          <w:tcPr>
            <w:tcW w:w="682" w:type="pct"/>
            <w:tcBorders>
              <w:top w:val="single" w:sz="4" w:space="0" w:color="788184"/>
              <w:left w:val="single" w:sz="4" w:space="0" w:color="788184"/>
              <w:bottom w:val="single" w:sz="4" w:space="0" w:color="788184"/>
              <w:right w:val="single" w:sz="4" w:space="0" w:color="788184"/>
            </w:tcBorders>
          </w:tcPr>
          <w:p w:rsidR="00EA265F" w:rsidRPr="00BE62EC" w:rsidRDefault="00EA265F"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BE62EC">
              <w:t>2017–18</w:t>
            </w:r>
          </w:p>
        </w:tc>
        <w:tc>
          <w:tcPr>
            <w:tcW w:w="682" w:type="pct"/>
            <w:tcBorders>
              <w:top w:val="single" w:sz="4" w:space="0" w:color="788184"/>
              <w:left w:val="single" w:sz="4" w:space="0" w:color="788184"/>
              <w:bottom w:val="single" w:sz="4" w:space="0" w:color="788184"/>
              <w:right w:val="single" w:sz="4" w:space="0" w:color="788184"/>
            </w:tcBorders>
          </w:tcPr>
          <w:p w:rsidR="00EA265F" w:rsidRPr="00BE62EC" w:rsidRDefault="00EA265F"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BE62EC">
              <w:t>2018–19</w:t>
            </w:r>
          </w:p>
        </w:tc>
        <w:tc>
          <w:tcPr>
            <w:tcW w:w="682" w:type="pct"/>
            <w:tcBorders>
              <w:top w:val="single" w:sz="4" w:space="0" w:color="788184"/>
              <w:left w:val="single" w:sz="4" w:space="0" w:color="788184"/>
              <w:bottom w:val="single" w:sz="4" w:space="0" w:color="788184"/>
              <w:right w:val="single" w:sz="4" w:space="0" w:color="788184"/>
            </w:tcBorders>
          </w:tcPr>
          <w:p w:rsidR="00EA265F" w:rsidRPr="00BE62EC" w:rsidRDefault="00EA265F"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BE62EC">
              <w:t>2019–20</w:t>
            </w:r>
          </w:p>
        </w:tc>
        <w:tc>
          <w:tcPr>
            <w:tcW w:w="682" w:type="pct"/>
            <w:tcBorders>
              <w:top w:val="single" w:sz="4" w:space="0" w:color="788184"/>
              <w:left w:val="single" w:sz="4" w:space="0" w:color="788184"/>
              <w:bottom w:val="single" w:sz="4" w:space="0" w:color="788184"/>
              <w:right w:val="single" w:sz="4" w:space="0" w:color="788184"/>
            </w:tcBorders>
          </w:tcPr>
          <w:p w:rsidR="00EA265F" w:rsidRPr="00C0643E" w:rsidRDefault="00EA265F"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C0643E">
              <w:rPr>
                <w:b/>
              </w:rPr>
              <w:t>Total to 2019–20</w:t>
            </w:r>
          </w:p>
        </w:tc>
      </w:tr>
      <w:tr w:rsidR="0082635D" w:rsidRPr="0066665A" w:rsidTr="00826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BE62EC" w:rsidRDefault="0082635D" w:rsidP="00BE62EC">
            <w:pPr>
              <w:spacing w:before="70" w:after="70" w:line="240" w:lineRule="auto"/>
              <w:ind w:left="57" w:right="57"/>
            </w:pPr>
            <w:r w:rsidRPr="00BE62EC">
              <w:t xml:space="preserve">Private Health Insurance rebate </w:t>
            </w:r>
            <w:r w:rsidR="00E30FA0" w:rsidRPr="00BE62EC">
              <w:t>expenses</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1,310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2,940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4,500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4,460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6F109C">
              <w:rPr>
                <w:b/>
              </w:rPr>
              <w:t>13,210</w:t>
            </w:r>
            <w:r w:rsidR="00F8595D">
              <w:rPr>
                <w:b/>
              </w:rPr>
              <w:t>.0</w:t>
            </w:r>
          </w:p>
        </w:tc>
      </w:tr>
      <w:tr w:rsidR="0082635D" w:rsidRPr="0066665A" w:rsidTr="0082635D">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BE62EC" w:rsidRDefault="0082635D" w:rsidP="00BE62EC">
            <w:pPr>
              <w:spacing w:before="70" w:after="70" w:line="240" w:lineRule="auto"/>
              <w:ind w:left="57" w:right="57"/>
            </w:pPr>
            <w:r w:rsidRPr="00BE62EC">
              <w:t xml:space="preserve">Departmental </w:t>
            </w:r>
            <w:r w:rsidR="00E30FA0" w:rsidRPr="00BE62EC">
              <w:t>expenses</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6F109C">
              <w:t>-2</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6F109C">
              <w:rPr>
                <w:b/>
              </w:rPr>
              <w:t>-2</w:t>
            </w:r>
            <w:r w:rsidR="00F8595D">
              <w:rPr>
                <w:b/>
              </w:rPr>
              <w:t>.0</w:t>
            </w:r>
          </w:p>
        </w:tc>
      </w:tr>
      <w:tr w:rsidR="0082635D" w:rsidRPr="0066665A" w:rsidTr="00826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BE62EC" w:rsidRDefault="0082635D" w:rsidP="00BE62EC">
            <w:pPr>
              <w:spacing w:before="70" w:after="70" w:line="240" w:lineRule="auto"/>
              <w:ind w:left="57" w:right="57"/>
            </w:pPr>
            <w:r w:rsidRPr="00BE62EC">
              <w:t>Medicare Levy Surcharge re</w:t>
            </w:r>
            <w:r w:rsidR="00E30FA0" w:rsidRPr="00BE62EC">
              <w:t>venue</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20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6F109C">
              <w:t>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6F109C">
              <w:rPr>
                <w:b/>
              </w:rPr>
              <w:t>100</w:t>
            </w:r>
            <w:r w:rsidR="00F8595D">
              <w:rPr>
                <w:b/>
              </w:rPr>
              <w:t>.0</w:t>
            </w:r>
          </w:p>
        </w:tc>
      </w:tr>
      <w:tr w:rsidR="0082635D" w:rsidRPr="0055406D" w:rsidTr="00C0643E">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82635D" w:rsidRPr="0055406D" w:rsidRDefault="0082635D" w:rsidP="00BE62EC">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1,308</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2,960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4,540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4,500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13,308</w:t>
            </w:r>
            <w:r w:rsidR="00F8595D">
              <w:rPr>
                <w:b/>
              </w:rPr>
              <w:t>.0</w:t>
            </w:r>
          </w:p>
        </w:tc>
      </w:tr>
    </w:tbl>
    <w:p w:rsidR="00E30FA0" w:rsidRDefault="00E30FA0" w:rsidP="00955811">
      <w:pPr>
        <w:pStyle w:val="Footnotes"/>
        <w:numPr>
          <w:ilvl w:val="0"/>
          <w:numId w:val="9"/>
        </w:numPr>
        <w:ind w:left="284" w:hanging="284"/>
      </w:pPr>
      <w:r w:rsidRPr="0082635D">
        <w:t>A positive number for the fiscal balance indicates an increase in revenue or a decrease in expenses or net capital investment in accrual terms.</w:t>
      </w:r>
      <w:r w:rsidR="00A321B3">
        <w:t xml:space="preserve">  A negative number for the fiscal balance indicates a decrease in revenue or an increase in expenses or net capital investment in accrual terms. </w:t>
      </w:r>
      <w:r>
        <w:t xml:space="preserve">  </w:t>
      </w:r>
    </w:p>
    <w:p w:rsidR="008B32C4" w:rsidRPr="008B32C4" w:rsidRDefault="008B32C4" w:rsidP="00955811">
      <w:pPr>
        <w:pStyle w:val="Footnotes"/>
        <w:numPr>
          <w:ilvl w:val="0"/>
          <w:numId w:val="9"/>
        </w:numPr>
        <w:ind w:left="284" w:hanging="284"/>
      </w:pPr>
      <w:r w:rsidRPr="008B32C4">
        <w:t xml:space="preserve">Figures may not </w:t>
      </w:r>
      <w:r w:rsidR="009957C9">
        <w:t>sum</w:t>
      </w:r>
      <w:r w:rsidRPr="008B32C4">
        <w:t xml:space="preserve"> to totals due to rounding.</w:t>
      </w:r>
    </w:p>
    <w:p w:rsidR="0082635D" w:rsidRDefault="0082635D" w:rsidP="0082635D">
      <w:pPr>
        <w:pStyle w:val="Footnotes"/>
        <w:numPr>
          <w:ilvl w:val="0"/>
          <w:numId w:val="0"/>
        </w:numPr>
      </w:pPr>
      <w:r w:rsidRPr="0082635D">
        <w:t xml:space="preserve">.. </w:t>
      </w:r>
      <w:r>
        <w:t xml:space="preserve">   </w:t>
      </w:r>
      <w:r w:rsidRPr="0082635D">
        <w:t>Not zero but rounded to zero.</w:t>
      </w:r>
    </w:p>
    <w:p w:rsidR="0098279E" w:rsidRPr="00CA5D42" w:rsidRDefault="0098279E" w:rsidP="00E30FA0">
      <w:pPr>
        <w:pStyle w:val="Footnotes"/>
        <w:numPr>
          <w:ilvl w:val="0"/>
          <w:numId w:val="0"/>
        </w:numPr>
      </w:pPr>
      <w:r w:rsidRPr="00E30FA0">
        <w:t>-</w:t>
      </w:r>
      <w:r>
        <w:t xml:space="preserve">     Indicates </w:t>
      </w:r>
      <w:r w:rsidR="00E30FA0">
        <w:t>nil.</w:t>
      </w:r>
    </w:p>
    <w:p w:rsidR="00507897" w:rsidRPr="00E40B8B" w:rsidRDefault="00507897" w:rsidP="00FC6579">
      <w:pPr>
        <w:pStyle w:val="Captionheading"/>
        <w:rPr>
          <w:vertAlign w:val="superscript"/>
        </w:rPr>
      </w:pPr>
      <w:r w:rsidRPr="00FC6579">
        <w:t xml:space="preserve">Table </w:t>
      </w:r>
      <w:r w:rsidR="00E40B8B">
        <w:t>A</w:t>
      </w:r>
      <w:r w:rsidR="00EA265F">
        <w:t>2</w:t>
      </w:r>
      <w:r w:rsidRPr="00FC6579">
        <w:t xml:space="preserve">: </w:t>
      </w:r>
      <w:r w:rsidR="00E40B8B">
        <w:t xml:space="preserve">Underlying cash </w:t>
      </w:r>
      <w:proofErr w:type="gramStart"/>
      <w:r w:rsidR="00E40B8B">
        <w:t>balance</w:t>
      </w:r>
      <w:r w:rsidR="00E40B8B">
        <w:rPr>
          <w:vertAlign w:val="superscript"/>
        </w:rPr>
        <w:t>(</w:t>
      </w:r>
      <w:proofErr w:type="gramEnd"/>
      <w:r w:rsidR="00E40B8B">
        <w:rPr>
          <w:vertAlign w:val="superscript"/>
        </w:rPr>
        <w:t>a)</w:t>
      </w:r>
      <w:r w:rsidR="00E30FA0">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17112" w:rsidRPr="00EF1D6A" w:rsidTr="00101C1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507897" w:rsidRPr="00101C17" w:rsidRDefault="00507897" w:rsidP="00101C17">
            <w:pPr>
              <w:pStyle w:val="TableText"/>
              <w:keepNext/>
              <w:keepLines/>
              <w:spacing w:line="240" w:lineRule="auto"/>
              <w:ind w:left="57" w:right="57"/>
              <w:rPr>
                <w:rFonts w:ascii="Calibri" w:hAnsi="Calibri"/>
                <w:szCs w:val="20"/>
              </w:rPr>
            </w:pPr>
            <w:r w:rsidRPr="00101C17">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tcPr>
          <w:p w:rsidR="00507897" w:rsidRPr="00C24267" w:rsidRDefault="00507897"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tcPr>
          <w:p w:rsidR="00507897" w:rsidRPr="00C24267" w:rsidRDefault="00507897"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tcPr>
          <w:p w:rsidR="00507897" w:rsidRPr="00C24267" w:rsidRDefault="00507897"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tcPr>
          <w:p w:rsidR="00507897" w:rsidRPr="00C24267" w:rsidRDefault="00507897" w:rsidP="00BE62EC">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tcPr>
          <w:p w:rsidR="00507897" w:rsidRPr="00C0643E" w:rsidRDefault="00507897" w:rsidP="00927F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C0643E">
              <w:rPr>
                <w:b/>
              </w:rPr>
              <w:t>Total</w:t>
            </w:r>
            <w:r w:rsidR="00DD3E18" w:rsidRPr="00C0643E">
              <w:rPr>
                <w:b/>
                <w:szCs w:val="20"/>
              </w:rPr>
              <w:t xml:space="preserve"> to 2019–20</w:t>
            </w:r>
          </w:p>
        </w:tc>
      </w:tr>
      <w:tr w:rsidR="0082635D" w:rsidRPr="0066665A" w:rsidTr="00826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5236C8" w:rsidRDefault="0082635D" w:rsidP="00BE62EC">
            <w:pPr>
              <w:spacing w:before="70" w:after="70" w:line="240" w:lineRule="auto"/>
              <w:ind w:left="57" w:right="57"/>
            </w:pPr>
            <w:r w:rsidRPr="005236C8">
              <w:t xml:space="preserve">Private Health Insurance rebate </w:t>
            </w:r>
            <w:r w:rsidR="00E30FA0">
              <w:t>outlays</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1,180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2,780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4,340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4,460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6F109C">
              <w:rPr>
                <w:b/>
              </w:rPr>
              <w:t>12,760</w:t>
            </w:r>
            <w:r w:rsidR="00F8595D">
              <w:rPr>
                <w:b/>
              </w:rPr>
              <w:t>.0</w:t>
            </w:r>
          </w:p>
        </w:tc>
      </w:tr>
      <w:tr w:rsidR="0082635D" w:rsidRPr="0066665A" w:rsidTr="0082635D">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5236C8" w:rsidRDefault="0082635D" w:rsidP="00BE62EC">
            <w:pPr>
              <w:spacing w:before="70" w:after="70" w:line="240" w:lineRule="auto"/>
              <w:ind w:left="57" w:right="57"/>
            </w:pPr>
            <w:r w:rsidRPr="005236C8">
              <w:t xml:space="preserve">Departmental </w:t>
            </w:r>
            <w:r w:rsidR="00E30FA0">
              <w:t>outlays</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6F109C">
              <w:t>-2</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6F109C">
              <w:rPr>
                <w:b/>
              </w:rPr>
              <w:t>-2</w:t>
            </w:r>
            <w:r w:rsidR="00F8595D">
              <w:rPr>
                <w:b/>
              </w:rPr>
              <w:t>.0</w:t>
            </w:r>
          </w:p>
        </w:tc>
      </w:tr>
      <w:tr w:rsidR="0082635D" w:rsidRPr="0066665A" w:rsidTr="008263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82635D" w:rsidRPr="005236C8" w:rsidRDefault="0082635D" w:rsidP="00BE62EC">
            <w:pPr>
              <w:spacing w:before="70" w:after="70" w:line="240" w:lineRule="auto"/>
              <w:ind w:left="57" w:right="57"/>
            </w:pPr>
            <w:r w:rsidRPr="005236C8">
              <w:t xml:space="preserve">Medicare Levy Surcharge </w:t>
            </w:r>
            <w:r w:rsidR="00E30FA0">
              <w:t>receipts</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20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pPr>
            <w:r w:rsidRPr="006F109C">
              <w:t>40</w:t>
            </w:r>
            <w:r w:rsidR="00F8595D">
              <w:t>.0</w:t>
            </w:r>
          </w:p>
        </w:tc>
        <w:tc>
          <w:tcPr>
            <w:tcW w:w="682" w:type="pct"/>
            <w:tcBorders>
              <w:top w:val="single" w:sz="4" w:space="0" w:color="788184"/>
              <w:left w:val="single" w:sz="4" w:space="0" w:color="788184"/>
              <w:bottom w:val="single" w:sz="4" w:space="0" w:color="788184"/>
              <w:right w:val="single" w:sz="4" w:space="0" w:color="788184"/>
            </w:tcBorders>
          </w:tcPr>
          <w:p w:rsidR="0082635D" w:rsidRPr="006F109C" w:rsidRDefault="0082635D" w:rsidP="00BE62E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b/>
              </w:rPr>
            </w:pPr>
            <w:r w:rsidRPr="006F109C">
              <w:rPr>
                <w:b/>
              </w:rPr>
              <w:t>100</w:t>
            </w:r>
            <w:r w:rsidR="00F8595D">
              <w:rPr>
                <w:b/>
              </w:rPr>
              <w:t>.0</w:t>
            </w:r>
          </w:p>
        </w:tc>
      </w:tr>
      <w:tr w:rsidR="0082635D" w:rsidRPr="0055406D" w:rsidTr="00C0643E">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82635D" w:rsidRPr="0055406D" w:rsidRDefault="0082635D" w:rsidP="00BE62EC">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1,178</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2,800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4,380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4,500</w:t>
            </w:r>
            <w:r w:rsidR="00F8595D">
              <w:rPr>
                <w:b/>
              </w:rPr>
              <w:t>.0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82635D" w:rsidRPr="00C0643E" w:rsidRDefault="0082635D" w:rsidP="00BE62EC">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b/>
              </w:rPr>
            </w:pPr>
            <w:r w:rsidRPr="00C0643E">
              <w:rPr>
                <w:b/>
              </w:rPr>
              <w:t>12,858</w:t>
            </w:r>
            <w:r w:rsidR="00F8595D">
              <w:rPr>
                <w:b/>
              </w:rPr>
              <w:t>.0</w:t>
            </w:r>
          </w:p>
        </w:tc>
      </w:tr>
    </w:tbl>
    <w:p w:rsidR="00E30FA0" w:rsidRDefault="00E30FA0" w:rsidP="00955811">
      <w:pPr>
        <w:pStyle w:val="Footnotes"/>
        <w:numPr>
          <w:ilvl w:val="0"/>
          <w:numId w:val="8"/>
        </w:numPr>
        <w:ind w:left="284" w:hanging="284"/>
      </w:pPr>
      <w:r w:rsidRPr="0082635D" w:rsidDel="0066665A">
        <w:t xml:space="preserve">A positive number for the underlying cash balance indicates </w:t>
      </w:r>
      <w:r w:rsidRPr="0082635D">
        <w:t>an increase in re</w:t>
      </w:r>
      <w:r>
        <w:t>ceipts or a decrease in outlays</w:t>
      </w:r>
      <w:r w:rsidRPr="0082635D" w:rsidDel="0066665A">
        <w:t xml:space="preserve"> </w:t>
      </w:r>
      <w:r w:rsidRPr="0082635D">
        <w:t xml:space="preserve">or net capital investment </w:t>
      </w:r>
      <w:r w:rsidRPr="0082635D" w:rsidDel="0066665A">
        <w:t>in cash</w:t>
      </w:r>
      <w:r>
        <w:t xml:space="preserve"> </w:t>
      </w:r>
      <w:r w:rsidRPr="0082635D" w:rsidDel="0066665A">
        <w:t>terms.</w:t>
      </w:r>
      <w:r w:rsidR="00F65E5E">
        <w:t xml:space="preserve"> </w:t>
      </w:r>
      <w:r w:rsidR="00A321B3">
        <w:t xml:space="preserve"> A negative number for the </w:t>
      </w:r>
      <w:r w:rsidR="00F65E5E">
        <w:t xml:space="preserve">underlying cash </w:t>
      </w:r>
      <w:r w:rsidR="00A321B3">
        <w:t>balance indicates a decrease in receipts or an increase in outlays or net capital investment in cash terms.</w:t>
      </w:r>
    </w:p>
    <w:p w:rsidR="00E40B8B" w:rsidRDefault="008B32C4" w:rsidP="00955811">
      <w:pPr>
        <w:pStyle w:val="Footnotes"/>
        <w:numPr>
          <w:ilvl w:val="0"/>
          <w:numId w:val="8"/>
        </w:numPr>
        <w:ind w:left="284" w:hanging="284"/>
      </w:pPr>
      <w:r>
        <w:t>Figures</w:t>
      </w:r>
      <w:r w:rsidR="00E40B8B">
        <w:t xml:space="preserve"> may not </w:t>
      </w:r>
      <w:r w:rsidR="009957C9">
        <w:t>sum</w:t>
      </w:r>
      <w:r w:rsidR="00E40B8B">
        <w:t xml:space="preserve"> </w:t>
      </w:r>
      <w:r>
        <w:t xml:space="preserve">to totals </w:t>
      </w:r>
      <w:r w:rsidR="00E40B8B">
        <w:t>due to rounding.</w:t>
      </w:r>
    </w:p>
    <w:p w:rsidR="00E40B8B" w:rsidRDefault="0082635D" w:rsidP="00E40B8B">
      <w:pPr>
        <w:pStyle w:val="Footnotes"/>
        <w:numPr>
          <w:ilvl w:val="0"/>
          <w:numId w:val="0"/>
        </w:numPr>
      </w:pPr>
      <w:r w:rsidRPr="0082635D">
        <w:t>..    Not zero but rounded to zero.</w:t>
      </w:r>
    </w:p>
    <w:p w:rsidR="00E30FA0" w:rsidRDefault="00E30FA0" w:rsidP="002734CB">
      <w:pPr>
        <w:pStyle w:val="Footnotes"/>
        <w:numPr>
          <w:ilvl w:val="0"/>
          <w:numId w:val="0"/>
        </w:numPr>
      </w:pPr>
      <w:r w:rsidRPr="00E30FA0">
        <w:t>-</w:t>
      </w:r>
      <w:r>
        <w:t xml:space="preserve">     Indicates nil.</w:t>
      </w:r>
    </w:p>
    <w:sectPr w:rsidR="00E30FA0" w:rsidSect="007217D2">
      <w:headerReference w:type="first" r:id="rId15"/>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F3" w:rsidRDefault="00F821F3" w:rsidP="008F588A">
      <w:pPr>
        <w:spacing w:line="240" w:lineRule="auto"/>
      </w:pPr>
      <w:r>
        <w:separator/>
      </w:r>
    </w:p>
    <w:p w:rsidR="00F821F3" w:rsidRDefault="00F821F3"/>
  </w:endnote>
  <w:endnote w:type="continuationSeparator" w:id="0">
    <w:p w:rsidR="00F821F3" w:rsidRDefault="00F821F3" w:rsidP="008F588A">
      <w:pPr>
        <w:spacing w:line="240" w:lineRule="auto"/>
      </w:pPr>
      <w:r>
        <w:continuationSeparator/>
      </w:r>
    </w:p>
    <w:p w:rsidR="00F821F3" w:rsidRDefault="00F82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E665D">
      <w:rPr>
        <w:noProof/>
      </w:rPr>
      <w:t>4</w:t>
    </w:r>
    <w:r w:rsidRPr="00C24267">
      <w:fldChar w:fldCharType="end"/>
    </w:r>
    <w:r w:rsidRPr="00C24267">
      <w:t xml:space="preserve"> of </w:t>
    </w:r>
    <w:fldSimple w:instr=" NUMPAGES  \* Arabic  \* MERGEFORMAT ">
      <w:r w:rsidR="007E665D">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Letterfooter"/>
    </w:pPr>
    <w:r w:rsidRPr="00C24267">
      <w:t>Parliamentary Budget Office   PO Box 6010   Parliament House   Canberra ACT 2600</w:t>
    </w:r>
  </w:p>
  <w:p w:rsidR="00485374" w:rsidRPr="00C24267" w:rsidRDefault="0048537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7E665D">
      <w:rPr>
        <w:noProof/>
      </w:rPr>
      <w:t>2</w:t>
    </w:r>
    <w:r w:rsidRPr="00C24267">
      <w:fldChar w:fldCharType="end"/>
    </w:r>
    <w:r w:rsidRPr="00C24267">
      <w:t xml:space="preserve"> of </w:t>
    </w:r>
    <w:fldSimple w:instr=" NUMPAGES  \* Arabic  \* MERGEFORMAT ">
      <w:r w:rsidR="007E665D">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F3" w:rsidRDefault="00F821F3" w:rsidP="008F588A">
      <w:pPr>
        <w:spacing w:line="240" w:lineRule="auto"/>
      </w:pPr>
      <w:r>
        <w:separator/>
      </w:r>
    </w:p>
    <w:p w:rsidR="00F821F3" w:rsidRDefault="00F821F3"/>
  </w:footnote>
  <w:footnote w:type="continuationSeparator" w:id="0">
    <w:p w:rsidR="00F821F3" w:rsidRDefault="00F821F3" w:rsidP="008F588A">
      <w:pPr>
        <w:spacing w:line="240" w:lineRule="auto"/>
      </w:pPr>
      <w:r>
        <w:continuationSeparator/>
      </w:r>
    </w:p>
    <w:p w:rsidR="00F821F3" w:rsidRDefault="00F82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Default="00485374" w:rsidP="00CB40E1">
    <w:pPr>
      <w:pStyle w:val="Header"/>
    </w:pPr>
    <w:r>
      <w:rPr>
        <w:noProof/>
        <w:lang w:eastAsia="en-AU"/>
      </w:rPr>
      <w:drawing>
        <wp:inline distT="0" distB="0" distL="0" distR="0" wp14:anchorId="0B9FDE6E" wp14:editId="0F24D690">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5374" w:rsidRPr="00DA1C8A" w:rsidRDefault="00485374"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7C7F33" w:rsidRDefault="00B34860" w:rsidP="007C7F33">
    <w:pPr>
      <w:pStyle w:val="Header"/>
    </w:pPr>
    <w:r>
      <w:rPr>
        <w:noProof/>
        <w:lang w:eastAsia="en-AU"/>
      </w:rPr>
      <w:drawing>
        <wp:inline distT="0" distB="0" distL="0" distR="0" wp14:anchorId="368727A0" wp14:editId="7A07E602">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63" w:rsidRPr="00E60E63" w:rsidRDefault="00E60E63" w:rsidP="00E6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B655533"/>
    <w:multiLevelType w:val="hybridMultilevel"/>
    <w:tmpl w:val="0518BFCE"/>
    <w:lvl w:ilvl="0" w:tplc="8CAE8EF6">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1FD27F7E"/>
    <w:multiLevelType w:val="hybridMultilevel"/>
    <w:tmpl w:val="01264BA6"/>
    <w:lvl w:ilvl="0" w:tplc="55BED392">
      <w:start w:val="2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81BDC"/>
    <w:multiLevelType w:val="hybridMultilevel"/>
    <w:tmpl w:val="625AAD64"/>
    <w:lvl w:ilvl="0" w:tplc="FB28DA26">
      <w:start w:val="2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1130CB"/>
    <w:multiLevelType w:val="hybridMultilevel"/>
    <w:tmpl w:val="09A2C982"/>
    <w:lvl w:ilvl="0" w:tplc="E0DE53B8">
      <w:start w:val="2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E2659B"/>
    <w:multiLevelType w:val="hybridMultilevel"/>
    <w:tmpl w:val="7B68D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745C3AB2"/>
    <w:multiLevelType w:val="hybridMultilevel"/>
    <w:tmpl w:val="90D2462E"/>
    <w:lvl w:ilvl="0" w:tplc="F1FE27E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68E75B6"/>
    <w:multiLevelType w:val="hybridMultilevel"/>
    <w:tmpl w:val="6F96626C"/>
    <w:lvl w:ilvl="0" w:tplc="1778C77C">
      <w:start w:val="2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3"/>
  </w:num>
  <w:num w:numId="6">
    <w:abstractNumId w:val="1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
  </w:num>
  <w:num w:numId="12">
    <w:abstractNumId w:val="0"/>
  </w:num>
  <w:num w:numId="13">
    <w:abstractNumId w:val="10"/>
    <w:lvlOverride w:ilvl="0">
      <w:startOverride w:val="1"/>
    </w:lvlOverride>
  </w:num>
  <w:num w:numId="14">
    <w:abstractNumId w:val="10"/>
    <w:lvlOverride w:ilvl="0">
      <w:startOverride w:val="1"/>
    </w:lvlOverride>
  </w:num>
  <w:num w:numId="15">
    <w:abstractNumId w:val="3"/>
  </w:num>
  <w:num w:numId="16">
    <w:abstractNumId w:val="14"/>
  </w:num>
  <w:num w:numId="17">
    <w:abstractNumId w:val="2"/>
  </w:num>
  <w:num w:numId="18">
    <w:abstractNumId w:val="12"/>
  </w:num>
  <w:num w:numId="19">
    <w:abstractNumId w:val="11"/>
  </w:num>
  <w:num w:numId="20">
    <w:abstractNumId w:val="15"/>
  </w:num>
  <w:num w:numId="21">
    <w:abstractNumId w:val="9"/>
  </w:num>
  <w:num w:numId="22">
    <w:abstractNumId w:val="10"/>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F3"/>
    <w:rsid w:val="00002D5D"/>
    <w:rsid w:val="000323E7"/>
    <w:rsid w:val="00040DCE"/>
    <w:rsid w:val="000804AE"/>
    <w:rsid w:val="00096F3A"/>
    <w:rsid w:val="000B5AA4"/>
    <w:rsid w:val="000C1A75"/>
    <w:rsid w:val="000D53EB"/>
    <w:rsid w:val="00101C17"/>
    <w:rsid w:val="001278D0"/>
    <w:rsid w:val="0014239B"/>
    <w:rsid w:val="00150BC6"/>
    <w:rsid w:val="001A02D1"/>
    <w:rsid w:val="001B0BD6"/>
    <w:rsid w:val="001F59EE"/>
    <w:rsid w:val="00220BE5"/>
    <w:rsid w:val="0024209F"/>
    <w:rsid w:val="002422A3"/>
    <w:rsid w:val="00254218"/>
    <w:rsid w:val="00270F64"/>
    <w:rsid w:val="002734CB"/>
    <w:rsid w:val="002E6D40"/>
    <w:rsid w:val="00315E34"/>
    <w:rsid w:val="00326DE2"/>
    <w:rsid w:val="00387618"/>
    <w:rsid w:val="003F73CA"/>
    <w:rsid w:val="00404D57"/>
    <w:rsid w:val="004171AF"/>
    <w:rsid w:val="00440E32"/>
    <w:rsid w:val="00461597"/>
    <w:rsid w:val="00473FB0"/>
    <w:rsid w:val="00485374"/>
    <w:rsid w:val="00496C34"/>
    <w:rsid w:val="004B2465"/>
    <w:rsid w:val="004C283B"/>
    <w:rsid w:val="004D13ED"/>
    <w:rsid w:val="004D5525"/>
    <w:rsid w:val="005035DA"/>
    <w:rsid w:val="00507897"/>
    <w:rsid w:val="00515A85"/>
    <w:rsid w:val="00545F24"/>
    <w:rsid w:val="0055581F"/>
    <w:rsid w:val="0056229A"/>
    <w:rsid w:val="00570154"/>
    <w:rsid w:val="00570B5A"/>
    <w:rsid w:val="00592B70"/>
    <w:rsid w:val="005C6967"/>
    <w:rsid w:val="005E3562"/>
    <w:rsid w:val="005F7DE0"/>
    <w:rsid w:val="00640346"/>
    <w:rsid w:val="00660385"/>
    <w:rsid w:val="00662E65"/>
    <w:rsid w:val="0066665A"/>
    <w:rsid w:val="00692DD8"/>
    <w:rsid w:val="006F0CE9"/>
    <w:rsid w:val="006F109C"/>
    <w:rsid w:val="007202A8"/>
    <w:rsid w:val="007217D2"/>
    <w:rsid w:val="007229A9"/>
    <w:rsid w:val="007B029A"/>
    <w:rsid w:val="007C4FFE"/>
    <w:rsid w:val="007C7F33"/>
    <w:rsid w:val="007D33AA"/>
    <w:rsid w:val="007E665D"/>
    <w:rsid w:val="007F7BCF"/>
    <w:rsid w:val="008030EC"/>
    <w:rsid w:val="00811D6D"/>
    <w:rsid w:val="0082635D"/>
    <w:rsid w:val="00844776"/>
    <w:rsid w:val="00852208"/>
    <w:rsid w:val="008850D9"/>
    <w:rsid w:val="008A4578"/>
    <w:rsid w:val="008B32C4"/>
    <w:rsid w:val="008C03C3"/>
    <w:rsid w:val="008D3909"/>
    <w:rsid w:val="008F588A"/>
    <w:rsid w:val="00902D2D"/>
    <w:rsid w:val="00915804"/>
    <w:rsid w:val="00927FE8"/>
    <w:rsid w:val="00935473"/>
    <w:rsid w:val="00955811"/>
    <w:rsid w:val="00957285"/>
    <w:rsid w:val="009573AF"/>
    <w:rsid w:val="0098279E"/>
    <w:rsid w:val="009957C9"/>
    <w:rsid w:val="009963ED"/>
    <w:rsid w:val="009B7859"/>
    <w:rsid w:val="009D4063"/>
    <w:rsid w:val="00A13308"/>
    <w:rsid w:val="00A30569"/>
    <w:rsid w:val="00A321B3"/>
    <w:rsid w:val="00A41BD3"/>
    <w:rsid w:val="00A449C2"/>
    <w:rsid w:val="00A65EA3"/>
    <w:rsid w:val="00A75AB2"/>
    <w:rsid w:val="00AA3D6F"/>
    <w:rsid w:val="00AB6F7D"/>
    <w:rsid w:val="00AC7878"/>
    <w:rsid w:val="00AD493E"/>
    <w:rsid w:val="00B06055"/>
    <w:rsid w:val="00B07DDC"/>
    <w:rsid w:val="00B34860"/>
    <w:rsid w:val="00B44D8A"/>
    <w:rsid w:val="00B56959"/>
    <w:rsid w:val="00B73AC8"/>
    <w:rsid w:val="00B747A7"/>
    <w:rsid w:val="00BB4E22"/>
    <w:rsid w:val="00BC559C"/>
    <w:rsid w:val="00BE615A"/>
    <w:rsid w:val="00BE62EC"/>
    <w:rsid w:val="00C0643E"/>
    <w:rsid w:val="00C17112"/>
    <w:rsid w:val="00C24267"/>
    <w:rsid w:val="00CA5D42"/>
    <w:rsid w:val="00CB40E1"/>
    <w:rsid w:val="00CF6DB6"/>
    <w:rsid w:val="00D134CA"/>
    <w:rsid w:val="00D949A3"/>
    <w:rsid w:val="00DA1C8A"/>
    <w:rsid w:val="00DB44F0"/>
    <w:rsid w:val="00DC7C36"/>
    <w:rsid w:val="00DD109E"/>
    <w:rsid w:val="00DD3E18"/>
    <w:rsid w:val="00DF0136"/>
    <w:rsid w:val="00E12103"/>
    <w:rsid w:val="00E15AAE"/>
    <w:rsid w:val="00E21184"/>
    <w:rsid w:val="00E30FA0"/>
    <w:rsid w:val="00E40B8B"/>
    <w:rsid w:val="00E5742E"/>
    <w:rsid w:val="00E60E63"/>
    <w:rsid w:val="00EA265F"/>
    <w:rsid w:val="00ED43FF"/>
    <w:rsid w:val="00EE6600"/>
    <w:rsid w:val="00EF1D6A"/>
    <w:rsid w:val="00EF2E51"/>
    <w:rsid w:val="00F03DC3"/>
    <w:rsid w:val="00F31E24"/>
    <w:rsid w:val="00F52474"/>
    <w:rsid w:val="00F5529D"/>
    <w:rsid w:val="00F5669E"/>
    <w:rsid w:val="00F65E5E"/>
    <w:rsid w:val="00F75D33"/>
    <w:rsid w:val="00F821F3"/>
    <w:rsid w:val="00F8595D"/>
    <w:rsid w:val="00F954CF"/>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uiPriority w:val="59"/>
    <w:rsid w:val="00BE615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9B7859"/>
    <w:pPr>
      <w:spacing w:before="80" w:after="80" w:line="260" w:lineRule="exact"/>
    </w:pPr>
    <w:rPr>
      <w:rFonts w:ascii="Book Antiqua" w:eastAsia="Times New Roman" w:hAnsi="Book Antiqu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uiPriority w:val="59"/>
    <w:rsid w:val="00BE615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vAlign w:val="center"/>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9B7859"/>
    <w:pPr>
      <w:spacing w:before="80" w:after="80" w:line="260" w:lineRule="exact"/>
    </w:pPr>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8BBF04F-0F98-44B9-BBDD-ABDC7531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PBO - GRN009 - Phasing Out Private Health Insurance - 24 June 2016</vt:lpstr>
    </vt:vector>
  </TitlesOfParts>
  <Company>Parliament of Australia</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GRN009 - Phasing Out Private Health Insurance - 24 June 2016</dc:title>
  <dc:creator>PBO@pbo.gov.au</dc:creator>
  <cp:lastModifiedBy>Milligan, Louise (PBO)</cp:lastModifiedBy>
  <cp:revision>4</cp:revision>
  <cp:lastPrinted>2016-06-24T00:23:00Z</cp:lastPrinted>
  <dcterms:created xsi:type="dcterms:W3CDTF">2016-06-24T02:19:00Z</dcterms:created>
  <dcterms:modified xsi:type="dcterms:W3CDTF">2016-06-27T01:35:00Z</dcterms:modified>
  <cp:contentStatus/>
</cp:coreProperties>
</file>