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D15D90" w:rsidP="00C17112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Richard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Natale</w:t>
      </w:r>
    </w:p>
    <w:p w:rsidR="00040DCE" w:rsidRPr="00002D5D" w:rsidRDefault="00D15D90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D15D90">
        <w:rPr>
          <w:rFonts w:ascii="Times New Roman" w:hAnsi="Times New Roman" w:cs="Times New Roman"/>
          <w:sz w:val="24"/>
          <w:szCs w:val="24"/>
        </w:rPr>
        <w:t>Senator</w:t>
      </w:r>
      <w:r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15D90">
        <w:rPr>
          <w:rFonts w:ascii="Times New Roman" w:hAnsi="Times New Roman" w:cs="Times New Roman"/>
          <w:sz w:val="24"/>
          <w:szCs w:val="24"/>
        </w:rPr>
        <w:t>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r w:rsidR="00D15D90">
        <w:rPr>
          <w:i/>
        </w:rPr>
        <w:t xml:space="preserve">Defence </w:t>
      </w:r>
      <w:r w:rsidR="009F2671">
        <w:rPr>
          <w:i/>
        </w:rPr>
        <w:t>S</w:t>
      </w:r>
      <w:r w:rsidR="00D15D90">
        <w:rPr>
          <w:i/>
        </w:rPr>
        <w:t>pending</w:t>
      </w:r>
      <w:r w:rsidRPr="00002D5D">
        <w:t xml:space="preserve"> (letter of </w:t>
      </w:r>
      <w:r w:rsidR="00D15D90">
        <w:t>23 June </w:t>
      </w:r>
      <w:r w:rsidRPr="00002D5D">
        <w:t>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8B6B23" w:rsidP="008B6B23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</w:t>
      </w:r>
      <w:bookmarkStart w:id="0" w:name="_GoBack"/>
      <w:bookmarkEnd w:id="0"/>
      <w:r w:rsidR="00D15D90">
        <w:rPr>
          <w:rFonts w:ascii="Times New Roman" w:hAnsi="Times New Roman" w:cs="Times New Roman"/>
          <w:sz w:val="24"/>
          <w:szCs w:val="24"/>
        </w:rPr>
        <w:t>June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4D5525" w:rsidRDefault="00D15D90" w:rsidP="009F2671">
            <w:pPr>
              <w:pStyle w:val="BodyText"/>
            </w:pPr>
            <w:r>
              <w:t xml:space="preserve">Defence </w:t>
            </w:r>
            <w:r w:rsidR="009F2671">
              <w:t>S</w:t>
            </w:r>
            <w:r>
              <w:t>pending</w:t>
            </w:r>
          </w:p>
        </w:tc>
      </w:tr>
      <w:tr w:rsidR="004D5525" w:rsidTr="00EB0244">
        <w:tc>
          <w:tcPr>
            <w:tcW w:w="3005" w:type="dxa"/>
            <w:vAlign w:val="center"/>
          </w:tcPr>
          <w:p w:rsidR="004D5525" w:rsidRDefault="004D5525" w:rsidP="00EB0244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FF3335" w:rsidRPr="00FF3335" w:rsidRDefault="004D5525" w:rsidP="00FF3335">
            <w:r w:rsidRPr="00FF3335">
              <w:t xml:space="preserve">The proposal would </w:t>
            </w:r>
            <w:r w:rsidR="00FF3335" w:rsidRPr="00FF3335">
              <w:t>reduce the amount of expen</w:t>
            </w:r>
            <w:r w:rsidR="00E74292">
              <w:t>diture on defence from 2017-18</w:t>
            </w:r>
            <w:r w:rsidR="00FF3335" w:rsidRPr="00FF3335">
              <w:t xml:space="preserve"> </w:t>
            </w:r>
            <w:r w:rsidR="00FF1040">
              <w:t xml:space="preserve">to </w:t>
            </w:r>
            <w:r w:rsidR="00E74292">
              <w:t>arrive at</w:t>
            </w:r>
            <w:r w:rsidR="00FF3335" w:rsidRPr="00FF3335">
              <w:t xml:space="preserve"> 75 per cent of total Defence expenditure projected for 2020-21.  Defence funding would thereafter be maintained at 1.5 per cent of Gross Domestic Product (GDP).</w:t>
            </w:r>
          </w:p>
          <w:p w:rsidR="004D5525" w:rsidRDefault="004D5525" w:rsidP="00FF3335">
            <w:r w:rsidRPr="00FF3335">
              <w:t xml:space="preserve">The proposal would have effect from </w:t>
            </w:r>
            <w:r w:rsidR="00FF3335" w:rsidRPr="00FF3335">
              <w:t>1 July 2017</w:t>
            </w:r>
            <w:r w:rsidRPr="00FF3335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D15D90" w:rsidP="004D5525">
            <w:pPr>
              <w:pStyle w:val="BodyText"/>
            </w:pPr>
            <w:r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7D3577" w:rsidRPr="00C17112" w:rsidRDefault="00D15D90" w:rsidP="00D15D90">
            <w:pPr>
              <w:pStyle w:val="BodyText"/>
            </w:pPr>
            <w:r>
              <w:t xml:space="preserve">23 June 2016 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D15D90" w:rsidP="004D5525">
            <w:pPr>
              <w:pStyle w:val="BodyText"/>
            </w:pPr>
            <w:r>
              <w:t>23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687C2F" w:rsidRDefault="004D5525" w:rsidP="004D5525">
            <w:pPr>
              <w:pStyle w:val="BodyText"/>
            </w:pPr>
            <w:r w:rsidRPr="00687C2F">
              <w:t>Date costing completed</w:t>
            </w:r>
            <w:r w:rsidR="00FF3335" w:rsidRPr="00687C2F">
              <w:t>:</w:t>
            </w:r>
          </w:p>
        </w:tc>
        <w:tc>
          <w:tcPr>
            <w:tcW w:w="5335" w:type="dxa"/>
          </w:tcPr>
          <w:p w:rsidR="004D5525" w:rsidRPr="00687C2F" w:rsidRDefault="007F3FAE" w:rsidP="004D5525">
            <w:pPr>
              <w:pStyle w:val="BodyText"/>
            </w:pPr>
            <w:r w:rsidRPr="00687C2F">
              <w:t>24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8030EC" w:rsidRPr="00B26CDB" w:rsidRDefault="008030EC" w:rsidP="008921CA">
      <w:r w:rsidRPr="008921CA">
        <w:t xml:space="preserve">This </w:t>
      </w:r>
      <w:r w:rsidR="00045A5B" w:rsidRPr="008921CA">
        <w:t>proposal would be expected to increase the fiscal and underlying cash balances by</w:t>
      </w:r>
      <w:r w:rsidR="00045A5B" w:rsidRPr="00B26CDB">
        <w:t xml:space="preserve"> $14,111 million over the 2016</w:t>
      </w:r>
      <w:r w:rsidR="00045A5B" w:rsidRPr="00B26CDB">
        <w:noBreakHyphen/>
        <w:t>17 Budget forward estimates period.  This impact reflects a decrease in departmental expenses including capital investment.  This proposal would have an ongoing impact that extends beyond the forward estimates period.  The impacts over 2016-17 to 2026-27 are included at</w:t>
      </w:r>
      <w:r w:rsidR="00B26CDB" w:rsidRPr="00B26CDB">
        <w:t xml:space="preserve"> </w:t>
      </w:r>
      <w:r w:rsidR="00B26CDB" w:rsidRPr="00B26CDB">
        <w:rPr>
          <w:u w:val="single"/>
        </w:rPr>
        <w:t>Attachment A</w:t>
      </w:r>
      <w:r w:rsidR="00B26CDB" w:rsidRPr="00B26CDB">
        <w:t>.</w:t>
      </w:r>
    </w:p>
    <w:p w:rsidR="008D3909" w:rsidRPr="00B26CDB" w:rsidRDefault="008D3909" w:rsidP="008921CA">
      <w:r w:rsidRPr="00B26CDB">
        <w:t xml:space="preserve">This </w:t>
      </w:r>
      <w:r w:rsidR="00B26CDB" w:rsidRPr="00B26CDB">
        <w:t xml:space="preserve">costing is considered to be of medium to high reliability. </w:t>
      </w:r>
      <w:r w:rsidR="00B26CDB">
        <w:t xml:space="preserve"> </w:t>
      </w:r>
      <w:r w:rsidR="00B26CDB" w:rsidRPr="00B26CDB">
        <w:t>Although the costing is based on the 2016 Defence White Paper projections, the amount of future uncommitted funds is uncertain</w:t>
      </w:r>
      <w:r w:rsidRPr="00B26CDB">
        <w:t>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2D6B20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DA3B55">
            <w:pPr>
              <w:pStyle w:val="TableText"/>
              <w:keepNext/>
              <w:keepLines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DA3B55">
            <w:pPr>
              <w:keepNext/>
              <w:keepLines/>
              <w:spacing w:before="70" w:after="70" w:line="260" w:lineRule="atLeast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DA3B55">
            <w:pPr>
              <w:keepNext/>
              <w:keepLines/>
              <w:spacing w:before="70" w:after="70" w:line="260" w:lineRule="atLeast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DA3B55">
            <w:pPr>
              <w:keepNext/>
              <w:keepLines/>
              <w:spacing w:before="70" w:after="70" w:line="260" w:lineRule="atLeast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DA3B55">
            <w:pPr>
              <w:keepNext/>
              <w:keepLines/>
              <w:spacing w:before="70" w:after="70" w:line="260" w:lineRule="atLeast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DA3B55">
            <w:pPr>
              <w:keepNext/>
              <w:keepLines/>
              <w:spacing w:before="70" w:after="70" w:line="260" w:lineRule="atLeast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EA265F" w:rsidRPr="00B73AC8" w:rsidTr="00EA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A265F" w:rsidRPr="00B73AC8" w:rsidRDefault="00EA265F" w:rsidP="00DA3B55">
            <w:pPr>
              <w:pStyle w:val="TableTextCentred"/>
              <w:keepNext/>
              <w:keepLines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EA265F" w:rsidRPr="00B73AC8" w:rsidRDefault="008921CA" w:rsidP="00DA3B55">
            <w:pPr>
              <w:pStyle w:val="TableTextCentred"/>
              <w:keepNext/>
              <w:keepLines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2" w:type="pct"/>
          </w:tcPr>
          <w:p w:rsidR="00EA265F" w:rsidRPr="00B73AC8" w:rsidRDefault="008921CA" w:rsidP="00DA3B55">
            <w:pPr>
              <w:pStyle w:val="TableTextCentred"/>
              <w:keepNext/>
              <w:keepLines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2,159.0</w:t>
            </w:r>
          </w:p>
        </w:tc>
        <w:tc>
          <w:tcPr>
            <w:tcW w:w="682" w:type="pct"/>
          </w:tcPr>
          <w:p w:rsidR="00EA265F" w:rsidRPr="00B73AC8" w:rsidRDefault="008921CA" w:rsidP="00DA3B55">
            <w:pPr>
              <w:pStyle w:val="TableTextCentred"/>
              <w:keepNext/>
              <w:keepLines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4,597.0</w:t>
            </w:r>
          </w:p>
        </w:tc>
        <w:tc>
          <w:tcPr>
            <w:tcW w:w="682" w:type="pct"/>
          </w:tcPr>
          <w:p w:rsidR="00EA265F" w:rsidRPr="00B73AC8" w:rsidRDefault="008921CA" w:rsidP="00DA3B55">
            <w:pPr>
              <w:pStyle w:val="TableTextCentred"/>
              <w:keepNext/>
              <w:keepLines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7,355.0</w:t>
            </w:r>
          </w:p>
        </w:tc>
        <w:tc>
          <w:tcPr>
            <w:tcW w:w="681" w:type="pct"/>
          </w:tcPr>
          <w:p w:rsidR="00EA265F" w:rsidRPr="00F97DFF" w:rsidRDefault="008921CA" w:rsidP="00DA3B55">
            <w:pPr>
              <w:pStyle w:val="TableTextCentred"/>
              <w:keepNext/>
              <w:keepLines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14,111.0</w:t>
            </w:r>
          </w:p>
        </w:tc>
      </w:tr>
      <w:tr w:rsidR="008921CA" w:rsidRPr="00B73AC8" w:rsidTr="00EA2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8921CA" w:rsidRPr="00B73AC8" w:rsidRDefault="008921CA" w:rsidP="00DA3B55">
            <w:pPr>
              <w:pStyle w:val="TableTextCentred"/>
              <w:keepNext/>
              <w:keepLines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8921CA" w:rsidRPr="00B73AC8" w:rsidRDefault="008921CA" w:rsidP="008921CA">
            <w:pPr>
              <w:pStyle w:val="TableTextCentred"/>
              <w:keepNext/>
              <w:keepLines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2" w:type="pct"/>
          </w:tcPr>
          <w:p w:rsidR="008921CA" w:rsidRPr="00B73AC8" w:rsidRDefault="008921CA" w:rsidP="008921CA">
            <w:pPr>
              <w:pStyle w:val="TableTextCentred"/>
              <w:keepNext/>
              <w:keepLines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2,159.0</w:t>
            </w:r>
          </w:p>
        </w:tc>
        <w:tc>
          <w:tcPr>
            <w:tcW w:w="682" w:type="pct"/>
          </w:tcPr>
          <w:p w:rsidR="008921CA" w:rsidRPr="00B73AC8" w:rsidRDefault="008921CA" w:rsidP="008921CA">
            <w:pPr>
              <w:pStyle w:val="TableTextCentred"/>
              <w:keepNext/>
              <w:keepLines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4,597.0</w:t>
            </w:r>
          </w:p>
        </w:tc>
        <w:tc>
          <w:tcPr>
            <w:tcW w:w="682" w:type="pct"/>
          </w:tcPr>
          <w:p w:rsidR="008921CA" w:rsidRPr="00B73AC8" w:rsidRDefault="008921CA" w:rsidP="008921CA">
            <w:pPr>
              <w:pStyle w:val="TableTextCentred"/>
              <w:keepNext/>
              <w:keepLines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7,355.0</w:t>
            </w:r>
          </w:p>
        </w:tc>
        <w:tc>
          <w:tcPr>
            <w:tcW w:w="681" w:type="pct"/>
          </w:tcPr>
          <w:p w:rsidR="008921CA" w:rsidRPr="00F97DFF" w:rsidRDefault="008921CA" w:rsidP="008921CA">
            <w:pPr>
              <w:pStyle w:val="TableTextCentred"/>
              <w:keepNext/>
              <w:keepLines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14,111.0</w:t>
            </w:r>
          </w:p>
        </w:tc>
      </w:tr>
    </w:tbl>
    <w:p w:rsidR="003F6761" w:rsidRDefault="009D4063" w:rsidP="00E74292">
      <w:pPr>
        <w:pStyle w:val="Footnotes"/>
        <w:keepNext/>
        <w:keepLines/>
        <w:numPr>
          <w:ilvl w:val="0"/>
          <w:numId w:val="7"/>
        </w:numPr>
        <w:ind w:left="284" w:hanging="284"/>
      </w:pPr>
      <w:r w:rsidRPr="008A2683">
        <w:t xml:space="preserve">A positive number </w:t>
      </w:r>
      <w:r w:rsidR="002D6B20">
        <w:t xml:space="preserve">represents an increase in the relevant budget </w:t>
      </w:r>
      <w:proofErr w:type="gramStart"/>
      <w:r w:rsidR="002D6B20">
        <w:t>balance,</w:t>
      </w:r>
      <w:proofErr w:type="gramEnd"/>
      <w:r w:rsidR="002D6B20">
        <w:t xml:space="preserve"> a negative number represents a decrease</w:t>
      </w:r>
      <w:r w:rsidRPr="008A2683" w:rsidDel="0066665A">
        <w:t>.</w:t>
      </w:r>
    </w:p>
    <w:p w:rsidR="002D6B20" w:rsidRDefault="002D6B20" w:rsidP="00E74292">
      <w:pPr>
        <w:pStyle w:val="Footnotes"/>
        <w:keepNext/>
        <w:keepLines/>
        <w:numPr>
          <w:ilvl w:val="0"/>
          <w:numId w:val="7"/>
        </w:numPr>
        <w:ind w:left="284" w:hanging="284"/>
      </w:pPr>
      <w:r w:rsidRPr="008A2683">
        <w:t>Figures may not sum to totals due to rounding</w:t>
      </w:r>
      <w:r>
        <w:t>.</w:t>
      </w:r>
    </w:p>
    <w:p w:rsidR="009F2671" w:rsidRPr="00CA5D42" w:rsidRDefault="009F2671" w:rsidP="009F2671">
      <w:pPr>
        <w:pStyle w:val="Footnotes"/>
        <w:ind w:left="284" w:hanging="284"/>
      </w:pPr>
      <w:r>
        <w:t>-</w:t>
      </w:r>
      <w:r>
        <w:tab/>
        <w:t>Indicates nil.</w:t>
      </w:r>
    </w:p>
    <w:p w:rsidR="008D3909" w:rsidRPr="00FC6579" w:rsidRDefault="005E3562" w:rsidP="00E40B8B">
      <w:pPr>
        <w:pStyle w:val="Heading2"/>
      </w:pPr>
      <w:r w:rsidRPr="00FC6579">
        <w:t>Key assumptions</w:t>
      </w:r>
    </w:p>
    <w:p w:rsidR="005E3562" w:rsidRPr="00002D5D" w:rsidRDefault="008921CA" w:rsidP="00FC6579">
      <w:r>
        <w:t>It has been assumed that there would be sufficient future uncommitted funds to meet the savings profile.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8921CA" w:rsidRPr="008921CA" w:rsidRDefault="008921CA" w:rsidP="008921CA">
      <w:r w:rsidRPr="008921CA">
        <w:t>Baseline</w:t>
      </w:r>
      <w:r w:rsidR="005E3562" w:rsidRPr="008921CA">
        <w:t xml:space="preserve"> </w:t>
      </w:r>
      <w:r w:rsidRPr="008921CA">
        <w:t xml:space="preserve">estimates of defence expenditure used in this costing are </w:t>
      </w:r>
      <w:r w:rsidR="00C72C88">
        <w:t xml:space="preserve">the </w:t>
      </w:r>
      <w:r w:rsidRPr="008921CA">
        <w:t xml:space="preserve">2016-17 Budget estimates over the </w:t>
      </w:r>
      <w:r w:rsidR="00E74292">
        <w:t>period 2016-17 to 2019-20</w:t>
      </w:r>
      <w:r w:rsidRPr="008921CA">
        <w:t xml:space="preserve"> and 2016 Defence White Paper projections across the medium term.</w:t>
      </w:r>
    </w:p>
    <w:p w:rsidR="005E3562" w:rsidRPr="00002D5D" w:rsidRDefault="008921CA" w:rsidP="008921CA">
      <w:r w:rsidRPr="008921CA">
        <w:t>Defence expenditure estimates under the proposal were calculated by reducing the baseline estimates by 6.25 per cent per annum cumulatively over the period 2017-18 to 2020-21.  For 2021</w:t>
      </w:r>
      <w:r w:rsidR="007F3FAE">
        <w:t>-</w:t>
      </w:r>
      <w:r w:rsidRPr="008921CA">
        <w:t>22 onwards, annual defence expenditure was calculated at 1.5 per cent of projected GDP</w:t>
      </w:r>
      <w:r w:rsidR="005E3562" w:rsidRPr="008921CA">
        <w:t>.</w:t>
      </w:r>
    </w:p>
    <w:p w:rsidR="005E3562" w:rsidRPr="00FC6579" w:rsidRDefault="005E3562" w:rsidP="00E40B8B">
      <w:pPr>
        <w:pStyle w:val="Heading2"/>
      </w:pPr>
      <w:r w:rsidRPr="00FC6579">
        <w:t>Data sources</w:t>
      </w:r>
    </w:p>
    <w:p w:rsidR="008921CA" w:rsidRPr="009F2671" w:rsidRDefault="008921CA" w:rsidP="009F2671">
      <w:pPr>
        <w:pStyle w:val="Bullet1"/>
      </w:pPr>
      <w:r w:rsidRPr="008921CA">
        <w:t>2016</w:t>
      </w:r>
      <w:r w:rsidRPr="008921CA">
        <w:noBreakHyphen/>
      </w:r>
      <w:r w:rsidRPr="009F2671">
        <w:t>17 Defence Portfolio Budget Statements, p. 104</w:t>
      </w:r>
    </w:p>
    <w:p w:rsidR="008921CA" w:rsidRPr="008921CA" w:rsidRDefault="008921CA" w:rsidP="009F2671">
      <w:pPr>
        <w:pStyle w:val="Bullet1"/>
      </w:pPr>
      <w:r w:rsidRPr="009F2671">
        <w:t>2016 D</w:t>
      </w:r>
      <w:r w:rsidRPr="008921CA">
        <w:t>efence White Paper, p.180</w:t>
      </w:r>
    </w:p>
    <w:p w:rsidR="00CA5D42" w:rsidRPr="008921CA" w:rsidRDefault="00CA5D42" w:rsidP="008921CA">
      <w:pPr>
        <w:sectPr w:rsidR="00CA5D42" w:rsidRPr="008921CA" w:rsidSect="00002D5D">
          <w:headerReference w:type="first" r:id="rId16"/>
          <w:footerReference w:type="first" r:id="rId17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1A02D1" w:rsidRPr="00FC6579" w:rsidRDefault="001A02D1" w:rsidP="00E74292">
      <w:pPr>
        <w:pStyle w:val="Heading1"/>
      </w:pPr>
      <w:r w:rsidRPr="00FC6579">
        <w:lastRenderedPageBreak/>
        <w:t>Attachment A:</w:t>
      </w:r>
      <w:r w:rsidR="00841C3A">
        <w:t xml:space="preserve"> </w:t>
      </w:r>
      <w:r w:rsidR="008921CA">
        <w:t xml:space="preserve">Defence </w:t>
      </w:r>
      <w:r w:rsidR="009F2671">
        <w:t>S</w:t>
      </w:r>
      <w:r w:rsidR="008921CA">
        <w:t>pending</w:t>
      </w:r>
      <w:r w:rsidR="00440E32">
        <w:t>—financial</w:t>
      </w:r>
      <w:r w:rsidR="00841C3A">
        <w:t> </w:t>
      </w:r>
      <w:r w:rsidR="00440E32">
        <w:t>implications</w:t>
      </w:r>
    </w:p>
    <w:p w:rsidR="00F52474" w:rsidRPr="00FC6579" w:rsidRDefault="00F52474" w:rsidP="00FC6579">
      <w:pPr>
        <w:pStyle w:val="Captionheading"/>
      </w:pPr>
      <w:r w:rsidRPr="00FC6579">
        <w:t xml:space="preserve">Table </w:t>
      </w:r>
      <w:r w:rsidR="008921CA">
        <w:t>A1</w:t>
      </w:r>
      <w:r w:rsidRPr="00FC6579">
        <w:t xml:space="preserve">: </w:t>
      </w:r>
      <w:r w:rsidR="008921CA">
        <w:t>Defence spending – Financial implications (outturn prices</w:t>
      </w:r>
      <w:proofErr w:type="gramStart"/>
      <w:r w:rsidR="008921CA">
        <w:t>)</w:t>
      </w:r>
      <w:r w:rsidR="008A2683">
        <w:rPr>
          <w:vertAlign w:val="superscript"/>
        </w:rPr>
        <w:t>(</w:t>
      </w:r>
      <w:proofErr w:type="gramEnd"/>
      <w:r w:rsidR="008A2683">
        <w:rPr>
          <w:vertAlign w:val="superscript"/>
        </w:rPr>
        <w:t>a)</w:t>
      </w:r>
      <w:r w:rsidR="002D6B20">
        <w:rPr>
          <w:vertAlign w:val="superscript"/>
        </w:rPr>
        <w:t>(b)</w:t>
      </w:r>
    </w:p>
    <w:tbl>
      <w:tblPr>
        <w:tblStyle w:val="TableGrid"/>
        <w:tblW w:w="4948" w:type="pct"/>
        <w:tblLook w:val="0680" w:firstRow="0" w:lastRow="0" w:firstColumn="1" w:lastColumn="0" w:noHBand="1" w:noVBand="1"/>
      </w:tblPr>
      <w:tblGrid>
        <w:gridCol w:w="2135"/>
        <w:gridCol w:w="900"/>
        <w:gridCol w:w="898"/>
        <w:gridCol w:w="898"/>
        <w:gridCol w:w="899"/>
        <w:gridCol w:w="904"/>
        <w:gridCol w:w="899"/>
        <w:gridCol w:w="899"/>
        <w:gridCol w:w="899"/>
        <w:gridCol w:w="899"/>
        <w:gridCol w:w="899"/>
        <w:gridCol w:w="899"/>
        <w:gridCol w:w="899"/>
        <w:gridCol w:w="940"/>
      </w:tblGrid>
      <w:tr w:rsidR="00957285" w:rsidRPr="00B31810" w:rsidTr="008A26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shd w:val="clear" w:color="auto" w:fill="D7DDE9"/>
          </w:tcPr>
          <w:p w:rsidR="00957285" w:rsidRPr="00B31810" w:rsidRDefault="00957285" w:rsidP="00DA3B55">
            <w:pPr>
              <w:keepNext/>
              <w:keepLines/>
              <w:spacing w:before="70" w:after="70" w:line="260" w:lineRule="atLeast"/>
              <w:ind w:left="57" w:right="57"/>
            </w:pPr>
            <w:r w:rsidRPr="00B31810">
              <w:t>($m)</w:t>
            </w:r>
          </w:p>
        </w:tc>
        <w:tc>
          <w:tcPr>
            <w:tcW w:w="325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2016–17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2017–18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2018–19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2019–20</w:t>
            </w:r>
          </w:p>
        </w:tc>
        <w:tc>
          <w:tcPr>
            <w:tcW w:w="326" w:type="pct"/>
            <w:shd w:val="clear" w:color="auto" w:fill="D7DDE9"/>
          </w:tcPr>
          <w:p w:rsidR="00957285" w:rsidRPr="00AE30B5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30B5">
              <w:rPr>
                <w:b/>
              </w:rPr>
              <w:t>Total to 2019–20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2020–21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2021–22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2022–23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2023–24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2024–25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2025–26</w:t>
            </w:r>
          </w:p>
        </w:tc>
        <w:tc>
          <w:tcPr>
            <w:tcW w:w="324" w:type="pct"/>
            <w:shd w:val="clear" w:color="auto" w:fill="D7DDE9"/>
          </w:tcPr>
          <w:p w:rsidR="00957285" w:rsidRPr="00C24267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267">
              <w:t>2026–27</w:t>
            </w:r>
          </w:p>
        </w:tc>
        <w:tc>
          <w:tcPr>
            <w:tcW w:w="339" w:type="pct"/>
            <w:shd w:val="clear" w:color="auto" w:fill="D7DDE9"/>
          </w:tcPr>
          <w:p w:rsidR="00957285" w:rsidRPr="00AE30B5" w:rsidRDefault="00957285" w:rsidP="00DA3B55">
            <w:pPr>
              <w:pStyle w:val="TableHeadingCentred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E30B5">
              <w:rPr>
                <w:b/>
              </w:rPr>
              <w:t>Total to 2026–27</w:t>
            </w:r>
          </w:p>
        </w:tc>
      </w:tr>
      <w:tr w:rsidR="008D6ECA" w:rsidRPr="00EF1D6A" w:rsidTr="008D6ECA">
        <w:tblPrEx>
          <w:tblBorders>
            <w:top w:val="single" w:sz="4" w:space="0" w:color="D7DDE9"/>
            <w:left w:val="single" w:sz="4" w:space="0" w:color="D7DDE9"/>
            <w:bottom w:val="single" w:sz="4" w:space="0" w:color="D7DDE9"/>
            <w:right w:val="single" w:sz="4" w:space="0" w:color="D7DDE9"/>
            <w:insideH w:val="single" w:sz="4" w:space="0" w:color="D7DDE9"/>
            <w:insideV w:val="single" w:sz="4" w:space="0" w:color="D7DDE9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8D6ECA" w:rsidRPr="00AE30B5" w:rsidRDefault="00C72C88" w:rsidP="00C72C88">
            <w:pPr>
              <w:pStyle w:val="TableHeadingCentred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="008921CA">
              <w:rPr>
                <w:b/>
              </w:rPr>
              <w:t>iscal and underlying cash balances</w:t>
            </w:r>
            <w:r w:rsidR="00E74292">
              <w:rPr>
                <w:b/>
              </w:rPr>
              <w:t xml:space="preserve"> – expenses</w:t>
            </w:r>
          </w:p>
        </w:tc>
      </w:tr>
      <w:tr w:rsidR="00957285" w:rsidTr="008A26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:rsidR="00957285" w:rsidRPr="0007264D" w:rsidRDefault="008921CA" w:rsidP="00DA3B55">
            <w:pPr>
              <w:keepNext/>
              <w:keepLines/>
              <w:spacing w:before="70" w:after="70" w:line="260" w:lineRule="atLeast"/>
              <w:ind w:left="57" w:right="57"/>
            </w:pPr>
            <w:r>
              <w:t>Defence expenditure</w:t>
            </w:r>
          </w:p>
        </w:tc>
        <w:tc>
          <w:tcPr>
            <w:tcW w:w="325" w:type="pct"/>
          </w:tcPr>
          <w:p w:rsidR="00957285" w:rsidRPr="008A2683" w:rsidRDefault="008921CA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-</w:t>
            </w:r>
          </w:p>
        </w:tc>
        <w:tc>
          <w:tcPr>
            <w:tcW w:w="324" w:type="pct"/>
          </w:tcPr>
          <w:p w:rsidR="00957285" w:rsidRPr="008A2683" w:rsidRDefault="008921CA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2,159.0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4,597.0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7,355.0</w:t>
            </w:r>
          </w:p>
        </w:tc>
        <w:tc>
          <w:tcPr>
            <w:tcW w:w="326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8A2683">
              <w:rPr>
                <w:b/>
                <w:i w:val="0"/>
              </w:rPr>
              <w:t>14,111.0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10,596.0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14,287.0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16,464.0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17,795.0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18,723.0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19,758.0</w:t>
            </w:r>
          </w:p>
        </w:tc>
        <w:tc>
          <w:tcPr>
            <w:tcW w:w="324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20,845.0</w:t>
            </w:r>
          </w:p>
        </w:tc>
        <w:tc>
          <w:tcPr>
            <w:tcW w:w="339" w:type="pct"/>
          </w:tcPr>
          <w:p w:rsidR="00957285" w:rsidRPr="008A2683" w:rsidRDefault="008A2683" w:rsidP="00DA3B55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8A2683">
              <w:rPr>
                <w:b/>
                <w:i w:val="0"/>
              </w:rPr>
              <w:t>132,579.0</w:t>
            </w:r>
          </w:p>
        </w:tc>
      </w:tr>
      <w:tr w:rsidR="00616C57" w:rsidRPr="008D6ECA" w:rsidTr="00616C5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shd w:val="clear" w:color="auto" w:fill="D7DDE9"/>
          </w:tcPr>
          <w:p w:rsidR="008A2683" w:rsidRPr="008D6ECA" w:rsidRDefault="008A2683" w:rsidP="00DA3B55">
            <w:pPr>
              <w:keepNext/>
              <w:keepLines/>
              <w:spacing w:before="70" w:after="70" w:line="260" w:lineRule="atLeast"/>
              <w:ind w:left="57" w:right="5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25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-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2,159.0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4,597.0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7,355.0</w:t>
            </w:r>
          </w:p>
        </w:tc>
        <w:tc>
          <w:tcPr>
            <w:tcW w:w="326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8A2683">
              <w:rPr>
                <w:b/>
                <w:i w:val="0"/>
              </w:rPr>
              <w:t>14,111.0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10,596.0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14,287.0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16,464.0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17,795.0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18,723.0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19,758.0</w:t>
            </w:r>
          </w:p>
        </w:tc>
        <w:tc>
          <w:tcPr>
            <w:tcW w:w="324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  <w:r w:rsidRPr="008A2683">
              <w:rPr>
                <w:i w:val="0"/>
              </w:rPr>
              <w:t>20,845.0</w:t>
            </w:r>
          </w:p>
        </w:tc>
        <w:tc>
          <w:tcPr>
            <w:tcW w:w="339" w:type="pct"/>
            <w:shd w:val="clear" w:color="auto" w:fill="D7DDE9"/>
          </w:tcPr>
          <w:p w:rsidR="008A2683" w:rsidRPr="008A2683" w:rsidRDefault="008A2683" w:rsidP="00615C23">
            <w:pPr>
              <w:pStyle w:val="TableTextRight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</w:rPr>
            </w:pPr>
            <w:r w:rsidRPr="008A2683">
              <w:rPr>
                <w:b/>
                <w:i w:val="0"/>
              </w:rPr>
              <w:t>132,579.0</w:t>
            </w:r>
          </w:p>
        </w:tc>
      </w:tr>
    </w:tbl>
    <w:p w:rsidR="002D6B20" w:rsidRDefault="00C72C88" w:rsidP="00E3154A">
      <w:pPr>
        <w:pStyle w:val="Footnotes"/>
        <w:numPr>
          <w:ilvl w:val="0"/>
          <w:numId w:val="10"/>
        </w:numPr>
        <w:ind w:left="284" w:hanging="284"/>
      </w:pPr>
      <w:r w:rsidRPr="00C72C88">
        <w:t>A positive number for the underlying cash and fiscal balances indicates a decrease in expenditure</w:t>
      </w:r>
      <w:r w:rsidR="008A2683">
        <w:t>.</w:t>
      </w:r>
    </w:p>
    <w:p w:rsidR="002D6B20" w:rsidRDefault="008921CA" w:rsidP="008A2683">
      <w:pPr>
        <w:pStyle w:val="Footnotes"/>
        <w:numPr>
          <w:ilvl w:val="0"/>
          <w:numId w:val="10"/>
        </w:numPr>
        <w:ind w:left="284" w:hanging="284"/>
      </w:pPr>
      <w:r>
        <w:t>Figures may not sum to totals due to rounding</w:t>
      </w:r>
      <w:r w:rsidR="00E74292">
        <w:t xml:space="preserve">.  </w:t>
      </w:r>
    </w:p>
    <w:p w:rsidR="00CA5D42" w:rsidRDefault="009F2671" w:rsidP="00D35E15">
      <w:pPr>
        <w:pStyle w:val="Footnotes"/>
        <w:ind w:left="284" w:hanging="284"/>
      </w:pPr>
      <w:r>
        <w:t>-</w:t>
      </w:r>
      <w:r>
        <w:tab/>
        <w:t>Indicates nil.</w:t>
      </w:r>
    </w:p>
    <w:sectPr w:rsidR="00CA5D42" w:rsidSect="008A2683">
      <w:headerReference w:type="first" r:id="rId18"/>
      <w:footerReference w:type="first" r:id="rId19"/>
      <w:pgSz w:w="16838" w:h="11906" w:orient="landscape"/>
      <w:pgMar w:top="1797" w:right="1361" w:bottom="179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CA" w:rsidRDefault="008921CA" w:rsidP="008F588A">
      <w:pPr>
        <w:spacing w:line="240" w:lineRule="auto"/>
      </w:pPr>
      <w:r>
        <w:separator/>
      </w:r>
    </w:p>
    <w:p w:rsidR="008921CA" w:rsidRDefault="008921CA"/>
  </w:endnote>
  <w:endnote w:type="continuationSeparator" w:id="0">
    <w:p w:rsidR="008921CA" w:rsidRDefault="008921CA" w:rsidP="008F588A">
      <w:pPr>
        <w:spacing w:line="240" w:lineRule="auto"/>
      </w:pPr>
      <w:r>
        <w:continuationSeparator/>
      </w:r>
    </w:p>
    <w:p w:rsidR="008921CA" w:rsidRDefault="00892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11" w:rsidRDefault="006071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C24267" w:rsidRDefault="008921CA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E62134">
      <w:rPr>
        <w:noProof/>
      </w:rPr>
      <w:t>3</w:t>
    </w:r>
    <w:r w:rsidRPr="00C24267">
      <w:fldChar w:fldCharType="end"/>
    </w:r>
    <w:r w:rsidRPr="00C24267">
      <w:t xml:space="preserve"> of </w:t>
    </w:r>
    <w:r w:rsidR="00E62134">
      <w:fldChar w:fldCharType="begin"/>
    </w:r>
    <w:r w:rsidR="00E62134">
      <w:instrText xml:space="preserve"> NUMPAGES  \* Arabic  \* MERGEFORMAT </w:instrText>
    </w:r>
    <w:r w:rsidR="00E62134">
      <w:fldChar w:fldCharType="separate"/>
    </w:r>
    <w:r w:rsidR="00E62134">
      <w:rPr>
        <w:noProof/>
      </w:rPr>
      <w:t>4</w:t>
    </w:r>
    <w:r w:rsidR="00E6213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C24267" w:rsidRDefault="008921CA" w:rsidP="00C24267">
    <w:pPr>
      <w:pStyle w:val="Letterfooter"/>
    </w:pPr>
    <w:r w:rsidRPr="00C24267">
      <w:t>Parliamentary Budget Office   PO Box 6010   Parliament House   Canberra ACT 2600</w:t>
    </w:r>
  </w:p>
  <w:p w:rsidR="008921CA" w:rsidRPr="00C24267" w:rsidRDefault="008921CA" w:rsidP="00C24267">
    <w:pPr>
      <w:pStyle w:val="Letterfooter"/>
    </w:pPr>
    <w:r w:rsidRPr="00C24267">
      <w:t>Tel: 02 6277 9500   Web: www.pbo.gov.au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C24267" w:rsidRDefault="008921CA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E62134">
      <w:rPr>
        <w:noProof/>
      </w:rPr>
      <w:t>2</w:t>
    </w:r>
    <w:r w:rsidRPr="00C24267">
      <w:fldChar w:fldCharType="end"/>
    </w:r>
    <w:r w:rsidRPr="00C24267">
      <w:t xml:space="preserve"> of </w:t>
    </w:r>
    <w:r w:rsidR="00E62134">
      <w:fldChar w:fldCharType="begin"/>
    </w:r>
    <w:r w:rsidR="00E62134">
      <w:instrText xml:space="preserve"> NUMPAGES  \* Arabic  \* MERGEFORMAT </w:instrText>
    </w:r>
    <w:r w:rsidR="00E62134">
      <w:fldChar w:fldCharType="separate"/>
    </w:r>
    <w:r w:rsidR="00E62134">
      <w:rPr>
        <w:noProof/>
      </w:rPr>
      <w:t>4</w:t>
    </w:r>
    <w:r w:rsidR="00E62134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C24267" w:rsidRDefault="008921CA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E62134">
      <w:rPr>
        <w:noProof/>
      </w:rPr>
      <w:t>4</w:t>
    </w:r>
    <w:r w:rsidRPr="00C24267">
      <w:fldChar w:fldCharType="end"/>
    </w:r>
    <w:r w:rsidRPr="00C24267">
      <w:t xml:space="preserve"> of </w:t>
    </w:r>
    <w:r w:rsidR="00E62134">
      <w:fldChar w:fldCharType="begin"/>
    </w:r>
    <w:r w:rsidR="00E62134">
      <w:instrText xml:space="preserve"> NUMPAGES  \* Arabic  \* MERGEFORMAT </w:instrText>
    </w:r>
    <w:r w:rsidR="00E62134">
      <w:fldChar w:fldCharType="separate"/>
    </w:r>
    <w:r w:rsidR="00E62134">
      <w:rPr>
        <w:noProof/>
      </w:rPr>
      <w:t>4</w:t>
    </w:r>
    <w:r w:rsidR="00E621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CA" w:rsidRDefault="008921CA" w:rsidP="008F588A">
      <w:pPr>
        <w:spacing w:line="240" w:lineRule="auto"/>
      </w:pPr>
      <w:r>
        <w:separator/>
      </w:r>
    </w:p>
    <w:p w:rsidR="008921CA" w:rsidRDefault="008921CA"/>
  </w:footnote>
  <w:footnote w:type="continuationSeparator" w:id="0">
    <w:p w:rsidR="008921CA" w:rsidRDefault="008921CA" w:rsidP="008F588A">
      <w:pPr>
        <w:spacing w:line="240" w:lineRule="auto"/>
      </w:pPr>
      <w:r>
        <w:continuationSeparator/>
      </w:r>
    </w:p>
    <w:p w:rsidR="008921CA" w:rsidRDefault="008921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11" w:rsidRDefault="00607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607111" w:rsidRDefault="008921CA" w:rsidP="006071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Default="008921CA" w:rsidP="00CB40E1">
    <w:pPr>
      <w:pStyle w:val="Header"/>
    </w:pPr>
    <w:r>
      <w:rPr>
        <w:noProof/>
        <w:lang w:eastAsia="en-AU"/>
      </w:rPr>
      <w:drawing>
        <wp:inline distT="0" distB="0" distL="0" distR="0" wp14:anchorId="166CC723" wp14:editId="662056F7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21CA" w:rsidRPr="00DA1C8A" w:rsidRDefault="008921CA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C17112" w:rsidRDefault="008921CA" w:rsidP="00C17112">
    <w:pPr>
      <w:pStyle w:val="Header"/>
    </w:pPr>
    <w:r>
      <w:rPr>
        <w:noProof/>
        <w:lang w:eastAsia="en-AU"/>
      </w:rPr>
      <w:drawing>
        <wp:inline distT="0" distB="0" distL="0" distR="0" wp14:anchorId="290C7BA0" wp14:editId="5EEF6CA2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CA" w:rsidRPr="00607111" w:rsidRDefault="008921CA" w:rsidP="00607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E45E35"/>
    <w:multiLevelType w:val="hybridMultilevel"/>
    <w:tmpl w:val="60A06D20"/>
    <w:lvl w:ilvl="0" w:tplc="EE46B37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9472F"/>
    <w:multiLevelType w:val="hybridMultilevel"/>
    <w:tmpl w:val="CE3A0A60"/>
    <w:lvl w:ilvl="0" w:tplc="7452F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90"/>
    <w:rsid w:val="00002D5D"/>
    <w:rsid w:val="00011073"/>
    <w:rsid w:val="00015FB2"/>
    <w:rsid w:val="00040DCE"/>
    <w:rsid w:val="00045A5B"/>
    <w:rsid w:val="00060F22"/>
    <w:rsid w:val="00096F3A"/>
    <w:rsid w:val="000C1A75"/>
    <w:rsid w:val="001278D0"/>
    <w:rsid w:val="0014239B"/>
    <w:rsid w:val="001A02D1"/>
    <w:rsid w:val="00220BE5"/>
    <w:rsid w:val="002422A3"/>
    <w:rsid w:val="002D6B20"/>
    <w:rsid w:val="00315E34"/>
    <w:rsid w:val="00326DE2"/>
    <w:rsid w:val="00337E65"/>
    <w:rsid w:val="003D7744"/>
    <w:rsid w:val="003E4F5F"/>
    <w:rsid w:val="003F6761"/>
    <w:rsid w:val="003F73CA"/>
    <w:rsid w:val="00410A2C"/>
    <w:rsid w:val="00440E32"/>
    <w:rsid w:val="00461597"/>
    <w:rsid w:val="00485374"/>
    <w:rsid w:val="004C283B"/>
    <w:rsid w:val="004D13ED"/>
    <w:rsid w:val="004D5525"/>
    <w:rsid w:val="005035DA"/>
    <w:rsid w:val="00507897"/>
    <w:rsid w:val="00515A85"/>
    <w:rsid w:val="00545F24"/>
    <w:rsid w:val="0055581F"/>
    <w:rsid w:val="0056229A"/>
    <w:rsid w:val="00570154"/>
    <w:rsid w:val="00570B5A"/>
    <w:rsid w:val="00587422"/>
    <w:rsid w:val="005B1A4A"/>
    <w:rsid w:val="005B7B75"/>
    <w:rsid w:val="005C6967"/>
    <w:rsid w:val="005E3562"/>
    <w:rsid w:val="005F7DE0"/>
    <w:rsid w:val="00607111"/>
    <w:rsid w:val="00616C57"/>
    <w:rsid w:val="00640346"/>
    <w:rsid w:val="00660385"/>
    <w:rsid w:val="00662E65"/>
    <w:rsid w:val="0066665A"/>
    <w:rsid w:val="00687C2F"/>
    <w:rsid w:val="00692DD8"/>
    <w:rsid w:val="006F0CE9"/>
    <w:rsid w:val="006F390E"/>
    <w:rsid w:val="007202A8"/>
    <w:rsid w:val="007229A9"/>
    <w:rsid w:val="007B029A"/>
    <w:rsid w:val="007D33AA"/>
    <w:rsid w:val="007D3577"/>
    <w:rsid w:val="007F3FAE"/>
    <w:rsid w:val="007F7BCF"/>
    <w:rsid w:val="008030EC"/>
    <w:rsid w:val="00811D6D"/>
    <w:rsid w:val="00817E8E"/>
    <w:rsid w:val="00825803"/>
    <w:rsid w:val="0082739E"/>
    <w:rsid w:val="00841C3A"/>
    <w:rsid w:val="00844776"/>
    <w:rsid w:val="008850D9"/>
    <w:rsid w:val="008921CA"/>
    <w:rsid w:val="008A2683"/>
    <w:rsid w:val="008A4578"/>
    <w:rsid w:val="008B6B23"/>
    <w:rsid w:val="008C03C3"/>
    <w:rsid w:val="008D3909"/>
    <w:rsid w:val="008D6ECA"/>
    <w:rsid w:val="008F588A"/>
    <w:rsid w:val="00902D2D"/>
    <w:rsid w:val="00915804"/>
    <w:rsid w:val="00957285"/>
    <w:rsid w:val="009573AF"/>
    <w:rsid w:val="00977D7B"/>
    <w:rsid w:val="009963ED"/>
    <w:rsid w:val="009D4063"/>
    <w:rsid w:val="009E44F3"/>
    <w:rsid w:val="009F2671"/>
    <w:rsid w:val="00A41BD3"/>
    <w:rsid w:val="00A449C2"/>
    <w:rsid w:val="00A65EA3"/>
    <w:rsid w:val="00AA3D6F"/>
    <w:rsid w:val="00AB55AE"/>
    <w:rsid w:val="00AB6F7D"/>
    <w:rsid w:val="00AC7878"/>
    <w:rsid w:val="00AD493E"/>
    <w:rsid w:val="00AE30B5"/>
    <w:rsid w:val="00AE5755"/>
    <w:rsid w:val="00B06055"/>
    <w:rsid w:val="00B26CDB"/>
    <w:rsid w:val="00B44D8A"/>
    <w:rsid w:val="00B73AC8"/>
    <w:rsid w:val="00B747A7"/>
    <w:rsid w:val="00BA2BBF"/>
    <w:rsid w:val="00BC559C"/>
    <w:rsid w:val="00C17112"/>
    <w:rsid w:val="00C24267"/>
    <w:rsid w:val="00C72C88"/>
    <w:rsid w:val="00CA12A0"/>
    <w:rsid w:val="00CA5D42"/>
    <w:rsid w:val="00CB40E1"/>
    <w:rsid w:val="00CF6DB6"/>
    <w:rsid w:val="00D134CA"/>
    <w:rsid w:val="00D15D90"/>
    <w:rsid w:val="00D35E15"/>
    <w:rsid w:val="00D52D5F"/>
    <w:rsid w:val="00D949A3"/>
    <w:rsid w:val="00DA1C8A"/>
    <w:rsid w:val="00DA3B55"/>
    <w:rsid w:val="00DB44F0"/>
    <w:rsid w:val="00DD109E"/>
    <w:rsid w:val="00DD3E18"/>
    <w:rsid w:val="00E12103"/>
    <w:rsid w:val="00E15AAE"/>
    <w:rsid w:val="00E21184"/>
    <w:rsid w:val="00E3154A"/>
    <w:rsid w:val="00E40B8B"/>
    <w:rsid w:val="00E5742E"/>
    <w:rsid w:val="00E62134"/>
    <w:rsid w:val="00E74292"/>
    <w:rsid w:val="00E75990"/>
    <w:rsid w:val="00EA265F"/>
    <w:rsid w:val="00EA5685"/>
    <w:rsid w:val="00EB0244"/>
    <w:rsid w:val="00ED43FF"/>
    <w:rsid w:val="00EE6600"/>
    <w:rsid w:val="00EF1D6A"/>
    <w:rsid w:val="00EF2E51"/>
    <w:rsid w:val="00F21865"/>
    <w:rsid w:val="00F31E24"/>
    <w:rsid w:val="00F4535C"/>
    <w:rsid w:val="00F52474"/>
    <w:rsid w:val="00F5529D"/>
    <w:rsid w:val="00F5669E"/>
    <w:rsid w:val="00F75D33"/>
    <w:rsid w:val="00F954CF"/>
    <w:rsid w:val="00F97DFF"/>
    <w:rsid w:val="00FC6579"/>
    <w:rsid w:val="00FD3FB3"/>
    <w:rsid w:val="00FE1053"/>
    <w:rsid w:val="00FE6904"/>
    <w:rsid w:val="00FF1040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spacing w:before="113" w:after="0" w:line="260" w:lineRule="atLeast"/>
      <w:ind w:left="0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DA3B55"/>
    <w:pPr>
      <w:spacing w:before="70" w:after="70" w:line="260" w:lineRule="atLeast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spacing w:before="113" w:after="0" w:line="260" w:lineRule="atLeast"/>
      <w:ind w:left="0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828F95-6C66-4DCA-A9F0-A1257D8B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0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GRN002 - Defence Spending - 24 June 2016</vt:lpstr>
    </vt:vector>
  </TitlesOfParts>
  <Company>Parliament of Australia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GRN002 - Defence Spending - 24 June 2016</dc:title>
  <dc:creator>Parliamentary Budget Office</dc:creator>
  <cp:lastModifiedBy>Milligan, Louise (PBO)</cp:lastModifiedBy>
  <cp:revision>6</cp:revision>
  <cp:lastPrinted>2016-06-24T05:22:00Z</cp:lastPrinted>
  <dcterms:created xsi:type="dcterms:W3CDTF">2016-06-24T06:16:00Z</dcterms:created>
  <dcterms:modified xsi:type="dcterms:W3CDTF">2016-06-27T01:30:00Z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