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277"/>
        <w:gridCol w:w="463"/>
        <w:gridCol w:w="1364"/>
        <w:gridCol w:w="2125"/>
        <w:gridCol w:w="2121"/>
        <w:gridCol w:w="2126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742655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Luxury Lifestyles Tax Rate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EC5ED2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E7EF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EC5ED2" w:rsidRPr="002C3D72">
                <w:rPr>
                  <w:rStyle w:val="Hyperlink"/>
                  <w:sz w:val="22"/>
                </w:rPr>
                <w:t>http://greens.org.au/sites/greens.org.au/files/20160518_Electric%20vehicles_0.pdf</w:t>
              </w:r>
            </w:hyperlink>
            <w:r w:rsidR="00EC5ED2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C5ED2" w:rsidRPr="00EC5ED2" w:rsidRDefault="00EC5ED2" w:rsidP="00EC5ED2">
            <w:p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5ED2">
              <w:rPr>
                <w:sz w:val="22"/>
              </w:rPr>
              <w:t>To apply an additional rate of 50% tax on luxury vehicles over $100,000 (indexed with CPI).</w:t>
            </w:r>
          </w:p>
          <w:p w:rsidR="00640346" w:rsidRPr="00CB40E1" w:rsidRDefault="00EC5ED2" w:rsidP="00EC5ED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5ED2">
              <w:rPr>
                <w:sz w:val="22"/>
              </w:rPr>
              <w:t>The existing rates and thresholds for luxury car tax will continue, however 100% electric vehicles will not be caught by this new rate and threshold.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EC5ED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reduce income inequality and encourage investment in electric vehicles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EC5ED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C5ED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EC5ED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C5ED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C5ED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existing luxury car tax regime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C5ED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No, marginally increased departmental expenses.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C5ED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the new threshold will index with CPI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7FB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7FB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7FB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7FB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7FB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7FB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7FB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37FB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C5ED2" w:rsidRPr="00EC5ED2" w:rsidRDefault="00EC5ED2" w:rsidP="00EC5ED2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C5ED2">
              <w:rPr>
                <w:sz w:val="22"/>
              </w:rPr>
              <w:t>Luxury car sales have accelerated in recent years, with one in ten new cars sold, double the amount since 2000, to around 120,000 cars a year.</w:t>
            </w:r>
          </w:p>
          <w:p w:rsidR="00EC5ED2" w:rsidRPr="00EC5ED2" w:rsidRDefault="00FE7EF2" w:rsidP="00EC5ED2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9" w:history="1">
              <w:r w:rsidR="00EC5ED2" w:rsidRPr="00EC5ED2">
                <w:rPr>
                  <w:rStyle w:val="Hyperlink"/>
                  <w:sz w:val="22"/>
                </w:rPr>
                <w:t>http://www.drive.com.au/motor-feature/why-australians-love-luxury-cars-20151207-glhkmp.html</w:t>
              </w:r>
            </w:hyperlink>
            <w:r w:rsidR="00EC5ED2" w:rsidRPr="00EC5ED2">
              <w:rPr>
                <w:sz w:val="22"/>
              </w:rPr>
              <w:t xml:space="preserve"> 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37FB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Marginally shift consumer behaviour and raise revenue to assist the electric vehicle revolution.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37FB4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Tax Office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37FB4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37FB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No, it is an additional tax rate.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8B2B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946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E7EF2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E7EF2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CF6D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946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E7EF2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E7EF2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0E5723"/>
    <w:rsid w:val="0014239B"/>
    <w:rsid w:val="00237FB4"/>
    <w:rsid w:val="004C5CC2"/>
    <w:rsid w:val="00515A85"/>
    <w:rsid w:val="0055581F"/>
    <w:rsid w:val="005F7DE0"/>
    <w:rsid w:val="00640346"/>
    <w:rsid w:val="00660385"/>
    <w:rsid w:val="007202A8"/>
    <w:rsid w:val="00742655"/>
    <w:rsid w:val="007616C6"/>
    <w:rsid w:val="007B029A"/>
    <w:rsid w:val="007C4F2D"/>
    <w:rsid w:val="008B1774"/>
    <w:rsid w:val="008F588A"/>
    <w:rsid w:val="00902D2D"/>
    <w:rsid w:val="009E5FB7"/>
    <w:rsid w:val="00BC559C"/>
    <w:rsid w:val="00CB40E1"/>
    <w:rsid w:val="00CF6DB6"/>
    <w:rsid w:val="00D134CA"/>
    <w:rsid w:val="00E15AAE"/>
    <w:rsid w:val="00EC5ED2"/>
    <w:rsid w:val="00F954CF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20160518_Electric%20vehicles_0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ive.com.au/motor-feature/why-australians-love-luxury-cars-20151207-glhkmp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793</Words>
  <Characters>4320</Characters>
  <Application>Microsoft Office Word</Application>
  <DocSecurity>0</DocSecurity>
  <Lines>196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GRN097 - Policy costing request - 1 July 2016</vt:lpstr>
    </vt:vector>
  </TitlesOfParts>
  <Company>Parliament of Australia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GRN097 - Policy costing request - 1 July 2016</dc:title>
  <dc:creator>Australian Greens</dc:creator>
  <cp:lastModifiedBy>Moorhouse, Helen (PBO)</cp:lastModifiedBy>
  <cp:revision>5</cp:revision>
  <cp:lastPrinted>2016-04-20T06:27:00Z</cp:lastPrinted>
  <dcterms:created xsi:type="dcterms:W3CDTF">2016-07-01T05:29:00Z</dcterms:created>
  <dcterms:modified xsi:type="dcterms:W3CDTF">2016-07-01T07:20:00Z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