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1783"/>
        <w:gridCol w:w="379"/>
        <w:gridCol w:w="1446"/>
        <w:gridCol w:w="2287"/>
        <w:gridCol w:w="2287"/>
        <w:gridCol w:w="2294"/>
      </w:tblGrid>
      <w:tr w:rsidR="008F588A" w:rsidRPr="00515A85" w:rsidTr="00411039">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969" w:type="pct"/>
            <w:gridSpan w:val="4"/>
            <w:tcBorders>
              <w:top w:val="single" w:sz="4" w:space="0" w:color="788184"/>
              <w:left w:val="single" w:sz="4" w:space="0" w:color="788184"/>
              <w:bottom w:val="single" w:sz="4" w:space="0" w:color="788184"/>
              <w:right w:val="single" w:sz="4" w:space="0" w:color="788184"/>
            </w:tcBorders>
          </w:tcPr>
          <w:p w:rsidR="008F588A" w:rsidRPr="00515A85" w:rsidRDefault="00485140" w:rsidP="00B42322">
            <w:pPr>
              <w:pStyle w:val="TableHeadingCentred"/>
              <w:ind w:left="0"/>
              <w:jc w:val="left"/>
              <w:cnfStyle w:val="100000000000" w:firstRow="1" w:lastRow="0" w:firstColumn="0" w:lastColumn="0" w:oddVBand="0" w:evenVBand="0" w:oddHBand="0" w:evenHBand="0" w:firstRowFirstColumn="0" w:firstRowLastColumn="0" w:lastRowFirstColumn="0" w:lastRowLastColumn="0"/>
              <w:rPr>
                <w:b/>
                <w:sz w:val="22"/>
              </w:rPr>
            </w:pPr>
            <w:r>
              <w:rPr>
                <w:sz w:val="22"/>
              </w:rPr>
              <w:t xml:space="preserve"> </w:t>
            </w:r>
            <w:r w:rsidR="00B42322">
              <w:rPr>
                <w:sz w:val="22"/>
              </w:rPr>
              <w:t>Increasing Rent Assistance by 30 per cent</w:t>
            </w:r>
            <w:r w:rsidR="00511A20">
              <w:rPr>
                <w:sz w:val="22"/>
              </w:rPr>
              <w:t xml:space="preserve"> </w:t>
            </w:r>
          </w:p>
        </w:tc>
      </w:tr>
      <w:tr w:rsidR="008F588A"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B42322" w:rsidP="00B42322">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July</w:t>
            </w:r>
            <w:r w:rsidR="00485140">
              <w:rPr>
                <w:sz w:val="22"/>
              </w:rPr>
              <w:t xml:space="preserve"> 2016 </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B42322"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B42322">
              <w:rPr>
                <w:sz w:val="22"/>
              </w:rPr>
              <w:t>No</w:t>
            </w:r>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Default="00485140" w:rsidP="00485140">
            <w:pPr>
              <w:pStyle w:val="TableTextCentred"/>
              <w:ind w:left="0"/>
              <w:jc w:val="left"/>
              <w:cnfStyle w:val="000000000000" w:firstRow="0" w:lastRow="0" w:firstColumn="0" w:lastColumn="0" w:oddVBand="0" w:evenVBand="0" w:oddHBand="0" w:evenHBand="0" w:firstRowFirstColumn="0" w:firstRowLastColumn="0" w:lastRowFirstColumn="0" w:lastRowLastColumn="0"/>
              <w:rPr>
                <w:sz w:val="22"/>
              </w:rPr>
            </w:pPr>
            <w:r>
              <w:rPr>
                <w:sz w:val="22"/>
              </w:rPr>
              <w:t>Thursday 30</w:t>
            </w:r>
            <w:r w:rsidRPr="00485140">
              <w:rPr>
                <w:sz w:val="22"/>
                <w:vertAlign w:val="superscript"/>
              </w:rPr>
              <w:t>th</w:t>
            </w:r>
            <w:r>
              <w:rPr>
                <w:sz w:val="22"/>
              </w:rPr>
              <w:t xml:space="preserve"> June 2016 </w:t>
            </w:r>
          </w:p>
          <w:p w:rsidR="00BD6476" w:rsidRPr="00CB40E1" w:rsidRDefault="0016576E" w:rsidP="00485140">
            <w:pPr>
              <w:pStyle w:val="TableTextCentred"/>
              <w:ind w:left="0"/>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BD6476" w:rsidRPr="002C3D72">
                <w:rPr>
                  <w:rStyle w:val="Hyperlink"/>
                  <w:sz w:val="22"/>
                </w:rPr>
                <w:t>http://greens.org.au/sites/greens.org.au/files/increasing%20rent%20assistance.pdf</w:t>
              </w:r>
            </w:hyperlink>
            <w:r w:rsidR="00BD6476">
              <w:rPr>
                <w:sz w:val="22"/>
              </w:rPr>
              <w:t xml:space="preserve"> </w:t>
            </w:r>
          </w:p>
        </w:tc>
      </w:tr>
      <w:tr w:rsidR="008F588A" w:rsidRPr="00903231" w:rsidTr="00A85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411039">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D7220B" w:rsidRDefault="00D7220B" w:rsidP="00D7220B">
            <w:pPr>
              <w:pStyle w:val="ListParagraph"/>
              <w:numPr>
                <w:ilvl w:val="0"/>
                <w:numId w:val="16"/>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pPr>
            <w:r w:rsidRPr="00D7220B">
              <w:t xml:space="preserve">Increase Commonwealth Rent Assistance by 30%, through an increase of 10 per cent on current levels in each of 2017-18, 2018-19 and 2019-20.  </w:t>
            </w:r>
          </w:p>
          <w:p w:rsidR="00D7220B" w:rsidRPr="00D7220B" w:rsidRDefault="00D7220B" w:rsidP="00D7220B">
            <w:pPr>
              <w:pStyle w:val="ListParagraph"/>
              <w:numPr>
                <w:ilvl w:val="0"/>
                <w:numId w:val="16"/>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pPr>
            <w:r>
              <w:t xml:space="preserve">The above is not indexed </w:t>
            </w:r>
          </w:p>
          <w:p w:rsidR="00D7220B" w:rsidRPr="00D7220B" w:rsidRDefault="00D7220B" w:rsidP="00D7220B">
            <w:pPr>
              <w:pStyle w:val="ListParagraph"/>
              <w:numPr>
                <w:ilvl w:val="0"/>
                <w:numId w:val="16"/>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pPr>
            <w:r w:rsidRPr="00D7220B">
              <w:t xml:space="preserve">Review the structure of CRA payments in accordance with reports by peak bodies recommending that the level of payment should vary according to the average rental cost in each location. </w:t>
            </w:r>
          </w:p>
          <w:p w:rsidR="00875DBF" w:rsidRPr="00B42322" w:rsidRDefault="00D7220B" w:rsidP="00B42322">
            <w:pPr>
              <w:pStyle w:val="ListParagraph"/>
              <w:numPr>
                <w:ilvl w:val="0"/>
                <w:numId w:val="16"/>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pPr>
            <w:r w:rsidRPr="00D7220B">
              <w:t>Review abandoning the Rent Assistance rules regarding ‘sharers’ and aim at linking payments to the level of rent paid, rather than the type of living arrangement people may be in.</w:t>
            </w:r>
          </w:p>
        </w:tc>
      </w:tr>
      <w:tr w:rsidR="00640346" w:rsidTr="004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969" w:type="pct"/>
            <w:gridSpan w:val="4"/>
            <w:tcBorders>
              <w:top w:val="single" w:sz="4" w:space="0" w:color="788184"/>
              <w:left w:val="single" w:sz="4" w:space="0" w:color="788184"/>
              <w:bottom w:val="single" w:sz="4" w:space="0" w:color="788184"/>
              <w:right w:val="single" w:sz="4" w:space="0" w:color="788184"/>
            </w:tcBorders>
            <w:vAlign w:val="top"/>
          </w:tcPr>
          <w:p w:rsidR="00875DBF" w:rsidRPr="00CB40E1" w:rsidRDefault="00875DBF" w:rsidP="00D7220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sz w:val="22"/>
              </w:rPr>
            </w:pP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04068">
            <w:pPr>
              <w:pStyle w:val="TableTextCentred"/>
              <w:keepNext/>
              <w:keepLines/>
              <w:jc w:val="left"/>
              <w:rPr>
                <w:sz w:val="22"/>
              </w:rPr>
            </w:pPr>
            <w:bookmarkStart w:id="0" w:name="_GoBack"/>
            <w:r w:rsidRPr="00CB40E1">
              <w:rPr>
                <w:b/>
                <w:sz w:val="22"/>
              </w:rPr>
              <w:lastRenderedPageBreak/>
              <w:t>What are the key assumptions that have been made in the policy, including:</w:t>
            </w:r>
          </w:p>
        </w:tc>
      </w:tr>
      <w:bookmarkEnd w:id="0"/>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969" w:type="pct"/>
            <w:gridSpan w:val="4"/>
            <w:tcBorders>
              <w:top w:val="single" w:sz="4" w:space="0" w:color="788184"/>
              <w:left w:val="single" w:sz="4" w:space="0" w:color="788184"/>
              <w:bottom w:val="single" w:sz="4" w:space="0" w:color="788184"/>
              <w:right w:val="single" w:sz="4" w:space="0" w:color="788184"/>
            </w:tcBorders>
            <w:vAlign w:val="top"/>
          </w:tcPr>
          <w:p w:rsidR="00640346" w:rsidRDefault="00D7220B"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Yes, a broader reducing inequality package in Senator </w:t>
            </w:r>
            <w:proofErr w:type="spellStart"/>
            <w:r>
              <w:rPr>
                <w:sz w:val="22"/>
              </w:rPr>
              <w:t>Siewert’s</w:t>
            </w:r>
            <w:proofErr w:type="spellEnd"/>
            <w:r>
              <w:rPr>
                <w:sz w:val="22"/>
              </w:rPr>
              <w:t xml:space="preserve"> office, which is at </w:t>
            </w:r>
            <w:hyperlink r:id="rId9" w:history="1">
              <w:r w:rsidRPr="004D7A20">
                <w:rPr>
                  <w:rStyle w:val="Hyperlink"/>
                  <w:sz w:val="22"/>
                </w:rPr>
                <w:t>http://greens.org.au/inequality</w:t>
              </w:r>
            </w:hyperlink>
            <w:r>
              <w:rPr>
                <w:sz w:val="22"/>
              </w:rPr>
              <w:t xml:space="preserve"> </w:t>
            </w:r>
          </w:p>
          <w:p w:rsidR="00D7220B" w:rsidRDefault="00D7220B"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p w:rsidR="00D7220B" w:rsidRPr="00CB40E1" w:rsidRDefault="00D7220B"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And part of our 9-part housing platform at </w:t>
            </w:r>
            <w:hyperlink r:id="rId10" w:history="1">
              <w:r w:rsidRPr="004D7A20">
                <w:rPr>
                  <w:rStyle w:val="Hyperlink"/>
                  <w:sz w:val="22"/>
                </w:rPr>
                <w:t>http://greens.org.au/housing</w:t>
              </w:r>
            </w:hyperlink>
            <w:r>
              <w:rPr>
                <w:sz w:val="22"/>
              </w:rPr>
              <w:t xml:space="preserve"> </w:t>
            </w:r>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D7220B" w:rsidP="00511A20">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Demand driven not capped.</w:t>
            </w:r>
          </w:p>
        </w:tc>
      </w:tr>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969"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D7220B"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t>Commonwealth directly provides CRA to eligible individuals.</w:t>
            </w:r>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lastRenderedPageBreak/>
              <w:t>If the proposal would change an existing measure, are savings expected from the departmental costs of implementing the program?</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4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9C4742">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r w:rsidR="00F61BD8">
              <w:rPr>
                <w:sz w:val="22"/>
              </w:rPr>
              <w:t xml:space="preserve">  </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0"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1092"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1092"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1095"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411039" w:rsidTr="00411039">
        <w:trPr>
          <w:cantSplit/>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788184"/>
              <w:left w:val="single" w:sz="4" w:space="0" w:color="788184"/>
              <w:bottom w:val="single" w:sz="4" w:space="0" w:color="788184"/>
              <w:right w:val="single" w:sz="4" w:space="0" w:color="788184"/>
            </w:tcBorders>
            <w:shd w:val="clear" w:color="auto" w:fill="auto"/>
          </w:tcPr>
          <w:p w:rsidR="00411039" w:rsidRPr="00CB40E1" w:rsidRDefault="00411039" w:rsidP="00660385">
            <w:pPr>
              <w:pStyle w:val="TableTextCentred"/>
              <w:keepNext/>
              <w:keepLines/>
              <w:jc w:val="left"/>
              <w:rPr>
                <w:sz w:val="22"/>
              </w:rPr>
            </w:pPr>
            <w:r w:rsidRPr="00CB40E1">
              <w:rPr>
                <w:sz w:val="22"/>
              </w:rPr>
              <w:t>Underlying cash balance ($m)</w:t>
            </w:r>
          </w:p>
        </w:tc>
        <w:tc>
          <w:tcPr>
            <w:tcW w:w="870" w:type="pct"/>
            <w:gridSpan w:val="2"/>
            <w:tcBorders>
              <w:top w:val="single" w:sz="4" w:space="0" w:color="788184"/>
              <w:left w:val="single" w:sz="4" w:space="0" w:color="788184"/>
              <w:bottom w:val="single" w:sz="4" w:space="0" w:color="788184"/>
              <w:right w:val="single" w:sz="4" w:space="0" w:color="788184"/>
            </w:tcBorders>
            <w:shd w:val="clear" w:color="auto" w:fill="auto"/>
          </w:tcPr>
          <w:p w:rsidR="00411039" w:rsidRPr="00CB40E1" w:rsidRDefault="00411039"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p>
        </w:tc>
        <w:tc>
          <w:tcPr>
            <w:tcW w:w="1092" w:type="pct"/>
            <w:tcBorders>
              <w:top w:val="single" w:sz="4" w:space="0" w:color="788184"/>
              <w:left w:val="single" w:sz="4" w:space="0" w:color="788184"/>
              <w:bottom w:val="single" w:sz="4" w:space="0" w:color="788184"/>
              <w:right w:val="single" w:sz="4" w:space="0" w:color="788184"/>
            </w:tcBorders>
            <w:shd w:val="clear" w:color="auto" w:fill="auto"/>
            <w:vAlign w:val="bottom"/>
          </w:tcPr>
          <w:p w:rsidR="00411039" w:rsidRDefault="0041103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-357</w:t>
            </w:r>
          </w:p>
        </w:tc>
        <w:tc>
          <w:tcPr>
            <w:tcW w:w="1092" w:type="pct"/>
            <w:tcBorders>
              <w:top w:val="single" w:sz="4" w:space="0" w:color="788184"/>
              <w:left w:val="single" w:sz="4" w:space="0" w:color="788184"/>
              <w:bottom w:val="single" w:sz="4" w:space="0" w:color="788184"/>
              <w:right w:val="single" w:sz="4" w:space="0" w:color="788184"/>
            </w:tcBorders>
            <w:shd w:val="clear" w:color="auto" w:fill="auto"/>
            <w:vAlign w:val="bottom"/>
          </w:tcPr>
          <w:p w:rsidR="00411039" w:rsidRDefault="0041103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-730</w:t>
            </w:r>
          </w:p>
        </w:tc>
        <w:tc>
          <w:tcPr>
            <w:tcW w:w="1095" w:type="pct"/>
            <w:tcBorders>
              <w:top w:val="single" w:sz="4" w:space="0" w:color="788184"/>
              <w:left w:val="single" w:sz="4" w:space="0" w:color="788184"/>
              <w:bottom w:val="single" w:sz="4" w:space="0" w:color="788184"/>
              <w:right w:val="single" w:sz="4" w:space="0" w:color="788184"/>
            </w:tcBorders>
            <w:shd w:val="clear" w:color="auto" w:fill="auto"/>
            <w:vAlign w:val="bottom"/>
          </w:tcPr>
          <w:p w:rsidR="00411039" w:rsidRDefault="0041103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-1130</w:t>
            </w:r>
          </w:p>
        </w:tc>
      </w:tr>
      <w:tr w:rsidR="00411039"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788184"/>
              <w:left w:val="single" w:sz="4" w:space="0" w:color="788184"/>
              <w:bottom w:val="single" w:sz="4" w:space="0" w:color="788184"/>
              <w:right w:val="single" w:sz="4" w:space="0" w:color="788184"/>
            </w:tcBorders>
            <w:shd w:val="clear" w:color="auto" w:fill="auto"/>
          </w:tcPr>
          <w:p w:rsidR="00411039" w:rsidRPr="00CB40E1" w:rsidRDefault="00411039" w:rsidP="00660385">
            <w:pPr>
              <w:pStyle w:val="TableTextCentred"/>
              <w:keepNext/>
              <w:keepLines/>
              <w:jc w:val="left"/>
              <w:rPr>
                <w:sz w:val="22"/>
              </w:rPr>
            </w:pPr>
            <w:r w:rsidRPr="00CB40E1">
              <w:rPr>
                <w:sz w:val="22"/>
              </w:rPr>
              <w:t>Fiscal balance ($m)</w:t>
            </w:r>
          </w:p>
        </w:tc>
        <w:tc>
          <w:tcPr>
            <w:tcW w:w="870" w:type="pct"/>
            <w:gridSpan w:val="2"/>
            <w:tcBorders>
              <w:top w:val="single" w:sz="4" w:space="0" w:color="788184"/>
              <w:left w:val="single" w:sz="4" w:space="0" w:color="788184"/>
              <w:bottom w:val="single" w:sz="4" w:space="0" w:color="788184"/>
              <w:right w:val="single" w:sz="4" w:space="0" w:color="788184"/>
            </w:tcBorders>
            <w:shd w:val="clear" w:color="auto" w:fill="auto"/>
          </w:tcPr>
          <w:p w:rsidR="00411039" w:rsidRPr="00CB40E1" w:rsidRDefault="00411039" w:rsidP="00FE60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p>
        </w:tc>
        <w:tc>
          <w:tcPr>
            <w:tcW w:w="1092" w:type="pct"/>
            <w:tcBorders>
              <w:top w:val="single" w:sz="4" w:space="0" w:color="788184"/>
              <w:left w:val="single" w:sz="4" w:space="0" w:color="788184"/>
              <w:bottom w:val="single" w:sz="4" w:space="0" w:color="788184"/>
              <w:right w:val="single" w:sz="4" w:space="0" w:color="788184"/>
            </w:tcBorders>
            <w:shd w:val="clear" w:color="auto" w:fill="auto"/>
            <w:vAlign w:val="bottom"/>
          </w:tcPr>
          <w:p w:rsidR="00411039" w:rsidRDefault="0041103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-357</w:t>
            </w:r>
          </w:p>
        </w:tc>
        <w:tc>
          <w:tcPr>
            <w:tcW w:w="1092" w:type="pct"/>
            <w:tcBorders>
              <w:top w:val="single" w:sz="4" w:space="0" w:color="788184"/>
              <w:left w:val="single" w:sz="4" w:space="0" w:color="788184"/>
              <w:bottom w:val="single" w:sz="4" w:space="0" w:color="788184"/>
              <w:right w:val="single" w:sz="4" w:space="0" w:color="788184"/>
            </w:tcBorders>
            <w:shd w:val="clear" w:color="auto" w:fill="auto"/>
            <w:vAlign w:val="bottom"/>
          </w:tcPr>
          <w:p w:rsidR="00411039" w:rsidRDefault="0041103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-730</w:t>
            </w:r>
          </w:p>
        </w:tc>
        <w:tc>
          <w:tcPr>
            <w:tcW w:w="1095" w:type="pct"/>
            <w:tcBorders>
              <w:top w:val="single" w:sz="4" w:space="0" w:color="788184"/>
              <w:left w:val="single" w:sz="4" w:space="0" w:color="788184"/>
              <w:bottom w:val="single" w:sz="4" w:space="0" w:color="788184"/>
              <w:right w:val="single" w:sz="4" w:space="0" w:color="788184"/>
            </w:tcBorders>
            <w:shd w:val="clear" w:color="auto" w:fill="auto"/>
            <w:vAlign w:val="bottom"/>
          </w:tcPr>
          <w:p w:rsidR="00411039" w:rsidRDefault="0041103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-1130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D7220B" w:rsidRDefault="00D7220B" w:rsidP="00D7220B">
            <w:pPr>
              <w:spacing w:before="120" w:after="120"/>
              <w:ind w:left="57" w:right="57"/>
              <w:cnfStyle w:val="000000100000" w:firstRow="0" w:lastRow="0" w:firstColumn="0" w:lastColumn="0" w:oddVBand="0" w:evenVBand="0" w:oddHBand="1" w:evenHBand="0" w:firstRowFirstColumn="0" w:firstRowLastColumn="0" w:lastRowFirstColumn="0" w:lastRowLastColumn="0"/>
            </w:pPr>
            <w:r>
              <w:t xml:space="preserve">Australian Government expenditure on CRA was $4.2 billion in 2014-15, increasing from $3.3 billion in 2010-11 (in real terms) (table GA.13). </w:t>
            </w:r>
          </w:p>
          <w:p w:rsidR="00D7220B" w:rsidRDefault="00D7220B" w:rsidP="00D7220B">
            <w:pPr>
              <w:pStyle w:val="ListParagraph"/>
              <w:widowControl w:val="0"/>
              <w:numPr>
                <w:ilvl w:val="0"/>
                <w:numId w:val="17"/>
              </w:numPr>
              <w:spacing w:before="120" w:after="120" w:line="240" w:lineRule="auto"/>
              <w:ind w:right="57"/>
              <w:contextualSpacing w:val="0"/>
              <w:cnfStyle w:val="000000100000" w:firstRow="0" w:lastRow="0" w:firstColumn="0" w:lastColumn="0" w:oddVBand="0" w:evenVBand="0" w:oddHBand="1" w:evenHBand="0" w:firstRowFirstColumn="0" w:firstRowLastColumn="0" w:lastRowFirstColumn="0" w:lastRowLastColumn="0"/>
            </w:pPr>
            <w:r>
              <w:t xml:space="preserve">The average government expenditure per income unit2 receiving CRA was $3127 in 2014-15 (table GA.14). </w:t>
            </w:r>
          </w:p>
          <w:p w:rsidR="00D7220B" w:rsidRDefault="00D7220B" w:rsidP="00D7220B">
            <w:pPr>
              <w:pStyle w:val="ListParagraph"/>
              <w:widowControl w:val="0"/>
              <w:numPr>
                <w:ilvl w:val="0"/>
                <w:numId w:val="17"/>
              </w:numPr>
              <w:spacing w:before="120" w:after="120" w:line="240" w:lineRule="auto"/>
              <w:ind w:right="57"/>
              <w:contextualSpacing w:val="0"/>
              <w:cnfStyle w:val="000000100000" w:firstRow="0" w:lastRow="0" w:firstColumn="0" w:lastColumn="0" w:oddVBand="0" w:evenVBand="0" w:oddHBand="1" w:evenHBand="0" w:firstRowFirstColumn="0" w:firstRowLastColumn="0" w:lastRowFirstColumn="0" w:lastRowLastColumn="0"/>
            </w:pPr>
            <w:r>
              <w:t>Nationally in June 2015, there were 1 343 431 income units receiving CRA (table GA.16), with 77.8 per cent of all CRA recipients paying enough rent to be eligible to receive the maximum rate of CRA (an increase from 74.5 per cent in 2011) (table GA.27).</w:t>
            </w:r>
          </w:p>
          <w:p w:rsidR="00D7220B" w:rsidRDefault="00D7220B" w:rsidP="00D7220B">
            <w:pPr>
              <w:pStyle w:val="ListParagraph"/>
              <w:widowControl w:val="0"/>
              <w:numPr>
                <w:ilvl w:val="0"/>
                <w:numId w:val="17"/>
              </w:numPr>
              <w:spacing w:before="120" w:after="120" w:line="240" w:lineRule="auto"/>
              <w:ind w:right="57"/>
              <w:contextualSpacing w:val="0"/>
              <w:cnfStyle w:val="000000100000" w:firstRow="0" w:lastRow="0" w:firstColumn="0" w:lastColumn="0" w:oddVBand="0" w:evenVBand="0" w:oddHBand="1" w:evenHBand="0" w:firstRowFirstColumn="0" w:firstRowLastColumn="0" w:lastRowFirstColumn="0" w:lastRowLastColumn="0"/>
            </w:pPr>
            <w:r>
              <w:t>The median CRA payment in 2015 was $128 per fortnight, with median rent being $415 per fortnight (table GA.26).</w:t>
            </w:r>
          </w:p>
          <w:p w:rsidR="00D7220B" w:rsidRDefault="00D7220B" w:rsidP="00D7220B">
            <w:pPr>
              <w:spacing w:before="120" w:after="120"/>
              <w:ind w:left="57" w:right="57"/>
              <w:cnfStyle w:val="000000100000" w:firstRow="0" w:lastRow="0" w:firstColumn="0" w:lastColumn="0" w:oddVBand="0" w:evenVBand="0" w:oddHBand="1" w:evenHBand="0" w:firstRowFirstColumn="0" w:firstRowLastColumn="0" w:lastRowFirstColumn="0" w:lastRowLastColumn="0"/>
            </w:pPr>
            <w:r>
              <w:t>Source: Report on Government Services 2016 – Volume G: Housing and Homelessness – Produced by the Productivity Commission for the Review of Government Service Provision – Section G.5  – Commonwealth Rent Assistance</w:t>
            </w:r>
          </w:p>
          <w:p w:rsidR="00640346" w:rsidRPr="00CB40E1" w:rsidRDefault="0016576E" w:rsidP="00D7220B">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hyperlink r:id="rId11" w:history="1">
              <w:r w:rsidR="00D7220B" w:rsidRPr="00EB7AFF">
                <w:rPr>
                  <w:rStyle w:val="Hyperlink"/>
                </w:rPr>
                <w:t>http://www.pc.gov.au/research/ongoing/report-on-government-services/2016/housing-and-homelessness/rogs-2016-volumeg-housing-and-homelessness.pdf</w:t>
              </w:r>
            </w:hyperlink>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4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D7220B" w:rsidRDefault="00D7220B" w:rsidP="00D7220B">
            <w:pPr>
              <w:spacing w:before="120" w:after="120"/>
              <w:ind w:left="57" w:right="57"/>
              <w:cnfStyle w:val="000000100000" w:firstRow="0" w:lastRow="0" w:firstColumn="0" w:lastColumn="0" w:oddVBand="0" w:evenVBand="0" w:oddHBand="1" w:evenHBand="0" w:firstRowFirstColumn="0" w:firstRowLastColumn="0" w:lastRowFirstColumn="0" w:lastRowLastColumn="0"/>
            </w:pPr>
            <w:r>
              <w:t xml:space="preserve">See detailed discussion of policy impacts in the Henry Review - </w:t>
            </w:r>
            <w:hyperlink r:id="rId12" w:history="1">
              <w:r w:rsidRPr="004879AE">
                <w:rPr>
                  <w:rStyle w:val="Hyperlink"/>
                </w:rPr>
                <w:t>http://taxreview.treasury.gov.au/content/FinalReport.aspx?doc=html/publications/Papers/Final_Report_Part_2/chapter_f5-3.htm</w:t>
              </w:r>
            </w:hyperlink>
            <w:r>
              <w:t xml:space="preserve"> </w:t>
            </w:r>
          </w:p>
          <w:p w:rsidR="00D7220B" w:rsidRDefault="00D7220B" w:rsidP="00D7220B">
            <w:pPr>
              <w:spacing w:before="120" w:after="120"/>
              <w:ind w:right="57"/>
              <w:cnfStyle w:val="000000100000" w:firstRow="0" w:lastRow="0" w:firstColumn="0" w:lastColumn="0" w:oddVBand="0" w:evenVBand="0" w:oddHBand="1" w:evenHBand="0" w:firstRowFirstColumn="0" w:firstRowLastColumn="0" w:lastRowFirstColumn="0" w:lastRowLastColumn="0"/>
            </w:pPr>
            <w:r>
              <w:t xml:space="preserve">Impacts current CRA recipients – take up expected to be full number of eligible individuals receiving CRA. </w:t>
            </w:r>
          </w:p>
          <w:p w:rsidR="00D7220B" w:rsidRDefault="00D7220B" w:rsidP="00D7220B">
            <w:pPr>
              <w:spacing w:before="120" w:after="120"/>
              <w:ind w:left="57" w:right="57"/>
              <w:cnfStyle w:val="000000100000" w:firstRow="0" w:lastRow="0" w:firstColumn="0" w:lastColumn="0" w:oddVBand="0" w:evenVBand="0" w:oddHBand="1" w:evenHBand="0" w:firstRowFirstColumn="0" w:firstRowLastColumn="0" w:lastRowFirstColumn="0" w:lastRowLastColumn="0"/>
            </w:pPr>
            <w:r>
              <w:t xml:space="preserve">Report on Government Services 2016 – Volume G: Housing and Homelessness – Produced by the Productivity Commission for the Review of Government Service Provision – Figure G.1 – CRA and Rental Stress </w:t>
            </w:r>
          </w:p>
          <w:p w:rsidR="00640346" w:rsidRPr="00CB40E1" w:rsidRDefault="0016576E" w:rsidP="00D7220B">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hyperlink r:id="rId13" w:history="1">
              <w:r w:rsidR="00D7220B" w:rsidRPr="00EB7AFF">
                <w:rPr>
                  <w:rStyle w:val="Hyperlink"/>
                </w:rPr>
                <w:t>http://www.pc.gov.au/research/ongoing/report-on-government-services/2016/housing-and-homelessness/rogs-2016-volumeg-housing-and-homelessness.pdf</w:t>
              </w:r>
            </w:hyperlink>
          </w:p>
        </w:tc>
      </w:tr>
      <w:tr w:rsidR="00CF6DB6" w:rsidTr="009269CE">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4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E7BB8" w:rsidP="00A56818">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t xml:space="preserve">Australian Government, Department of Housing and Homelessness or Department of Infrastructure.  </w:t>
            </w:r>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411039">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1 </w:t>
            </w:r>
            <w:r w:rsidR="00411039">
              <w:rPr>
                <w:sz w:val="22"/>
              </w:rPr>
              <w:t>July 2017</w:t>
            </w:r>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lastRenderedPageBreak/>
              <w:t>Are there transitional arrangements associated with policy implementation?</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11039"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11039">
        <w:trPr>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7E7BB8" w:rsidRDefault="007E7BB8" w:rsidP="007E7BB8">
            <w:pPr>
              <w:spacing w:before="120" w:after="120"/>
              <w:ind w:left="57" w:right="57"/>
              <w:cnfStyle w:val="000000000000" w:firstRow="0" w:lastRow="0" w:firstColumn="0" w:lastColumn="0" w:oddVBand="0" w:evenVBand="0" w:oddHBand="0" w:evenHBand="0" w:firstRowFirstColumn="0" w:firstRowLastColumn="0" w:lastRowFirstColumn="0" w:lastRowLastColumn="0"/>
            </w:pPr>
            <w:r>
              <w:t>Report on Government Services 2016 – Volume G: Housing and Homelessness – Produced by the Productivity Commission for the Review of Government Service Provision:</w:t>
            </w:r>
          </w:p>
          <w:p w:rsidR="00640346" w:rsidRPr="00CB40E1" w:rsidRDefault="0016576E" w:rsidP="007E7BB8">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14" w:history="1">
              <w:r w:rsidR="007E7BB8" w:rsidRPr="00EB7AFF">
                <w:rPr>
                  <w:rStyle w:val="Hyperlink"/>
                </w:rPr>
                <w:t>http://www.pc.gov.au/research/ongoing/report-on-government-services/2016/housing-and-homelessness/rogs-2016-volumeg-housing-and-homelessness.pdf</w:t>
              </w:r>
            </w:hyperlink>
          </w:p>
        </w:tc>
      </w:tr>
      <w:tr w:rsidR="00640346" w:rsidTr="00411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31"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969"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11039"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1040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475473">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475473">
            <w:rPr>
              <w:noProof/>
              <w:color w:val="788184"/>
              <w:szCs w:val="20"/>
            </w:rPr>
            <w:t>5</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1040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475473">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475473">
            <w:rPr>
              <w:noProof/>
              <w:color w:val="788184"/>
              <w:szCs w:val="20"/>
            </w:rPr>
            <w:t>5</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40C5010"/>
    <w:multiLevelType w:val="hybridMultilevel"/>
    <w:tmpl w:val="7900789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3">
    <w:nsid w:val="19C8492F"/>
    <w:multiLevelType w:val="hybridMultilevel"/>
    <w:tmpl w:val="875E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2B0E7869"/>
    <w:multiLevelType w:val="hybridMultilevel"/>
    <w:tmpl w:val="8B84C0A4"/>
    <w:lvl w:ilvl="0" w:tplc="EC38DFA2">
      <w:start w:val="2013"/>
      <w:numFmt w:val="bullet"/>
      <w:lvlText w:val="-"/>
      <w:lvlJc w:val="left"/>
      <w:pPr>
        <w:ind w:left="862" w:hanging="360"/>
      </w:pPr>
      <w:rPr>
        <w:rFonts w:ascii="Calibri" w:eastAsiaTheme="minorHAnsi" w:hAnsi="Calibri" w:cstheme="minorBidi" w:hint="default"/>
      </w:rPr>
    </w:lvl>
    <w:lvl w:ilvl="1" w:tplc="0C090003">
      <w:start w:val="1"/>
      <w:numFmt w:val="bullet"/>
      <w:lvlText w:val="o"/>
      <w:lvlJc w:val="left"/>
      <w:pPr>
        <w:ind w:left="1885" w:hanging="360"/>
      </w:pPr>
      <w:rPr>
        <w:rFonts w:ascii="Courier New" w:hAnsi="Courier New" w:cs="Courier New" w:hint="default"/>
      </w:rPr>
    </w:lvl>
    <w:lvl w:ilvl="2" w:tplc="0C090005" w:tentative="1">
      <w:start w:val="1"/>
      <w:numFmt w:val="bullet"/>
      <w:lvlText w:val=""/>
      <w:lvlJc w:val="left"/>
      <w:pPr>
        <w:ind w:left="2605" w:hanging="360"/>
      </w:pPr>
      <w:rPr>
        <w:rFonts w:ascii="Wingdings" w:hAnsi="Wingdings" w:hint="default"/>
      </w:rPr>
    </w:lvl>
    <w:lvl w:ilvl="3" w:tplc="0C090001" w:tentative="1">
      <w:start w:val="1"/>
      <w:numFmt w:val="bullet"/>
      <w:lvlText w:val=""/>
      <w:lvlJc w:val="left"/>
      <w:pPr>
        <w:ind w:left="3325" w:hanging="360"/>
      </w:pPr>
      <w:rPr>
        <w:rFonts w:ascii="Symbol" w:hAnsi="Symbol" w:hint="default"/>
      </w:rPr>
    </w:lvl>
    <w:lvl w:ilvl="4" w:tplc="0C090003" w:tentative="1">
      <w:start w:val="1"/>
      <w:numFmt w:val="bullet"/>
      <w:lvlText w:val="o"/>
      <w:lvlJc w:val="left"/>
      <w:pPr>
        <w:ind w:left="4045" w:hanging="360"/>
      </w:pPr>
      <w:rPr>
        <w:rFonts w:ascii="Courier New" w:hAnsi="Courier New" w:cs="Courier New" w:hint="default"/>
      </w:rPr>
    </w:lvl>
    <w:lvl w:ilvl="5" w:tplc="0C090005" w:tentative="1">
      <w:start w:val="1"/>
      <w:numFmt w:val="bullet"/>
      <w:lvlText w:val=""/>
      <w:lvlJc w:val="left"/>
      <w:pPr>
        <w:ind w:left="4765" w:hanging="360"/>
      </w:pPr>
      <w:rPr>
        <w:rFonts w:ascii="Wingdings" w:hAnsi="Wingdings" w:hint="default"/>
      </w:rPr>
    </w:lvl>
    <w:lvl w:ilvl="6" w:tplc="0C090001" w:tentative="1">
      <w:start w:val="1"/>
      <w:numFmt w:val="bullet"/>
      <w:lvlText w:val=""/>
      <w:lvlJc w:val="left"/>
      <w:pPr>
        <w:ind w:left="5485" w:hanging="360"/>
      </w:pPr>
      <w:rPr>
        <w:rFonts w:ascii="Symbol" w:hAnsi="Symbol" w:hint="default"/>
      </w:rPr>
    </w:lvl>
    <w:lvl w:ilvl="7" w:tplc="0C090003" w:tentative="1">
      <w:start w:val="1"/>
      <w:numFmt w:val="bullet"/>
      <w:lvlText w:val="o"/>
      <w:lvlJc w:val="left"/>
      <w:pPr>
        <w:ind w:left="6205" w:hanging="360"/>
      </w:pPr>
      <w:rPr>
        <w:rFonts w:ascii="Courier New" w:hAnsi="Courier New" w:cs="Courier New" w:hint="default"/>
      </w:rPr>
    </w:lvl>
    <w:lvl w:ilvl="8" w:tplc="0C090005" w:tentative="1">
      <w:start w:val="1"/>
      <w:numFmt w:val="bullet"/>
      <w:lvlText w:val=""/>
      <w:lvlJc w:val="left"/>
      <w:pPr>
        <w:ind w:left="6925" w:hanging="360"/>
      </w:pPr>
      <w:rPr>
        <w:rFonts w:ascii="Wingdings" w:hAnsi="Wingdings" w:hint="default"/>
      </w:rPr>
    </w:lvl>
  </w:abstractNum>
  <w:abstractNum w:abstractNumId="7">
    <w:nsid w:val="332F5AFB"/>
    <w:multiLevelType w:val="hybridMultilevel"/>
    <w:tmpl w:val="01E62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A133A05"/>
    <w:multiLevelType w:val="hybridMultilevel"/>
    <w:tmpl w:val="007E322E"/>
    <w:lvl w:ilvl="0" w:tplc="5BF09164">
      <w:numFmt w:val="bullet"/>
      <w:lvlText w:val=""/>
      <w:lvlJc w:val="left"/>
      <w:pPr>
        <w:ind w:left="502" w:hanging="360"/>
      </w:pPr>
      <w:rPr>
        <w:rFonts w:ascii="Symbol" w:eastAsiaTheme="minorEastAsia" w:hAnsi="Symbol" w:cstheme="minorBidi" w:hint="default"/>
      </w:rPr>
    </w:lvl>
    <w:lvl w:ilvl="1" w:tplc="0C090003">
      <w:start w:val="1"/>
      <w:numFmt w:val="bullet"/>
      <w:lvlText w:val="o"/>
      <w:lvlJc w:val="left"/>
      <w:pPr>
        <w:ind w:left="1222" w:hanging="360"/>
      </w:pPr>
      <w:rPr>
        <w:rFonts w:ascii="Courier New" w:hAnsi="Courier New" w:cs="Courier New" w:hint="default"/>
      </w:rPr>
    </w:lvl>
    <w:lvl w:ilvl="2" w:tplc="296EE5C6">
      <w:numFmt w:val="bullet"/>
      <w:lvlText w:val="•"/>
      <w:lvlJc w:val="left"/>
      <w:pPr>
        <w:ind w:left="1942" w:hanging="360"/>
      </w:pPr>
      <w:rPr>
        <w:rFonts w:ascii="Times New Roman" w:eastAsiaTheme="minorEastAsia" w:hAnsi="Times New Roman" w:cs="Times New Roman"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nsid w:val="3E9D4560"/>
    <w:multiLevelType w:val="hybridMultilevel"/>
    <w:tmpl w:val="517A4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7C51D71"/>
    <w:multiLevelType w:val="hybridMultilevel"/>
    <w:tmpl w:val="E4B6C228"/>
    <w:lvl w:ilvl="0" w:tplc="A502BAE8">
      <w:numFmt w:val="bullet"/>
      <w:lvlText w:val=""/>
      <w:lvlJc w:val="left"/>
      <w:pPr>
        <w:ind w:left="473" w:hanging="360"/>
      </w:pPr>
      <w:rPr>
        <w:rFonts w:ascii="Calibri" w:eastAsia="Times New Roman" w:hAnsi="Calibri" w:cs="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1">
    <w:nsid w:val="4E4D38AC"/>
    <w:multiLevelType w:val="hybridMultilevel"/>
    <w:tmpl w:val="C75EDE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nsid w:val="6A9E6E85"/>
    <w:multiLevelType w:val="hybridMultilevel"/>
    <w:tmpl w:val="580AFB7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nsid w:val="73D32375"/>
    <w:multiLevelType w:val="hybridMultilevel"/>
    <w:tmpl w:val="F112BF2E"/>
    <w:lvl w:ilvl="0" w:tplc="EC38DFA2">
      <w:start w:val="2013"/>
      <w:numFmt w:val="bullet"/>
      <w:lvlText w:val="-"/>
      <w:lvlJc w:val="left"/>
      <w:pPr>
        <w:ind w:left="417"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41049F2"/>
    <w:multiLevelType w:val="hybridMultilevel"/>
    <w:tmpl w:val="07F0FF32"/>
    <w:lvl w:ilvl="0" w:tplc="C08C2FA6">
      <w:start w:val="15"/>
      <w:numFmt w:val="bullet"/>
      <w:lvlText w:val=""/>
      <w:lvlJc w:val="left"/>
      <w:pPr>
        <w:ind w:left="473" w:hanging="360"/>
      </w:pPr>
      <w:rPr>
        <w:rFonts w:ascii="Symbol" w:eastAsiaTheme="minorHAnsi" w:hAnsi="Symbol" w:cstheme="minorBid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6">
    <w:nsid w:val="7AC35C74"/>
    <w:multiLevelType w:val="hybridMultilevel"/>
    <w:tmpl w:val="27BCD96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3"/>
  </w:num>
  <w:num w:numId="6">
    <w:abstractNumId w:val="11"/>
  </w:num>
  <w:num w:numId="7">
    <w:abstractNumId w:val="7"/>
  </w:num>
  <w:num w:numId="8">
    <w:abstractNumId w:val="12"/>
  </w:num>
  <w:num w:numId="9">
    <w:abstractNumId w:val="10"/>
  </w:num>
  <w:num w:numId="10">
    <w:abstractNumId w:val="15"/>
  </w:num>
  <w:num w:numId="11">
    <w:abstractNumId w:val="16"/>
  </w:num>
  <w:num w:numId="12">
    <w:abstractNumId w:val="8"/>
  </w:num>
  <w:num w:numId="13">
    <w:abstractNumId w:val="6"/>
  </w:num>
  <w:num w:numId="14">
    <w:abstractNumId w:val="3"/>
  </w:num>
  <w:num w:numId="15">
    <w:abstractNumId w:val="1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0E084B"/>
    <w:rsid w:val="00104068"/>
    <w:rsid w:val="0014239B"/>
    <w:rsid w:val="00182C7F"/>
    <w:rsid w:val="00406F4D"/>
    <w:rsid w:val="00411039"/>
    <w:rsid w:val="00475473"/>
    <w:rsid w:val="00485140"/>
    <w:rsid w:val="004B4683"/>
    <w:rsid w:val="004C1147"/>
    <w:rsid w:val="004C5CC2"/>
    <w:rsid w:val="00511A20"/>
    <w:rsid w:val="00515A85"/>
    <w:rsid w:val="0055581F"/>
    <w:rsid w:val="005F7DE0"/>
    <w:rsid w:val="00640346"/>
    <w:rsid w:val="00660385"/>
    <w:rsid w:val="00693D79"/>
    <w:rsid w:val="007202A8"/>
    <w:rsid w:val="007616C6"/>
    <w:rsid w:val="007854E4"/>
    <w:rsid w:val="007B029A"/>
    <w:rsid w:val="007C4F2D"/>
    <w:rsid w:val="007E7BB8"/>
    <w:rsid w:val="00834885"/>
    <w:rsid w:val="00875DBF"/>
    <w:rsid w:val="008B1774"/>
    <w:rsid w:val="008F588A"/>
    <w:rsid w:val="00902D2D"/>
    <w:rsid w:val="009269CE"/>
    <w:rsid w:val="009C4742"/>
    <w:rsid w:val="009E5FB7"/>
    <w:rsid w:val="00A178A9"/>
    <w:rsid w:val="00A56818"/>
    <w:rsid w:val="00A85F06"/>
    <w:rsid w:val="00B42322"/>
    <w:rsid w:val="00BC559C"/>
    <w:rsid w:val="00BD6476"/>
    <w:rsid w:val="00CB40E1"/>
    <w:rsid w:val="00CF6DB6"/>
    <w:rsid w:val="00D134CA"/>
    <w:rsid w:val="00D7220B"/>
    <w:rsid w:val="00E15AAE"/>
    <w:rsid w:val="00E31801"/>
    <w:rsid w:val="00F61BD8"/>
    <w:rsid w:val="00F954CF"/>
    <w:rsid w:val="00FC17FD"/>
    <w:rsid w:val="00FC6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aliases w:val="List Paragraph1,Recommendation,List Paragraph11"/>
    <w:basedOn w:val="Normal"/>
    <w:link w:val="ListParagraphChar"/>
    <w:uiPriority w:val="1"/>
    <w:qFormat/>
    <w:rsid w:val="00A85F06"/>
    <w:pPr>
      <w:spacing w:after="200" w:line="276" w:lineRule="auto"/>
      <w:ind w:left="720"/>
      <w:contextualSpacing/>
    </w:pPr>
    <w:rPr>
      <w:lang w:val="en-US"/>
    </w:rPr>
  </w:style>
  <w:style w:type="character" w:customStyle="1" w:styleId="ListParagraphChar">
    <w:name w:val="List Paragraph Char"/>
    <w:aliases w:val="List Paragraph1 Char,Recommendation Char,List Paragraph11 Char"/>
    <w:link w:val="ListParagraph"/>
    <w:uiPriority w:val="34"/>
    <w:locked/>
    <w:rsid w:val="00A85F06"/>
    <w:rPr>
      <w:lang w:val="en-US"/>
    </w:rPr>
  </w:style>
  <w:style w:type="character" w:styleId="EndnoteReference">
    <w:name w:val="endnote reference"/>
    <w:basedOn w:val="DefaultParagraphFont"/>
    <w:uiPriority w:val="99"/>
    <w:unhideWhenUsed/>
    <w:rsid w:val="004C1147"/>
    <w:rPr>
      <w:vertAlign w:val="superscript"/>
    </w:rPr>
  </w:style>
  <w:style w:type="paragraph" w:styleId="NormalWeb">
    <w:name w:val="Normal (Web)"/>
    <w:basedOn w:val="Normal"/>
    <w:uiPriority w:val="99"/>
    <w:unhideWhenUsed/>
    <w:rsid w:val="004C11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unhideWhenUsed/>
    <w:rsid w:val="004C1147"/>
    <w:pPr>
      <w:spacing w:line="240" w:lineRule="auto"/>
    </w:pPr>
    <w:rPr>
      <w:sz w:val="20"/>
      <w:szCs w:val="20"/>
    </w:rPr>
  </w:style>
  <w:style w:type="character" w:customStyle="1" w:styleId="EndnoteTextChar">
    <w:name w:val="Endnote Text Char"/>
    <w:basedOn w:val="DefaultParagraphFont"/>
    <w:link w:val="EndnoteText"/>
    <w:uiPriority w:val="99"/>
    <w:rsid w:val="004C1147"/>
    <w:rPr>
      <w:sz w:val="20"/>
      <w:szCs w:val="20"/>
    </w:rPr>
  </w:style>
  <w:style w:type="paragraph" w:customStyle="1" w:styleId="Default">
    <w:name w:val="Default"/>
    <w:rsid w:val="00A178A9"/>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0E084B"/>
  </w:style>
  <w:style w:type="paragraph" w:styleId="FootnoteText">
    <w:name w:val="footnote text"/>
    <w:basedOn w:val="Normal"/>
    <w:link w:val="FootnoteTextChar"/>
    <w:uiPriority w:val="99"/>
    <w:semiHidden/>
    <w:unhideWhenUsed/>
    <w:rsid w:val="000E084B"/>
    <w:pPr>
      <w:widowControl w:val="0"/>
      <w:spacing w:line="240" w:lineRule="auto"/>
    </w:pPr>
    <w:rPr>
      <w:sz w:val="20"/>
      <w:szCs w:val="20"/>
      <w:lang w:val="en-US"/>
    </w:rPr>
  </w:style>
  <w:style w:type="character" w:customStyle="1" w:styleId="FootnoteTextChar">
    <w:name w:val="Footnote Text Char"/>
    <w:basedOn w:val="DefaultParagraphFont"/>
    <w:link w:val="FootnoteText"/>
    <w:uiPriority w:val="99"/>
    <w:semiHidden/>
    <w:rsid w:val="000E084B"/>
    <w:rPr>
      <w:sz w:val="20"/>
      <w:szCs w:val="20"/>
      <w:lang w:val="en-US"/>
    </w:rPr>
  </w:style>
  <w:style w:type="character" w:styleId="FootnoteReference">
    <w:name w:val="footnote reference"/>
    <w:basedOn w:val="DefaultParagraphFont"/>
    <w:uiPriority w:val="99"/>
    <w:semiHidden/>
    <w:unhideWhenUsed/>
    <w:rsid w:val="000E08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aliases w:val="List Paragraph1,Recommendation,List Paragraph11"/>
    <w:basedOn w:val="Normal"/>
    <w:link w:val="ListParagraphChar"/>
    <w:uiPriority w:val="1"/>
    <w:qFormat/>
    <w:rsid w:val="00A85F06"/>
    <w:pPr>
      <w:spacing w:after="200" w:line="276" w:lineRule="auto"/>
      <w:ind w:left="720"/>
      <w:contextualSpacing/>
    </w:pPr>
    <w:rPr>
      <w:lang w:val="en-US"/>
    </w:rPr>
  </w:style>
  <w:style w:type="character" w:customStyle="1" w:styleId="ListParagraphChar">
    <w:name w:val="List Paragraph Char"/>
    <w:aliases w:val="List Paragraph1 Char,Recommendation Char,List Paragraph11 Char"/>
    <w:link w:val="ListParagraph"/>
    <w:uiPriority w:val="34"/>
    <w:locked/>
    <w:rsid w:val="00A85F06"/>
    <w:rPr>
      <w:lang w:val="en-US"/>
    </w:rPr>
  </w:style>
  <w:style w:type="character" w:styleId="EndnoteReference">
    <w:name w:val="endnote reference"/>
    <w:basedOn w:val="DefaultParagraphFont"/>
    <w:uiPriority w:val="99"/>
    <w:unhideWhenUsed/>
    <w:rsid w:val="004C1147"/>
    <w:rPr>
      <w:vertAlign w:val="superscript"/>
    </w:rPr>
  </w:style>
  <w:style w:type="paragraph" w:styleId="NormalWeb">
    <w:name w:val="Normal (Web)"/>
    <w:basedOn w:val="Normal"/>
    <w:uiPriority w:val="99"/>
    <w:unhideWhenUsed/>
    <w:rsid w:val="004C11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unhideWhenUsed/>
    <w:rsid w:val="004C1147"/>
    <w:pPr>
      <w:spacing w:line="240" w:lineRule="auto"/>
    </w:pPr>
    <w:rPr>
      <w:sz w:val="20"/>
      <w:szCs w:val="20"/>
    </w:rPr>
  </w:style>
  <w:style w:type="character" w:customStyle="1" w:styleId="EndnoteTextChar">
    <w:name w:val="Endnote Text Char"/>
    <w:basedOn w:val="DefaultParagraphFont"/>
    <w:link w:val="EndnoteText"/>
    <w:uiPriority w:val="99"/>
    <w:rsid w:val="004C1147"/>
    <w:rPr>
      <w:sz w:val="20"/>
      <w:szCs w:val="20"/>
    </w:rPr>
  </w:style>
  <w:style w:type="paragraph" w:customStyle="1" w:styleId="Default">
    <w:name w:val="Default"/>
    <w:rsid w:val="00A178A9"/>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0E084B"/>
  </w:style>
  <w:style w:type="paragraph" w:styleId="FootnoteText">
    <w:name w:val="footnote text"/>
    <w:basedOn w:val="Normal"/>
    <w:link w:val="FootnoteTextChar"/>
    <w:uiPriority w:val="99"/>
    <w:semiHidden/>
    <w:unhideWhenUsed/>
    <w:rsid w:val="000E084B"/>
    <w:pPr>
      <w:widowControl w:val="0"/>
      <w:spacing w:line="240" w:lineRule="auto"/>
    </w:pPr>
    <w:rPr>
      <w:sz w:val="20"/>
      <w:szCs w:val="20"/>
      <w:lang w:val="en-US"/>
    </w:rPr>
  </w:style>
  <w:style w:type="character" w:customStyle="1" w:styleId="FootnoteTextChar">
    <w:name w:val="Footnote Text Char"/>
    <w:basedOn w:val="DefaultParagraphFont"/>
    <w:link w:val="FootnoteText"/>
    <w:uiPriority w:val="99"/>
    <w:semiHidden/>
    <w:rsid w:val="000E084B"/>
    <w:rPr>
      <w:sz w:val="20"/>
      <w:szCs w:val="20"/>
      <w:lang w:val="en-US"/>
    </w:rPr>
  </w:style>
  <w:style w:type="character" w:styleId="FootnoteReference">
    <w:name w:val="footnote reference"/>
    <w:basedOn w:val="DefaultParagraphFont"/>
    <w:uiPriority w:val="99"/>
    <w:semiHidden/>
    <w:unhideWhenUsed/>
    <w:rsid w:val="000E0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increasing%20rent%20assistance.pdf" TargetMode="External"/><Relationship Id="rId13" Type="http://schemas.openxmlformats.org/officeDocument/2006/relationships/hyperlink" Target="http://www.pc.gov.au/research/ongoing/report-on-government-services/2016/housing-and-homelessness/rogs-2016-volumeg-housing-and-homelessness.pd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axreview.treasury.gov.au/content/FinalReport.aspx?doc=html/publications/Papers/Final_Report_Part_2/chapter_f5-3.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c.gov.au/research/ongoing/report-on-government-services/2016/housing-and-homelessness/rogs-2016-volumeg-housing-and-homelessnes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reens.org.au/hous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s.org.au/inequality" TargetMode="External"/><Relationship Id="rId14" Type="http://schemas.openxmlformats.org/officeDocument/2006/relationships/hyperlink" Target="http://www.pc.gov.au/research/ongoing/report-on-government-services/2016/housing-and-homelessness/rogs-2016-volumeg-housing-and-homelessnes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GRN079 - Policy costing request - 1 July 2016</dc:title>
  <dc:creator>Australian Greens</dc:creator>
  <cp:lastModifiedBy>Milligan, Louise (PBO)</cp:lastModifiedBy>
  <cp:revision>6</cp:revision>
  <cp:lastPrinted>2016-04-20T06:27:00Z</cp:lastPrinted>
  <dcterms:created xsi:type="dcterms:W3CDTF">2016-07-01T00:56:00Z</dcterms:created>
  <dcterms:modified xsi:type="dcterms:W3CDTF">2016-07-01T02:46:00Z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