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207"/>
        <w:gridCol w:w="463"/>
        <w:gridCol w:w="1357"/>
        <w:gridCol w:w="2149"/>
        <w:gridCol w:w="2148"/>
        <w:gridCol w:w="2152"/>
      </w:tblGrid>
      <w:tr w:rsidR="008F588A" w:rsidRPr="00515A85" w:rsidTr="00FC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485140" w:rsidP="00F51E48">
            <w:pPr>
              <w:pStyle w:val="TableHeadingCentred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="00F51E48">
              <w:rPr>
                <w:sz w:val="22"/>
              </w:rPr>
              <w:t>Public and Community Housing Supply Boost</w:t>
            </w:r>
            <w:r w:rsidR="00511A20">
              <w:rPr>
                <w:sz w:val="22"/>
              </w:rPr>
              <w:t xml:space="preserve"> </w:t>
            </w:r>
          </w:p>
        </w:tc>
      </w:tr>
      <w:tr w:rsidR="008F588A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F51E4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485140">
              <w:rPr>
                <w:sz w:val="22"/>
              </w:rPr>
              <w:t xml:space="preserve"> 2016 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F51E48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F51E48">
              <w:rPr>
                <w:sz w:val="22"/>
              </w:rPr>
              <w:t>No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485140" w:rsidP="0048514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Thursday 30</w:t>
            </w:r>
            <w:r w:rsidRPr="00485140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June 2016 </w:t>
            </w:r>
          </w:p>
          <w:p w:rsidR="00EC5A23" w:rsidRPr="00CB40E1" w:rsidRDefault="008D481A" w:rsidP="0048514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EC5A23" w:rsidRPr="002C3D72">
                <w:rPr>
                  <w:rStyle w:val="Hyperlink"/>
                  <w:sz w:val="22"/>
                </w:rPr>
                <w:t>http://scott-ludlam.greensmps.org.au/sites/default/files/270616_greens_initiative_-_public_and_community_housing_supply_boost.pdf</w:t>
              </w:r>
            </w:hyperlink>
            <w:r w:rsidR="00EC5A23">
              <w:rPr>
                <w:sz w:val="22"/>
              </w:rPr>
              <w:t xml:space="preserve"> </w:t>
            </w:r>
          </w:p>
        </w:tc>
      </w:tr>
      <w:tr w:rsidR="008F588A" w:rsidRPr="00903231" w:rsidTr="00A8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FC1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75DBF" w:rsidRPr="00875DBF" w:rsidRDefault="00875DBF" w:rsidP="00875DBF">
            <w:pPr>
              <w:autoSpaceDE w:val="0"/>
              <w:autoSpaceDN w:val="0"/>
              <w:adjustRightInd w:val="0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  <w:r>
              <w:rPr>
                <w:szCs w:val="20"/>
              </w:rPr>
              <w:t>T</w:t>
            </w:r>
            <w:r w:rsidRPr="00875DBF">
              <w:rPr>
                <w:szCs w:val="20"/>
              </w:rPr>
              <w:t>he Greens will:</w:t>
            </w:r>
          </w:p>
          <w:p w:rsidR="00875DBF" w:rsidRPr="00875DBF" w:rsidRDefault="00875DBF" w:rsidP="00875DB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5DBF">
              <w:rPr>
                <w:rFonts w:asciiTheme="minorHAnsi" w:hAnsiTheme="minorHAnsi"/>
                <w:sz w:val="20"/>
                <w:szCs w:val="20"/>
              </w:rPr>
              <w:t>End homelessness and provide a home for every Australian family currently languishing on the waiting list within a decade</w:t>
            </w:r>
          </w:p>
          <w:p w:rsidR="00875DBF" w:rsidRPr="00875DBF" w:rsidRDefault="00875DBF" w:rsidP="00875DB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5DBF">
              <w:rPr>
                <w:rFonts w:asciiTheme="minorHAnsi" w:hAnsiTheme="minorHAnsi"/>
                <w:sz w:val="20"/>
                <w:szCs w:val="20"/>
              </w:rPr>
              <w:t xml:space="preserve">Fund the construction of 200,000 new public and community housing dwellings </w:t>
            </w:r>
          </w:p>
          <w:p w:rsidR="00875DBF" w:rsidRPr="00875DBF" w:rsidRDefault="00875DBF" w:rsidP="00875DB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5DBF">
              <w:rPr>
                <w:rFonts w:asciiTheme="minorHAnsi" w:hAnsiTheme="minorHAnsi"/>
                <w:sz w:val="20"/>
                <w:szCs w:val="20"/>
              </w:rPr>
              <w:t xml:space="preserve">Introduce an Affordable Housing Supply Bonds package to finance one third of the homes </w:t>
            </w:r>
          </w:p>
          <w:p w:rsidR="00875DBF" w:rsidRPr="00875DBF" w:rsidRDefault="00875DBF" w:rsidP="00875DB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5DBF">
              <w:rPr>
                <w:rFonts w:asciiTheme="minorHAnsi" w:hAnsiTheme="minorHAnsi"/>
                <w:sz w:val="20"/>
                <w:szCs w:val="20"/>
              </w:rPr>
              <w:t>Include a target of up to 50% high quality and locally manufactured fast build modular or innovative housing; and</w:t>
            </w:r>
            <w:r w:rsidRPr="00875DBF">
              <w:rPr>
                <w:sz w:val="20"/>
                <w:szCs w:val="20"/>
              </w:rPr>
              <w:t xml:space="preserve"> </w:t>
            </w:r>
          </w:p>
          <w:p w:rsidR="00875DBF" w:rsidRDefault="00875DBF" w:rsidP="00875DBF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 w:line="240" w:lineRule="exact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5DBF">
              <w:rPr>
                <w:rFonts w:asciiTheme="minorHAnsi" w:hAnsiTheme="minorHAnsi"/>
                <w:sz w:val="20"/>
                <w:szCs w:val="20"/>
              </w:rPr>
              <w:t>Reverse cuts to the National Partnership on Remote Indigenous Housing of $95million.</w:t>
            </w:r>
          </w:p>
          <w:p w:rsidR="00875DBF" w:rsidRPr="00875DBF" w:rsidRDefault="00875DBF" w:rsidP="00875DBF">
            <w:pPr>
              <w:autoSpaceDE w:val="0"/>
              <w:autoSpaceDN w:val="0"/>
              <w:adjustRightInd w:val="0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szCs w:val="20"/>
              </w:rPr>
            </w:pPr>
            <w:r w:rsidRPr="00875DBF">
              <w:rPr>
                <w:rFonts w:cs="Trebuchet MS"/>
                <w:szCs w:val="20"/>
              </w:rPr>
              <w:t xml:space="preserve">The Greens request a costing to introduce two new funding streams to ensure long-term growth in our social housing system and </w:t>
            </w:r>
            <w:r w:rsidRPr="00875DBF">
              <w:rPr>
                <w:rFonts w:cs="Trebuchet MS"/>
                <w:b/>
                <w:szCs w:val="20"/>
              </w:rPr>
              <w:t>the delivery of 200,000 homes within ten years</w:t>
            </w:r>
            <w:r w:rsidRPr="00875DBF">
              <w:rPr>
                <w:rFonts w:cs="Trebuchet MS"/>
                <w:szCs w:val="20"/>
              </w:rPr>
              <w:t>.</w:t>
            </w:r>
          </w:p>
          <w:p w:rsidR="00875DBF" w:rsidRPr="00875DBF" w:rsidRDefault="00875DBF" w:rsidP="00875DBF">
            <w:pPr>
              <w:autoSpaceDE w:val="0"/>
              <w:autoSpaceDN w:val="0"/>
              <w:adjustRightInd w:val="0"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szCs w:val="20"/>
              </w:rPr>
            </w:pPr>
            <w:r w:rsidRPr="00875DBF">
              <w:rPr>
                <w:rFonts w:cs="Trebuchet MS"/>
                <w:szCs w:val="20"/>
              </w:rPr>
              <w:t>We would like this to be achieved through: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875DBF">
              <w:rPr>
                <w:rFonts w:cs="Trebuchet MS"/>
                <w:b/>
                <w:szCs w:val="20"/>
              </w:rPr>
              <w:t>Direct finance</w:t>
            </w:r>
            <w:r w:rsidRPr="00875DBF">
              <w:rPr>
                <w:rFonts w:cs="Trebuchet MS"/>
                <w:szCs w:val="20"/>
              </w:rPr>
              <w:t xml:space="preserve"> </w:t>
            </w:r>
            <w:r w:rsidRPr="00875DBF">
              <w:rPr>
                <w:rFonts w:cs="Trebuchet MS"/>
                <w:b/>
                <w:szCs w:val="20"/>
              </w:rPr>
              <w:t>for 13,000 homes each year</w:t>
            </w:r>
            <w:r w:rsidRPr="00875DBF">
              <w:rPr>
                <w:rFonts w:cs="Trebuchet MS"/>
                <w:szCs w:val="20"/>
              </w:rPr>
              <w:t xml:space="preserve">, through a competitive grants stream that awards projects on merit and also assumes matched funding from the states or housing </w:t>
            </w:r>
            <w:proofErr w:type="spellStart"/>
            <w:r w:rsidRPr="00875DBF">
              <w:rPr>
                <w:rFonts w:cs="Trebuchet MS"/>
                <w:szCs w:val="20"/>
              </w:rPr>
              <w:t>organisations</w:t>
            </w:r>
            <w:proofErr w:type="spellEnd"/>
            <w:r w:rsidRPr="00875DBF">
              <w:rPr>
                <w:rFonts w:cs="Trebuchet MS"/>
                <w:szCs w:val="20"/>
              </w:rPr>
              <w:t xml:space="preserve">. 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AU"/>
              </w:rPr>
            </w:pPr>
            <w:r w:rsidRPr="00875DBF">
              <w:rPr>
                <w:rFonts w:cs="Trebuchet MS"/>
                <w:b/>
                <w:szCs w:val="20"/>
              </w:rPr>
              <w:t>The assumptions for the houses are as follows:</w:t>
            </w:r>
            <w:r w:rsidRPr="00875DBF">
              <w:rPr>
                <w:szCs w:val="20"/>
              </w:rPr>
              <w:t xml:space="preserve"> 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75DBF">
              <w:rPr>
                <w:szCs w:val="20"/>
              </w:rPr>
              <w:t xml:space="preserve">Funding for 50 per cent of the new dwellings would be at a cost of $350,000 per home. 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75DBF">
              <w:rPr>
                <w:szCs w:val="20"/>
              </w:rPr>
              <w:t>Funding for the remaining 50 per cent of the new dwellings would be at a cost of $150,000 per home.</w:t>
            </w:r>
          </w:p>
          <w:p w:rsidR="00875DBF" w:rsidRPr="00875DBF" w:rsidRDefault="00875DBF" w:rsidP="00875DB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75DBF">
              <w:rPr>
                <w:szCs w:val="20"/>
              </w:rPr>
              <w:t xml:space="preserve">Co-funded by states and territories and </w:t>
            </w:r>
            <w:proofErr w:type="gramStart"/>
            <w:r w:rsidRPr="00875DBF">
              <w:rPr>
                <w:szCs w:val="20"/>
              </w:rPr>
              <w:t>In</w:t>
            </w:r>
            <w:proofErr w:type="gramEnd"/>
            <w:r w:rsidRPr="00875DBF">
              <w:rPr>
                <w:szCs w:val="20"/>
              </w:rPr>
              <w:t xml:space="preserve"> addition, each state or territory would be responsible for</w:t>
            </w:r>
            <w:r>
              <w:rPr>
                <w:szCs w:val="20"/>
              </w:rPr>
              <w:t xml:space="preserve"> </w:t>
            </w:r>
            <w:r w:rsidRPr="00875DBF">
              <w:rPr>
                <w:szCs w:val="20"/>
              </w:rPr>
              <w:t>the administration of the program within its jurisdiction and the Commonwealth would have no equity in the homes built under the program.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lang w:val="en-AU"/>
              </w:rPr>
            </w:pPr>
            <w:r w:rsidRPr="00875DBF">
              <w:rPr>
                <w:szCs w:val="20"/>
              </w:rPr>
              <w:t>The proposal would have effect from 1 January 2017.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lang w:val="en-AU"/>
              </w:rPr>
            </w:pPr>
            <w:r w:rsidRPr="00875DBF">
              <w:rPr>
                <w:b/>
                <w:szCs w:val="20"/>
                <w:lang w:val="en-AU"/>
              </w:rPr>
              <w:lastRenderedPageBreak/>
              <w:t>This includes up to 50% sustainable modular prefabricated housing target</w:t>
            </w:r>
          </w:p>
          <w:p w:rsidR="00875DBF" w:rsidRPr="00875DBF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75DBF">
              <w:rPr>
                <w:rFonts w:cs="Trebuchet MS"/>
                <w:szCs w:val="20"/>
              </w:rPr>
              <w:t>Commencing in 2017.</w:t>
            </w:r>
          </w:p>
          <w:p w:rsidR="00875DBF" w:rsidRPr="000079A8" w:rsidRDefault="00875DBF" w:rsidP="00875DB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szCs w:val="20"/>
              </w:rPr>
            </w:pPr>
            <w:r>
              <w:rPr>
                <w:rFonts w:cs="Trebuchet MS"/>
                <w:szCs w:val="20"/>
              </w:rPr>
              <w:t>Funding for the remaining homes is via a</w:t>
            </w:r>
            <w:r w:rsidRPr="00875DBF">
              <w:rPr>
                <w:rFonts w:cs="Trebuchet MS"/>
                <w:szCs w:val="20"/>
              </w:rPr>
              <w:t xml:space="preserve"> separate A</w:t>
            </w:r>
            <w:r w:rsidRPr="00875DBF">
              <w:rPr>
                <w:rFonts w:cs="Trebuchet MS"/>
                <w:b/>
                <w:szCs w:val="20"/>
              </w:rPr>
              <w:t>ffordable Housing Supply Bonds instrument to finance 7200 homes each year.</w:t>
            </w:r>
            <w:r w:rsidRPr="000079A8">
              <w:rPr>
                <w:rFonts w:cs="Trebuchet MS"/>
                <w:szCs w:val="20"/>
              </w:rPr>
              <w:t xml:space="preserve"> </w:t>
            </w:r>
            <w:r>
              <w:rPr>
                <w:rFonts w:cs="Trebuchet MS"/>
                <w:szCs w:val="20"/>
              </w:rPr>
              <w:t xml:space="preserve">(See separate costing to establish an Affordable Housing Finance Corporation via the Greens Infrastructure bank, which we estimate to cost </w:t>
            </w:r>
            <w:r w:rsidRPr="000079A8">
              <w:rPr>
                <w:szCs w:val="20"/>
              </w:rPr>
              <w:t>$</w:t>
            </w:r>
            <w:r>
              <w:rPr>
                <w:szCs w:val="20"/>
              </w:rPr>
              <w:t xml:space="preserve">188 million </w:t>
            </w:r>
            <w:r w:rsidRPr="000079A8">
              <w:rPr>
                <w:szCs w:val="20"/>
              </w:rPr>
              <w:t xml:space="preserve">to generate $8.05 billion in bonds over forward estimates, with an ongoing commitment of </w:t>
            </w:r>
            <w:r w:rsidRPr="000079A8">
              <w:rPr>
                <w:rFonts w:eastAsia="MyriadPro-Regular" w:cs="MyriadPro-Regular"/>
                <w:szCs w:val="20"/>
              </w:rPr>
              <w:t>$47 million per year to raise $2.04 billion in housin</w:t>
            </w:r>
            <w:r>
              <w:rPr>
                <w:rFonts w:eastAsia="MyriadPro-Regular" w:cs="MyriadPro-Regular"/>
                <w:szCs w:val="20"/>
              </w:rPr>
              <w:t>g bonds each year for 10 years.)</w:t>
            </w:r>
          </w:p>
          <w:p w:rsidR="00875DBF" w:rsidRDefault="00875DBF" w:rsidP="00875DBF">
            <w:pPr>
              <w:autoSpaceDE w:val="0"/>
              <w:autoSpaceDN w:val="0"/>
              <w:adjustRightInd w:val="0"/>
              <w:spacing w:line="240" w:lineRule="auto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rebuchet MS"/>
                <w:sz w:val="18"/>
                <w:szCs w:val="18"/>
              </w:rPr>
            </w:pPr>
            <w:r>
              <w:rPr>
                <w:rFonts w:cs="Trebuchet MS"/>
                <w:sz w:val="18"/>
                <w:szCs w:val="18"/>
              </w:rPr>
              <w:t xml:space="preserve">Links: </w:t>
            </w:r>
            <w:r w:rsidRPr="000079A8">
              <w:rPr>
                <w:rFonts w:cs="Trebuchet MS"/>
                <w:sz w:val="18"/>
                <w:szCs w:val="18"/>
              </w:rPr>
              <w:t xml:space="preserve"> </w:t>
            </w:r>
            <w:r w:rsidRPr="00875DBF">
              <w:rPr>
                <w:rFonts w:cs="Trebuchet MS"/>
                <w:b/>
                <w:i/>
                <w:sz w:val="18"/>
                <w:szCs w:val="18"/>
              </w:rPr>
              <w:t>Public and Community housing supply boost</w:t>
            </w:r>
            <w:r>
              <w:rPr>
                <w:rFonts w:cs="Trebuchet MS"/>
                <w:sz w:val="18"/>
                <w:szCs w:val="18"/>
              </w:rPr>
              <w:t xml:space="preserve"> and </w:t>
            </w:r>
            <w:r w:rsidRPr="00875DBF">
              <w:rPr>
                <w:rFonts w:cs="Trebuchet MS"/>
                <w:b/>
                <w:i/>
                <w:sz w:val="18"/>
                <w:szCs w:val="18"/>
              </w:rPr>
              <w:t>Affordable Housing Supply Bond</w:t>
            </w:r>
            <w:r w:rsidRPr="000079A8">
              <w:rPr>
                <w:rFonts w:cs="Trebuchet MS"/>
                <w:i/>
                <w:sz w:val="18"/>
                <w:szCs w:val="18"/>
              </w:rPr>
              <w:t xml:space="preserve">s </w:t>
            </w:r>
            <w:r>
              <w:rPr>
                <w:rFonts w:cs="Trebuchet MS"/>
                <w:sz w:val="18"/>
                <w:szCs w:val="18"/>
              </w:rPr>
              <w:t xml:space="preserve"> at </w:t>
            </w:r>
            <w:r w:rsidRPr="001815D6">
              <w:rPr>
                <w:rFonts w:cs="Trebuchet MS"/>
                <w:sz w:val="18"/>
                <w:szCs w:val="18"/>
              </w:rPr>
              <w:t>greens.org.au/housing</w:t>
            </w:r>
          </w:p>
          <w:p w:rsidR="00875DBF" w:rsidRPr="00F51E48" w:rsidRDefault="00875DBF" w:rsidP="00F51E48">
            <w:pPr>
              <w:autoSpaceDE w:val="0"/>
              <w:autoSpaceDN w:val="0"/>
              <w:adjustRightInd w:val="0"/>
              <w:spacing w:line="240" w:lineRule="auto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szCs w:val="20"/>
              </w:rPr>
            </w:pPr>
            <w:r>
              <w:rPr>
                <w:rFonts w:cs="Trebuchet MS"/>
                <w:szCs w:val="20"/>
              </w:rPr>
              <w:t xml:space="preserve">In Australia today there are almost 200,000 </w:t>
            </w:r>
            <w:r w:rsidRPr="00AE742C">
              <w:rPr>
                <w:rFonts w:cs="Trebuchet MS"/>
                <w:szCs w:val="20"/>
              </w:rPr>
              <w:t>applicants</w:t>
            </w:r>
            <w:r>
              <w:rPr>
                <w:rFonts w:cs="Trebuchet MS"/>
                <w:b/>
                <w:szCs w:val="20"/>
              </w:rPr>
              <w:t xml:space="preserve"> </w:t>
            </w:r>
            <w:r>
              <w:rPr>
                <w:rFonts w:cs="Trebuchet MS"/>
                <w:szCs w:val="20"/>
              </w:rPr>
              <w:t>on social housing waiting lists.</w:t>
            </w:r>
            <w:r>
              <w:rPr>
                <w:rStyle w:val="EndnoteReference"/>
                <w:rFonts w:cs="Trebuchet MS"/>
                <w:szCs w:val="20"/>
              </w:rPr>
              <w:endnoteReference w:id="1"/>
            </w:r>
            <w:r>
              <w:rPr>
                <w:rFonts w:cs="Trebuchet MS"/>
                <w:szCs w:val="20"/>
              </w:rPr>
              <w:t xml:space="preserve"> </w:t>
            </w:r>
            <w:r w:rsidRPr="00050C2A">
              <w:rPr>
                <w:rFonts w:eastAsia="MyriadPro-Regular" w:cs="MyriadPro-Regular"/>
                <w:szCs w:val="20"/>
              </w:rPr>
              <w:t xml:space="preserve">Core funding </w:t>
            </w:r>
            <w:r>
              <w:rPr>
                <w:rFonts w:eastAsia="MyriadPro-Regular" w:cs="MyriadPro-Regular"/>
                <w:szCs w:val="20"/>
              </w:rPr>
              <w:t xml:space="preserve">has </w:t>
            </w:r>
            <w:r w:rsidRPr="00050C2A">
              <w:rPr>
                <w:rFonts w:eastAsia="MyriadPro-Regular" w:cs="MyriadPro-Regular"/>
                <w:szCs w:val="20"/>
              </w:rPr>
              <w:t xml:space="preserve">failed to keep up with growing demand </w:t>
            </w:r>
            <w:r>
              <w:rPr>
                <w:rFonts w:eastAsia="MyriadPro-Regular" w:cs="MyriadPro-Regular"/>
                <w:szCs w:val="20"/>
              </w:rPr>
              <w:t xml:space="preserve">and </w:t>
            </w:r>
            <w:r w:rsidRPr="00050C2A">
              <w:rPr>
                <w:rFonts w:eastAsia="MyriadPro-Regular" w:cs="MyriadPro-Regular"/>
                <w:szCs w:val="20"/>
              </w:rPr>
              <w:t>has been in significant decline for the last 15 years</w:t>
            </w:r>
            <w:r>
              <w:rPr>
                <w:rFonts w:eastAsia="MyriadPro-Regular" w:cs="MyriadPro-Regular"/>
                <w:szCs w:val="20"/>
              </w:rPr>
              <w:t xml:space="preserve">. </w:t>
            </w:r>
            <w:r w:rsidRPr="00050C2A">
              <w:rPr>
                <w:rFonts w:cs="Trebuchet MS"/>
                <w:szCs w:val="20"/>
              </w:rPr>
              <w:t>In 2015</w:t>
            </w:r>
            <w:r>
              <w:rPr>
                <w:rFonts w:cs="Trebuchet MS"/>
                <w:szCs w:val="20"/>
              </w:rPr>
              <w:t xml:space="preserve"> </w:t>
            </w:r>
            <w:r w:rsidRPr="00050C2A">
              <w:rPr>
                <w:rFonts w:cs="Trebuchet MS"/>
                <w:szCs w:val="20"/>
              </w:rPr>
              <w:t>there were 427,800 public and community houses across Australia - only 200 more than the previous year</w:t>
            </w:r>
            <w:r>
              <w:rPr>
                <w:rFonts w:cs="Trebuchet MS"/>
                <w:szCs w:val="20"/>
              </w:rPr>
              <w:t xml:space="preserve">. </w:t>
            </w:r>
          </w:p>
          <w:p w:rsidR="000E084B" w:rsidRDefault="000E084B" w:rsidP="009C47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640346" w:rsidRDefault="00875DBF" w:rsidP="009C47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F2854">
              <w:rPr>
                <w:szCs w:val="20"/>
              </w:rPr>
              <w:t xml:space="preserve">Despite having one of the strongest economies in the world our housing system is failing us. </w:t>
            </w:r>
            <w:r w:rsidRPr="006F2854">
              <w:rPr>
                <w:rFonts w:cs="Trebuchet MS"/>
                <w:szCs w:val="20"/>
              </w:rPr>
              <w:t xml:space="preserve">A quality public and community housing sector remains vital to a fully functioning society and is a cornerstone of Australia’s safety net and social contract. For many it represents the only option for secure, affordable housing. </w:t>
            </w:r>
            <w:r w:rsidRPr="006F2854">
              <w:rPr>
                <w:szCs w:val="20"/>
              </w:rPr>
              <w:t>In 2015 only 2% of rental properties were affordable for a single person on minimum wag</w:t>
            </w:r>
            <w:r>
              <w:rPr>
                <w:szCs w:val="20"/>
              </w:rPr>
              <w:t xml:space="preserve">e, and just </w:t>
            </w:r>
            <w:r w:rsidRPr="006F2854">
              <w:rPr>
                <w:szCs w:val="20"/>
              </w:rPr>
              <w:t>0.02%</w:t>
            </w:r>
            <w:r>
              <w:rPr>
                <w:szCs w:val="20"/>
              </w:rPr>
              <w:t xml:space="preserve"> </w:t>
            </w:r>
            <w:proofErr w:type="gramStart"/>
            <w:r>
              <w:rPr>
                <w:szCs w:val="20"/>
              </w:rPr>
              <w:t>were</w:t>
            </w:r>
            <w:proofErr w:type="gramEnd"/>
            <w:r>
              <w:rPr>
                <w:szCs w:val="20"/>
              </w:rPr>
              <w:t xml:space="preserve"> affordable for those on </w:t>
            </w:r>
            <w:proofErr w:type="spellStart"/>
            <w:r>
              <w:rPr>
                <w:szCs w:val="20"/>
              </w:rPr>
              <w:t>Newstart</w:t>
            </w:r>
            <w:proofErr w:type="spellEnd"/>
            <w:r>
              <w:rPr>
                <w:szCs w:val="20"/>
              </w:rPr>
              <w:t>.</w:t>
            </w:r>
          </w:p>
          <w:p w:rsidR="00875DBF" w:rsidRDefault="00875DBF" w:rsidP="009C47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  <w:p w:rsidR="00875DBF" w:rsidRPr="005C16AE" w:rsidRDefault="00875DBF" w:rsidP="00875DBF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color w:val="FF0000"/>
                <w:szCs w:val="20"/>
              </w:rPr>
            </w:pPr>
            <w:r>
              <w:rPr>
                <w:szCs w:val="20"/>
              </w:rPr>
              <w:t xml:space="preserve">Waiting </w:t>
            </w:r>
            <w:r w:rsidRPr="00ED57FF">
              <w:rPr>
                <w:szCs w:val="20"/>
              </w:rPr>
              <w:t>time</w:t>
            </w:r>
            <w:r>
              <w:rPr>
                <w:szCs w:val="20"/>
              </w:rPr>
              <w:t>s have also continued to blow</w:t>
            </w:r>
            <w:r w:rsidRPr="00ED57FF">
              <w:rPr>
                <w:szCs w:val="20"/>
              </w:rPr>
              <w:t xml:space="preserve"> out</w:t>
            </w:r>
            <w:r>
              <w:rPr>
                <w:szCs w:val="20"/>
              </w:rPr>
              <w:t xml:space="preserve"> in each state</w:t>
            </w:r>
            <w:r w:rsidRPr="00ED57FF">
              <w:rPr>
                <w:szCs w:val="20"/>
              </w:rPr>
              <w:t xml:space="preserve">. </w:t>
            </w:r>
            <w:r>
              <w:rPr>
                <w:szCs w:val="20"/>
              </w:rPr>
              <w:t xml:space="preserve">The average wait time across Australia is now 5 years but averages can be deceptive.  In WA we have heard first-hand from women escaping domestic violence and sleeping </w:t>
            </w:r>
            <w:r w:rsidRPr="00587EC6">
              <w:rPr>
                <w:szCs w:val="20"/>
              </w:rPr>
              <w:t>in their cars being told</w:t>
            </w:r>
            <w:r>
              <w:rPr>
                <w:szCs w:val="20"/>
              </w:rPr>
              <w:t xml:space="preserve"> that </w:t>
            </w:r>
            <w:r w:rsidRPr="00587EC6">
              <w:rPr>
                <w:szCs w:val="20"/>
              </w:rPr>
              <w:t xml:space="preserve">the </w:t>
            </w:r>
            <w:r>
              <w:rPr>
                <w:szCs w:val="20"/>
              </w:rPr>
              <w:t xml:space="preserve">person in front of them </w:t>
            </w:r>
            <w:r w:rsidRPr="00587EC6">
              <w:rPr>
                <w:szCs w:val="20"/>
              </w:rPr>
              <w:t>on the waiting list has been waiting since 2006</w:t>
            </w:r>
            <w:r>
              <w:rPr>
                <w:rStyle w:val="EndnoteReference"/>
                <w:szCs w:val="20"/>
              </w:rPr>
              <w:endnoteReference w:id="2"/>
            </w:r>
            <w:r>
              <w:rPr>
                <w:szCs w:val="20"/>
              </w:rPr>
              <w:t>.  In most regions of Sydney applicants are waiting 10+ years for a home,</w:t>
            </w:r>
            <w:r>
              <w:rPr>
                <w:rStyle w:val="EndnoteReference"/>
                <w:szCs w:val="20"/>
              </w:rPr>
              <w:endnoteReference w:id="3"/>
            </w:r>
            <w:r>
              <w:rPr>
                <w:szCs w:val="20"/>
              </w:rPr>
              <w:t xml:space="preserve"> and in one case reported in Melbourne’s southern suburbs an applicant had to wait for 18 years and 10 months before they were given a home.</w:t>
            </w:r>
            <w:r>
              <w:rPr>
                <w:rStyle w:val="EndnoteReference"/>
                <w:szCs w:val="20"/>
              </w:rPr>
              <w:endnoteReference w:id="4"/>
            </w:r>
            <w:r>
              <w:rPr>
                <w:szCs w:val="20"/>
              </w:rPr>
              <w:t xml:space="preserve"> </w:t>
            </w:r>
          </w:p>
          <w:p w:rsidR="00875DBF" w:rsidRPr="00CB40E1" w:rsidRDefault="00875DBF" w:rsidP="009C474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F51E4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Yes, the funds for the Affordable Housing Corporation are to be financed by the proposed Australian Infrastructure Bank.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E084B" w:rsidP="00511A20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Capped amount of 20,000 homes per year according to formula above. 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0E084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Yes, the states will be co-funding and administering the policy as described above. 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9C47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102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102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102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69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2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F51E48" w:rsidP="00FC17FD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  <w:r w:rsidR="00FC17FD">
              <w:rPr>
                <w:sz w:val="22"/>
              </w:rPr>
              <w:t>1.625</w:t>
            </w:r>
          </w:p>
        </w:tc>
        <w:tc>
          <w:tcPr>
            <w:tcW w:w="102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F51E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-1.625</w:t>
            </w:r>
          </w:p>
        </w:tc>
        <w:tc>
          <w:tcPr>
            <w:tcW w:w="102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F51E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-1.625</w:t>
            </w:r>
          </w:p>
        </w:tc>
      </w:tr>
      <w:tr w:rsidR="00FC17FD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C17FD" w:rsidRPr="00CB40E1" w:rsidRDefault="00FC17FD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69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C17FD" w:rsidRPr="00CB40E1" w:rsidRDefault="00FC17FD" w:rsidP="00FE60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2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C17FD" w:rsidRPr="00CB40E1" w:rsidRDefault="00F51E48" w:rsidP="00FE60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  <w:r w:rsidR="00FC17FD">
              <w:rPr>
                <w:sz w:val="22"/>
              </w:rPr>
              <w:t>1.625</w:t>
            </w:r>
          </w:p>
        </w:tc>
        <w:tc>
          <w:tcPr>
            <w:tcW w:w="102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C17FD" w:rsidRPr="00CB40E1" w:rsidRDefault="00F51E48" w:rsidP="00FE60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-1.625</w:t>
            </w:r>
          </w:p>
        </w:tc>
        <w:tc>
          <w:tcPr>
            <w:tcW w:w="102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C17FD" w:rsidRPr="00CB40E1" w:rsidRDefault="00F51E48" w:rsidP="00FE60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-1.625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E084B" w:rsidRDefault="000E084B" w:rsidP="000E084B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proposal contains the simple objective to deliver housing to everyone currently on the social housing waiting list, within ten years.</w:t>
            </w:r>
          </w:p>
          <w:p w:rsidR="000E084B" w:rsidRPr="00AE16FA" w:rsidRDefault="000E084B" w:rsidP="000E084B">
            <w:pPr>
              <w:spacing w:before="120" w:after="120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According to the most recent AIHW report at June 2014 there were </w:t>
            </w:r>
            <w:r w:rsidRPr="00AE16FA">
              <w:t xml:space="preserve"> a t</w:t>
            </w:r>
            <w:r w:rsidRPr="000E084B">
              <w:t xml:space="preserve">otal  206,000 total applicants on the waiting list for social housing, </w:t>
            </w:r>
          </w:p>
          <w:p w:rsidR="000E084B" w:rsidRDefault="000E084B" w:rsidP="000E084B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40" w:lineRule="auto"/>
              <w:ind w:right="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154,600 </w:t>
            </w:r>
            <w:r w:rsidRPr="00971DE6">
              <w:rPr>
                <w:lang w:val="en-AU"/>
              </w:rPr>
              <w:t xml:space="preserve">applicants </w:t>
            </w:r>
            <w:r>
              <w:rPr>
                <w:lang w:val="en-AU"/>
              </w:rPr>
              <w:t xml:space="preserve">on public housing waiting lists, </w:t>
            </w:r>
            <w:r w:rsidRPr="00971DE6">
              <w:rPr>
                <w:lang w:val="en-AU"/>
              </w:rPr>
              <w:t>including 39,565 in greatest need</w:t>
            </w:r>
          </w:p>
          <w:p w:rsidR="000E084B" w:rsidRDefault="000E084B" w:rsidP="000E084B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40" w:lineRule="auto"/>
              <w:ind w:right="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8000 applicants in SOMI Housing (including 3461 in greatest need) </w:t>
            </w:r>
          </w:p>
          <w:p w:rsidR="000E084B" w:rsidRDefault="000E084B" w:rsidP="000E084B">
            <w:pPr>
              <w:pStyle w:val="ListParagraph"/>
              <w:widowControl w:val="0"/>
              <w:numPr>
                <w:ilvl w:val="0"/>
                <w:numId w:val="15"/>
              </w:numPr>
              <w:spacing w:before="120" w:after="120" w:line="240" w:lineRule="auto"/>
              <w:ind w:right="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43,400  applicants on community housing waiting lists (including 25,944 in greatest need) </w:t>
            </w:r>
          </w:p>
          <w:p w:rsidR="000E084B" w:rsidRPr="00FA3252" w:rsidRDefault="000E084B" w:rsidP="000E084B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Source: </w:t>
            </w:r>
            <w:r w:rsidRPr="00FA3252">
              <w:t>Australian Institute of Health and Welfare,</w:t>
            </w:r>
            <w:r w:rsidRPr="00FA3252">
              <w:rPr>
                <w:i/>
              </w:rPr>
              <w:t xml:space="preserve"> Housing Assistance in Australia 2014 (2015)</w:t>
            </w:r>
            <w:r>
              <w:t xml:space="preserve"> at </w:t>
            </w:r>
            <w:hyperlink r:id="rId9" w:history="1">
              <w:r w:rsidRPr="002E4962">
                <w:rPr>
                  <w:rStyle w:val="Hyperlink"/>
                </w:rPr>
                <w:t>www.aihw.gov.au</w:t>
              </w:r>
            </w:hyperlink>
            <w:r>
              <w:t xml:space="preserve"> </w:t>
            </w:r>
          </w:p>
          <w:p w:rsidR="000E084B" w:rsidRPr="00AE16FA" w:rsidRDefault="000E084B" w:rsidP="000E084B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also</w:t>
            </w:r>
            <w:r w:rsidRPr="00AE16FA">
              <w:t xml:space="preserve"> </w:t>
            </w:r>
            <w:r>
              <w:t>T</w:t>
            </w:r>
            <w:r w:rsidRPr="00AE16FA">
              <w:t xml:space="preserve">able 17A.5 </w:t>
            </w:r>
            <w:r>
              <w:t xml:space="preserve">– 7 </w:t>
            </w:r>
            <w:r w:rsidRPr="00AE16FA">
              <w:t>Volume G Report on Government Services</w:t>
            </w:r>
            <w:r>
              <w:t xml:space="preserve"> </w:t>
            </w:r>
            <w:r>
              <w:rPr>
                <w:rStyle w:val="FootnoteReference"/>
              </w:rPr>
              <w:footnoteReference w:id="1"/>
            </w:r>
          </w:p>
          <w:p w:rsidR="000E084B" w:rsidRDefault="000E084B" w:rsidP="000E0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szCs w:val="20"/>
              </w:rPr>
            </w:pPr>
            <w:r>
              <w:t>The proposal would have effect from 1 July 2016.</w:t>
            </w:r>
          </w:p>
          <w:p w:rsidR="000E084B" w:rsidRPr="00D72901" w:rsidRDefault="000E084B" w:rsidP="000E0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rFonts w:cs="Trebuchet MS"/>
                <w:szCs w:val="20"/>
              </w:rPr>
              <w:t xml:space="preserve">Over one third of all applicants </w:t>
            </w:r>
            <w:r w:rsidRPr="00A66301">
              <w:rPr>
                <w:rFonts w:cs="Trebuchet MS"/>
                <w:szCs w:val="20"/>
              </w:rPr>
              <w:t xml:space="preserve">on the waiting list </w:t>
            </w:r>
            <w:r>
              <w:rPr>
                <w:rFonts w:cs="Trebuchet MS"/>
                <w:szCs w:val="20"/>
              </w:rPr>
              <w:t>(</w:t>
            </w:r>
            <w:r w:rsidRPr="00CE26D6">
              <w:rPr>
                <w:szCs w:val="20"/>
                <w:shd w:val="clear" w:color="auto" w:fill="FFFFFF"/>
              </w:rPr>
              <w:t>69,000</w:t>
            </w:r>
            <w:r w:rsidRPr="00CE26D6">
              <w:rPr>
                <w:rStyle w:val="apple-converted-space"/>
                <w:szCs w:val="20"/>
                <w:shd w:val="clear" w:color="auto" w:fill="FFFFFF"/>
              </w:rPr>
              <w:t> </w:t>
            </w:r>
            <w:r w:rsidRPr="00A66301">
              <w:rPr>
                <w:rFonts w:cs="Trebuchet MS"/>
                <w:szCs w:val="20"/>
              </w:rPr>
              <w:t>applicants</w:t>
            </w:r>
            <w:r>
              <w:rPr>
                <w:rFonts w:cs="Trebuchet MS"/>
                <w:szCs w:val="20"/>
              </w:rPr>
              <w:t>)</w:t>
            </w:r>
            <w:r w:rsidRPr="00A66301">
              <w:rPr>
                <w:rFonts w:cs="Trebuchet MS"/>
                <w:szCs w:val="20"/>
              </w:rPr>
              <w:t xml:space="preserve"> are classified as being in the ‘greatest need’ – they are homeless, or their life, safety or health is at risk in their current housing.</w:t>
            </w:r>
            <w:r w:rsidRPr="00A66301">
              <w:rPr>
                <w:rStyle w:val="EndnoteReference"/>
                <w:rFonts w:cs="Trebuchet MS"/>
                <w:szCs w:val="20"/>
              </w:rPr>
              <w:endnoteReference w:id="5"/>
            </w:r>
            <w:r w:rsidRPr="00A66301">
              <w:rPr>
                <w:rFonts w:cs="Trebuchet MS"/>
                <w:szCs w:val="20"/>
              </w:rPr>
              <w:t xml:space="preserve"> </w:t>
            </w:r>
            <w:r>
              <w:rPr>
                <w:rFonts w:cs="Trebuchet MS"/>
                <w:szCs w:val="20"/>
              </w:rPr>
              <w:t xml:space="preserve">For these people and families the </w:t>
            </w:r>
            <w:r w:rsidRPr="00A66301">
              <w:rPr>
                <w:rFonts w:cs="Trebuchet MS"/>
                <w:szCs w:val="20"/>
              </w:rPr>
              <w:t xml:space="preserve">undersupply of social housing is </w:t>
            </w:r>
            <w:r>
              <w:rPr>
                <w:rFonts w:cs="Trebuchet MS"/>
                <w:szCs w:val="20"/>
              </w:rPr>
              <w:t>literally life threatening, and the current wait-time for the priority list ranges bet</w:t>
            </w:r>
            <w:r w:rsidRPr="00A66301">
              <w:rPr>
                <w:rFonts w:cs="Trebuchet MS"/>
                <w:szCs w:val="20"/>
              </w:rPr>
              <w:t>ween 3 months and 2 years</w:t>
            </w:r>
            <w:r w:rsidRPr="00A66301">
              <w:rPr>
                <w:rStyle w:val="EndnoteReference"/>
                <w:rFonts w:cs="Trebuchet MS"/>
                <w:szCs w:val="20"/>
              </w:rPr>
              <w:endnoteReference w:id="6"/>
            </w:r>
            <w:r>
              <w:rPr>
                <w:rFonts w:cs="Trebuchet MS"/>
                <w:szCs w:val="20"/>
              </w:rPr>
              <w:t>.</w:t>
            </w:r>
            <w:r w:rsidRPr="00A66301">
              <w:rPr>
                <w:rFonts w:cs="Trebuchet MS"/>
                <w:szCs w:val="20"/>
              </w:rPr>
              <w:t xml:space="preserve"> </w:t>
            </w:r>
          </w:p>
          <w:p w:rsidR="000E084B" w:rsidRPr="00262808" w:rsidRDefault="000E084B" w:rsidP="000E084B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666666"/>
                <w:sz w:val="20"/>
                <w:szCs w:val="20"/>
              </w:rPr>
            </w:pPr>
            <w:r w:rsidRPr="00262808">
              <w:rPr>
                <w:rFonts w:asciiTheme="minorHAnsi" w:eastAsia="MyriadPro-Regular" w:hAnsiTheme="minorHAnsi" w:cs="MyriadPro-Regular"/>
                <w:sz w:val="20"/>
                <w:szCs w:val="20"/>
              </w:rPr>
              <w:lastRenderedPageBreak/>
              <w:t>A quarter of the public housing waiting lists are senior Australians,</w:t>
            </w:r>
            <w:r w:rsidRPr="00262808">
              <w:rPr>
                <w:rStyle w:val="EndnoteReference"/>
                <w:rFonts w:asciiTheme="minorHAnsi" w:eastAsia="MyriadPro-Regular" w:hAnsiTheme="minorHAnsi" w:cs="MyriadPro-Regular"/>
                <w:sz w:val="20"/>
                <w:szCs w:val="20"/>
              </w:rPr>
              <w:endnoteReference w:id="7"/>
            </w:r>
            <w:r w:rsidRPr="00262808">
              <w:rPr>
                <w:rFonts w:asciiTheme="minorHAnsi" w:eastAsia="MyriadPro-Regular" w:hAnsiTheme="minorHAnsi" w:cs="MyriadPro-Regular"/>
                <w:sz w:val="20"/>
                <w:szCs w:val="20"/>
              </w:rPr>
              <w:t xml:space="preserve"> many are single and alone, and the proportion is increasing every year. </w:t>
            </w:r>
            <w:r>
              <w:rPr>
                <w:rFonts w:asciiTheme="minorHAnsi" w:eastAsia="MyriadPro-Regular" w:hAnsiTheme="minorHAnsi" w:cs="MyriadPro-Regular"/>
                <w:sz w:val="20"/>
                <w:szCs w:val="20"/>
              </w:rPr>
              <w:t xml:space="preserve">A worrying </w:t>
            </w:r>
            <w:r w:rsidRPr="00262808">
              <w:rPr>
                <w:rFonts w:asciiTheme="minorHAnsi" w:eastAsia="MyriadPro-Regular" w:hAnsiTheme="minorHAnsi" w:cs="MyriadPro-Regular"/>
                <w:sz w:val="20"/>
                <w:szCs w:val="20"/>
              </w:rPr>
              <w:t>trend is the increasing number of older, single women in private rentals who are accessing homelessness services</w:t>
            </w:r>
            <w:r>
              <w:rPr>
                <w:rFonts w:asciiTheme="minorHAnsi" w:hAnsiTheme="minorHAnsi"/>
                <w:sz w:val="20"/>
                <w:szCs w:val="20"/>
              </w:rPr>
              <w:t>, with a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 xml:space="preserve"> 9% increase in women over 55 accessing specialist homelessness services in 2013-14.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 xml:space="preserve">Women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experience 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>much higher proportions of income poverty upon retirement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making 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 xml:space="preserve">them more vulnerable 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housing unaffordability, due to 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>economic inequality as a result of wage, wealth and retirement income gaps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over their working life.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There are o</w:t>
            </w:r>
            <w:r w:rsidRPr="00262808">
              <w:rPr>
                <w:rFonts w:asciiTheme="minorHAnsi" w:hAnsiTheme="minorHAnsi"/>
                <w:sz w:val="20"/>
                <w:szCs w:val="20"/>
              </w:rPr>
              <w:t>ver 600,000 single women over 45 on low- median incomes are not in outright home ownership</w:t>
            </w:r>
            <w:r w:rsidRPr="00262808">
              <w:rPr>
                <w:rStyle w:val="EndnoteReference"/>
                <w:rFonts w:asciiTheme="minorHAnsi" w:hAnsiTheme="minorHAnsi"/>
                <w:sz w:val="20"/>
                <w:szCs w:val="20"/>
              </w:rPr>
              <w:endnoteReference w:id="8"/>
            </w:r>
            <w:r w:rsidRPr="0026280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E084B" w:rsidRP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  <w:r w:rsidRPr="000E084B">
              <w:rPr>
                <w:rFonts w:eastAsia="MyriadPro-Regular" w:cs="MyriadPro-Regular"/>
                <w:szCs w:val="20"/>
              </w:rPr>
              <w:t>Meanwhile, demand for social housing will keep growing.</w:t>
            </w:r>
          </w:p>
          <w:p w:rsid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  <w:r>
              <w:rPr>
                <w:rFonts w:eastAsia="MyriadPro-Regular" w:cs="MyriadPro-Regular"/>
                <w:szCs w:val="20"/>
              </w:rPr>
              <w:t>Before being abolished in the Coalition’s appalling first budget, t</w:t>
            </w:r>
            <w:r w:rsidRPr="00D45827">
              <w:rPr>
                <w:rFonts w:eastAsia="MyriadPro-Regular" w:cs="MyriadPro-Regular"/>
                <w:szCs w:val="20"/>
              </w:rPr>
              <w:t xml:space="preserve">he National Housing Supply Council projected demand for public housing will </w:t>
            </w:r>
            <w:r>
              <w:rPr>
                <w:rFonts w:eastAsia="MyriadPro-Regular" w:cs="MyriadPro-Regular"/>
                <w:szCs w:val="20"/>
              </w:rPr>
              <w:t>surpass</w:t>
            </w:r>
            <w:r w:rsidRPr="00D45827">
              <w:rPr>
                <w:rFonts w:eastAsia="MyriadPro-Regular" w:cs="MyriadPro-Regular"/>
                <w:szCs w:val="20"/>
              </w:rPr>
              <w:t xml:space="preserve"> that for private rent</w:t>
            </w:r>
            <w:r>
              <w:rPr>
                <w:rFonts w:eastAsia="MyriadPro-Regular" w:cs="MyriadPro-Regular"/>
                <w:szCs w:val="20"/>
              </w:rPr>
              <w:t xml:space="preserve">als or home ownership in coming years. It also </w:t>
            </w:r>
            <w:r w:rsidRPr="00F147E5">
              <w:rPr>
                <w:rFonts w:cs="Arial"/>
                <w:szCs w:val="20"/>
              </w:rPr>
              <w:t xml:space="preserve">predicted </w:t>
            </w:r>
            <w:r w:rsidRPr="00F147E5">
              <w:rPr>
                <w:rFonts w:eastAsia="MyriadPro-Regular" w:cs="MyriadPro-Regular"/>
                <w:szCs w:val="20"/>
              </w:rPr>
              <w:t>the demand</w:t>
            </w:r>
            <w:r>
              <w:rPr>
                <w:rFonts w:eastAsia="MyriadPro-Regular" w:cs="MyriadPro-Regular"/>
                <w:szCs w:val="20"/>
              </w:rPr>
              <w:t xml:space="preserve"> </w:t>
            </w:r>
            <w:r w:rsidRPr="00F147E5">
              <w:rPr>
                <w:rFonts w:cs="Arial"/>
                <w:szCs w:val="20"/>
              </w:rPr>
              <w:t xml:space="preserve">on the rental market </w:t>
            </w:r>
            <w:r>
              <w:rPr>
                <w:rFonts w:cs="Arial"/>
                <w:szCs w:val="20"/>
              </w:rPr>
              <w:t>by</w:t>
            </w:r>
            <w:r w:rsidRPr="00F147E5">
              <w:rPr>
                <w:rFonts w:cs="Arial"/>
                <w:szCs w:val="20"/>
              </w:rPr>
              <w:t xml:space="preserve"> elderly Australians will more than double by 2028</w:t>
            </w:r>
            <w:r>
              <w:rPr>
                <w:rFonts w:cs="Arial"/>
                <w:szCs w:val="20"/>
              </w:rPr>
              <w:t>,</w:t>
            </w:r>
            <w:r w:rsidRPr="00F147E5">
              <w:rPr>
                <w:rStyle w:val="EndnoteReference"/>
                <w:rFonts w:cs="Arial"/>
                <w:szCs w:val="20"/>
              </w:rPr>
              <w:endnoteReference w:id="9"/>
            </w:r>
            <w:r w:rsidRPr="00F147E5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with </w:t>
            </w:r>
            <w:r w:rsidRPr="00F147E5">
              <w:rPr>
                <w:rFonts w:cs="Arial"/>
                <w:szCs w:val="20"/>
              </w:rPr>
              <w:t xml:space="preserve">28% of all households </w:t>
            </w:r>
            <w:r>
              <w:rPr>
                <w:rFonts w:cs="Arial"/>
                <w:szCs w:val="20"/>
              </w:rPr>
              <w:t>reaching</w:t>
            </w:r>
            <w:r w:rsidRPr="00F147E5">
              <w:rPr>
                <w:rFonts w:cs="Arial"/>
                <w:szCs w:val="20"/>
              </w:rPr>
              <w:t xml:space="preserve"> 65+ years in </w:t>
            </w:r>
            <w:r>
              <w:rPr>
                <w:rFonts w:eastAsia="MyriadPro-Regular" w:cs="MyriadPro-Regular"/>
                <w:szCs w:val="20"/>
              </w:rPr>
              <w:t>the next 20 years.</w:t>
            </w:r>
            <w:r>
              <w:rPr>
                <w:rStyle w:val="EndnoteReference"/>
                <w:rFonts w:eastAsia="MyriadPro-Regular" w:cs="MyriadPro-Regular"/>
                <w:szCs w:val="20"/>
              </w:rPr>
              <w:endnoteReference w:id="10"/>
            </w:r>
            <w:r>
              <w:rPr>
                <w:rFonts w:eastAsia="MyriadPro-Regular" w:cs="MyriadPro-Regular"/>
                <w:szCs w:val="20"/>
              </w:rPr>
              <w:t xml:space="preserve"> </w:t>
            </w:r>
          </w:p>
          <w:p w:rsid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</w:p>
          <w:p w:rsidR="000E084B" w:rsidRDefault="000E084B" w:rsidP="000E08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rFonts w:eastAsia="MyriadPro-Regular" w:cs="MyriadPro-Regular"/>
                <w:sz w:val="20"/>
                <w:szCs w:val="20"/>
              </w:rPr>
              <w:t>Australia has one of the smallest public and community housing sectors in the world. There are</w:t>
            </w:r>
            <w:r w:rsidRPr="003F65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427,800</w:t>
            </w:r>
            <w:r w:rsidRPr="003F65AA">
              <w:rPr>
                <w:sz w:val="20"/>
                <w:szCs w:val="20"/>
              </w:rPr>
              <w:t xml:space="preserve"> social housing dwellings in</w:t>
            </w:r>
            <w:r>
              <w:rPr>
                <w:sz w:val="20"/>
                <w:szCs w:val="20"/>
              </w:rPr>
              <w:t xml:space="preserve"> </w:t>
            </w:r>
            <w:r w:rsidRPr="006A1140">
              <w:rPr>
                <w:color w:val="auto"/>
                <w:sz w:val="20"/>
                <w:szCs w:val="20"/>
              </w:rPr>
              <w:t>Australia</w:t>
            </w:r>
            <w:r w:rsidRPr="006A1140">
              <w:rPr>
                <w:rStyle w:val="EndnoteReference"/>
                <w:color w:val="auto"/>
                <w:sz w:val="20"/>
                <w:szCs w:val="20"/>
              </w:rPr>
              <w:endnoteReference w:id="11"/>
            </w:r>
            <w:r w:rsidRPr="006A1140">
              <w:rPr>
                <w:color w:val="auto"/>
                <w:sz w:val="20"/>
                <w:szCs w:val="20"/>
              </w:rPr>
              <w:t xml:space="preserve"> - </w:t>
            </w:r>
            <w:r>
              <w:rPr>
                <w:color w:val="auto"/>
                <w:sz w:val="20"/>
                <w:szCs w:val="20"/>
              </w:rPr>
              <w:t xml:space="preserve">comprising </w:t>
            </w:r>
            <w:r w:rsidRPr="006A1140">
              <w:rPr>
                <w:color w:val="auto"/>
                <w:sz w:val="20"/>
                <w:szCs w:val="20"/>
              </w:rPr>
              <w:t xml:space="preserve">less than 5% of overall housing stock. </w:t>
            </w:r>
          </w:p>
          <w:p w:rsidR="000E084B" w:rsidRDefault="000E084B" w:rsidP="000E084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  <w:p w:rsid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  <w:r>
              <w:rPr>
                <w:rFonts w:eastAsia="MyriadPro-Regular" w:cs="MyriadPro-Regular"/>
                <w:szCs w:val="20"/>
              </w:rPr>
              <w:t>Compared to other countries in the OECD this is very low.</w:t>
            </w:r>
          </w:p>
          <w:p w:rsidR="000E084B" w:rsidRDefault="000E084B" w:rsidP="000E084B">
            <w:pPr>
              <w:autoSpaceDE w:val="0"/>
              <w:autoSpaceDN w:val="0"/>
              <w:adjustRightInd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yriadPro-Regular" w:cs="MyriadPro-Regular"/>
                <w:szCs w:val="20"/>
              </w:rPr>
            </w:pPr>
          </w:p>
          <w:p w:rsidR="000E084B" w:rsidRDefault="000E084B" w:rsidP="000E084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397AC8">
              <w:rPr>
                <w:szCs w:val="20"/>
              </w:rPr>
              <w:t>Our proposal also includes a target of up to 50% for high quality and locally manufactured modular or innovative housing to be delivered for $150,000 or less</w:t>
            </w:r>
            <w:r>
              <w:rPr>
                <w:szCs w:val="20"/>
              </w:rPr>
              <w:t xml:space="preserve">. This will make housing </w:t>
            </w:r>
            <w:r w:rsidRPr="00397AC8">
              <w:rPr>
                <w:szCs w:val="20"/>
              </w:rPr>
              <w:t>faster and more affordable to build and spur much needed advancements in the housing</w:t>
            </w:r>
            <w:r>
              <w:rPr>
                <w:szCs w:val="20"/>
              </w:rPr>
              <w:t xml:space="preserve"> design</w:t>
            </w:r>
            <w:r w:rsidRPr="00397AC8">
              <w:rPr>
                <w:szCs w:val="20"/>
              </w:rPr>
              <w:t xml:space="preserve"> and construction sector. </w:t>
            </w:r>
          </w:p>
          <w:p w:rsidR="00640346" w:rsidRPr="00CB40E1" w:rsidRDefault="00640346" w:rsidP="00A56818">
            <w:pPr>
              <w:spacing w:line="24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F6DB6" w:rsidTr="009269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E7BB8" w:rsidP="00A56818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 xml:space="preserve">Australian Government, Department of Housing and Homelessness or Department of Infrastructure.  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Are there transitional arrangements associated with policy implementation?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FC17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E7BB8" w:rsidRDefault="007E7BB8" w:rsidP="007E7BB8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on Government Services 2016 – Volume G: Housing and Homelessness – Produced by the Productivity Commission for the Review of Government Service Provision:</w:t>
            </w:r>
          </w:p>
          <w:p w:rsidR="00640346" w:rsidRPr="00CB40E1" w:rsidRDefault="008D481A" w:rsidP="007E7BB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10" w:history="1">
              <w:r w:rsidR="007E7BB8" w:rsidRPr="00EB7AFF">
                <w:rPr>
                  <w:rStyle w:val="Hyperlink"/>
                </w:rPr>
                <w:t>http://www.pc.gov.au/research/ongoing/report-on-government-services/2016/housing-and-homelessness/rogs-2016-volumeg-housing-and-homelessness.pdf</w:t>
              </w:r>
            </w:hyperlink>
          </w:p>
        </w:tc>
      </w:tr>
      <w:tr w:rsidR="00640346" w:rsidTr="00FC1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726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  <w:endnote w:id="1">
    <w:p w:rsidR="000E084B" w:rsidRPr="00262808" w:rsidRDefault="000E084B" w:rsidP="000E084B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Data as at June 2015, </w:t>
      </w:r>
      <w:r w:rsidRPr="00262808">
        <w:rPr>
          <w:i/>
          <w:sz w:val="15"/>
          <w:szCs w:val="15"/>
        </w:rPr>
        <w:t xml:space="preserve">Productivity Commission Report on Government Services </w:t>
      </w:r>
      <w:r w:rsidRPr="00262808">
        <w:rPr>
          <w:sz w:val="15"/>
          <w:szCs w:val="15"/>
        </w:rPr>
        <w:t xml:space="preserve">(2016) Chapter G: Housing and Homelessness. </w:t>
      </w:r>
    </w:p>
  </w:endnote>
  <w:endnote w:id="2">
    <w:p w:rsidR="00875DBF" w:rsidRPr="00262808" w:rsidRDefault="00875DBF" w:rsidP="00875DBF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rStyle w:val="EndnoteReference"/>
          <w:sz w:val="15"/>
          <w:szCs w:val="15"/>
        </w:rPr>
        <w:t xml:space="preserve"> </w:t>
      </w:r>
      <w:r w:rsidRPr="00262808">
        <w:rPr>
          <w:sz w:val="15"/>
          <w:szCs w:val="15"/>
        </w:rPr>
        <w:t>“Butterfly” in ‘The Paddock People’ (2015), a documentary about a community of people sleeping rough in a carpark in Perth’s southern suburbs, at https://vimeo.com/112479580</w:t>
      </w:r>
    </w:p>
  </w:endnote>
  <w:endnote w:id="3">
    <w:p w:rsidR="00875DBF" w:rsidRPr="00262808" w:rsidRDefault="00875DBF" w:rsidP="00875DBF">
      <w:pPr>
        <w:pStyle w:val="EndnoteText"/>
        <w:rPr>
          <w:sz w:val="15"/>
          <w:szCs w:val="15"/>
          <w:lang w:val="en-US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>https://www.vinnies.org.au/icms_docs/238828_The_Ache_for_Home_Paper_2016.pdf</w:t>
      </w:r>
    </w:p>
  </w:endnote>
  <w:endnote w:id="4">
    <w:p w:rsidR="00875DBF" w:rsidRPr="00262808" w:rsidRDefault="00875DBF" w:rsidP="00875DBF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</w:t>
      </w:r>
      <w:hyperlink r:id="rId1" w:anchor="ixzz2ZPQGhODo" w:history="1">
        <w:r w:rsidRPr="00262808">
          <w:rPr>
            <w:rStyle w:val="Hyperlink"/>
            <w:sz w:val="15"/>
            <w:szCs w:val="15"/>
          </w:rPr>
          <w:t>http://www.theage.com.au/victoria/crisis-in-public-housing-20110130-1a9p1.html#ixzz2ZPQGhODo</w:t>
        </w:r>
      </w:hyperlink>
    </w:p>
  </w:endnote>
  <w:endnote w:id="5">
    <w:p w:rsidR="000E084B" w:rsidRPr="00262808" w:rsidRDefault="000E084B" w:rsidP="000E084B">
      <w:pPr>
        <w:pStyle w:val="EndnoteText"/>
        <w:rPr>
          <w:sz w:val="15"/>
          <w:szCs w:val="15"/>
          <w:lang w:val="en-US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http://www.aihw.gov.au/housing-assistance/haa/2016/priority-groups/</w:t>
      </w:r>
    </w:p>
  </w:endnote>
  <w:endnote w:id="6">
    <w:p w:rsidR="000E084B" w:rsidRPr="00262808" w:rsidRDefault="000E084B" w:rsidP="000E084B">
      <w:pPr>
        <w:pStyle w:val="EndnoteText"/>
        <w:rPr>
          <w:sz w:val="15"/>
          <w:szCs w:val="15"/>
          <w:lang w:val="en-US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>https://www.vinnies.org.au/icms_docs/238828_The_Ache_for_Home_Paper_2016.pdf</w:t>
      </w:r>
    </w:p>
  </w:endnote>
  <w:endnote w:id="7">
    <w:p w:rsidR="000E084B" w:rsidRPr="00262808" w:rsidRDefault="000E084B" w:rsidP="000E084B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http://www.aihw.gov.au/housing-assistance/haa/2016/social-housing-tenants/.</w:t>
      </w:r>
    </w:p>
  </w:endnote>
  <w:endnote w:id="8">
    <w:p w:rsidR="000E084B" w:rsidRPr="00262808" w:rsidRDefault="000E084B" w:rsidP="000E084B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http://equalityrightsalliance.org.au/sites/equalityrightsalliance.org.au/files/images/era_and_ha_submission_to_economic_security_of_older_women_inquiry.pdf</w:t>
      </w:r>
    </w:p>
  </w:endnote>
  <w:endnote w:id="9">
    <w:p w:rsidR="000E084B" w:rsidRPr="00262808" w:rsidRDefault="000E084B" w:rsidP="000E084B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</w:t>
      </w:r>
      <w:r w:rsidRPr="00262808">
        <w:rPr>
          <w:rFonts w:cs="Arial"/>
          <w:sz w:val="15"/>
          <w:szCs w:val="15"/>
        </w:rPr>
        <w:t xml:space="preserve">National Housing Supply Council report 2010 </w:t>
      </w:r>
      <w:proofErr w:type="spellStart"/>
      <w:r w:rsidRPr="00262808">
        <w:rPr>
          <w:rFonts w:cs="Arial"/>
          <w:sz w:val="15"/>
          <w:szCs w:val="15"/>
        </w:rPr>
        <w:t>pxvi</w:t>
      </w:r>
      <w:proofErr w:type="spellEnd"/>
      <w:r w:rsidRPr="00262808">
        <w:rPr>
          <w:rFonts w:cs="Arial"/>
          <w:sz w:val="15"/>
          <w:szCs w:val="15"/>
        </w:rPr>
        <w:t xml:space="preserve">  at </w:t>
      </w:r>
      <w:hyperlink r:id="rId2" w:history="1">
        <w:r w:rsidRPr="00262808">
          <w:rPr>
            <w:rStyle w:val="Hyperlink"/>
            <w:rFonts w:cs="Arial"/>
            <w:sz w:val="15"/>
            <w:szCs w:val="15"/>
          </w:rPr>
          <w:t>http://www.fahcsia.gov.au/sa/housing/pubs/housing/national_housing_supply/Documents/StateofSupplyReport_2010.pdf</w:t>
        </w:r>
      </w:hyperlink>
      <w:r w:rsidRPr="00262808">
        <w:rPr>
          <w:rFonts w:cs="Arial"/>
          <w:sz w:val="15"/>
          <w:szCs w:val="15"/>
        </w:rPr>
        <w:t xml:space="preserve"> </w:t>
      </w:r>
    </w:p>
  </w:endnote>
  <w:endnote w:id="10">
    <w:p w:rsidR="000E084B" w:rsidRPr="00262808" w:rsidRDefault="000E084B" w:rsidP="000E084B">
      <w:pPr>
        <w:pStyle w:val="EndnoteText"/>
        <w:rPr>
          <w:sz w:val="15"/>
          <w:szCs w:val="15"/>
          <w:lang w:val="en-US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http://www.pc.gov.au/research/completed/ageing-australia/ageing-australia-overview.pdf</w:t>
      </w:r>
    </w:p>
  </w:endnote>
  <w:endnote w:id="11">
    <w:p w:rsidR="000E084B" w:rsidRPr="00262808" w:rsidRDefault="000E084B" w:rsidP="000E084B">
      <w:pPr>
        <w:pStyle w:val="EndnoteText"/>
        <w:rPr>
          <w:sz w:val="15"/>
          <w:szCs w:val="15"/>
        </w:rPr>
      </w:pPr>
      <w:r w:rsidRPr="00262808">
        <w:rPr>
          <w:rStyle w:val="EndnoteReference"/>
          <w:sz w:val="15"/>
          <w:szCs w:val="15"/>
        </w:rPr>
        <w:endnoteRef/>
      </w:r>
      <w:r w:rsidRPr="00262808">
        <w:rPr>
          <w:sz w:val="15"/>
          <w:szCs w:val="15"/>
        </w:rPr>
        <w:t xml:space="preserve"> Figures based on Productivity Commission (2016)  Report on Government Services at http://www.pc.gov.au/research/ongoing/report-on-government-services/2016/housing-and-homelessness/rogs-2016-volumeg-housing-and-homelessness.pdf</w:t>
      </w:r>
      <w:r w:rsidRPr="00262808" w:rsidDel="00501D89">
        <w:rPr>
          <w:sz w:val="15"/>
          <w:szCs w:val="15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904C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236DC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236DC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904C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236DC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2236DC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  <w:footnote w:id="1">
    <w:p w:rsidR="000E084B" w:rsidRPr="00AE16FA" w:rsidRDefault="000E084B" w:rsidP="000E084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B7AFF">
          <w:rPr>
            <w:rStyle w:val="Hyperlink"/>
          </w:rPr>
          <w:t>http://www.pc.gov.au/research/ongoing/report-on-government-services/2016/housing-and-homelessness/rogs-2016-volumeg-housing-and-homelessness.pdf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C8492F"/>
    <w:multiLevelType w:val="hybridMultilevel"/>
    <w:tmpl w:val="875E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>
    <w:nsid w:val="2B0E7869"/>
    <w:multiLevelType w:val="hybridMultilevel"/>
    <w:tmpl w:val="8B84C0A4"/>
    <w:lvl w:ilvl="0" w:tplc="EC38DFA2">
      <w:start w:val="2013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6">
    <w:nsid w:val="332F5AFB"/>
    <w:multiLevelType w:val="hybridMultilevel"/>
    <w:tmpl w:val="01E6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133A05"/>
    <w:multiLevelType w:val="hybridMultilevel"/>
    <w:tmpl w:val="007E322E"/>
    <w:lvl w:ilvl="0" w:tplc="5BF09164">
      <w:numFmt w:val="bullet"/>
      <w:lvlText w:val=""/>
      <w:lvlJc w:val="left"/>
      <w:pPr>
        <w:ind w:left="502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96EE5C6">
      <w:numFmt w:val="bullet"/>
      <w:lvlText w:val="•"/>
      <w:lvlJc w:val="left"/>
      <w:pPr>
        <w:ind w:left="1942" w:hanging="360"/>
      </w:pPr>
      <w:rPr>
        <w:rFonts w:ascii="Times New Roman" w:eastAsiaTheme="minorEastAsia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7C51D71"/>
    <w:multiLevelType w:val="hybridMultilevel"/>
    <w:tmpl w:val="E4B6C228"/>
    <w:lvl w:ilvl="0" w:tplc="A502BAE8">
      <w:numFmt w:val="bullet"/>
      <w:lvlText w:val=""/>
      <w:lvlJc w:val="left"/>
      <w:pPr>
        <w:ind w:left="473" w:hanging="360"/>
      </w:pPr>
      <w:rPr>
        <w:rFonts w:ascii="Calibri" w:eastAsia="Times New Roman" w:hAnsi="Calibri" w:cs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4E4D38AC"/>
    <w:multiLevelType w:val="hybridMultilevel"/>
    <w:tmpl w:val="C75EDE4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A9E6E85"/>
    <w:multiLevelType w:val="hybridMultilevel"/>
    <w:tmpl w:val="580AFB7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2">
    <w:nsid w:val="73D32375"/>
    <w:multiLevelType w:val="hybridMultilevel"/>
    <w:tmpl w:val="F112BF2E"/>
    <w:lvl w:ilvl="0" w:tplc="EC38DFA2">
      <w:start w:val="2013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049F2"/>
    <w:multiLevelType w:val="hybridMultilevel"/>
    <w:tmpl w:val="07F0FF32"/>
    <w:lvl w:ilvl="0" w:tplc="C08C2FA6">
      <w:start w:val="15"/>
      <w:numFmt w:val="bullet"/>
      <w:lvlText w:val=""/>
      <w:lvlJc w:val="left"/>
      <w:pPr>
        <w:ind w:left="473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>
    <w:nsid w:val="7AC35C74"/>
    <w:multiLevelType w:val="hybridMultilevel"/>
    <w:tmpl w:val="27BCD96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904C3"/>
    <w:rsid w:val="000B16B1"/>
    <w:rsid w:val="000E084B"/>
    <w:rsid w:val="0014239B"/>
    <w:rsid w:val="002236DC"/>
    <w:rsid w:val="00406F4D"/>
    <w:rsid w:val="00485140"/>
    <w:rsid w:val="004B4683"/>
    <w:rsid w:val="004C1147"/>
    <w:rsid w:val="004C5CC2"/>
    <w:rsid w:val="00511A20"/>
    <w:rsid w:val="00515A85"/>
    <w:rsid w:val="0055581F"/>
    <w:rsid w:val="005F7DE0"/>
    <w:rsid w:val="00640346"/>
    <w:rsid w:val="00660385"/>
    <w:rsid w:val="00693D79"/>
    <w:rsid w:val="007202A8"/>
    <w:rsid w:val="007616C6"/>
    <w:rsid w:val="007854E4"/>
    <w:rsid w:val="007B029A"/>
    <w:rsid w:val="007C4F2D"/>
    <w:rsid w:val="007E7BB8"/>
    <w:rsid w:val="00834885"/>
    <w:rsid w:val="00875DBF"/>
    <w:rsid w:val="008B1774"/>
    <w:rsid w:val="008F588A"/>
    <w:rsid w:val="00902D2D"/>
    <w:rsid w:val="009269CE"/>
    <w:rsid w:val="009C4742"/>
    <w:rsid w:val="009E5FB7"/>
    <w:rsid w:val="00A178A9"/>
    <w:rsid w:val="00A56818"/>
    <w:rsid w:val="00A85F06"/>
    <w:rsid w:val="00BC559C"/>
    <w:rsid w:val="00CB40E1"/>
    <w:rsid w:val="00CF6DB6"/>
    <w:rsid w:val="00D134CA"/>
    <w:rsid w:val="00E15AAE"/>
    <w:rsid w:val="00E31801"/>
    <w:rsid w:val="00EC5A23"/>
    <w:rsid w:val="00F51E48"/>
    <w:rsid w:val="00F954CF"/>
    <w:rsid w:val="00FC17FD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A85F0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A85F06"/>
    <w:rPr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4C11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C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4C11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C1147"/>
    <w:rPr>
      <w:sz w:val="20"/>
      <w:szCs w:val="20"/>
    </w:rPr>
  </w:style>
  <w:style w:type="paragraph" w:customStyle="1" w:styleId="Default">
    <w:name w:val="Default"/>
    <w:rsid w:val="00A17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E084B"/>
  </w:style>
  <w:style w:type="paragraph" w:styleId="FootnoteText">
    <w:name w:val="footnote text"/>
    <w:basedOn w:val="Normal"/>
    <w:link w:val="FootnoteTextChar"/>
    <w:uiPriority w:val="99"/>
    <w:semiHidden/>
    <w:unhideWhenUsed/>
    <w:rsid w:val="000E084B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8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08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1"/>
    <w:qFormat/>
    <w:rsid w:val="00A85F0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A85F06"/>
    <w:rPr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4C11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C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4C114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C1147"/>
    <w:rPr>
      <w:sz w:val="20"/>
      <w:szCs w:val="20"/>
    </w:rPr>
  </w:style>
  <w:style w:type="paragraph" w:customStyle="1" w:styleId="Default">
    <w:name w:val="Default"/>
    <w:rsid w:val="00A17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E084B"/>
  </w:style>
  <w:style w:type="paragraph" w:styleId="FootnoteText">
    <w:name w:val="footnote text"/>
    <w:basedOn w:val="Normal"/>
    <w:link w:val="FootnoteTextChar"/>
    <w:uiPriority w:val="99"/>
    <w:semiHidden/>
    <w:unhideWhenUsed/>
    <w:rsid w:val="000E084B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8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0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tt-ludlam.greensmps.org.au/sites/default/files/270616_greens_initiative_-_public_and_community_housing_supply_boost.pd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.gov.au/research/ongoing/report-on-government-services/2016/housing-and-homelessness/rogs-2016-volumeg-housing-and-homelessnes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hw.gov.au" TargetMode="Externa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hcsia.gov.au/sa/housing/pubs/housing/national_housing_supply/Documents/StateofSupplyReport_2010.pdf" TargetMode="External"/><Relationship Id="rId1" Type="http://schemas.openxmlformats.org/officeDocument/2006/relationships/hyperlink" Target="http://www.theage.com.au/victoria/crisis-in-public-housing-20110130-1a9p1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.gov.au/research/ongoing/report-on-government-services/2016/housing-and-homelessness/rogs-2016-volumeg-housing-and-homelessnes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GRN078 - Policy costing request - 1 July 2016</dc:title>
  <dc:creator>Australian Greens</dc:creator>
  <cp:lastModifiedBy>Milligan, Louise (PBO)</cp:lastModifiedBy>
  <cp:revision>6</cp:revision>
  <cp:lastPrinted>2016-04-20T06:27:00Z</cp:lastPrinted>
  <dcterms:created xsi:type="dcterms:W3CDTF">2016-07-01T00:47:00Z</dcterms:created>
  <dcterms:modified xsi:type="dcterms:W3CDTF">2016-07-01T02:44:00Z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