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1553"/>
        <w:gridCol w:w="328"/>
        <w:gridCol w:w="1495"/>
        <w:gridCol w:w="2366"/>
        <w:gridCol w:w="2364"/>
        <w:gridCol w:w="2370"/>
      </w:tblGrid>
      <w:tr w:rsidR="008F588A" w:rsidRPr="00515A85" w:rsidTr="00412B9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726" w:type="pct"/>
            <w:gridSpan w:val="4"/>
            <w:tcBorders>
              <w:top w:val="single" w:sz="4" w:space="0" w:color="788184"/>
              <w:left w:val="single" w:sz="4" w:space="0" w:color="788184"/>
              <w:bottom w:val="single" w:sz="4" w:space="0" w:color="788184"/>
              <w:right w:val="single" w:sz="4" w:space="0" w:color="788184"/>
            </w:tcBorders>
          </w:tcPr>
          <w:p w:rsidR="008F588A" w:rsidRPr="00515A85" w:rsidRDefault="00485140" w:rsidP="00E5080D">
            <w:pPr>
              <w:pStyle w:val="TableHeadingCentred"/>
              <w:ind w:left="0"/>
              <w:jc w:val="left"/>
              <w:cnfStyle w:val="100000000000" w:firstRow="1" w:lastRow="0" w:firstColumn="0" w:lastColumn="0" w:oddVBand="0" w:evenVBand="0" w:oddHBand="0" w:evenHBand="0" w:firstRowFirstColumn="0" w:firstRowLastColumn="0" w:lastRowFirstColumn="0" w:lastRowLastColumn="0"/>
              <w:rPr>
                <w:b/>
                <w:sz w:val="22"/>
              </w:rPr>
            </w:pPr>
            <w:r>
              <w:rPr>
                <w:sz w:val="22"/>
              </w:rPr>
              <w:t xml:space="preserve"> </w:t>
            </w:r>
            <w:r w:rsidR="00E5080D">
              <w:rPr>
                <w:sz w:val="22"/>
              </w:rPr>
              <w:t>Digital Rights: Abolish Data Retention</w:t>
            </w:r>
            <w:r w:rsidR="00511A20">
              <w:rPr>
                <w:sz w:val="22"/>
              </w:rPr>
              <w:t xml:space="preserve"> </w:t>
            </w:r>
          </w:p>
        </w:tc>
      </w:tr>
      <w:tr w:rsidR="008F588A"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412B9D">
        <w:trPr>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E5080D"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July</w:t>
            </w:r>
            <w:r w:rsidR="00485140">
              <w:rPr>
                <w:sz w:val="22"/>
              </w:rPr>
              <w:t xml:space="preserve"> 2016 </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(ie from the Treasury or the Department of Finance)?</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E5080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E5080D">
              <w:rPr>
                <w:sz w:val="22"/>
              </w:rPr>
              <w:t>No</w:t>
            </w:r>
          </w:p>
        </w:tc>
      </w:tr>
      <w:tr w:rsidR="00640346" w:rsidTr="00412B9D">
        <w:trPr>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85140" w:rsidP="00485140">
            <w:pPr>
              <w:pStyle w:val="TableTextCentred"/>
              <w:ind w:left="0"/>
              <w:jc w:val="left"/>
              <w:cnfStyle w:val="000000000000" w:firstRow="0" w:lastRow="0" w:firstColumn="0" w:lastColumn="0" w:oddVBand="0" w:evenVBand="0" w:oddHBand="0" w:evenHBand="0" w:firstRowFirstColumn="0" w:firstRowLastColumn="0" w:lastRowFirstColumn="0" w:lastRowLastColumn="0"/>
              <w:rPr>
                <w:sz w:val="22"/>
              </w:rPr>
            </w:pPr>
            <w:r>
              <w:rPr>
                <w:sz w:val="22"/>
              </w:rPr>
              <w:t>Thursday 30</w:t>
            </w:r>
            <w:r w:rsidRPr="00485140">
              <w:rPr>
                <w:sz w:val="22"/>
                <w:vertAlign w:val="superscript"/>
              </w:rPr>
              <w:t>th</w:t>
            </w:r>
            <w:r>
              <w:rPr>
                <w:sz w:val="22"/>
              </w:rPr>
              <w:t xml:space="preserve"> June 2016 </w:t>
            </w:r>
          </w:p>
        </w:tc>
      </w:tr>
      <w:tr w:rsidR="008F588A" w:rsidRPr="00903231" w:rsidTr="00A85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412B9D">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506DB9" w:rsidRDefault="00506DB9" w:rsidP="00506DB9">
            <w:pPr>
              <w:pStyle w:val="ListParagraph"/>
              <w:numPr>
                <w:ilvl w:val="0"/>
                <w:numId w:val="14"/>
              </w:numPr>
              <w:autoSpaceDE w:val="0"/>
              <w:autoSpaceDN w:val="0"/>
              <w:adjustRightInd w:val="0"/>
              <w:spacing w:before="120" w:after="120" w:line="240" w:lineRule="auto"/>
              <w:ind w:right="57"/>
              <w:cnfStyle w:val="000000000000" w:firstRow="0" w:lastRow="0" w:firstColumn="0" w:lastColumn="0" w:oddVBand="0" w:evenVBand="0" w:oddHBand="0" w:evenHBand="0" w:firstRowFirstColumn="0" w:firstRowLastColumn="0" w:lastRowFirstColumn="0" w:lastRowLastColumn="0"/>
              <w:rPr>
                <w:sz w:val="22"/>
              </w:rPr>
            </w:pPr>
            <w:r w:rsidRPr="00506DB9">
              <w:rPr>
                <w:sz w:val="22"/>
              </w:rPr>
              <w:t>Abolish the government’s Mandatory Data Retention Regime announced in the 2015-16 Budget</w:t>
            </w:r>
          </w:p>
          <w:p w:rsidR="00E5080D" w:rsidRPr="00506DB9" w:rsidRDefault="00E5080D" w:rsidP="00E5080D">
            <w:pPr>
              <w:pStyle w:val="ListParagraph"/>
              <w:autoSpaceDE w:val="0"/>
              <w:autoSpaceDN w:val="0"/>
              <w:adjustRightInd w:val="0"/>
              <w:spacing w:before="120" w:after="120" w:line="240" w:lineRule="auto"/>
              <w:ind w:left="417" w:right="57"/>
              <w:cnfStyle w:val="000000000000" w:firstRow="0" w:lastRow="0" w:firstColumn="0" w:lastColumn="0" w:oddVBand="0" w:evenVBand="0" w:oddHBand="0" w:evenHBand="0" w:firstRowFirstColumn="0" w:firstRowLastColumn="0" w:lastRowFirstColumn="0" w:lastRowLastColumn="0"/>
              <w:rPr>
                <w:sz w:val="22"/>
              </w:rPr>
            </w:pPr>
          </w:p>
          <w:p w:rsidR="00506DB9" w:rsidRPr="00506DB9" w:rsidRDefault="00506DB9" w:rsidP="00506DB9">
            <w:pPr>
              <w:pStyle w:val="ListParagraph"/>
              <w:numPr>
                <w:ilvl w:val="0"/>
                <w:numId w:val="14"/>
              </w:numPr>
              <w:autoSpaceDE w:val="0"/>
              <w:autoSpaceDN w:val="0"/>
              <w:adjustRightInd w:val="0"/>
              <w:spacing w:before="120" w:after="120" w:line="240" w:lineRule="auto"/>
              <w:ind w:right="57"/>
              <w:cnfStyle w:val="000000000000" w:firstRow="0" w:lastRow="0" w:firstColumn="0" w:lastColumn="0" w:oddVBand="0" w:evenVBand="0" w:oddHBand="0" w:evenHBand="0" w:firstRowFirstColumn="0" w:firstRowLastColumn="0" w:lastRowFirstColumn="0" w:lastRowLastColumn="0"/>
              <w:rPr>
                <w:sz w:val="22"/>
                <w:lang w:val="en-AU"/>
              </w:rPr>
            </w:pPr>
            <w:r w:rsidRPr="00506DB9">
              <w:rPr>
                <w:sz w:val="22"/>
              </w:rPr>
              <w:t xml:space="preserve">2. </w:t>
            </w:r>
            <w:r w:rsidR="00662799" w:rsidRPr="00506DB9">
              <w:rPr>
                <w:sz w:val="22"/>
              </w:rPr>
              <w:t>Create an additional commissioner position at the Human Rights Commission, responsible for Digital Rights.</w:t>
            </w:r>
            <w:r w:rsidRPr="00506DB9">
              <w:rPr>
                <w:sz w:val="22"/>
              </w:rPr>
              <w:t xml:space="preserve"> </w:t>
            </w:r>
          </w:p>
          <w:p w:rsidR="00506DB9" w:rsidRPr="00506DB9" w:rsidRDefault="00506DB9" w:rsidP="00506DB9">
            <w:pPr>
              <w:pStyle w:val="ListParagraph"/>
              <w:autoSpaceDE w:val="0"/>
              <w:autoSpaceDN w:val="0"/>
              <w:adjustRightInd w:val="0"/>
              <w:spacing w:before="120" w:after="120" w:line="240" w:lineRule="auto"/>
              <w:ind w:left="417" w:right="57"/>
              <w:cnfStyle w:val="000000000000" w:firstRow="0" w:lastRow="0" w:firstColumn="0" w:lastColumn="0" w:oddVBand="0" w:evenVBand="0" w:oddHBand="0" w:evenHBand="0" w:firstRowFirstColumn="0" w:firstRowLastColumn="0" w:lastRowFirstColumn="0" w:lastRowLastColumn="0"/>
              <w:rPr>
                <w:lang w:val="en-AU"/>
              </w:rPr>
            </w:pPr>
          </w:p>
          <w:p w:rsidR="00662799" w:rsidRDefault="00662799" w:rsidP="00506DB9">
            <w:pPr>
              <w:pStyle w:val="ListParagraph"/>
              <w:autoSpaceDE w:val="0"/>
              <w:autoSpaceDN w:val="0"/>
              <w:adjustRightInd w:val="0"/>
              <w:spacing w:before="120" w:after="120" w:line="240" w:lineRule="auto"/>
              <w:ind w:left="417" w:right="57"/>
              <w:cnfStyle w:val="000000000000" w:firstRow="0" w:lastRow="0" w:firstColumn="0" w:lastColumn="0" w:oddVBand="0" w:evenVBand="0" w:oddHBand="0" w:evenHBand="0" w:firstRowFirstColumn="0" w:firstRowLastColumn="0" w:lastRowFirstColumn="0" w:lastRowLastColumn="0"/>
              <w:rPr>
                <w:lang w:val="en-AU"/>
              </w:rPr>
            </w:pPr>
            <w:r>
              <w:t>Specifically , c</w:t>
            </w:r>
            <w:r>
              <w:rPr>
                <w:lang w:val="en-AU"/>
              </w:rPr>
              <w:t>reating an advocate for rights in the digital space, to focus on;</w:t>
            </w:r>
          </w:p>
          <w:p w:rsidR="00662799" w:rsidRPr="0055127D" w:rsidRDefault="00662799" w:rsidP="00662799">
            <w:pPr>
              <w:pStyle w:val="ListParagraph"/>
              <w:widowControl w:val="0"/>
              <w:numPr>
                <w:ilvl w:val="0"/>
                <w:numId w:val="13"/>
              </w:numPr>
              <w:spacing w:before="120" w:after="120" w:line="240" w:lineRule="auto"/>
              <w:ind w:right="57"/>
              <w:contextualSpacing w:val="0"/>
              <w:cnfStyle w:val="000000000000" w:firstRow="0" w:lastRow="0" w:firstColumn="0" w:lastColumn="0" w:oddVBand="0" w:evenVBand="0" w:oddHBand="0" w:evenHBand="0" w:firstRowFirstColumn="0" w:firstRowLastColumn="0" w:lastRowFirstColumn="0" w:lastRowLastColumn="0"/>
              <w:rPr>
                <w:lang w:val="en-AU"/>
              </w:rPr>
            </w:pPr>
            <w:r w:rsidRPr="0055127D">
              <w:rPr>
                <w:lang w:val="en-AU"/>
              </w:rPr>
              <w:t>Privacy policies</w:t>
            </w:r>
          </w:p>
          <w:p w:rsidR="00662799" w:rsidRPr="0055127D" w:rsidRDefault="00662799" w:rsidP="00662799">
            <w:pPr>
              <w:pStyle w:val="ListParagraph"/>
              <w:widowControl w:val="0"/>
              <w:numPr>
                <w:ilvl w:val="0"/>
                <w:numId w:val="13"/>
              </w:numPr>
              <w:spacing w:before="120" w:after="120" w:line="240" w:lineRule="auto"/>
              <w:ind w:right="57"/>
              <w:contextualSpacing w:val="0"/>
              <w:cnfStyle w:val="000000000000" w:firstRow="0" w:lastRow="0" w:firstColumn="0" w:lastColumn="0" w:oddVBand="0" w:evenVBand="0" w:oddHBand="0" w:evenHBand="0" w:firstRowFirstColumn="0" w:firstRowLastColumn="0" w:lastRowFirstColumn="0" w:lastRowLastColumn="0"/>
              <w:rPr>
                <w:lang w:val="en-AU"/>
              </w:rPr>
            </w:pPr>
            <w:r w:rsidRPr="0055127D">
              <w:rPr>
                <w:lang w:val="en-AU"/>
              </w:rPr>
              <w:t>User rights</w:t>
            </w:r>
          </w:p>
          <w:p w:rsidR="00662799" w:rsidRPr="0055127D" w:rsidRDefault="00662799" w:rsidP="00662799">
            <w:pPr>
              <w:pStyle w:val="ListParagraph"/>
              <w:widowControl w:val="0"/>
              <w:numPr>
                <w:ilvl w:val="0"/>
                <w:numId w:val="13"/>
              </w:numPr>
              <w:spacing w:before="120" w:after="120" w:line="240" w:lineRule="auto"/>
              <w:ind w:right="57"/>
              <w:contextualSpacing w:val="0"/>
              <w:cnfStyle w:val="000000000000" w:firstRow="0" w:lastRow="0" w:firstColumn="0" w:lastColumn="0" w:oddVBand="0" w:evenVBand="0" w:oddHBand="0" w:evenHBand="0" w:firstRowFirstColumn="0" w:firstRowLastColumn="0" w:lastRowFirstColumn="0" w:lastRowLastColumn="0"/>
              <w:rPr>
                <w:lang w:val="en-AU"/>
              </w:rPr>
            </w:pPr>
            <w:r w:rsidRPr="0055127D">
              <w:rPr>
                <w:lang w:val="en-AU"/>
              </w:rPr>
              <w:t>Government surveillance, from the Australian government and any others under existing or proposed treaties or cooperative arrangements.</w:t>
            </w:r>
          </w:p>
          <w:p w:rsidR="00662799" w:rsidRPr="0055127D" w:rsidRDefault="00662799" w:rsidP="00662799">
            <w:pPr>
              <w:pStyle w:val="ListParagraph"/>
              <w:widowControl w:val="0"/>
              <w:numPr>
                <w:ilvl w:val="0"/>
                <w:numId w:val="13"/>
              </w:numPr>
              <w:spacing w:before="120" w:after="120" w:line="240" w:lineRule="auto"/>
              <w:ind w:right="57"/>
              <w:contextualSpacing w:val="0"/>
              <w:cnfStyle w:val="000000000000" w:firstRow="0" w:lastRow="0" w:firstColumn="0" w:lastColumn="0" w:oddVBand="0" w:evenVBand="0" w:oddHBand="0" w:evenHBand="0" w:firstRowFirstColumn="0" w:firstRowLastColumn="0" w:lastRowFirstColumn="0" w:lastRowLastColumn="0"/>
              <w:rPr>
                <w:lang w:val="en-AU"/>
              </w:rPr>
            </w:pPr>
            <w:r w:rsidRPr="0055127D">
              <w:rPr>
                <w:lang w:val="en-AU"/>
              </w:rPr>
              <w:t>Metadat</w:t>
            </w:r>
            <w:r>
              <w:rPr>
                <w:lang w:val="en-AU"/>
              </w:rPr>
              <w:t>a retention and use</w:t>
            </w:r>
          </w:p>
          <w:p w:rsidR="00662799" w:rsidRPr="0055127D" w:rsidRDefault="00662799" w:rsidP="00662799">
            <w:pPr>
              <w:pStyle w:val="ListParagraph"/>
              <w:widowControl w:val="0"/>
              <w:numPr>
                <w:ilvl w:val="0"/>
                <w:numId w:val="13"/>
              </w:numPr>
              <w:spacing w:before="120" w:after="120" w:line="240" w:lineRule="auto"/>
              <w:ind w:right="57"/>
              <w:contextualSpacing w:val="0"/>
              <w:cnfStyle w:val="000000000000" w:firstRow="0" w:lastRow="0" w:firstColumn="0" w:lastColumn="0" w:oddVBand="0" w:evenVBand="0" w:oddHBand="0" w:evenHBand="0" w:firstRowFirstColumn="0" w:firstRowLastColumn="0" w:lastRowFirstColumn="0" w:lastRowLastColumn="0"/>
              <w:rPr>
                <w:lang w:val="en-AU"/>
              </w:rPr>
            </w:pPr>
            <w:r w:rsidRPr="0055127D">
              <w:rPr>
                <w:lang w:val="en-AU"/>
              </w:rPr>
              <w:t>Recommendations on judicial oversight</w:t>
            </w:r>
          </w:p>
          <w:p w:rsidR="00662799" w:rsidRPr="0055127D" w:rsidRDefault="00662799" w:rsidP="00662799">
            <w:pPr>
              <w:pStyle w:val="ListParagraph"/>
              <w:widowControl w:val="0"/>
              <w:numPr>
                <w:ilvl w:val="0"/>
                <w:numId w:val="13"/>
              </w:numPr>
              <w:spacing w:before="120" w:after="120" w:line="240" w:lineRule="auto"/>
              <w:ind w:right="57"/>
              <w:contextualSpacing w:val="0"/>
              <w:cnfStyle w:val="000000000000" w:firstRow="0" w:lastRow="0" w:firstColumn="0" w:lastColumn="0" w:oddVBand="0" w:evenVBand="0" w:oddHBand="0" w:evenHBand="0" w:firstRowFirstColumn="0" w:firstRowLastColumn="0" w:lastRowFirstColumn="0" w:lastRowLastColumn="0"/>
              <w:rPr>
                <w:lang w:val="en-AU"/>
              </w:rPr>
            </w:pPr>
            <w:r w:rsidRPr="0055127D">
              <w:rPr>
                <w:lang w:val="en-AU"/>
              </w:rPr>
              <w:t>Education and training</w:t>
            </w:r>
          </w:p>
          <w:p w:rsidR="00640346" w:rsidRPr="00E5080D" w:rsidRDefault="00662799" w:rsidP="00E5080D">
            <w:pPr>
              <w:autoSpaceDE w:val="0"/>
              <w:autoSpaceDN w:val="0"/>
              <w:adjustRightInd w:val="0"/>
              <w:spacing w:line="240" w:lineRule="auto"/>
              <w:ind w:left="142"/>
              <w:cnfStyle w:val="000000000000" w:firstRow="0" w:lastRow="0" w:firstColumn="0" w:lastColumn="0" w:oddVBand="0" w:evenVBand="0" w:oddHBand="0" w:evenHBand="0" w:firstRowFirstColumn="0" w:firstRowLastColumn="0" w:lastRowFirstColumn="0" w:lastRowLastColumn="0"/>
              <w:rPr>
                <w:rFonts w:cs="Trebuchet MS"/>
                <w:szCs w:val="20"/>
                <w:lang w:val="en-US"/>
              </w:rPr>
            </w:pPr>
            <w:r w:rsidRPr="0055127D">
              <w:t>Resources for industry, educators, businesses and individuals</w:t>
            </w:r>
          </w:p>
        </w:tc>
      </w:tr>
      <w:tr w:rsidR="00640346" w:rsidTr="0041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lastRenderedPageBreak/>
              <w:t>What is the purpose or intention of the policy?</w:t>
            </w:r>
          </w:p>
        </w:tc>
        <w:tc>
          <w:tcPr>
            <w:tcW w:w="3726"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640346" w:rsidP="009C4742">
            <w:pPr>
              <w:spacing w:line="240" w:lineRule="auto"/>
              <w:cnfStyle w:val="000000100000" w:firstRow="0" w:lastRow="0" w:firstColumn="0" w:lastColumn="0" w:oddVBand="0" w:evenVBand="0" w:oddHBand="1" w:evenHBand="0" w:firstRowFirstColumn="0" w:firstRowLastColumn="0" w:lastRowFirstColumn="0" w:lastRowLastColumn="0"/>
              <w:rPr>
                <w:sz w:val="22"/>
              </w:rPr>
            </w:pP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726"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9269CE"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412B9D">
        <w:trPr>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62799" w:rsidP="00511A20">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726"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9269CE"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412B9D">
        <w:trPr>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lastRenderedPageBreak/>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412B9D" w:rsidRPr="00662799" w:rsidRDefault="00662799" w:rsidP="0066279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lternate Gothic LT No2" w:hAnsi="Alternate Gothic LT No2"/>
              </w:rPr>
            </w:pPr>
            <w:r>
              <w:rPr>
                <w:rFonts w:ascii="Alternate Gothic LT No2" w:hAnsi="Alternate Gothic LT No2"/>
              </w:rPr>
              <w:t xml:space="preserve"> </w:t>
            </w:r>
            <w:r>
              <w:rPr>
                <w:sz w:val="22"/>
              </w:rPr>
              <w:t>No</w:t>
            </w:r>
          </w:p>
        </w:tc>
      </w:tr>
      <w:tr w:rsidR="00640346" w:rsidTr="00412B9D">
        <w:trPr>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r w:rsidR="00662799">
              <w:rPr>
                <w:sz w:val="22"/>
              </w:rPr>
              <w:t xml:space="preserve"> </w:t>
            </w:r>
          </w:p>
        </w:tc>
      </w:tr>
      <w:tr w:rsidR="00640346" w:rsidTr="0041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8F588A" w:rsidTr="009C4742">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lastRenderedPageBreak/>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p w:rsidR="00662799" w:rsidRDefault="00662799" w:rsidP="00660385">
            <w:pPr>
              <w:pStyle w:val="TableTextCentred"/>
              <w:keepNext/>
              <w:keepLines/>
              <w:jc w:val="left"/>
              <w:rPr>
                <w:sz w:val="22"/>
              </w:rPr>
            </w:pPr>
          </w:p>
          <w:p w:rsidR="00662799" w:rsidRPr="00CB40E1" w:rsidRDefault="00662799" w:rsidP="00660385">
            <w:pPr>
              <w:pStyle w:val="TableTextCentred"/>
              <w:keepNext/>
              <w:keepLines/>
              <w:jc w:val="left"/>
              <w:rPr>
                <w:sz w:val="22"/>
              </w:rPr>
            </w:pPr>
            <w:r>
              <w:t>Ongoing salaried positions; see attached tables.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5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69"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102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1025"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102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F6DB6" w:rsidTr="00412B9D">
        <w:trPr>
          <w:cantSplit/>
        </w:trPr>
        <w:tc>
          <w:tcPr>
            <w:cnfStyle w:val="001000000000" w:firstRow="0" w:lastRow="0" w:firstColumn="1" w:lastColumn="0" w:oddVBand="0" w:evenVBand="0" w:oddHBand="0" w:evenHBand="0" w:firstRowFirstColumn="0" w:firstRowLastColumn="0" w:lastRowFirstColumn="0" w:lastRowLastColumn="0"/>
            <w:tcW w:w="105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Underlying cash balance ($m)</w:t>
            </w:r>
          </w:p>
        </w:tc>
        <w:tc>
          <w:tcPr>
            <w:tcW w:w="869"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E5080D"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43.8</w:t>
            </w:r>
          </w:p>
        </w:tc>
        <w:tc>
          <w:tcPr>
            <w:tcW w:w="1026" w:type="pct"/>
            <w:tcBorders>
              <w:top w:val="single" w:sz="4" w:space="0" w:color="788184"/>
              <w:left w:val="single" w:sz="4" w:space="0" w:color="788184"/>
              <w:bottom w:val="single" w:sz="4" w:space="0" w:color="788184"/>
              <w:right w:val="single" w:sz="4" w:space="0" w:color="788184"/>
            </w:tcBorders>
            <w:shd w:val="clear" w:color="auto" w:fill="auto"/>
          </w:tcPr>
          <w:p w:rsidR="00E5080D" w:rsidRPr="00CB40E1" w:rsidRDefault="00E5080D" w:rsidP="00E5080D">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13.4</w:t>
            </w:r>
          </w:p>
        </w:tc>
        <w:tc>
          <w:tcPr>
            <w:tcW w:w="1025"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E5080D"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-0.4</w:t>
            </w:r>
          </w:p>
        </w:tc>
        <w:tc>
          <w:tcPr>
            <w:tcW w:w="102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E5080D"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-0.4</w:t>
            </w:r>
          </w:p>
        </w:tc>
      </w:tr>
      <w:tr w:rsidR="00412B9D"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53" w:type="pct"/>
            <w:tcBorders>
              <w:top w:val="single" w:sz="4" w:space="0" w:color="788184"/>
              <w:left w:val="single" w:sz="4" w:space="0" w:color="788184"/>
              <w:bottom w:val="single" w:sz="4" w:space="0" w:color="788184"/>
              <w:right w:val="single" w:sz="4" w:space="0" w:color="788184"/>
            </w:tcBorders>
            <w:shd w:val="clear" w:color="auto" w:fill="auto"/>
          </w:tcPr>
          <w:p w:rsidR="00412B9D" w:rsidRPr="00CB40E1" w:rsidRDefault="00412B9D" w:rsidP="00660385">
            <w:pPr>
              <w:pStyle w:val="TableTextCentred"/>
              <w:keepNext/>
              <w:keepLines/>
              <w:jc w:val="left"/>
              <w:rPr>
                <w:sz w:val="22"/>
              </w:rPr>
            </w:pPr>
            <w:r w:rsidRPr="00CB40E1">
              <w:rPr>
                <w:sz w:val="22"/>
              </w:rPr>
              <w:t>Fiscal balance ($m)</w:t>
            </w:r>
          </w:p>
        </w:tc>
        <w:tc>
          <w:tcPr>
            <w:tcW w:w="869" w:type="pct"/>
            <w:gridSpan w:val="2"/>
            <w:tcBorders>
              <w:top w:val="single" w:sz="4" w:space="0" w:color="788184"/>
              <w:left w:val="single" w:sz="4" w:space="0" w:color="788184"/>
              <w:bottom w:val="single" w:sz="4" w:space="0" w:color="788184"/>
              <w:right w:val="single" w:sz="4" w:space="0" w:color="788184"/>
            </w:tcBorders>
            <w:shd w:val="clear" w:color="auto" w:fill="auto"/>
          </w:tcPr>
          <w:p w:rsidR="00412B9D" w:rsidRPr="00CB40E1" w:rsidRDefault="00E5080D" w:rsidP="00FE60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43.8</w:t>
            </w:r>
          </w:p>
        </w:tc>
        <w:tc>
          <w:tcPr>
            <w:tcW w:w="1026" w:type="pct"/>
            <w:tcBorders>
              <w:top w:val="single" w:sz="4" w:space="0" w:color="788184"/>
              <w:left w:val="single" w:sz="4" w:space="0" w:color="788184"/>
              <w:bottom w:val="single" w:sz="4" w:space="0" w:color="788184"/>
              <w:right w:val="single" w:sz="4" w:space="0" w:color="788184"/>
            </w:tcBorders>
            <w:shd w:val="clear" w:color="auto" w:fill="auto"/>
          </w:tcPr>
          <w:p w:rsidR="00412B9D" w:rsidRPr="00CB40E1" w:rsidRDefault="00E5080D" w:rsidP="00FE60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13.4</w:t>
            </w:r>
          </w:p>
        </w:tc>
        <w:tc>
          <w:tcPr>
            <w:tcW w:w="1025" w:type="pct"/>
            <w:tcBorders>
              <w:top w:val="single" w:sz="4" w:space="0" w:color="788184"/>
              <w:left w:val="single" w:sz="4" w:space="0" w:color="788184"/>
              <w:bottom w:val="single" w:sz="4" w:space="0" w:color="788184"/>
              <w:right w:val="single" w:sz="4" w:space="0" w:color="788184"/>
            </w:tcBorders>
            <w:shd w:val="clear" w:color="auto" w:fill="auto"/>
          </w:tcPr>
          <w:p w:rsidR="00412B9D" w:rsidRPr="00CB40E1" w:rsidRDefault="00E5080D" w:rsidP="00FE60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-0.4</w:t>
            </w:r>
          </w:p>
        </w:tc>
        <w:tc>
          <w:tcPr>
            <w:tcW w:w="1028" w:type="pct"/>
            <w:tcBorders>
              <w:top w:val="single" w:sz="4" w:space="0" w:color="788184"/>
              <w:left w:val="single" w:sz="4" w:space="0" w:color="788184"/>
              <w:bottom w:val="single" w:sz="4" w:space="0" w:color="788184"/>
              <w:right w:val="single" w:sz="4" w:space="0" w:color="788184"/>
            </w:tcBorders>
            <w:shd w:val="clear" w:color="auto" w:fill="auto"/>
          </w:tcPr>
          <w:p w:rsidR="00412B9D" w:rsidRPr="00CB40E1" w:rsidRDefault="00E5080D" w:rsidP="00FE60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-0.4</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62799"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t>Digital rights commissioner would fall under the same pay scale as existing commissioners. Support staff costs have been calculated at a 12.5% increase in the size of the organisation, reflecting the expansion of one additional commissioner.</w:t>
            </w:r>
          </w:p>
        </w:tc>
      </w:tr>
      <w:tr w:rsidR="00640346" w:rsidTr="00412B9D">
        <w:trPr>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62799"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t xml:space="preserve">No. Staffing costs obtained from </w:t>
            </w:r>
            <w:r w:rsidRPr="0055127D">
              <w:t>Australian Human Rights Commission Annual Report 2014-2015</w:t>
            </w:r>
            <w:r>
              <w:t xml:space="preserve"> </w:t>
            </w:r>
            <w:hyperlink r:id="rId8" w:history="1">
              <w:r w:rsidRPr="00D849D9">
                <w:rPr>
                  <w:rStyle w:val="Hyperlink"/>
                </w:rPr>
                <w:t>https://www.humanrights.gov.au/sites/default/files/document/publication/AHRC_Annual%20Report%202014%E2%80%9315_Web%20version.pdf</w:t>
              </w:r>
            </w:hyperlink>
          </w:p>
        </w:tc>
      </w:tr>
      <w:tr w:rsidR="00640346" w:rsidTr="0041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 xml:space="preserve">What is the basis </w:t>
            </w:r>
            <w:r w:rsidRPr="00CB40E1">
              <w:rPr>
                <w:sz w:val="22"/>
              </w:rPr>
              <w:lastRenderedPageBreak/>
              <w:t>for these impact assessments/assumptions?</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62799" w:rsidRDefault="00662799" w:rsidP="00662799">
            <w:pPr>
              <w:spacing w:before="120" w:after="120"/>
              <w:ind w:left="57" w:right="57"/>
              <w:cnfStyle w:val="000000100000" w:firstRow="0" w:lastRow="0" w:firstColumn="0" w:lastColumn="0" w:oddVBand="0" w:evenVBand="0" w:oddHBand="1" w:evenHBand="0" w:firstRowFirstColumn="0" w:firstRowLastColumn="0" w:lastRowFirstColumn="0" w:lastRowLastColumn="0"/>
            </w:pPr>
            <w:r>
              <w:lastRenderedPageBreak/>
              <w:t xml:space="preserve">As more and more Australians conduct more and more of their personal and professional lives online, legislative responses have often failed to keep up, or have been heavy-handed, or had unforeseen consequences, or have added complexity to situations already poorly understood by the broader population. </w:t>
            </w:r>
          </w:p>
          <w:p w:rsidR="00662799" w:rsidRDefault="00662799" w:rsidP="00662799">
            <w:pPr>
              <w:spacing w:before="120" w:after="120"/>
              <w:ind w:left="57" w:right="57"/>
              <w:cnfStyle w:val="000000100000" w:firstRow="0" w:lastRow="0" w:firstColumn="0" w:lastColumn="0" w:oddVBand="0" w:evenVBand="0" w:oddHBand="1" w:evenHBand="0" w:firstRowFirstColumn="0" w:firstRowLastColumn="0" w:lastRowFirstColumn="0" w:lastRowLastColumn="0"/>
            </w:pPr>
            <w:r>
              <w:t>The Digital Rights Commissioner (DRC) would provide advice to lawmakers, resources for educators, and information to citizens about protection of privacy online, and the impact of existing and proposed legislation, and offer advice to businesses operating in Australia on best practice.</w:t>
            </w:r>
          </w:p>
          <w:p w:rsidR="00640346" w:rsidRPr="00CB40E1" w:rsidRDefault="00640346" w:rsidP="00662799">
            <w:pPr>
              <w:spacing w:before="120" w:after="120"/>
              <w:ind w:left="57" w:right="57"/>
              <w:cnfStyle w:val="000000100000" w:firstRow="0" w:lastRow="0" w:firstColumn="0" w:lastColumn="0" w:oddVBand="0" w:evenVBand="0" w:oddHBand="1" w:evenHBand="0" w:firstRowFirstColumn="0" w:firstRowLastColumn="0" w:lastRowFirstColumn="0" w:lastRowLastColumn="0"/>
              <w:rPr>
                <w:sz w:val="22"/>
              </w:rPr>
            </w:pPr>
          </w:p>
        </w:tc>
      </w:tr>
      <w:tr w:rsidR="00CF6DB6" w:rsidTr="009269CE">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lastRenderedPageBreak/>
              <w:t>Administration of policy:</w:t>
            </w:r>
          </w:p>
        </w:tc>
      </w:tr>
      <w:tr w:rsidR="00640346" w:rsidTr="0041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government organisation, etc)?</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62799" w:rsidP="00A56818">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t>The Australian Human Rights Commission, Department of the Attorney-General.</w:t>
            </w:r>
          </w:p>
        </w:tc>
      </w:tr>
      <w:tr w:rsidR="00640346" w:rsidTr="00412B9D">
        <w:trPr>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September 2016</w:t>
            </w:r>
          </w:p>
        </w:tc>
      </w:tr>
      <w:tr w:rsidR="00640346" w:rsidTr="00412B9D">
        <w:trPr>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r w:rsidR="00662799">
              <w:rPr>
                <w:sz w:val="22"/>
              </w:rPr>
              <w:t xml:space="preserve"> positions.</w:t>
            </w:r>
          </w:p>
        </w:tc>
      </w:tr>
      <w:tr w:rsidR="00640346"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Tr="00412B9D">
        <w:trPr>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62799" w:rsidP="00A56818">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 xml:space="preserve">See attached. </w:t>
            </w:r>
          </w:p>
        </w:tc>
      </w:tr>
      <w:tr w:rsidR="00640346" w:rsidTr="00412B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4"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lastRenderedPageBreak/>
              <w:t>Are there any other assumptions that need to be considered?</w:t>
            </w:r>
          </w:p>
        </w:tc>
        <w:tc>
          <w:tcPr>
            <w:tcW w:w="3726"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p w:rsidR="00662799" w:rsidRDefault="00662799"/>
    <w:p w:rsidR="00662799" w:rsidRDefault="00662799"/>
    <w:p w:rsidR="00662799" w:rsidRDefault="00662799"/>
    <w:p w:rsidR="00662799" w:rsidRDefault="00662799"/>
    <w:p w:rsidR="00662799" w:rsidRDefault="00662799" w:rsidP="00662799">
      <w:pPr>
        <w:jc w:val="center"/>
      </w:pPr>
      <w:r>
        <w:rPr>
          <w:noProof/>
          <w:lang w:eastAsia="en-AU"/>
        </w:rPr>
        <w:drawing>
          <wp:inline distT="0" distB="0" distL="0" distR="0" wp14:anchorId="12D0234F" wp14:editId="12874BC3">
            <wp:extent cx="5943600" cy="5160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5160645"/>
                    </a:xfrm>
                    <a:prstGeom prst="rect">
                      <a:avLst/>
                    </a:prstGeom>
                  </pic:spPr>
                </pic:pic>
              </a:graphicData>
            </a:graphic>
          </wp:inline>
        </w:drawing>
      </w:r>
    </w:p>
    <w:sectPr w:rsidR="00662799" w:rsidSect="00BC559C">
      <w:headerReference w:type="default"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lternate Gothic LT No2">
    <w:altName w:val="Franklin Gothic Medium Cond"/>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8080"/>
      <w:gridCol w:w="946"/>
    </w:tblGrid>
    <w:tr w:rsidR="008F588A" w:rsidRPr="008F588A" w:rsidTr="008B2B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946"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78796D">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78796D">
            <w:rPr>
              <w:noProof/>
              <w:color w:val="788184"/>
              <w:szCs w:val="20"/>
            </w:rPr>
            <w:t>6</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DA20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78796D">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78796D">
            <w:rPr>
              <w:noProof/>
              <w:color w:val="788184"/>
              <w:szCs w:val="20"/>
            </w:rPr>
            <w:t>6</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76F73EBF" wp14:editId="062F2C90">
          <wp:extent cx="2696845" cy="5721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29572F25"/>
    <w:multiLevelType w:val="hybridMultilevel"/>
    <w:tmpl w:val="2EB2D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AE313E"/>
    <w:multiLevelType w:val="hybridMultilevel"/>
    <w:tmpl w:val="B6D4726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nsid w:val="332F5AFB"/>
    <w:multiLevelType w:val="hybridMultilevel"/>
    <w:tmpl w:val="01E62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F6E1CDB"/>
    <w:multiLevelType w:val="hybridMultilevel"/>
    <w:tmpl w:val="1F7AFEB0"/>
    <w:lvl w:ilvl="0" w:tplc="0C090001">
      <w:start w:val="1"/>
      <w:numFmt w:val="bullet"/>
      <w:lvlText w:val=""/>
      <w:lvlJc w:val="left"/>
      <w:pPr>
        <w:ind w:left="720" w:hanging="360"/>
      </w:pPr>
      <w:rPr>
        <w:rFonts w:ascii="Symbol" w:hAnsi="Symbol" w:hint="default"/>
      </w:rPr>
    </w:lvl>
    <w:lvl w:ilvl="1" w:tplc="5D94886C">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C51D71"/>
    <w:multiLevelType w:val="hybridMultilevel"/>
    <w:tmpl w:val="E4B6C228"/>
    <w:lvl w:ilvl="0" w:tplc="A502BAE8">
      <w:numFmt w:val="bullet"/>
      <w:lvlText w:val=""/>
      <w:lvlJc w:val="left"/>
      <w:pPr>
        <w:ind w:left="473" w:hanging="360"/>
      </w:pPr>
      <w:rPr>
        <w:rFonts w:ascii="Calibri" w:eastAsia="Times New Roman" w:hAnsi="Calibri" w:cs="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9">
    <w:nsid w:val="4E4D38AC"/>
    <w:multiLevelType w:val="hybridMultilevel"/>
    <w:tmpl w:val="C75EDE4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nsid w:val="6A9E6E85"/>
    <w:multiLevelType w:val="hybridMultilevel"/>
    <w:tmpl w:val="580AFB7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nsid w:val="6EA57E44"/>
    <w:multiLevelType w:val="hybridMultilevel"/>
    <w:tmpl w:val="56FA4834"/>
    <w:lvl w:ilvl="0" w:tplc="6888AF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2">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3">
    <w:nsid w:val="741049F2"/>
    <w:multiLevelType w:val="hybridMultilevel"/>
    <w:tmpl w:val="07F0FF32"/>
    <w:lvl w:ilvl="0" w:tplc="C08C2FA6">
      <w:start w:val="15"/>
      <w:numFmt w:val="bullet"/>
      <w:lvlText w:val=""/>
      <w:lvlJc w:val="left"/>
      <w:pPr>
        <w:ind w:left="473" w:hanging="360"/>
      </w:pPr>
      <w:rPr>
        <w:rFonts w:ascii="Symbol" w:eastAsiaTheme="minorHAnsi" w:hAnsi="Symbol" w:cstheme="minorBidi"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12"/>
  </w:num>
  <w:num w:numId="6">
    <w:abstractNumId w:val="9"/>
  </w:num>
  <w:num w:numId="7">
    <w:abstractNumId w:val="6"/>
  </w:num>
  <w:num w:numId="8">
    <w:abstractNumId w:val="10"/>
  </w:num>
  <w:num w:numId="9">
    <w:abstractNumId w:val="8"/>
  </w:num>
  <w:num w:numId="10">
    <w:abstractNumId w:val="13"/>
  </w:num>
  <w:num w:numId="11">
    <w:abstractNumId w:val="4"/>
  </w:num>
  <w:num w:numId="12">
    <w:abstractNumId w:val="7"/>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14239B"/>
    <w:rsid w:val="001C7472"/>
    <w:rsid w:val="00406F4D"/>
    <w:rsid w:val="00412B9D"/>
    <w:rsid w:val="00485140"/>
    <w:rsid w:val="004B4683"/>
    <w:rsid w:val="004C1147"/>
    <w:rsid w:val="004C5CC2"/>
    <w:rsid w:val="00506DB9"/>
    <w:rsid w:val="00511A20"/>
    <w:rsid w:val="00515A85"/>
    <w:rsid w:val="0055581F"/>
    <w:rsid w:val="005F7DE0"/>
    <w:rsid w:val="00640346"/>
    <w:rsid w:val="00660385"/>
    <w:rsid w:val="00662799"/>
    <w:rsid w:val="00693D79"/>
    <w:rsid w:val="007202A8"/>
    <w:rsid w:val="007616C6"/>
    <w:rsid w:val="007854E4"/>
    <w:rsid w:val="0078796D"/>
    <w:rsid w:val="007B029A"/>
    <w:rsid w:val="007C4F2D"/>
    <w:rsid w:val="00834885"/>
    <w:rsid w:val="008B1774"/>
    <w:rsid w:val="008F588A"/>
    <w:rsid w:val="00902D2D"/>
    <w:rsid w:val="009269CE"/>
    <w:rsid w:val="0098566A"/>
    <w:rsid w:val="009C4742"/>
    <w:rsid w:val="009E5FB7"/>
    <w:rsid w:val="00A178A9"/>
    <w:rsid w:val="00A56818"/>
    <w:rsid w:val="00A85F06"/>
    <w:rsid w:val="00B90064"/>
    <w:rsid w:val="00BC559C"/>
    <w:rsid w:val="00CB40E1"/>
    <w:rsid w:val="00CF6DB6"/>
    <w:rsid w:val="00D134CA"/>
    <w:rsid w:val="00DA20D6"/>
    <w:rsid w:val="00E15AAE"/>
    <w:rsid w:val="00E5080D"/>
    <w:rsid w:val="00F349A9"/>
    <w:rsid w:val="00F954CF"/>
    <w:rsid w:val="00FC6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styleId="ListParagraph">
    <w:name w:val="List Paragraph"/>
    <w:aliases w:val="List Paragraph1,Recommendation,List Paragraph11"/>
    <w:basedOn w:val="Normal"/>
    <w:link w:val="ListParagraphChar"/>
    <w:uiPriority w:val="1"/>
    <w:qFormat/>
    <w:rsid w:val="00A85F06"/>
    <w:pPr>
      <w:spacing w:after="200" w:line="276" w:lineRule="auto"/>
      <w:ind w:left="720"/>
      <w:contextualSpacing/>
    </w:pPr>
    <w:rPr>
      <w:lang w:val="en-US"/>
    </w:rPr>
  </w:style>
  <w:style w:type="character" w:customStyle="1" w:styleId="ListParagraphChar">
    <w:name w:val="List Paragraph Char"/>
    <w:aliases w:val="List Paragraph1 Char,Recommendation Char,List Paragraph11 Char"/>
    <w:link w:val="ListParagraph"/>
    <w:uiPriority w:val="34"/>
    <w:locked/>
    <w:rsid w:val="00A85F06"/>
    <w:rPr>
      <w:lang w:val="en-US"/>
    </w:rPr>
  </w:style>
  <w:style w:type="character" w:styleId="EndnoteReference">
    <w:name w:val="endnote reference"/>
    <w:basedOn w:val="DefaultParagraphFont"/>
    <w:uiPriority w:val="99"/>
    <w:unhideWhenUsed/>
    <w:rsid w:val="004C1147"/>
    <w:rPr>
      <w:vertAlign w:val="superscript"/>
    </w:rPr>
  </w:style>
  <w:style w:type="paragraph" w:styleId="NormalWeb">
    <w:name w:val="Normal (Web)"/>
    <w:basedOn w:val="Normal"/>
    <w:uiPriority w:val="99"/>
    <w:unhideWhenUsed/>
    <w:rsid w:val="004C11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unhideWhenUsed/>
    <w:rsid w:val="004C1147"/>
    <w:pPr>
      <w:spacing w:line="240" w:lineRule="auto"/>
    </w:pPr>
    <w:rPr>
      <w:sz w:val="20"/>
      <w:szCs w:val="20"/>
    </w:rPr>
  </w:style>
  <w:style w:type="character" w:customStyle="1" w:styleId="EndnoteTextChar">
    <w:name w:val="Endnote Text Char"/>
    <w:basedOn w:val="DefaultParagraphFont"/>
    <w:link w:val="EndnoteText"/>
    <w:uiPriority w:val="99"/>
    <w:rsid w:val="004C1147"/>
    <w:rPr>
      <w:sz w:val="20"/>
      <w:szCs w:val="20"/>
    </w:rPr>
  </w:style>
  <w:style w:type="paragraph" w:customStyle="1" w:styleId="Default">
    <w:name w:val="Default"/>
    <w:rsid w:val="00A178A9"/>
    <w:pPr>
      <w:autoSpaceDE w:val="0"/>
      <w:autoSpaceDN w:val="0"/>
      <w:adjustRightInd w:val="0"/>
      <w:spacing w:after="0" w:line="240" w:lineRule="auto"/>
    </w:pPr>
    <w:rPr>
      <w:rFonts w:ascii="Calibri" w:hAnsi="Calibri" w:cs="Calibri"/>
      <w:color w:val="000000"/>
      <w:sz w:val="24"/>
      <w:szCs w:val="24"/>
    </w:rPr>
  </w:style>
  <w:style w:type="paragraph" w:customStyle="1" w:styleId="PublicationTitle">
    <w:name w:val="Publication Title"/>
    <w:basedOn w:val="Normal"/>
    <w:next w:val="BodyText"/>
    <w:rsid w:val="00662799"/>
    <w:pPr>
      <w:spacing w:before="480" w:after="227" w:line="380" w:lineRule="atLeast"/>
      <w:contextualSpacing/>
    </w:pPr>
    <w:rPr>
      <w:rFonts w:ascii="Calibri" w:eastAsia="Times New Roman" w:hAnsi="Calibri" w:cs="Times New Roman"/>
      <w:b/>
      <w:sz w:val="40"/>
      <w:szCs w:val="21"/>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styleId="ListParagraph">
    <w:name w:val="List Paragraph"/>
    <w:aliases w:val="List Paragraph1,Recommendation,List Paragraph11"/>
    <w:basedOn w:val="Normal"/>
    <w:link w:val="ListParagraphChar"/>
    <w:uiPriority w:val="1"/>
    <w:qFormat/>
    <w:rsid w:val="00A85F06"/>
    <w:pPr>
      <w:spacing w:after="200" w:line="276" w:lineRule="auto"/>
      <w:ind w:left="720"/>
      <w:contextualSpacing/>
    </w:pPr>
    <w:rPr>
      <w:lang w:val="en-US"/>
    </w:rPr>
  </w:style>
  <w:style w:type="character" w:customStyle="1" w:styleId="ListParagraphChar">
    <w:name w:val="List Paragraph Char"/>
    <w:aliases w:val="List Paragraph1 Char,Recommendation Char,List Paragraph11 Char"/>
    <w:link w:val="ListParagraph"/>
    <w:uiPriority w:val="34"/>
    <w:locked/>
    <w:rsid w:val="00A85F06"/>
    <w:rPr>
      <w:lang w:val="en-US"/>
    </w:rPr>
  </w:style>
  <w:style w:type="character" w:styleId="EndnoteReference">
    <w:name w:val="endnote reference"/>
    <w:basedOn w:val="DefaultParagraphFont"/>
    <w:uiPriority w:val="99"/>
    <w:unhideWhenUsed/>
    <w:rsid w:val="004C1147"/>
    <w:rPr>
      <w:vertAlign w:val="superscript"/>
    </w:rPr>
  </w:style>
  <w:style w:type="paragraph" w:styleId="NormalWeb">
    <w:name w:val="Normal (Web)"/>
    <w:basedOn w:val="Normal"/>
    <w:uiPriority w:val="99"/>
    <w:unhideWhenUsed/>
    <w:rsid w:val="004C11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unhideWhenUsed/>
    <w:rsid w:val="004C1147"/>
    <w:pPr>
      <w:spacing w:line="240" w:lineRule="auto"/>
    </w:pPr>
    <w:rPr>
      <w:sz w:val="20"/>
      <w:szCs w:val="20"/>
    </w:rPr>
  </w:style>
  <w:style w:type="character" w:customStyle="1" w:styleId="EndnoteTextChar">
    <w:name w:val="Endnote Text Char"/>
    <w:basedOn w:val="DefaultParagraphFont"/>
    <w:link w:val="EndnoteText"/>
    <w:uiPriority w:val="99"/>
    <w:rsid w:val="004C1147"/>
    <w:rPr>
      <w:sz w:val="20"/>
      <w:szCs w:val="20"/>
    </w:rPr>
  </w:style>
  <w:style w:type="paragraph" w:customStyle="1" w:styleId="Default">
    <w:name w:val="Default"/>
    <w:rsid w:val="00A178A9"/>
    <w:pPr>
      <w:autoSpaceDE w:val="0"/>
      <w:autoSpaceDN w:val="0"/>
      <w:adjustRightInd w:val="0"/>
      <w:spacing w:after="0" w:line="240" w:lineRule="auto"/>
    </w:pPr>
    <w:rPr>
      <w:rFonts w:ascii="Calibri" w:hAnsi="Calibri" w:cs="Calibri"/>
      <w:color w:val="000000"/>
      <w:sz w:val="24"/>
      <w:szCs w:val="24"/>
    </w:rPr>
  </w:style>
  <w:style w:type="paragraph" w:customStyle="1" w:styleId="PublicationTitle">
    <w:name w:val="Publication Title"/>
    <w:basedOn w:val="Normal"/>
    <w:next w:val="BodyText"/>
    <w:rsid w:val="00662799"/>
    <w:pPr>
      <w:spacing w:before="480" w:after="227" w:line="380" w:lineRule="atLeast"/>
      <w:contextualSpacing/>
    </w:pPr>
    <w:rPr>
      <w:rFonts w:ascii="Calibri" w:eastAsia="Times New Roman" w:hAnsi="Calibri" w:cs="Times New Roman"/>
      <w:b/>
      <w:sz w:val="40"/>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rights.gov.au/sites/default/files/document/publication/AHRC_Annual%20Report%202014%E2%80%9315_Web%20version.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4</cp:revision>
  <cp:lastPrinted>2016-04-20T06:27:00Z</cp:lastPrinted>
  <dcterms:created xsi:type="dcterms:W3CDTF">2016-07-01T01:07:00Z</dcterms:created>
  <dcterms:modified xsi:type="dcterms:W3CDTF">2016-07-01T02:41:00Z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