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8A" w:rsidRPr="00BC559C" w:rsidRDefault="008F588A" w:rsidP="00BC559C">
      <w:pPr>
        <w:pStyle w:val="Heading1"/>
      </w:pPr>
      <w:r w:rsidRPr="00BC559C">
        <w:t>Policy costing request—during the caretaker period for a general election</w:t>
      </w:r>
    </w:p>
    <w:tbl>
      <w:tblPr>
        <w:tblStyle w:val="TableGrid"/>
        <w:tblW w:w="5000"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3128"/>
        <w:gridCol w:w="656"/>
        <w:gridCol w:w="1180"/>
        <w:gridCol w:w="1837"/>
        <w:gridCol w:w="1835"/>
        <w:gridCol w:w="1840"/>
      </w:tblGrid>
      <w:tr w:rsidR="008F588A" w:rsidRPr="00515A85" w:rsidTr="0064034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8F588A" w:rsidRPr="00515A85" w:rsidRDefault="008F588A" w:rsidP="008B2B99">
            <w:pPr>
              <w:pStyle w:val="TableHeading"/>
              <w:rPr>
                <w:b/>
                <w:color w:val="auto"/>
                <w:sz w:val="22"/>
              </w:rPr>
            </w:pPr>
            <w:r w:rsidRPr="00515A85">
              <w:rPr>
                <w:b/>
                <w:color w:val="auto"/>
                <w:sz w:val="22"/>
              </w:rPr>
              <w:t>Name of policy:</w:t>
            </w:r>
          </w:p>
        </w:tc>
        <w:tc>
          <w:tcPr>
            <w:tcW w:w="3194" w:type="pct"/>
            <w:gridSpan w:val="4"/>
            <w:tcBorders>
              <w:top w:val="single" w:sz="4" w:space="0" w:color="788184"/>
              <w:left w:val="single" w:sz="4" w:space="0" w:color="788184"/>
              <w:bottom w:val="single" w:sz="4" w:space="0" w:color="788184"/>
              <w:right w:val="single" w:sz="4" w:space="0" w:color="788184"/>
            </w:tcBorders>
          </w:tcPr>
          <w:p w:rsidR="008F588A" w:rsidRPr="00515A85" w:rsidRDefault="000C0F91" w:rsidP="000C0F91">
            <w:pPr>
              <w:pStyle w:val="TableHeadingCentred"/>
              <w:jc w:val="left"/>
              <w:cnfStyle w:val="100000000000" w:firstRow="1" w:lastRow="0" w:firstColumn="0" w:lastColumn="0" w:oddVBand="0" w:evenVBand="0" w:oddHBand="0" w:evenHBand="0" w:firstRowFirstColumn="0" w:firstRowLastColumn="0" w:lastRowFirstColumn="0" w:lastRowLastColumn="0"/>
              <w:rPr>
                <w:b/>
                <w:sz w:val="22"/>
              </w:rPr>
            </w:pPr>
            <w:r>
              <w:rPr>
                <w:sz w:val="22"/>
              </w:rPr>
              <w:t>Guaranteed access to p</w:t>
            </w:r>
            <w:r w:rsidR="00D05A0F">
              <w:rPr>
                <w:sz w:val="22"/>
              </w:rPr>
              <w:t>r</w:t>
            </w:r>
            <w:r>
              <w:rPr>
                <w:sz w:val="22"/>
              </w:rPr>
              <w:t>e-exposure prophylaxis</w:t>
            </w:r>
            <w:bookmarkStart w:id="0" w:name="_GoBack"/>
            <w:bookmarkEnd w:id="0"/>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Person requesting costing:</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0C2D9C" w:rsidP="00F954CF">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Senator Di Natale</w:t>
            </w:r>
          </w:p>
        </w:tc>
      </w:tr>
      <w:tr w:rsidR="00F954CF"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F954CF" w:rsidRPr="00CB40E1" w:rsidRDefault="00F954CF" w:rsidP="008B2B99">
            <w:pPr>
              <w:pStyle w:val="TableText"/>
              <w:rPr>
                <w:sz w:val="22"/>
              </w:rPr>
            </w:pPr>
            <w:r>
              <w:rPr>
                <w:sz w:val="22"/>
              </w:rPr>
              <w:t>P</w:t>
            </w:r>
            <w:r w:rsidR="00515A85">
              <w:rPr>
                <w:sz w:val="22"/>
              </w:rPr>
              <w:t>arliamentary p</w:t>
            </w:r>
            <w:r>
              <w:rPr>
                <w:sz w:val="22"/>
              </w:rPr>
              <w:t>arty</w:t>
            </w:r>
            <w:r w:rsidR="00515A85">
              <w:rPr>
                <w:sz w:val="22"/>
              </w:rPr>
              <w:t>:</w:t>
            </w:r>
            <w:r>
              <w:rPr>
                <w:sz w:val="22"/>
              </w:rPr>
              <w:t xml:space="preserve"> </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F954CF" w:rsidRPr="00CB40E1" w:rsidRDefault="000C2D9C" w:rsidP="00F954CF">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Australian Greens</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Date of request to cost the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0C2D9C" w:rsidP="00902D2D">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30 June 2016</w:t>
            </w:r>
          </w:p>
        </w:tc>
      </w:tr>
      <w:tr w:rsidR="008F588A" w:rsidRPr="00340498"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14239B">
            <w:pPr>
              <w:pStyle w:val="TableTextCentred"/>
              <w:jc w:val="left"/>
              <w:rPr>
                <w:i/>
                <w:sz w:val="22"/>
              </w:rPr>
            </w:pPr>
            <w:r w:rsidRPr="00CB40E1">
              <w:rPr>
                <w:i/>
                <w:sz w:val="22"/>
              </w:rPr>
              <w:t>Note:  This policy costing request and the response to this request will be made publicly available.</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640346" w:rsidP="008B2B99">
            <w:pPr>
              <w:pStyle w:val="TableText"/>
              <w:rPr>
                <w:sz w:val="22"/>
              </w:rPr>
            </w:pPr>
            <w:r w:rsidRPr="00CB40E1">
              <w:rPr>
                <w:sz w:val="22"/>
              </w:rPr>
              <w:t>Has a costing of this policy been requested under Section 29 of the Charter of Budget Honesty (</w:t>
            </w:r>
            <w:proofErr w:type="spellStart"/>
            <w:r w:rsidRPr="00CB40E1">
              <w:rPr>
                <w:sz w:val="22"/>
              </w:rPr>
              <w:t>ie</w:t>
            </w:r>
            <w:proofErr w:type="spellEnd"/>
            <w:r w:rsidRPr="00CB40E1">
              <w:rPr>
                <w:sz w:val="22"/>
              </w:rPr>
              <w:t xml:space="preserve"> from the Treasury or the Department of Finance)?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0C2D9C" w:rsidP="00640346">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Details of the public release of this policy (Date, by whom and a reference to that release):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D05A0F" w:rsidRDefault="00D05A0F"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27</w:t>
            </w:r>
            <w:r w:rsidRPr="00D05A0F">
              <w:rPr>
                <w:sz w:val="22"/>
                <w:vertAlign w:val="superscript"/>
              </w:rPr>
              <w:t>th</w:t>
            </w:r>
            <w:r>
              <w:rPr>
                <w:sz w:val="22"/>
              </w:rPr>
              <w:t xml:space="preserve"> May 2016, Senator Robert Simms</w:t>
            </w:r>
          </w:p>
          <w:p w:rsidR="00D05A0F" w:rsidRDefault="00CA4F7B"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hyperlink r:id="rId8" w:history="1">
              <w:r w:rsidR="00D05A0F" w:rsidRPr="00A5518A">
                <w:rPr>
                  <w:rStyle w:val="Hyperlink"/>
                  <w:sz w:val="22"/>
                </w:rPr>
                <w:t>http://robert-simms.greensmps.org.au/content/media-releases/australian-greens-guarantee-funding-critical-hiv-prevention-drug</w:t>
              </w:r>
            </w:hyperlink>
          </w:p>
          <w:p w:rsidR="00D05A0F" w:rsidRPr="00CB40E1" w:rsidRDefault="00D05A0F" w:rsidP="00D05A0F">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p>
        </w:tc>
      </w:tr>
      <w:tr w:rsidR="008F588A" w:rsidRPr="00903231"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14239B">
            <w:pPr>
              <w:pStyle w:val="TableTextCentred"/>
              <w:jc w:val="left"/>
              <w:rPr>
                <w:sz w:val="22"/>
              </w:rPr>
            </w:pPr>
            <w:r w:rsidRPr="00CB40E1">
              <w:rPr>
                <w:b/>
                <w:sz w:val="22"/>
              </w:rPr>
              <w:t>Description of policy</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Summary of policy (as applicable, please attach copies of relevant policy documents):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DA62F8" w:rsidRDefault="00DA62F8" w:rsidP="00DA62F8">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T</w:t>
            </w:r>
            <w:r w:rsidRPr="00DA62F8">
              <w:rPr>
                <w:sz w:val="22"/>
              </w:rPr>
              <w:t xml:space="preserve">he Greens commit to guarantee access </w:t>
            </w:r>
            <w:r>
              <w:rPr>
                <w:sz w:val="22"/>
              </w:rPr>
              <w:t xml:space="preserve">to HIV </w:t>
            </w:r>
            <w:r w:rsidRPr="00DA62F8">
              <w:rPr>
                <w:sz w:val="22"/>
              </w:rPr>
              <w:t>pre-exposure prophylaxis (</w:t>
            </w:r>
            <w:proofErr w:type="spellStart"/>
            <w:r w:rsidRPr="00DA62F8">
              <w:rPr>
                <w:sz w:val="22"/>
              </w:rPr>
              <w:t>PrEP</w:t>
            </w:r>
            <w:proofErr w:type="spellEnd"/>
            <w:r w:rsidRPr="00DA62F8">
              <w:rPr>
                <w:sz w:val="22"/>
              </w:rPr>
              <w:t>) includ</w:t>
            </w:r>
            <w:r>
              <w:rPr>
                <w:sz w:val="22"/>
              </w:rPr>
              <w:t>ing</w:t>
            </w:r>
            <w:r w:rsidRPr="00DA62F8">
              <w:rPr>
                <w:sz w:val="22"/>
              </w:rPr>
              <w:t xml:space="preserve">: </w:t>
            </w:r>
          </w:p>
          <w:p w:rsidR="00DA62F8" w:rsidRPr="00DA62F8" w:rsidRDefault="00DA62F8" w:rsidP="00DA62F8">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p>
          <w:p w:rsidR="00DA62F8" w:rsidRPr="00DA62F8" w:rsidRDefault="00DA62F8" w:rsidP="00DA62F8">
            <w:pPr>
              <w:pStyle w:val="TableTextCentred"/>
              <w:numPr>
                <w:ilvl w:val="0"/>
                <w:numId w:val="9"/>
              </w:numPr>
              <w:ind w:left="616" w:hanging="426"/>
              <w:jc w:val="left"/>
              <w:cnfStyle w:val="000000000000" w:firstRow="0" w:lastRow="0" w:firstColumn="0" w:lastColumn="0" w:oddVBand="0" w:evenVBand="0" w:oddHBand="0" w:evenHBand="0" w:firstRowFirstColumn="0" w:firstRowLastColumn="0" w:lastRowFirstColumn="0" w:lastRowLastColumn="0"/>
              <w:rPr>
                <w:sz w:val="22"/>
              </w:rPr>
            </w:pPr>
            <w:r>
              <w:rPr>
                <w:sz w:val="22"/>
              </w:rPr>
              <w:t>f</w:t>
            </w:r>
            <w:r w:rsidRPr="00DA62F8">
              <w:rPr>
                <w:sz w:val="22"/>
              </w:rPr>
              <w:t>und</w:t>
            </w:r>
            <w:r>
              <w:rPr>
                <w:sz w:val="22"/>
              </w:rPr>
              <w:t xml:space="preserve">ing </w:t>
            </w:r>
            <w:r w:rsidRPr="00DA62F8">
              <w:rPr>
                <w:sz w:val="22"/>
              </w:rPr>
              <w:t xml:space="preserve">supply of </w:t>
            </w:r>
            <w:proofErr w:type="spellStart"/>
            <w:r w:rsidRPr="00DA62F8">
              <w:rPr>
                <w:sz w:val="22"/>
              </w:rPr>
              <w:t>PrEP</w:t>
            </w:r>
            <w:proofErr w:type="spellEnd"/>
            <w:r w:rsidRPr="00DA62F8">
              <w:rPr>
                <w:sz w:val="22"/>
              </w:rPr>
              <w:t xml:space="preserve"> </w:t>
            </w:r>
            <w:r>
              <w:rPr>
                <w:sz w:val="22"/>
              </w:rPr>
              <w:t xml:space="preserve">over the next two years (2016-2018) </w:t>
            </w:r>
            <w:r w:rsidRPr="00DA62F8">
              <w:rPr>
                <w:sz w:val="22"/>
              </w:rPr>
              <w:t xml:space="preserve">to </w:t>
            </w:r>
            <w:r>
              <w:rPr>
                <w:sz w:val="22"/>
              </w:rPr>
              <w:t xml:space="preserve">up to 3,000 </w:t>
            </w:r>
            <w:r w:rsidRPr="00DA62F8">
              <w:rPr>
                <w:sz w:val="22"/>
              </w:rPr>
              <w:t>high-risk Australians who are not currently in clinical trials</w:t>
            </w:r>
            <w:r>
              <w:rPr>
                <w:sz w:val="22"/>
              </w:rPr>
              <w:t xml:space="preserve">; </w:t>
            </w:r>
          </w:p>
          <w:p w:rsidR="00DA62F8" w:rsidRPr="00DA62F8" w:rsidRDefault="00DA62F8" w:rsidP="00DA62F8">
            <w:pPr>
              <w:pStyle w:val="TableTextCentred"/>
              <w:numPr>
                <w:ilvl w:val="0"/>
                <w:numId w:val="9"/>
              </w:numPr>
              <w:ind w:left="616" w:hanging="426"/>
              <w:jc w:val="left"/>
              <w:cnfStyle w:val="000000000000" w:firstRow="0" w:lastRow="0" w:firstColumn="0" w:lastColumn="0" w:oddVBand="0" w:evenVBand="0" w:oddHBand="0" w:evenHBand="0" w:firstRowFirstColumn="0" w:firstRowLastColumn="0" w:lastRowFirstColumn="0" w:lastRowLastColumn="0"/>
              <w:rPr>
                <w:sz w:val="22"/>
              </w:rPr>
            </w:pPr>
            <w:r>
              <w:rPr>
                <w:sz w:val="22"/>
              </w:rPr>
              <w:t xml:space="preserve">funding supply over the following </w:t>
            </w:r>
            <w:r w:rsidRPr="00DA62F8">
              <w:rPr>
                <w:sz w:val="22"/>
              </w:rPr>
              <w:t>two years</w:t>
            </w:r>
            <w:r>
              <w:rPr>
                <w:sz w:val="22"/>
              </w:rPr>
              <w:t xml:space="preserve"> (2018-2020)</w:t>
            </w:r>
            <w:r w:rsidRPr="00DA62F8">
              <w:rPr>
                <w:sz w:val="22"/>
              </w:rPr>
              <w:t xml:space="preserve"> </w:t>
            </w:r>
            <w:r>
              <w:rPr>
                <w:sz w:val="22"/>
              </w:rPr>
              <w:t xml:space="preserve">to up to 11,000 people </w:t>
            </w:r>
            <w:r w:rsidRPr="00DA62F8">
              <w:rPr>
                <w:sz w:val="22"/>
              </w:rPr>
              <w:t xml:space="preserve">as a safety net for high-risk users of </w:t>
            </w:r>
            <w:proofErr w:type="spellStart"/>
            <w:r w:rsidRPr="00DA62F8">
              <w:rPr>
                <w:sz w:val="22"/>
              </w:rPr>
              <w:t>PrEP</w:t>
            </w:r>
            <w:proofErr w:type="spellEnd"/>
            <w:r w:rsidRPr="00DA62F8">
              <w:rPr>
                <w:sz w:val="22"/>
              </w:rPr>
              <w:t xml:space="preserve"> should </w:t>
            </w:r>
            <w:proofErr w:type="spellStart"/>
            <w:r w:rsidRPr="00DA62F8">
              <w:rPr>
                <w:sz w:val="22"/>
              </w:rPr>
              <w:t>PrEP</w:t>
            </w:r>
            <w:proofErr w:type="spellEnd"/>
            <w:r w:rsidRPr="00DA62F8">
              <w:rPr>
                <w:sz w:val="22"/>
              </w:rPr>
              <w:t xml:space="preserve"> medication not be added to the PBS</w:t>
            </w:r>
            <w:r>
              <w:rPr>
                <w:sz w:val="22"/>
              </w:rPr>
              <w:t xml:space="preserve"> (8,000 users of </w:t>
            </w:r>
            <w:proofErr w:type="spellStart"/>
            <w:r>
              <w:rPr>
                <w:sz w:val="22"/>
              </w:rPr>
              <w:t>PrEP</w:t>
            </w:r>
            <w:proofErr w:type="spellEnd"/>
            <w:r>
              <w:rPr>
                <w:sz w:val="22"/>
              </w:rPr>
              <w:t xml:space="preserve"> on clinical trials expiring in 2018 </w:t>
            </w:r>
            <w:r w:rsidR="001538AA">
              <w:rPr>
                <w:sz w:val="22"/>
              </w:rPr>
              <w:t>+</w:t>
            </w:r>
            <w:r>
              <w:rPr>
                <w:sz w:val="22"/>
              </w:rPr>
              <w:t xml:space="preserve"> 3,000 users of </w:t>
            </w:r>
            <w:proofErr w:type="spellStart"/>
            <w:r>
              <w:rPr>
                <w:sz w:val="22"/>
              </w:rPr>
              <w:t>PrEP</w:t>
            </w:r>
            <w:proofErr w:type="spellEnd"/>
            <w:r>
              <w:rPr>
                <w:sz w:val="22"/>
              </w:rPr>
              <w:t xml:space="preserve"> who were not in the trials)</w:t>
            </w:r>
            <w:r w:rsidR="001538AA">
              <w:rPr>
                <w:sz w:val="22"/>
              </w:rPr>
              <w:t>.</w:t>
            </w:r>
          </w:p>
          <w:p w:rsidR="00DA62F8" w:rsidRDefault="00DA62F8" w:rsidP="00DA62F8">
            <w:pPr>
              <w:pStyle w:val="TableText"/>
              <w:cnfStyle w:val="000000000000" w:firstRow="0" w:lastRow="0" w:firstColumn="0" w:lastColumn="0" w:oddVBand="0" w:evenVBand="0" w:oddHBand="0" w:evenHBand="0" w:firstRowFirstColumn="0" w:firstRowLastColumn="0" w:lastRowFirstColumn="0" w:lastRowLastColumn="0"/>
              <w:rPr>
                <w:sz w:val="22"/>
              </w:rPr>
            </w:pPr>
          </w:p>
          <w:p w:rsidR="00640346" w:rsidRPr="00CB40E1" w:rsidRDefault="00CA4F7B" w:rsidP="00DA62F8">
            <w:pPr>
              <w:pStyle w:val="TableText"/>
              <w:cnfStyle w:val="000000000000" w:firstRow="0" w:lastRow="0" w:firstColumn="0" w:lastColumn="0" w:oddVBand="0" w:evenVBand="0" w:oddHBand="0" w:evenHBand="0" w:firstRowFirstColumn="0" w:firstRowLastColumn="0" w:lastRowFirstColumn="0" w:lastRowLastColumn="0"/>
              <w:rPr>
                <w:sz w:val="22"/>
              </w:rPr>
            </w:pPr>
            <w:hyperlink r:id="rId9" w:history="1">
              <w:r w:rsidR="00DA62F8" w:rsidRPr="00A5518A">
                <w:rPr>
                  <w:rStyle w:val="Hyperlink"/>
                  <w:sz w:val="22"/>
                </w:rPr>
                <w:t>http://greens.org.au/prep</w:t>
              </w:r>
            </w:hyperlink>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8B2B99">
            <w:pPr>
              <w:pStyle w:val="TableText"/>
              <w:rPr>
                <w:sz w:val="22"/>
              </w:rPr>
            </w:pPr>
            <w:r w:rsidRPr="00CB40E1">
              <w:rPr>
                <w:sz w:val="22"/>
              </w:rPr>
              <w:lastRenderedPageBreak/>
              <w:t>What is the purpose or intention of the policy?</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E55E9A" w:rsidRDefault="00E55E9A" w:rsidP="00E55E9A">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 xml:space="preserve">The high level intention of the policy is to end transmission of HIV in Australia by ensuring access to </w:t>
            </w:r>
            <w:proofErr w:type="spellStart"/>
            <w:r>
              <w:rPr>
                <w:sz w:val="22"/>
              </w:rPr>
              <w:t>PrEP</w:t>
            </w:r>
            <w:proofErr w:type="spellEnd"/>
            <w:r>
              <w:rPr>
                <w:sz w:val="22"/>
              </w:rPr>
              <w:t xml:space="preserve"> for those people at high risk of exposure.</w:t>
            </w:r>
          </w:p>
          <w:p w:rsidR="00E55E9A" w:rsidRPr="00E55E9A" w:rsidRDefault="00E55E9A" w:rsidP="00E55E9A">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E55E9A">
              <w:rPr>
                <w:sz w:val="22"/>
              </w:rPr>
              <w:t xml:space="preserve">With TGA approval, </w:t>
            </w:r>
            <w:proofErr w:type="spellStart"/>
            <w:r w:rsidRPr="00E55E9A">
              <w:rPr>
                <w:sz w:val="22"/>
              </w:rPr>
              <w:t>PrEP</w:t>
            </w:r>
            <w:proofErr w:type="spellEnd"/>
            <w:r w:rsidRPr="00E55E9A">
              <w:rPr>
                <w:sz w:val="22"/>
              </w:rPr>
              <w:t xml:space="preserve"> is now available for purchase</w:t>
            </w:r>
            <w:r>
              <w:rPr>
                <w:sz w:val="22"/>
              </w:rPr>
              <w:t xml:space="preserve"> in Australia</w:t>
            </w:r>
            <w:r w:rsidRPr="00E55E9A">
              <w:rPr>
                <w:sz w:val="22"/>
              </w:rPr>
              <w:t>, but the price is prohibitive without Pharmaceutical Benefits Scheme (PBS</w:t>
            </w:r>
            <w:r>
              <w:rPr>
                <w:sz w:val="22"/>
              </w:rPr>
              <w:t>)</w:t>
            </w:r>
            <w:r w:rsidRPr="00E55E9A">
              <w:rPr>
                <w:sz w:val="22"/>
              </w:rPr>
              <w:t xml:space="preserve"> listing. </w:t>
            </w:r>
            <w:proofErr w:type="spellStart"/>
            <w:r w:rsidRPr="00E55E9A">
              <w:rPr>
                <w:sz w:val="22"/>
              </w:rPr>
              <w:t>PrEP</w:t>
            </w:r>
            <w:proofErr w:type="spellEnd"/>
            <w:r w:rsidRPr="00E55E9A">
              <w:rPr>
                <w:sz w:val="22"/>
              </w:rPr>
              <w:t xml:space="preserve"> is </w:t>
            </w:r>
            <w:r>
              <w:rPr>
                <w:sz w:val="22"/>
              </w:rPr>
              <w:t xml:space="preserve">otherwise </w:t>
            </w:r>
            <w:r w:rsidRPr="00E55E9A">
              <w:rPr>
                <w:sz w:val="22"/>
              </w:rPr>
              <w:t>available through clinical trials or through personal importation making access more difficult, and more expensive in the case of importation, than for medications listed on the PBS.</w:t>
            </w:r>
          </w:p>
          <w:p w:rsidR="00E55E9A" w:rsidRPr="00E55E9A" w:rsidRDefault="00E55E9A" w:rsidP="00E55E9A">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E55E9A">
              <w:rPr>
                <w:sz w:val="22"/>
              </w:rPr>
              <w:t xml:space="preserve">Current clinical trials with a capped number of government funded places are expected to conclude in 2018 leaving approximately 8,000 users of </w:t>
            </w:r>
            <w:proofErr w:type="spellStart"/>
            <w:r w:rsidRPr="00E55E9A">
              <w:rPr>
                <w:sz w:val="22"/>
              </w:rPr>
              <w:t>PrEP</w:t>
            </w:r>
            <w:proofErr w:type="spellEnd"/>
            <w:r w:rsidRPr="00E55E9A">
              <w:rPr>
                <w:sz w:val="22"/>
              </w:rPr>
              <w:t xml:space="preserve"> without easy access to the drug unless it is listed on the PBS. </w:t>
            </w:r>
          </w:p>
          <w:p w:rsidR="00E55E9A" w:rsidRDefault="00E55E9A" w:rsidP="00E55E9A">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E55E9A">
              <w:rPr>
                <w:sz w:val="22"/>
              </w:rPr>
              <w:t xml:space="preserve">The trials are only operating in Victoria, NSW and Queensland. It is estimated that up to 3,000 people at high-risk of exposure to HIV cannot access government funded places on clinical trials for </w:t>
            </w:r>
            <w:proofErr w:type="spellStart"/>
            <w:r w:rsidRPr="00E55E9A">
              <w:rPr>
                <w:sz w:val="22"/>
              </w:rPr>
              <w:t>PrEP.</w:t>
            </w:r>
            <w:proofErr w:type="spellEnd"/>
            <w:r>
              <w:rPr>
                <w:sz w:val="22"/>
              </w:rPr>
              <w:t xml:space="preserve"> </w:t>
            </w:r>
          </w:p>
          <w:p w:rsidR="00640346" w:rsidRDefault="00E55E9A" w:rsidP="00E55E9A">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E55E9A">
              <w:rPr>
                <w:sz w:val="22"/>
              </w:rPr>
              <w:t xml:space="preserve">People are reliant on </w:t>
            </w:r>
            <w:proofErr w:type="spellStart"/>
            <w:r w:rsidRPr="00E55E9A">
              <w:rPr>
                <w:sz w:val="22"/>
              </w:rPr>
              <w:t>PrEP</w:t>
            </w:r>
            <w:proofErr w:type="spellEnd"/>
            <w:r w:rsidRPr="00E55E9A">
              <w:rPr>
                <w:sz w:val="22"/>
              </w:rPr>
              <w:t xml:space="preserve"> for protection and peace of mind.</w:t>
            </w:r>
            <w:r>
              <w:rPr>
                <w:sz w:val="22"/>
              </w:rPr>
              <w:t xml:space="preserve"> The policy provides access for up to 3,000 people who are currently not in clinical trials and extends access beyond 2018 to </w:t>
            </w:r>
            <w:r w:rsidRPr="00E55E9A">
              <w:rPr>
                <w:sz w:val="22"/>
              </w:rPr>
              <w:t xml:space="preserve">approximately 8,000 users of </w:t>
            </w:r>
            <w:proofErr w:type="spellStart"/>
            <w:r w:rsidRPr="00E55E9A">
              <w:rPr>
                <w:sz w:val="22"/>
              </w:rPr>
              <w:t>PrEP</w:t>
            </w:r>
            <w:proofErr w:type="spellEnd"/>
            <w:r>
              <w:rPr>
                <w:sz w:val="22"/>
              </w:rPr>
              <w:t xml:space="preserve"> on clinical trials in the event that the PBAC has not yet approved </w:t>
            </w:r>
            <w:proofErr w:type="spellStart"/>
            <w:r>
              <w:rPr>
                <w:sz w:val="22"/>
              </w:rPr>
              <w:t>PrEP</w:t>
            </w:r>
            <w:proofErr w:type="spellEnd"/>
            <w:r>
              <w:rPr>
                <w:sz w:val="22"/>
              </w:rPr>
              <w:t xml:space="preserve"> for PBS. </w:t>
            </w:r>
          </w:p>
          <w:p w:rsidR="00E55E9A" w:rsidRPr="00CB40E1" w:rsidRDefault="00E55E9A" w:rsidP="00E55E9A">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p>
        </w:tc>
      </w:tr>
      <w:tr w:rsidR="008F588A" w:rsidRPr="0090323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640346" w:rsidP="0014239B">
            <w:pPr>
              <w:pStyle w:val="TableTextCentred"/>
              <w:jc w:val="left"/>
              <w:rPr>
                <w:sz w:val="22"/>
              </w:rPr>
            </w:pPr>
            <w:r w:rsidRPr="00CB40E1">
              <w:rPr>
                <w:b/>
                <w:sz w:val="22"/>
              </w:rPr>
              <w:t>What are the key assumptions that have been made in the policy, including:</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Is the policy part of a package?</w:t>
            </w:r>
          </w:p>
          <w:p w:rsidR="00640346" w:rsidRPr="00CB40E1" w:rsidRDefault="00640346" w:rsidP="00640346">
            <w:pPr>
              <w:pStyle w:val="TableText"/>
              <w:rPr>
                <w:sz w:val="22"/>
              </w:rPr>
            </w:pPr>
            <w:r w:rsidRPr="00CB40E1">
              <w:rPr>
                <w:sz w:val="22"/>
              </w:rPr>
              <w:t>If yes, list the components and interactions with proposed or existing policies.</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0C2D9C"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Where relevant, is funding for the policy to be demand driven or a capped amount? If a capped amount, are the costs of administering the policy to be included within the capped amount or additional to the capped amount?</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Default="008308B0"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Demand driven up to a capped number of participants:</w:t>
            </w:r>
          </w:p>
          <w:p w:rsidR="008308B0" w:rsidRDefault="008308B0"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p>
          <w:p w:rsidR="008308B0" w:rsidRDefault="008308B0" w:rsidP="008308B0">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2016/17-2017/18 – capped number of participants is 3,000</w:t>
            </w:r>
          </w:p>
          <w:p w:rsidR="008308B0" w:rsidRPr="00CB40E1" w:rsidRDefault="008308B0" w:rsidP="008308B0">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 xml:space="preserve">2018/18-2019/20 – capped number of participants is 11,000 </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Will third parties (for instance the States/Territories) have a role in funding or delivering the policy?</w:t>
            </w:r>
          </w:p>
          <w:p w:rsidR="00640346" w:rsidRPr="00CB40E1" w:rsidRDefault="00640346" w:rsidP="00640346">
            <w:pPr>
              <w:pStyle w:val="TableText"/>
              <w:rPr>
                <w:sz w:val="22"/>
              </w:rPr>
            </w:pPr>
            <w:r w:rsidRPr="00CB40E1">
              <w:rPr>
                <w:sz w:val="22"/>
              </w:rPr>
              <w:t>If yes, is the Australian Government contribution capped, with additional costs to be met by third parties, or is another funding formula envisaged?</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Default="007D7C73"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 xml:space="preserve">Yes. </w:t>
            </w:r>
            <w:r w:rsidRPr="007D7C73">
              <w:rPr>
                <w:sz w:val="22"/>
              </w:rPr>
              <w:t xml:space="preserve">The Greens proposal involves the Commonwealth Government working with the states/territories and community organisations to support personal importation of </w:t>
            </w:r>
            <w:proofErr w:type="spellStart"/>
            <w:r w:rsidRPr="007D7C73">
              <w:rPr>
                <w:sz w:val="22"/>
              </w:rPr>
              <w:t>PrEP</w:t>
            </w:r>
            <w:r>
              <w:rPr>
                <w:sz w:val="22"/>
              </w:rPr>
              <w:t>.</w:t>
            </w:r>
            <w:proofErr w:type="spellEnd"/>
          </w:p>
          <w:p w:rsidR="007D7C73" w:rsidRDefault="007D7C73"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p>
          <w:p w:rsidR="007D7C73" w:rsidRPr="00CB40E1" w:rsidRDefault="007D7C73"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The Commonwealth meets all the costs of the program.</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Are there associated savings, offsets or expenses?</w:t>
            </w:r>
          </w:p>
          <w:p w:rsidR="00640346" w:rsidRPr="00CB40E1" w:rsidRDefault="00640346" w:rsidP="00640346">
            <w:pPr>
              <w:pStyle w:val="TableText"/>
              <w:rPr>
                <w:sz w:val="22"/>
              </w:rPr>
            </w:pPr>
            <w:r w:rsidRPr="00CB40E1">
              <w:rPr>
                <w:sz w:val="22"/>
              </w:rPr>
              <w:t>If yes, please provide details.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0C2D9C"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 xml:space="preserve">Does the policy relate to a previous budget measure? </w:t>
            </w:r>
          </w:p>
          <w:p w:rsidR="00640346" w:rsidRPr="00CB40E1" w:rsidRDefault="00640346" w:rsidP="00640346">
            <w:pPr>
              <w:pStyle w:val="TableText"/>
              <w:rPr>
                <w:sz w:val="22"/>
              </w:rPr>
            </w:pPr>
            <w:r w:rsidRPr="00CB40E1">
              <w:rPr>
                <w:sz w:val="22"/>
              </w:rPr>
              <w:t>If yes, which measure?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7D7C73"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lastRenderedPageBreak/>
              <w:t>If the proposal would change an existing measure, are savings expected from the departmental costs of implementing the program?</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7D7C73"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Will the funding/program cost require indexation?</w:t>
            </w:r>
          </w:p>
          <w:p w:rsidR="00640346" w:rsidRPr="00CB40E1" w:rsidRDefault="00640346" w:rsidP="00640346">
            <w:pPr>
              <w:pStyle w:val="TableText"/>
              <w:rPr>
                <w:sz w:val="22"/>
              </w:rPr>
            </w:pPr>
            <w:r w:rsidRPr="00CB40E1">
              <w:rPr>
                <w:sz w:val="22"/>
              </w:rPr>
              <w:t>If yes, list factors to be used.</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0C2D9C"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8F588A"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660385">
            <w:pPr>
              <w:pStyle w:val="TableTextCentred"/>
              <w:keepNext/>
              <w:keepLines/>
              <w:jc w:val="left"/>
              <w:rPr>
                <w:sz w:val="22"/>
              </w:rPr>
            </w:pPr>
            <w:r w:rsidRPr="00CB40E1">
              <w:rPr>
                <w:b/>
                <w:sz w:val="22"/>
              </w:rPr>
              <w:t>Expected impacts of the proposal</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640346" w:rsidP="00660385">
            <w:pPr>
              <w:pStyle w:val="TableTextCentred"/>
              <w:keepNext/>
              <w:keepLines/>
              <w:jc w:val="left"/>
              <w:rPr>
                <w:sz w:val="22"/>
              </w:rPr>
            </w:pPr>
            <w:r w:rsidRPr="00CB40E1">
              <w:rPr>
                <w:sz w:val="22"/>
              </w:rPr>
              <w:t>If applicable, what are the estimated costs each year? If available, please provide details in the table below.  Are these provided on an underlying cash balance or fiscal balance basis?</w:t>
            </w:r>
          </w:p>
        </w:tc>
      </w:tr>
      <w:tr w:rsidR="00640346" w:rsidRPr="0064034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660385">
            <w:pPr>
              <w:pStyle w:val="TableTextCentred"/>
              <w:keepNext/>
              <w:keepLines/>
              <w:jc w:val="left"/>
              <w:rPr>
                <w:b/>
                <w:sz w:val="22"/>
                <w:vertAlign w:val="superscript"/>
              </w:rPr>
            </w:pPr>
            <w:r w:rsidRPr="00CB40E1">
              <w:rPr>
                <w:b/>
                <w:sz w:val="22"/>
              </w:rPr>
              <w:t>Estimated financial implications (outturn prices)</w:t>
            </w:r>
            <w:r w:rsidRPr="00CB40E1">
              <w:rPr>
                <w:b/>
                <w:sz w:val="22"/>
                <w:vertAlign w:val="superscript"/>
              </w:rPr>
              <w:t>(a)</w:t>
            </w:r>
          </w:p>
        </w:tc>
      </w:tr>
      <w:tr w:rsidR="00640346" w:rsidTr="00BE7C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D7DDE9"/>
          </w:tcPr>
          <w:p w:rsidR="00640346" w:rsidRPr="00CB40E1" w:rsidRDefault="00640346" w:rsidP="00660385">
            <w:pPr>
              <w:pStyle w:val="TableText"/>
              <w:keepNext/>
              <w:keepLines/>
              <w:rPr>
                <w:sz w:val="22"/>
              </w:rPr>
            </w:pP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2016–17</w:t>
            </w:r>
          </w:p>
        </w:tc>
        <w:tc>
          <w:tcPr>
            <w:tcW w:w="877"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2017–18</w:t>
            </w:r>
          </w:p>
        </w:tc>
        <w:tc>
          <w:tcPr>
            <w:tcW w:w="876"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2018–19</w:t>
            </w:r>
          </w:p>
        </w:tc>
        <w:tc>
          <w:tcPr>
            <w:tcW w:w="878"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2019–20</w:t>
            </w:r>
          </w:p>
        </w:tc>
      </w:tr>
      <w:tr w:rsidR="00DA62F8" w:rsidTr="00D4778A">
        <w:trPr>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auto"/>
          </w:tcPr>
          <w:p w:rsidR="00DA62F8" w:rsidRPr="00CB40E1" w:rsidRDefault="00DA62F8" w:rsidP="00660385">
            <w:pPr>
              <w:pStyle w:val="TableTextCentred"/>
              <w:keepNext/>
              <w:keepLines/>
              <w:jc w:val="left"/>
              <w:rPr>
                <w:sz w:val="22"/>
              </w:rPr>
            </w:pPr>
            <w:r w:rsidRPr="00CB40E1">
              <w:rPr>
                <w:sz w:val="22"/>
              </w:rPr>
              <w:t>Underlying cash balance ($m)</w:t>
            </w: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auto"/>
            <w:vAlign w:val="top"/>
          </w:tcPr>
          <w:p w:rsidR="00DA62F8" w:rsidRPr="00D45969" w:rsidRDefault="00DA62F8" w:rsidP="00DA62F8">
            <w:pPr>
              <w:jc w:val="right"/>
              <w:cnfStyle w:val="000000000000" w:firstRow="0" w:lastRow="0" w:firstColumn="0" w:lastColumn="0" w:oddVBand="0" w:evenVBand="0" w:oddHBand="0" w:evenHBand="0" w:firstRowFirstColumn="0" w:firstRowLastColumn="0" w:lastRowFirstColumn="0" w:lastRowLastColumn="0"/>
            </w:pPr>
            <w:r w:rsidRPr="00D45969">
              <w:t>-4.5</w:t>
            </w:r>
          </w:p>
        </w:tc>
        <w:tc>
          <w:tcPr>
            <w:tcW w:w="877" w:type="pct"/>
            <w:tcBorders>
              <w:top w:val="single" w:sz="4" w:space="0" w:color="788184"/>
              <w:left w:val="single" w:sz="4" w:space="0" w:color="788184"/>
              <w:bottom w:val="single" w:sz="4" w:space="0" w:color="788184"/>
              <w:right w:val="single" w:sz="4" w:space="0" w:color="788184"/>
            </w:tcBorders>
            <w:shd w:val="clear" w:color="auto" w:fill="auto"/>
            <w:vAlign w:val="top"/>
          </w:tcPr>
          <w:p w:rsidR="00DA62F8" w:rsidRPr="00D45969" w:rsidRDefault="00DA62F8" w:rsidP="00DA62F8">
            <w:pPr>
              <w:jc w:val="right"/>
              <w:cnfStyle w:val="000000000000" w:firstRow="0" w:lastRow="0" w:firstColumn="0" w:lastColumn="0" w:oddVBand="0" w:evenVBand="0" w:oddHBand="0" w:evenHBand="0" w:firstRowFirstColumn="0" w:firstRowLastColumn="0" w:lastRowFirstColumn="0" w:lastRowLastColumn="0"/>
            </w:pPr>
            <w:r w:rsidRPr="00D45969">
              <w:t>-4.5</w:t>
            </w:r>
          </w:p>
        </w:tc>
        <w:tc>
          <w:tcPr>
            <w:tcW w:w="876" w:type="pct"/>
            <w:tcBorders>
              <w:top w:val="single" w:sz="4" w:space="0" w:color="788184"/>
              <w:left w:val="single" w:sz="4" w:space="0" w:color="788184"/>
              <w:bottom w:val="single" w:sz="4" w:space="0" w:color="788184"/>
              <w:right w:val="single" w:sz="4" w:space="0" w:color="788184"/>
            </w:tcBorders>
            <w:shd w:val="clear" w:color="auto" w:fill="auto"/>
            <w:vAlign w:val="top"/>
          </w:tcPr>
          <w:p w:rsidR="00DA62F8" w:rsidRPr="00D45969" w:rsidRDefault="00DA62F8" w:rsidP="007D7C73">
            <w:pPr>
              <w:jc w:val="right"/>
              <w:cnfStyle w:val="000000000000" w:firstRow="0" w:lastRow="0" w:firstColumn="0" w:lastColumn="0" w:oddVBand="0" w:evenVBand="0" w:oddHBand="0" w:evenHBand="0" w:firstRowFirstColumn="0" w:firstRowLastColumn="0" w:lastRowFirstColumn="0" w:lastRowLastColumn="0"/>
            </w:pPr>
            <w:r w:rsidRPr="00D45969">
              <w:t>-1</w:t>
            </w:r>
            <w:r w:rsidR="007D7C73">
              <w:t>4</w:t>
            </w:r>
            <w:r w:rsidRPr="00D45969">
              <w:t>.</w:t>
            </w:r>
            <w:r w:rsidR="007D7C73">
              <w:t>1</w:t>
            </w:r>
          </w:p>
        </w:tc>
        <w:tc>
          <w:tcPr>
            <w:tcW w:w="878" w:type="pct"/>
            <w:tcBorders>
              <w:top w:val="single" w:sz="4" w:space="0" w:color="788184"/>
              <w:left w:val="single" w:sz="4" w:space="0" w:color="788184"/>
              <w:bottom w:val="single" w:sz="4" w:space="0" w:color="788184"/>
              <w:right w:val="single" w:sz="4" w:space="0" w:color="788184"/>
            </w:tcBorders>
            <w:shd w:val="clear" w:color="auto" w:fill="auto"/>
            <w:vAlign w:val="top"/>
          </w:tcPr>
          <w:p w:rsidR="00DA62F8" w:rsidRDefault="00DA62F8" w:rsidP="007D7C73">
            <w:pPr>
              <w:jc w:val="right"/>
              <w:cnfStyle w:val="000000000000" w:firstRow="0" w:lastRow="0" w:firstColumn="0" w:lastColumn="0" w:oddVBand="0" w:evenVBand="0" w:oddHBand="0" w:evenHBand="0" w:firstRowFirstColumn="0" w:firstRowLastColumn="0" w:lastRowFirstColumn="0" w:lastRowLastColumn="0"/>
            </w:pPr>
            <w:r w:rsidRPr="00D45969">
              <w:t>-1</w:t>
            </w:r>
            <w:r w:rsidR="007D7C73">
              <w:t>4</w:t>
            </w:r>
            <w:r w:rsidRPr="00D45969">
              <w:t>.</w:t>
            </w:r>
            <w:r w:rsidR="007D7C73">
              <w:t>1</w:t>
            </w:r>
          </w:p>
        </w:tc>
      </w:tr>
      <w:tr w:rsidR="00DA62F8" w:rsidTr="00C52C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auto"/>
          </w:tcPr>
          <w:p w:rsidR="00DA62F8" w:rsidRPr="00CB40E1" w:rsidRDefault="00DA62F8" w:rsidP="00660385">
            <w:pPr>
              <w:pStyle w:val="TableTextCentred"/>
              <w:keepNext/>
              <w:keepLines/>
              <w:jc w:val="left"/>
              <w:rPr>
                <w:sz w:val="22"/>
              </w:rPr>
            </w:pPr>
            <w:r w:rsidRPr="00CB40E1">
              <w:rPr>
                <w:sz w:val="22"/>
              </w:rPr>
              <w:t>Fiscal balance ($m)</w:t>
            </w: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auto"/>
            <w:vAlign w:val="top"/>
          </w:tcPr>
          <w:p w:rsidR="00DA62F8" w:rsidRPr="004F7159" w:rsidRDefault="00DA62F8" w:rsidP="00DA62F8">
            <w:pPr>
              <w:jc w:val="right"/>
              <w:cnfStyle w:val="000000100000" w:firstRow="0" w:lastRow="0" w:firstColumn="0" w:lastColumn="0" w:oddVBand="0" w:evenVBand="0" w:oddHBand="1" w:evenHBand="0" w:firstRowFirstColumn="0" w:firstRowLastColumn="0" w:lastRowFirstColumn="0" w:lastRowLastColumn="0"/>
            </w:pPr>
            <w:r w:rsidRPr="004F7159">
              <w:t>-4.5</w:t>
            </w:r>
          </w:p>
        </w:tc>
        <w:tc>
          <w:tcPr>
            <w:tcW w:w="877" w:type="pct"/>
            <w:tcBorders>
              <w:top w:val="single" w:sz="4" w:space="0" w:color="788184"/>
              <w:left w:val="single" w:sz="4" w:space="0" w:color="788184"/>
              <w:bottom w:val="single" w:sz="4" w:space="0" w:color="788184"/>
              <w:right w:val="single" w:sz="4" w:space="0" w:color="788184"/>
            </w:tcBorders>
            <w:shd w:val="clear" w:color="auto" w:fill="auto"/>
            <w:vAlign w:val="top"/>
          </w:tcPr>
          <w:p w:rsidR="00DA62F8" w:rsidRPr="004F7159" w:rsidRDefault="00DA62F8" w:rsidP="00DA62F8">
            <w:pPr>
              <w:jc w:val="right"/>
              <w:cnfStyle w:val="000000100000" w:firstRow="0" w:lastRow="0" w:firstColumn="0" w:lastColumn="0" w:oddVBand="0" w:evenVBand="0" w:oddHBand="1" w:evenHBand="0" w:firstRowFirstColumn="0" w:firstRowLastColumn="0" w:lastRowFirstColumn="0" w:lastRowLastColumn="0"/>
            </w:pPr>
            <w:r w:rsidRPr="004F7159">
              <w:t>-4.5</w:t>
            </w:r>
          </w:p>
        </w:tc>
        <w:tc>
          <w:tcPr>
            <w:tcW w:w="876" w:type="pct"/>
            <w:tcBorders>
              <w:top w:val="single" w:sz="4" w:space="0" w:color="788184"/>
              <w:left w:val="single" w:sz="4" w:space="0" w:color="788184"/>
              <w:bottom w:val="single" w:sz="4" w:space="0" w:color="788184"/>
              <w:right w:val="single" w:sz="4" w:space="0" w:color="788184"/>
            </w:tcBorders>
            <w:shd w:val="clear" w:color="auto" w:fill="auto"/>
            <w:vAlign w:val="top"/>
          </w:tcPr>
          <w:p w:rsidR="00DA62F8" w:rsidRPr="004F7159" w:rsidRDefault="00DA62F8" w:rsidP="007D7C73">
            <w:pPr>
              <w:jc w:val="right"/>
              <w:cnfStyle w:val="000000100000" w:firstRow="0" w:lastRow="0" w:firstColumn="0" w:lastColumn="0" w:oddVBand="0" w:evenVBand="0" w:oddHBand="1" w:evenHBand="0" w:firstRowFirstColumn="0" w:firstRowLastColumn="0" w:lastRowFirstColumn="0" w:lastRowLastColumn="0"/>
            </w:pPr>
            <w:r w:rsidRPr="004F7159">
              <w:t>-1</w:t>
            </w:r>
            <w:r w:rsidR="007D7C73">
              <w:t>4</w:t>
            </w:r>
            <w:r w:rsidRPr="004F7159">
              <w:t>.</w:t>
            </w:r>
            <w:r w:rsidR="007D7C73">
              <w:t>1</w:t>
            </w:r>
          </w:p>
        </w:tc>
        <w:tc>
          <w:tcPr>
            <w:tcW w:w="878" w:type="pct"/>
            <w:tcBorders>
              <w:top w:val="single" w:sz="4" w:space="0" w:color="788184"/>
              <w:left w:val="single" w:sz="4" w:space="0" w:color="788184"/>
              <w:bottom w:val="single" w:sz="4" w:space="0" w:color="788184"/>
              <w:right w:val="single" w:sz="4" w:space="0" w:color="788184"/>
            </w:tcBorders>
            <w:shd w:val="clear" w:color="auto" w:fill="auto"/>
            <w:vAlign w:val="top"/>
          </w:tcPr>
          <w:p w:rsidR="00DA62F8" w:rsidRDefault="00DA62F8" w:rsidP="007D7C73">
            <w:pPr>
              <w:jc w:val="right"/>
              <w:cnfStyle w:val="000000100000" w:firstRow="0" w:lastRow="0" w:firstColumn="0" w:lastColumn="0" w:oddVBand="0" w:evenVBand="0" w:oddHBand="1" w:evenHBand="0" w:firstRowFirstColumn="0" w:firstRowLastColumn="0" w:lastRowFirstColumn="0" w:lastRowLastColumn="0"/>
            </w:pPr>
            <w:r w:rsidRPr="004F7159">
              <w:t>-1</w:t>
            </w:r>
            <w:r w:rsidR="007D7C73">
              <w:t>4</w:t>
            </w:r>
            <w:r w:rsidRPr="004F7159">
              <w:t>.</w:t>
            </w:r>
            <w:r w:rsidR="007D7C73">
              <w:t>1</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CF6DB6" w:rsidRPr="00CB40E1" w:rsidRDefault="007202A8" w:rsidP="00660385">
            <w:pPr>
              <w:pStyle w:val="TableTextCentred"/>
              <w:keepNext/>
              <w:keepLines/>
              <w:numPr>
                <w:ilvl w:val="0"/>
                <w:numId w:val="4"/>
              </w:numPr>
              <w:ind w:left="284" w:hanging="284"/>
              <w:jc w:val="left"/>
              <w:rPr>
                <w:sz w:val="22"/>
              </w:rPr>
            </w:pPr>
            <w:r w:rsidRPr="00CB40E1">
              <w:rPr>
                <w:sz w:val="22"/>
              </w:rPr>
              <w:t>A positive number for the fiscal balance indicates an increase in revenue or a decrease in expenses or net capital investment in accrual terms.  A positive number in the underlying cash balance indicates an increase in revenue or a decrease in expenses or net capital investment in cash terms.</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E15AAE" w:rsidP="008B2B99">
            <w:pPr>
              <w:pStyle w:val="TableText"/>
              <w:rPr>
                <w:sz w:val="22"/>
              </w:rPr>
            </w:pPr>
            <w:r w:rsidRPr="00CB40E1">
              <w:rPr>
                <w:sz w:val="22"/>
              </w:rPr>
              <w:t>What assumptions have been made in deriving the expected financial impact in the party costing (please provide information on the data sources used to develop the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DA62F8" w:rsidRPr="00DA62F8" w:rsidRDefault="00DA62F8" w:rsidP="00DA62F8">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DA62F8">
              <w:rPr>
                <w:sz w:val="22"/>
              </w:rPr>
              <w:t xml:space="preserve">The Greens proposal involves the Commonwealth Government working with the states/territories and community organisations to support personal importation of </w:t>
            </w:r>
            <w:proofErr w:type="spellStart"/>
            <w:r w:rsidRPr="00DA62F8">
              <w:rPr>
                <w:sz w:val="22"/>
              </w:rPr>
              <w:t>PrEP</w:t>
            </w:r>
            <w:proofErr w:type="spellEnd"/>
            <w:r w:rsidRPr="00DA62F8">
              <w:rPr>
                <w:sz w:val="22"/>
              </w:rPr>
              <w:t xml:space="preserve"> at a cost of about $1,200 per person, per year for people at high-risk who are not in clinical trials. This would cost about $7.2 million over the next two years.</w:t>
            </w:r>
          </w:p>
          <w:p w:rsidR="00DA62F8" w:rsidRPr="00DA62F8" w:rsidRDefault="00DA62F8" w:rsidP="00DA62F8">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DA62F8">
              <w:rPr>
                <w:sz w:val="22"/>
              </w:rPr>
              <w:t>$</w:t>
            </w:r>
            <w:r w:rsidR="007D7C73">
              <w:rPr>
                <w:sz w:val="22"/>
              </w:rPr>
              <w:t>0.9</w:t>
            </w:r>
            <w:r w:rsidRPr="00DA62F8">
              <w:rPr>
                <w:sz w:val="22"/>
              </w:rPr>
              <w:t xml:space="preserve"> million</w:t>
            </w:r>
            <w:r w:rsidR="007D7C73">
              <w:rPr>
                <w:sz w:val="22"/>
              </w:rPr>
              <w:t xml:space="preserve"> per year</w:t>
            </w:r>
            <w:r w:rsidRPr="00DA62F8">
              <w:rPr>
                <w:sz w:val="22"/>
              </w:rPr>
              <w:t xml:space="preserve"> would be allocated for </w:t>
            </w:r>
            <w:r w:rsidR="007D7C73">
              <w:rPr>
                <w:sz w:val="22"/>
              </w:rPr>
              <w:t xml:space="preserve">program </w:t>
            </w:r>
            <w:r w:rsidRPr="00DA62F8">
              <w:rPr>
                <w:sz w:val="22"/>
              </w:rPr>
              <w:t>administration and support for community organisations to assist clients with the personal importation of the drug. For example, the WA AIDS Council has peer navigators that assist clients with the personal importation of the drug.</w:t>
            </w:r>
          </w:p>
          <w:p w:rsidR="00640346" w:rsidRDefault="00DA62F8" w:rsidP="00DA62F8">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DA62F8">
              <w:rPr>
                <w:sz w:val="22"/>
              </w:rPr>
              <w:t>After two years and once the patent on the current drug listed by the TGA expires, up to $2</w:t>
            </w:r>
            <w:r w:rsidR="007D7C73">
              <w:rPr>
                <w:sz w:val="22"/>
              </w:rPr>
              <w:t>6</w:t>
            </w:r>
            <w:r w:rsidRPr="00DA62F8">
              <w:rPr>
                <w:sz w:val="22"/>
              </w:rPr>
              <w:t>.</w:t>
            </w:r>
            <w:r w:rsidR="007D7C73">
              <w:rPr>
                <w:sz w:val="22"/>
              </w:rPr>
              <w:t>5</w:t>
            </w:r>
            <w:r w:rsidRPr="00DA62F8">
              <w:rPr>
                <w:sz w:val="22"/>
              </w:rPr>
              <w:t xml:space="preserve">m will be allocated as a safety net to provide </w:t>
            </w:r>
            <w:proofErr w:type="spellStart"/>
            <w:r w:rsidRPr="00DA62F8">
              <w:rPr>
                <w:sz w:val="22"/>
              </w:rPr>
              <w:t>PrEP</w:t>
            </w:r>
            <w:proofErr w:type="spellEnd"/>
            <w:r w:rsidRPr="00DA62F8">
              <w:rPr>
                <w:sz w:val="22"/>
              </w:rPr>
              <w:t xml:space="preserve"> to high risk individuals if </w:t>
            </w:r>
            <w:proofErr w:type="spellStart"/>
            <w:r w:rsidRPr="00DA62F8">
              <w:rPr>
                <w:sz w:val="22"/>
              </w:rPr>
              <w:t>PrEP</w:t>
            </w:r>
            <w:proofErr w:type="spellEnd"/>
            <w:r w:rsidRPr="00DA62F8">
              <w:rPr>
                <w:sz w:val="22"/>
              </w:rPr>
              <w:t xml:space="preserve"> medication has not been approved for the PBS. At this time, the price of </w:t>
            </w:r>
            <w:proofErr w:type="spellStart"/>
            <w:r w:rsidRPr="00DA62F8">
              <w:rPr>
                <w:sz w:val="22"/>
              </w:rPr>
              <w:t>PrEP</w:t>
            </w:r>
            <w:proofErr w:type="spellEnd"/>
            <w:r w:rsidRPr="00DA62F8">
              <w:rPr>
                <w:sz w:val="22"/>
              </w:rPr>
              <w:t xml:space="preserve"> will significantly reduce as generic products come on to the market</w:t>
            </w:r>
            <w:r w:rsidR="007D7C73">
              <w:rPr>
                <w:sz w:val="22"/>
              </w:rPr>
              <w:t>, so this allocation is regarded as an overestimate</w:t>
            </w:r>
            <w:r w:rsidRPr="00DA62F8">
              <w:rPr>
                <w:sz w:val="22"/>
              </w:rPr>
              <w:t>.</w:t>
            </w:r>
          </w:p>
          <w:p w:rsidR="007D7C73" w:rsidRDefault="007D7C73" w:rsidP="00DA62F8">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p>
          <w:p w:rsidR="00DA62F8" w:rsidRDefault="007D7C73"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7D7C73">
              <w:rPr>
                <w:sz w:val="22"/>
              </w:rPr>
              <w:t>Assumptions informed by stakeholders in the HIV sector.</w:t>
            </w:r>
          </w:p>
          <w:p w:rsidR="00DA62F8" w:rsidRPr="00CB40E1" w:rsidRDefault="00DA62F8"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t>Has the policy been costed by a third party?</w:t>
            </w:r>
          </w:p>
          <w:p w:rsidR="00640346" w:rsidRPr="00CB40E1" w:rsidRDefault="00E15AAE" w:rsidP="00E15AAE">
            <w:pPr>
              <w:pStyle w:val="TableText"/>
              <w:rPr>
                <w:sz w:val="22"/>
              </w:rPr>
            </w:pPr>
            <w:r w:rsidRPr="00CB40E1">
              <w:rPr>
                <w:sz w:val="22"/>
              </w:rPr>
              <w:t>If yes, can you provide a copy of this costing and its assumptions?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0C2D9C"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lastRenderedPageBreak/>
              <w:t>What is the expected community impact of the policy?</w:t>
            </w:r>
          </w:p>
          <w:p w:rsidR="00E15AAE" w:rsidRPr="00CB40E1" w:rsidRDefault="00E15AAE" w:rsidP="00E15AAE">
            <w:pPr>
              <w:pStyle w:val="TableText"/>
              <w:rPr>
                <w:sz w:val="22"/>
              </w:rPr>
            </w:pPr>
            <w:r w:rsidRPr="00CB40E1">
              <w:rPr>
                <w:sz w:val="22"/>
              </w:rPr>
              <w:t>How many people will be affected by the policy?</w:t>
            </w:r>
          </w:p>
          <w:p w:rsidR="00E15AAE" w:rsidRPr="00CB40E1" w:rsidRDefault="00E15AAE" w:rsidP="00E15AAE">
            <w:pPr>
              <w:pStyle w:val="TableText"/>
              <w:rPr>
                <w:sz w:val="22"/>
              </w:rPr>
            </w:pPr>
            <w:r w:rsidRPr="00CB40E1">
              <w:rPr>
                <w:sz w:val="22"/>
              </w:rPr>
              <w:t>What is the likely take up?</w:t>
            </w:r>
          </w:p>
          <w:p w:rsidR="00640346" w:rsidRPr="00CB40E1" w:rsidRDefault="00E15AAE" w:rsidP="00E15AAE">
            <w:pPr>
              <w:pStyle w:val="TableText"/>
              <w:rPr>
                <w:sz w:val="22"/>
              </w:rPr>
            </w:pPr>
            <w:r w:rsidRPr="00CB40E1">
              <w:rPr>
                <w:sz w:val="22"/>
              </w:rPr>
              <w:t>What is the basis for these impact assessments/assumptions?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7D7C73" w:rsidRPr="007D7C73" w:rsidRDefault="007D7C73" w:rsidP="007D7C73">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7D7C73">
              <w:rPr>
                <w:sz w:val="22"/>
              </w:rPr>
              <w:t>2016/17-2017/18 – capped number of participants is 3,000</w:t>
            </w:r>
          </w:p>
          <w:p w:rsidR="00640346" w:rsidRDefault="007D7C73" w:rsidP="007D7C73">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7D7C73">
              <w:rPr>
                <w:sz w:val="22"/>
              </w:rPr>
              <w:t>2018/18-2019/20 – capped number of participants is 11,000</w:t>
            </w:r>
          </w:p>
          <w:p w:rsidR="007D7C73" w:rsidRDefault="007D7C73" w:rsidP="007D7C73">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p>
          <w:p w:rsidR="007D7C73" w:rsidRPr="00CB40E1" w:rsidRDefault="007D7C73" w:rsidP="007D7C73">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Assumptions informed by stakeholders in the HIV sector.</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CF6DB6" w:rsidRPr="00CB40E1" w:rsidRDefault="00CF6DB6" w:rsidP="00660385">
            <w:pPr>
              <w:pStyle w:val="TableTextCentred"/>
              <w:keepNext/>
              <w:keepLines/>
              <w:jc w:val="left"/>
              <w:rPr>
                <w:sz w:val="22"/>
              </w:rPr>
            </w:pPr>
            <w:r w:rsidRPr="00CB40E1">
              <w:rPr>
                <w:b/>
                <w:sz w:val="22"/>
              </w:rPr>
              <w:t>Administration of policy:</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Who will administer the policy (for example, Australian Government entity, the States, non</w:t>
            </w:r>
            <w:r w:rsidRPr="00CB40E1">
              <w:rPr>
                <w:sz w:val="22"/>
              </w:rPr>
              <w:noBreakHyphen/>
              <w:t xml:space="preserve">government organisation, </w:t>
            </w:r>
            <w:proofErr w:type="spellStart"/>
            <w:r w:rsidRPr="00CB40E1">
              <w:rPr>
                <w:sz w:val="22"/>
              </w:rPr>
              <w:t>etc</w:t>
            </w:r>
            <w:proofErr w:type="spellEnd"/>
            <w:r w:rsidRPr="00CB40E1">
              <w:rPr>
                <w:sz w:val="22"/>
              </w:rPr>
              <w:t>)?</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0C2D9C" w:rsidP="00660385">
            <w:pPr>
              <w:pStyle w:val="TableTextCentred"/>
              <w:keepNext/>
              <w:keepLines/>
              <w:jc w:val="left"/>
              <w:cnfStyle w:val="000000100000" w:firstRow="0" w:lastRow="0" w:firstColumn="0" w:lastColumn="0" w:oddVBand="0" w:evenVBand="0" w:oddHBand="1" w:evenHBand="0" w:firstRowFirstColumn="0" w:firstRowLastColumn="0" w:lastRowFirstColumn="0" w:lastRowLastColumn="0"/>
              <w:rPr>
                <w:sz w:val="22"/>
              </w:rPr>
            </w:pPr>
            <w:r>
              <w:rPr>
                <w:sz w:val="22"/>
              </w:rPr>
              <w:t>Department of Health</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Please specify whether any special administrative arrangements are proposed for the policy and whether these are expected to involve additional transactions/processing (by service delivery agencies).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F42074" w:rsidP="00660385">
            <w:pPr>
              <w:pStyle w:val="TableTextCentred"/>
              <w:keepNext/>
              <w:keepLines/>
              <w:jc w:val="left"/>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date of implementation:</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7D7C73" w:rsidP="00CF733F">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 xml:space="preserve">1 </w:t>
            </w:r>
            <w:r w:rsidR="00CF733F">
              <w:rPr>
                <w:sz w:val="22"/>
              </w:rPr>
              <w:t>September</w:t>
            </w:r>
            <w:r>
              <w:rPr>
                <w:sz w:val="22"/>
              </w:rPr>
              <w:t xml:space="preserve"> 2016</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duration of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7D7C73"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Until 1 July 2020.</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transitional arrangements associated with policy implementation?</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F42074"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List major data sources utilised to develop policy (for example, ABS catalogue number 3201.0).</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any other assumptions that need to be considered?</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p>
        </w:tc>
      </w:tr>
      <w:tr w:rsidR="00640346" w:rsidRPr="00CB40E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rPr>
                <w:b/>
                <w:sz w:val="22"/>
              </w:rPr>
            </w:pPr>
            <w:r w:rsidRPr="00CB40E1">
              <w:rPr>
                <w:b/>
                <w:sz w:val="22"/>
              </w:rPr>
              <w:t>NOTE:</w:t>
            </w:r>
          </w:p>
          <w:p w:rsidR="00640346" w:rsidRPr="00CB40E1" w:rsidRDefault="00640346" w:rsidP="00660385">
            <w:pPr>
              <w:pStyle w:val="TableTextCentred"/>
              <w:jc w:val="left"/>
              <w:rPr>
                <w:i/>
                <w:sz w:val="22"/>
              </w:rPr>
            </w:pPr>
            <w:r w:rsidRPr="00CB40E1">
              <w:rPr>
                <w:i/>
                <w:sz w:val="22"/>
              </w:rPr>
              <w:t>Please note that:</w:t>
            </w:r>
          </w:p>
          <w:p w:rsidR="00CB40E1" w:rsidRPr="00CB40E1" w:rsidRDefault="00CB40E1" w:rsidP="00660385">
            <w:pPr>
              <w:pStyle w:val="TableTextBullet1"/>
              <w:numPr>
                <w:ilvl w:val="0"/>
                <w:numId w:val="0"/>
              </w:numPr>
              <w:ind w:left="113"/>
              <w:rPr>
                <w:i/>
                <w:sz w:val="22"/>
              </w:rPr>
            </w:pPr>
            <w:r w:rsidRPr="00CB40E1">
              <w:rPr>
                <w:i/>
                <w:sz w:val="22"/>
              </w:rPr>
              <w:t>The costing will be on the basis of information provided in this costing request.</w:t>
            </w:r>
          </w:p>
          <w:p w:rsidR="00640346" w:rsidRPr="00CB40E1" w:rsidRDefault="00CB40E1" w:rsidP="00660385">
            <w:pPr>
              <w:pStyle w:val="TableTextBullet1"/>
              <w:numPr>
                <w:ilvl w:val="0"/>
                <w:numId w:val="0"/>
              </w:numPr>
              <w:ind w:left="113"/>
              <w:rPr>
                <w:sz w:val="22"/>
              </w:rPr>
            </w:pPr>
            <w:r w:rsidRPr="00CB40E1">
              <w:rPr>
                <w:i/>
                <w:sz w:val="22"/>
              </w:rPr>
              <w:t>The PBO is not bound to accept the assumptions provided by the requestor.  If there is a material difference in the assumptions used by the PBO, the PBO will consult with the requestor in advance of the costing being completed.</w:t>
            </w:r>
          </w:p>
        </w:tc>
      </w:tr>
    </w:tbl>
    <w:p w:rsidR="0055581F" w:rsidRDefault="0055581F"/>
    <w:sectPr w:rsidR="0055581F" w:rsidSect="00BC559C">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CF3" w:rsidRDefault="001D5CF3" w:rsidP="008F588A">
      <w:pPr>
        <w:spacing w:line="240" w:lineRule="auto"/>
      </w:pPr>
      <w:r>
        <w:separator/>
      </w:r>
    </w:p>
  </w:endnote>
  <w:endnote w:type="continuationSeparator" w:id="0">
    <w:p w:rsidR="001D5CF3" w:rsidRDefault="001D5CF3" w:rsidP="008F5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7D" w:rsidRDefault="000B2C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0B2C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8F588A" w:rsidP="008F588A">
          <w:pPr>
            <w:pStyle w:val="Footer"/>
            <w:spacing w:before="180" w:after="60"/>
            <w:ind w:left="0" w:right="0"/>
          </w:pPr>
        </w:p>
      </w:tc>
      <w:tc>
        <w:tcPr>
          <w:tcW w:w="2410" w:type="dxa"/>
          <w:shd w:val="clear" w:color="auto" w:fill="auto"/>
        </w:tcPr>
        <w:p w:rsidR="008F588A" w:rsidRPr="008F588A" w:rsidRDefault="008F588A" w:rsidP="008F588A">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CA4F7B">
            <w:rPr>
              <w:noProof/>
              <w:color w:val="788184"/>
              <w:szCs w:val="20"/>
            </w:rPr>
            <w:t>2</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CA4F7B">
            <w:rPr>
              <w:noProof/>
              <w:color w:val="788184"/>
              <w:szCs w:val="20"/>
            </w:rPr>
            <w:t>4</w:t>
          </w:r>
          <w:r w:rsidRPr="008F588A">
            <w:rPr>
              <w:color w:val="788184"/>
              <w:szCs w:val="20"/>
            </w:rPr>
            <w:fldChar w:fldCharType="end"/>
          </w:r>
        </w:p>
      </w:tc>
    </w:tr>
  </w:tbl>
  <w:p w:rsidR="008F588A" w:rsidRPr="00CB40E1" w:rsidRDefault="008F588A" w:rsidP="008F588A">
    <w:pPr>
      <w:pStyle w:val="Foote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0B2C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CF6DB6" w:rsidP="00CF6DB6">
          <w:pPr>
            <w:pStyle w:val="Footer"/>
            <w:spacing w:before="180" w:after="60"/>
            <w:ind w:left="0" w:right="0"/>
          </w:pPr>
          <w:r>
            <w:rPr>
              <w:color w:val="788184"/>
              <w:szCs w:val="20"/>
            </w:rPr>
            <w:t xml:space="preserve">Parliamentary Budget Office   </w:t>
          </w:r>
          <w:r w:rsidR="008F588A" w:rsidRPr="008F588A">
            <w:rPr>
              <w:color w:val="788184"/>
              <w:szCs w:val="20"/>
            </w:rPr>
            <w:t>PO Box 6010</w:t>
          </w:r>
          <w:r>
            <w:rPr>
              <w:color w:val="788184"/>
              <w:szCs w:val="20"/>
            </w:rPr>
            <w:t xml:space="preserve"> </w:t>
          </w:r>
          <w:r w:rsidR="008F588A" w:rsidRPr="008F588A">
            <w:rPr>
              <w:color w:val="788184"/>
              <w:szCs w:val="20"/>
            </w:rPr>
            <w:t xml:space="preserve">  Parliament House </w:t>
          </w:r>
          <w:r>
            <w:rPr>
              <w:color w:val="788184"/>
              <w:szCs w:val="20"/>
            </w:rPr>
            <w:t xml:space="preserve"> </w:t>
          </w:r>
          <w:r w:rsidR="008F588A" w:rsidRPr="008F588A">
            <w:rPr>
              <w:color w:val="788184"/>
              <w:szCs w:val="20"/>
            </w:rPr>
            <w:t xml:space="preserve"> Canberra ACT 2600</w:t>
          </w:r>
          <w:r>
            <w:rPr>
              <w:color w:val="788184"/>
              <w:szCs w:val="20"/>
            </w:rPr>
            <w:br/>
            <w:t xml:space="preserve">Tel: 02 6277 9500   Email: pbo@pbo.gov.au   </w:t>
          </w:r>
          <w:r w:rsidR="008F588A" w:rsidRPr="008F588A">
            <w:rPr>
              <w:color w:val="788184"/>
              <w:szCs w:val="20"/>
            </w:rPr>
            <w:t>Web: www.pbo.gov.au</w:t>
          </w:r>
        </w:p>
      </w:tc>
      <w:tc>
        <w:tcPr>
          <w:tcW w:w="2410" w:type="dxa"/>
          <w:shd w:val="clear" w:color="auto" w:fill="auto"/>
          <w:vAlign w:val="center"/>
        </w:tcPr>
        <w:p w:rsidR="008F588A" w:rsidRPr="008F588A" w:rsidRDefault="008F588A" w:rsidP="00CF6DB6">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CA4F7B">
            <w:rPr>
              <w:noProof/>
              <w:color w:val="788184"/>
              <w:szCs w:val="20"/>
            </w:rPr>
            <w:t>1</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CA4F7B">
            <w:rPr>
              <w:noProof/>
              <w:color w:val="788184"/>
              <w:szCs w:val="20"/>
            </w:rPr>
            <w:t>4</w:t>
          </w:r>
          <w:r w:rsidRPr="008F588A">
            <w:rPr>
              <w:color w:val="788184"/>
              <w:szCs w:val="20"/>
            </w:rPr>
            <w:fldChar w:fldCharType="end"/>
          </w:r>
        </w:p>
      </w:tc>
    </w:tr>
  </w:tbl>
  <w:p w:rsidR="008F588A" w:rsidRPr="00CB40E1" w:rsidRDefault="008F588A">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CF3" w:rsidRDefault="001D5CF3" w:rsidP="008F588A">
      <w:pPr>
        <w:spacing w:line="240" w:lineRule="auto"/>
      </w:pPr>
      <w:r>
        <w:separator/>
      </w:r>
    </w:p>
  </w:footnote>
  <w:footnote w:type="continuationSeparator" w:id="0">
    <w:p w:rsidR="001D5CF3" w:rsidRDefault="001D5CF3" w:rsidP="008F58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7D" w:rsidRDefault="000B2C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Pr="008F588A" w:rsidRDefault="008F588A" w:rsidP="00CB40E1">
    <w:pPr>
      <w:pStyle w:val="Header"/>
      <w:spacing w:before="360" w:after="280"/>
      <w:rPr>
        <w:color w:val="788184"/>
      </w:rPr>
    </w:pPr>
    <w:r w:rsidRPr="008F588A">
      <w:rPr>
        <w:b/>
        <w:color w:val="788184"/>
        <w:sz w:val="20"/>
        <w:szCs w:val="20"/>
      </w:rPr>
      <w:t>PBO Policy costing request—during the caretaker period for a general election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Default="008F588A" w:rsidP="00CB40E1">
    <w:pPr>
      <w:pStyle w:val="Header"/>
    </w:pPr>
    <w:r>
      <w:rPr>
        <w:noProof/>
        <w:lang w:eastAsia="en-AU"/>
      </w:rPr>
      <w:drawing>
        <wp:inline distT="0" distB="0" distL="0" distR="0" wp14:anchorId="5FE611AD" wp14:editId="1840FB2F">
          <wp:extent cx="2696845" cy="572135"/>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5448"/>
    <w:multiLevelType w:val="multilevel"/>
    <w:tmpl w:val="30D6E9B2"/>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1">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2">
    <w:nsid w:val="19DE2101"/>
    <w:multiLevelType w:val="hybridMultilevel"/>
    <w:tmpl w:val="C518DC58"/>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3">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4">
    <w:nsid w:val="25712A58"/>
    <w:multiLevelType w:val="hybridMultilevel"/>
    <w:tmpl w:val="4852CEF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5">
    <w:nsid w:val="29EB4CE2"/>
    <w:multiLevelType w:val="hybridMultilevel"/>
    <w:tmpl w:val="95509DFC"/>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6">
    <w:nsid w:val="49742E94"/>
    <w:multiLevelType w:val="hybridMultilevel"/>
    <w:tmpl w:val="28EC579C"/>
    <w:lvl w:ilvl="0" w:tplc="CAF81E8C">
      <w:numFmt w:val="bullet"/>
      <w:lvlText w:val="•"/>
      <w:lvlJc w:val="left"/>
      <w:pPr>
        <w:ind w:left="826" w:hanging="600"/>
      </w:pPr>
      <w:rPr>
        <w:rFonts w:ascii="Calibri" w:eastAsia="Times New Roman" w:hAnsi="Calibri" w:cs="Times New Roman"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7">
    <w:nsid w:val="6FC81533"/>
    <w:multiLevelType w:val="hybridMultilevel"/>
    <w:tmpl w:val="419A1052"/>
    <w:lvl w:ilvl="0" w:tplc="CAF81E8C">
      <w:numFmt w:val="bullet"/>
      <w:lvlText w:val="•"/>
      <w:lvlJc w:val="left"/>
      <w:pPr>
        <w:ind w:left="713" w:hanging="600"/>
      </w:pPr>
      <w:rPr>
        <w:rFonts w:ascii="Calibri" w:eastAsia="Times New Roman" w:hAnsi="Calibri" w:cs="Times New Roman"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8">
    <w:nsid w:val="71CE2F93"/>
    <w:multiLevelType w:val="multilevel"/>
    <w:tmpl w:val="9A7284A0"/>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num w:numId="1">
    <w:abstractNumId w:val="0"/>
  </w:num>
  <w:num w:numId="2">
    <w:abstractNumId w:val="3"/>
  </w:num>
  <w:num w:numId="3">
    <w:abstractNumId w:val="1"/>
  </w:num>
  <w:num w:numId="4">
    <w:abstractNumId w:val="2"/>
  </w:num>
  <w:num w:numId="5">
    <w:abstractNumId w:val="8"/>
  </w:num>
  <w:num w:numId="6">
    <w:abstractNumId w:val="5"/>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C7D"/>
    <w:rsid w:val="000B2C7D"/>
    <w:rsid w:val="000C0F91"/>
    <w:rsid w:val="000C2D9C"/>
    <w:rsid w:val="0014239B"/>
    <w:rsid w:val="001538AA"/>
    <w:rsid w:val="001D5CF3"/>
    <w:rsid w:val="00515A85"/>
    <w:rsid w:val="0055581F"/>
    <w:rsid w:val="005E0D12"/>
    <w:rsid w:val="005F7DE0"/>
    <w:rsid w:val="00640346"/>
    <w:rsid w:val="00660385"/>
    <w:rsid w:val="007202A8"/>
    <w:rsid w:val="007B029A"/>
    <w:rsid w:val="007D7C73"/>
    <w:rsid w:val="008308B0"/>
    <w:rsid w:val="008F588A"/>
    <w:rsid w:val="00902D2D"/>
    <w:rsid w:val="00BC559C"/>
    <w:rsid w:val="00CA4F7B"/>
    <w:rsid w:val="00CB40E1"/>
    <w:rsid w:val="00CF6DB6"/>
    <w:rsid w:val="00CF733F"/>
    <w:rsid w:val="00D05A0F"/>
    <w:rsid w:val="00D134CA"/>
    <w:rsid w:val="00DA62F8"/>
    <w:rsid w:val="00E15AAE"/>
    <w:rsid w:val="00E55E9A"/>
    <w:rsid w:val="00F11961"/>
    <w:rsid w:val="00F42074"/>
    <w:rsid w:val="00F954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obert-simms.greensmps.org.au/content/media-releases/australian-greens-guarantee-funding-critical-hiv-prevention-drug"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reens.org.au/prep"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iganl\AppData\Local\Microsoft\Windows\Temporary%20Internet%20Files\Content.IE5\0VP2DY1G\Policy%20costing%20request%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costing request - caretaker.dotm</Template>
  <TotalTime>6</TotalTime>
  <Pages>4</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Policy costing request—during the caretaker period for a general election</vt:lpstr>
    </vt:vector>
  </TitlesOfParts>
  <Company>Parliament of Australia</Company>
  <LinksUpToDate>false</LinksUpToDate>
  <CharactersWithSpaces>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costing request—during the caretaker period for a general election</dc:title>
  <dc:creator>Australian Greens</dc:creator>
  <cp:lastModifiedBy>Milligan, Louise (PBO)</cp:lastModifiedBy>
  <cp:revision>5</cp:revision>
  <cp:lastPrinted>2016-04-20T06:27:00Z</cp:lastPrinted>
  <dcterms:created xsi:type="dcterms:W3CDTF">2016-06-30T04:58:00Z</dcterms:created>
  <dcterms:modified xsi:type="dcterms:W3CDTF">2016-06-30T07:27:00Z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