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485140" w:rsidP="00485140">
            <w:pPr>
              <w:pStyle w:val="TableHeadingCentred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 xml:space="preserve"> National Urban Forests Plan 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C736E8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30</w:t>
            </w:r>
            <w:r w:rsidR="00485140">
              <w:rPr>
                <w:sz w:val="22"/>
              </w:rPr>
              <w:t xml:space="preserve"> June 2016 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736E8" w:rsidRDefault="00640346" w:rsidP="008B2B99">
            <w:pPr>
              <w:pStyle w:val="TableText"/>
              <w:rPr>
                <w:sz w:val="22"/>
              </w:rPr>
            </w:pPr>
            <w:r w:rsidRPr="00C736E8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736E8">
              <w:rPr>
                <w:sz w:val="22"/>
              </w:rPr>
              <w:t>ie</w:t>
            </w:r>
            <w:proofErr w:type="spellEnd"/>
            <w:r w:rsidRPr="00C736E8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736E8" w:rsidRDefault="00C736E8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736E8"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485140" w:rsidP="00485140">
            <w:pPr>
              <w:pStyle w:val="TableTextCentred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Thursday 30</w:t>
            </w:r>
            <w:r w:rsidRPr="00485140"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June 2016 </w:t>
            </w:r>
          </w:p>
        </w:tc>
      </w:tr>
      <w:tr w:rsidR="008F588A" w:rsidRPr="00903231" w:rsidTr="00A85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A85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85F06" w:rsidRDefault="00A85F06" w:rsidP="00A85F0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</w:rPr>
            </w:pPr>
            <w:r w:rsidRPr="003537DA">
              <w:rPr>
                <w:bCs/>
                <w:szCs w:val="20"/>
              </w:rPr>
              <w:t>The long term goal is to create a healthy and protected Urban National Park in every Australian major city, comprised of a series of significant protected bushland areas, connected together by metropolitan scale Greenways (or urban forests), green streets and household backyards across the metropolitan area.</w:t>
            </w:r>
          </w:p>
          <w:p w:rsidR="00A85F06" w:rsidRDefault="00A85F06" w:rsidP="00A85F0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</w:rPr>
            </w:pPr>
          </w:p>
          <w:p w:rsidR="00A85F06" w:rsidRDefault="00A85F06" w:rsidP="00A85F0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We propose </w:t>
            </w:r>
            <w:r w:rsidRPr="00B71757">
              <w:rPr>
                <w:b/>
                <w:szCs w:val="20"/>
              </w:rPr>
              <w:t>$</w:t>
            </w:r>
            <w:r>
              <w:rPr>
                <w:b/>
                <w:szCs w:val="20"/>
              </w:rPr>
              <w:t>25 million per year over ten years for</w:t>
            </w:r>
            <w:r w:rsidRPr="00B71757">
              <w:rPr>
                <w:b/>
                <w:szCs w:val="20"/>
              </w:rPr>
              <w:t xml:space="preserve">: </w:t>
            </w:r>
          </w:p>
          <w:p w:rsidR="00A85F06" w:rsidRDefault="00A85F06" w:rsidP="00A85F0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:rsidR="00A85F06" w:rsidRPr="00B85171" w:rsidRDefault="00A85F06" w:rsidP="00A85F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85171">
              <w:rPr>
                <w:b/>
                <w:bCs/>
                <w:szCs w:val="20"/>
              </w:rPr>
              <w:t>$</w:t>
            </w:r>
            <w:r>
              <w:rPr>
                <w:b/>
                <w:bCs/>
                <w:szCs w:val="20"/>
              </w:rPr>
              <w:t>15</w:t>
            </w:r>
            <w:r w:rsidRPr="00B85171">
              <w:rPr>
                <w:b/>
                <w:bCs/>
                <w:szCs w:val="20"/>
              </w:rPr>
              <w:t xml:space="preserve">m Urban Forest Acquisition Fund </w:t>
            </w:r>
            <w:r w:rsidRPr="00B85171">
              <w:rPr>
                <w:szCs w:val="20"/>
              </w:rPr>
              <w:t>to enable the states to purchase areas of high conservation value natural habitat in urban areas</w:t>
            </w:r>
            <w:r>
              <w:rPr>
                <w:szCs w:val="20"/>
              </w:rPr>
              <w:t xml:space="preserve">, particularly areas under direct </w:t>
            </w:r>
            <w:r w:rsidRPr="00B85171">
              <w:rPr>
                <w:szCs w:val="20"/>
              </w:rPr>
              <w:t>thre</w:t>
            </w:r>
            <w:r>
              <w:rPr>
                <w:szCs w:val="20"/>
              </w:rPr>
              <w:t>at from development or neglect</w:t>
            </w:r>
          </w:p>
          <w:p w:rsidR="00A85F06" w:rsidRPr="00B85171" w:rsidRDefault="00A85F06" w:rsidP="00A85F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B85171">
              <w:rPr>
                <w:b/>
                <w:bCs/>
                <w:szCs w:val="20"/>
              </w:rPr>
              <w:t>$</w:t>
            </w:r>
            <w:r>
              <w:rPr>
                <w:b/>
                <w:bCs/>
                <w:szCs w:val="20"/>
              </w:rPr>
              <w:t>5</w:t>
            </w:r>
            <w:r w:rsidRPr="00B85171">
              <w:rPr>
                <w:b/>
                <w:bCs/>
                <w:szCs w:val="20"/>
              </w:rPr>
              <w:t xml:space="preserve"> million Community Grants </w:t>
            </w:r>
            <w:r w:rsidRPr="00B85171">
              <w:rPr>
                <w:szCs w:val="20"/>
              </w:rPr>
              <w:t xml:space="preserve">to enable local communities to contribute </w:t>
            </w:r>
            <w:r>
              <w:rPr>
                <w:szCs w:val="20"/>
              </w:rPr>
              <w:t xml:space="preserve">to the Greenways </w:t>
            </w:r>
            <w:r w:rsidRPr="00B85171">
              <w:rPr>
                <w:szCs w:val="20"/>
              </w:rPr>
              <w:t xml:space="preserve">through </w:t>
            </w:r>
            <w:r w:rsidRPr="00D82FEF">
              <w:rPr>
                <w:szCs w:val="20"/>
              </w:rPr>
              <w:t>precinct-scale or neighborhood scale</w:t>
            </w:r>
            <w:r w:rsidRPr="00B85171">
              <w:rPr>
                <w:b/>
                <w:szCs w:val="20"/>
              </w:rPr>
              <w:t xml:space="preserve"> </w:t>
            </w:r>
            <w:r w:rsidRPr="00B85171">
              <w:rPr>
                <w:szCs w:val="20"/>
              </w:rPr>
              <w:t xml:space="preserve">plantings </w:t>
            </w:r>
            <w:r w:rsidRPr="00D82FEF">
              <w:rPr>
                <w:iCs/>
                <w:szCs w:val="20"/>
              </w:rPr>
              <w:t>or</w:t>
            </w:r>
            <w:r w:rsidRPr="00B85171">
              <w:rPr>
                <w:szCs w:val="20"/>
              </w:rPr>
              <w:t xml:space="preserve"> infrastructure such as amphitheaters, </w:t>
            </w:r>
            <w:r>
              <w:rPr>
                <w:szCs w:val="20"/>
              </w:rPr>
              <w:t xml:space="preserve">interpretive </w:t>
            </w:r>
            <w:proofErr w:type="spellStart"/>
            <w:r>
              <w:rPr>
                <w:szCs w:val="20"/>
              </w:rPr>
              <w:t>centres</w:t>
            </w:r>
            <w:proofErr w:type="spellEnd"/>
            <w:r>
              <w:rPr>
                <w:szCs w:val="20"/>
              </w:rPr>
              <w:t xml:space="preserve">, walking trails </w:t>
            </w:r>
            <w:r w:rsidRPr="00B85171">
              <w:rPr>
                <w:szCs w:val="20"/>
              </w:rPr>
              <w:t xml:space="preserve">and so on </w:t>
            </w:r>
          </w:p>
          <w:p w:rsidR="00A85F06" w:rsidRPr="00B85171" w:rsidRDefault="00A85F06" w:rsidP="00A85F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B85171">
              <w:rPr>
                <w:b/>
                <w:bCs/>
                <w:szCs w:val="20"/>
              </w:rPr>
              <w:t>$</w:t>
            </w:r>
            <w:r>
              <w:rPr>
                <w:b/>
                <w:bCs/>
                <w:szCs w:val="20"/>
              </w:rPr>
              <w:t>1</w:t>
            </w:r>
            <w:r w:rsidRPr="00B85171">
              <w:rPr>
                <w:b/>
                <w:bCs/>
                <w:szCs w:val="20"/>
              </w:rPr>
              <w:t xml:space="preserve">m Household </w:t>
            </w:r>
            <w:r>
              <w:rPr>
                <w:b/>
                <w:bCs/>
                <w:szCs w:val="20"/>
              </w:rPr>
              <w:t xml:space="preserve">grants </w:t>
            </w:r>
            <w:r>
              <w:rPr>
                <w:bCs/>
                <w:szCs w:val="20"/>
              </w:rPr>
              <w:t xml:space="preserve">to </w:t>
            </w:r>
            <w:proofErr w:type="spellStart"/>
            <w:r>
              <w:rPr>
                <w:bCs/>
                <w:szCs w:val="20"/>
              </w:rPr>
              <w:t>subsidis</w:t>
            </w:r>
            <w:r w:rsidRPr="00B85171">
              <w:rPr>
                <w:bCs/>
                <w:szCs w:val="20"/>
              </w:rPr>
              <w:t>e</w:t>
            </w:r>
            <w:proofErr w:type="spellEnd"/>
            <w:r w:rsidRPr="00B85171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local area </w:t>
            </w:r>
            <w:r w:rsidRPr="00B85171">
              <w:rPr>
                <w:bCs/>
                <w:szCs w:val="20"/>
              </w:rPr>
              <w:t>biodiversity plantings in front verges and backyards</w:t>
            </w:r>
            <w:r>
              <w:rPr>
                <w:bCs/>
                <w:szCs w:val="20"/>
              </w:rPr>
              <w:t xml:space="preserve">, </w:t>
            </w:r>
            <w:r w:rsidRPr="00B85171">
              <w:rPr>
                <w:bCs/>
                <w:szCs w:val="20"/>
              </w:rPr>
              <w:t xml:space="preserve">to </w:t>
            </w:r>
            <w:r>
              <w:rPr>
                <w:bCs/>
                <w:szCs w:val="20"/>
              </w:rPr>
              <w:t xml:space="preserve">enable households to directly link in to the local greenway; made </w:t>
            </w:r>
            <w:r w:rsidRPr="00B85171">
              <w:rPr>
                <w:bCs/>
                <w:szCs w:val="20"/>
              </w:rPr>
              <w:t xml:space="preserve">available </w:t>
            </w:r>
            <w:r>
              <w:rPr>
                <w:bCs/>
                <w:szCs w:val="20"/>
              </w:rPr>
              <w:t>via l</w:t>
            </w:r>
            <w:r w:rsidRPr="00B85171">
              <w:rPr>
                <w:bCs/>
                <w:szCs w:val="20"/>
              </w:rPr>
              <w:t xml:space="preserve">ocal </w:t>
            </w:r>
            <w:proofErr w:type="spellStart"/>
            <w:r w:rsidRPr="00B85171">
              <w:rPr>
                <w:bCs/>
                <w:szCs w:val="20"/>
              </w:rPr>
              <w:t>Landcare</w:t>
            </w:r>
            <w:proofErr w:type="spellEnd"/>
            <w:r w:rsidRPr="00B85171">
              <w:rPr>
                <w:bCs/>
                <w:szCs w:val="20"/>
              </w:rPr>
              <w:t xml:space="preserve"> groups, local councils and native n</w:t>
            </w:r>
            <w:r>
              <w:rPr>
                <w:bCs/>
                <w:szCs w:val="20"/>
              </w:rPr>
              <w:t>urseries</w:t>
            </w:r>
          </w:p>
          <w:p w:rsidR="00A85F06" w:rsidRPr="00B85171" w:rsidRDefault="00A85F06" w:rsidP="00A85F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$1m to assist </w:t>
            </w:r>
            <w:r w:rsidRPr="00B85171">
              <w:rPr>
                <w:b/>
                <w:bCs/>
                <w:szCs w:val="20"/>
              </w:rPr>
              <w:t xml:space="preserve">states and local councils develop </w:t>
            </w:r>
            <w:r>
              <w:rPr>
                <w:b/>
                <w:bCs/>
                <w:szCs w:val="20"/>
              </w:rPr>
              <w:t>local</w:t>
            </w:r>
            <w:r w:rsidRPr="00B85171">
              <w:rPr>
                <w:b/>
                <w:bCs/>
                <w:szCs w:val="20"/>
              </w:rPr>
              <w:t xml:space="preserve"> Urban Forest </w:t>
            </w:r>
            <w:r>
              <w:rPr>
                <w:b/>
                <w:bCs/>
                <w:szCs w:val="20"/>
              </w:rPr>
              <w:t>P</w:t>
            </w:r>
            <w:r w:rsidRPr="00D82FEF">
              <w:rPr>
                <w:b/>
                <w:szCs w:val="20"/>
              </w:rPr>
              <w:t>lans</w:t>
            </w:r>
            <w:r w:rsidRPr="00B85171">
              <w:rPr>
                <w:szCs w:val="20"/>
              </w:rPr>
              <w:t xml:space="preserve"> </w:t>
            </w:r>
            <w:r>
              <w:rPr>
                <w:szCs w:val="20"/>
              </w:rPr>
              <w:t>including mapping and planning linkages</w:t>
            </w:r>
          </w:p>
          <w:p w:rsidR="00A85F06" w:rsidRPr="00B85171" w:rsidRDefault="00A85F06" w:rsidP="00A85F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5171">
              <w:rPr>
                <w:b/>
                <w:bCs/>
                <w:szCs w:val="20"/>
              </w:rPr>
              <w:t>$2m to estab</w:t>
            </w:r>
            <w:r>
              <w:rPr>
                <w:b/>
                <w:bCs/>
                <w:szCs w:val="20"/>
              </w:rPr>
              <w:t>lish an Aboriginal Stewardship C</w:t>
            </w:r>
            <w:r w:rsidRPr="00B85171">
              <w:rPr>
                <w:b/>
                <w:bCs/>
                <w:szCs w:val="20"/>
              </w:rPr>
              <w:t xml:space="preserve">ommittee in each state </w:t>
            </w:r>
            <w:r w:rsidRPr="00B85171">
              <w:rPr>
                <w:szCs w:val="20"/>
              </w:rPr>
              <w:t xml:space="preserve">to steer </w:t>
            </w:r>
            <w:r>
              <w:rPr>
                <w:szCs w:val="20"/>
              </w:rPr>
              <w:t xml:space="preserve">planning and mapping of the greenways networks, and to </w:t>
            </w:r>
            <w:r w:rsidRPr="00B85171">
              <w:rPr>
                <w:szCs w:val="20"/>
              </w:rPr>
              <w:t>engag</w:t>
            </w:r>
            <w:r>
              <w:rPr>
                <w:szCs w:val="20"/>
              </w:rPr>
              <w:t>e</w:t>
            </w:r>
            <w:r w:rsidRPr="00B85171">
              <w:rPr>
                <w:szCs w:val="20"/>
              </w:rPr>
              <w:t xml:space="preserve"> Aboriginal </w:t>
            </w:r>
            <w:r>
              <w:rPr>
                <w:szCs w:val="20"/>
              </w:rPr>
              <w:t xml:space="preserve">businesses </w:t>
            </w:r>
            <w:r w:rsidRPr="00B85171">
              <w:rPr>
                <w:szCs w:val="20"/>
              </w:rPr>
              <w:t>to develop cultural trails and deliver cultural, education</w:t>
            </w:r>
            <w:r>
              <w:rPr>
                <w:szCs w:val="20"/>
              </w:rPr>
              <w:t xml:space="preserve"> and eco-tourism programs</w:t>
            </w:r>
          </w:p>
          <w:p w:rsidR="00A85F06" w:rsidRPr="001D34EE" w:rsidRDefault="00A85F06" w:rsidP="00A85F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B85171">
              <w:rPr>
                <w:b/>
                <w:bCs/>
                <w:szCs w:val="20"/>
              </w:rPr>
              <w:t>$</w:t>
            </w:r>
            <w:r>
              <w:rPr>
                <w:b/>
                <w:bCs/>
                <w:szCs w:val="20"/>
              </w:rPr>
              <w:t>1m</w:t>
            </w:r>
            <w:r w:rsidRPr="00B85171">
              <w:rPr>
                <w:b/>
                <w:bCs/>
                <w:szCs w:val="20"/>
              </w:rPr>
              <w:t xml:space="preserve"> for ongoing maintenance</w:t>
            </w:r>
            <w:r w:rsidRPr="00B85171">
              <w:rPr>
                <w:szCs w:val="20"/>
              </w:rPr>
              <w:t xml:space="preserve"> </w:t>
            </w:r>
            <w:r>
              <w:rPr>
                <w:szCs w:val="20"/>
              </w:rPr>
              <w:t>including</w:t>
            </w:r>
            <w:r w:rsidRPr="00B85171">
              <w:rPr>
                <w:szCs w:val="20"/>
              </w:rPr>
              <w:t xml:space="preserve"> tree audits every 3 years to measure</w:t>
            </w:r>
            <w:r>
              <w:rPr>
                <w:szCs w:val="20"/>
              </w:rPr>
              <w:t xml:space="preserve"> tree</w:t>
            </w:r>
            <w:r w:rsidRPr="00B85171">
              <w:rPr>
                <w:szCs w:val="20"/>
              </w:rPr>
              <w:t xml:space="preserve"> canopy cover and health</w:t>
            </w:r>
            <w:r>
              <w:rPr>
                <w:szCs w:val="20"/>
              </w:rPr>
              <w:t xml:space="preserve">, and an interactive </w:t>
            </w:r>
            <w:r w:rsidRPr="00076ED0">
              <w:rPr>
                <w:bCs/>
                <w:szCs w:val="20"/>
              </w:rPr>
              <w:t>website with mapping tools and education resources</w:t>
            </w:r>
          </w:p>
          <w:p w:rsidR="001D34EE" w:rsidRPr="00B85171" w:rsidRDefault="001D34EE" w:rsidP="001D34EE">
            <w:pPr>
              <w:pStyle w:val="ListParagraph"/>
              <w:spacing w:after="0" w:line="24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bookmarkStart w:id="0" w:name="_GoBack"/>
            <w:bookmarkEnd w:id="0"/>
          </w:p>
          <w:p w:rsidR="00A85F06" w:rsidRPr="00B85171" w:rsidRDefault="00A85F06" w:rsidP="00A85F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85171">
              <w:rPr>
                <w:b/>
                <w:bCs/>
                <w:szCs w:val="20"/>
              </w:rPr>
              <w:lastRenderedPageBreak/>
              <w:t xml:space="preserve">Introduce a federal moratorium on clearing of urban bushland </w:t>
            </w:r>
            <w:r w:rsidRPr="00B85171">
              <w:rPr>
                <w:szCs w:val="20"/>
              </w:rPr>
              <w:t xml:space="preserve">until each city has completed Strategic Environmental Assessment and an assessment of by the Threatened Species Commissioner </w:t>
            </w:r>
          </w:p>
          <w:p w:rsidR="00A85F06" w:rsidRPr="00B85171" w:rsidRDefault="00A85F06" w:rsidP="00A85F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0"/>
              </w:rPr>
            </w:pPr>
            <w:r w:rsidRPr="00B85171">
              <w:rPr>
                <w:b/>
                <w:bCs/>
                <w:szCs w:val="20"/>
              </w:rPr>
              <w:t xml:space="preserve">Establish an Urban Biodiversity Taskforce </w:t>
            </w:r>
            <w:r w:rsidRPr="00076ED0">
              <w:rPr>
                <w:szCs w:val="20"/>
              </w:rPr>
              <w:t>within the re-established Major Cities Unit</w:t>
            </w:r>
            <w:r w:rsidRPr="00D82FEF">
              <w:rPr>
                <w:b/>
                <w:szCs w:val="20"/>
              </w:rPr>
              <w:t>,</w:t>
            </w:r>
            <w:r w:rsidRPr="00B85171">
              <w:rPr>
                <w:szCs w:val="20"/>
              </w:rPr>
              <w:t xml:space="preserve"> responsible for coordinating the Greenways initiative from a planning and infrastructure perspective </w:t>
            </w:r>
          </w:p>
          <w:p w:rsidR="00A85F06" w:rsidRDefault="00A85F06" w:rsidP="00A85F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8E3CC2">
              <w:rPr>
                <w:b/>
                <w:bCs/>
                <w:szCs w:val="20"/>
              </w:rPr>
              <w:t>Create a new category of National Park called ‘</w:t>
            </w:r>
            <w:r w:rsidRPr="008E3CC2">
              <w:rPr>
                <w:b/>
                <w:bCs/>
                <w:i/>
                <w:szCs w:val="20"/>
              </w:rPr>
              <w:t>Urban National Parks’</w:t>
            </w:r>
            <w:r w:rsidRPr="008E3CC2">
              <w:rPr>
                <w:b/>
                <w:bCs/>
                <w:szCs w:val="20"/>
              </w:rPr>
              <w:t xml:space="preserve"> by 2020 - consisting of a series of interlinked urban forests and greenways. </w:t>
            </w:r>
            <w:r w:rsidRPr="008E3CC2">
              <w:rPr>
                <w:bCs/>
                <w:szCs w:val="20"/>
              </w:rPr>
              <w:t>This will be added to Australia’s National Reserve System, affording it maximum protection and status possible in Australian law</w:t>
            </w:r>
            <w:r w:rsidRPr="008E3CC2">
              <w:rPr>
                <w:b/>
                <w:bCs/>
                <w:szCs w:val="20"/>
              </w:rPr>
              <w:t xml:space="preserve">.  </w:t>
            </w:r>
            <w:r w:rsidRPr="008E3CC2">
              <w:rPr>
                <w:szCs w:val="20"/>
              </w:rPr>
              <w:t xml:space="preserve">Australia’s National Reserve System currently includes and manages about 70% of Australia’s protected habitats, including National Parks.  </w:t>
            </w:r>
          </w:p>
          <w:p w:rsidR="00A85F06" w:rsidRDefault="00A85F06" w:rsidP="00A85F06">
            <w:pPr>
              <w:pStyle w:val="ListParagraph"/>
              <w:spacing w:after="0" w:line="24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:rsidR="00640346" w:rsidRPr="00A85F06" w:rsidRDefault="00485140" w:rsidP="00485140">
            <w:pPr>
              <w:pStyle w:val="TableTextCentred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A85F06">
              <w:rPr>
                <w:b/>
                <w:sz w:val="22"/>
              </w:rPr>
              <w:t xml:space="preserve">Copy attached. 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9269CE" w:rsidRDefault="009269CE" w:rsidP="00A85F0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Green Cities Fund will </w:t>
            </w:r>
            <w:r w:rsidRPr="00B85171">
              <w:t xml:space="preserve">transform our cities to cooler, more liveable, greener places to live, as well as </w:t>
            </w:r>
            <w:r>
              <w:t xml:space="preserve">reduce carbon emissions. </w:t>
            </w:r>
          </w:p>
          <w:p w:rsidR="009269CE" w:rsidRDefault="009269CE" w:rsidP="00A85F0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69CE" w:rsidRDefault="009269CE" w:rsidP="00A85F0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t>It Is a</w:t>
            </w:r>
            <w:r>
              <w:rPr>
                <w:sz w:val="22"/>
              </w:rPr>
              <w:t xml:space="preserve"> national plan to cool our cities, protect remaining habitat and increase the tree canopy and biodiversity at the metropolitan scale in a series of greenways that over the long term will become a protected “urban national park”:</w:t>
            </w:r>
          </w:p>
          <w:p w:rsidR="00640346" w:rsidRPr="00CB40E1" w:rsidRDefault="00640346" w:rsidP="00A85F0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9269CE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269CE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Capped at $25m per year over ten years 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9269CE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269CE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269CE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269CE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269CE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9269CE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-25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9269CE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9269CE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-25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9269CE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-25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9269CE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-25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9269CE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-25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9269CE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-25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9269CE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-25 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269CE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926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269CE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80% of Australia’s population lives in our major </w:t>
            </w:r>
            <w:proofErr w:type="gramStart"/>
            <w:r>
              <w:rPr>
                <w:sz w:val="22"/>
              </w:rPr>
              <w:t>cities,</w:t>
            </w:r>
            <w:proofErr w:type="gramEnd"/>
            <w:r>
              <w:rPr>
                <w:sz w:val="22"/>
              </w:rPr>
              <w:t xml:space="preserve"> this wil</w:t>
            </w:r>
            <w:r w:rsidR="003209C6">
              <w:rPr>
                <w:sz w:val="22"/>
              </w:rPr>
              <w:t>l have a positive impact on their communities.</w:t>
            </w:r>
          </w:p>
        </w:tc>
      </w:tr>
      <w:tr w:rsidR="00CF6DB6" w:rsidTr="009269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Administration of policy:</w:t>
            </w:r>
          </w:p>
        </w:tc>
      </w:tr>
      <w:tr w:rsidR="00640346" w:rsidTr="00926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269CE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The Australian Government. 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135CC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D34EE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D34EE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135CC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D34EE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D34EE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4E4D38AC"/>
    <w:multiLevelType w:val="hybridMultilevel"/>
    <w:tmpl w:val="C75EDE4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135CCB"/>
    <w:rsid w:val="0014239B"/>
    <w:rsid w:val="001D34EE"/>
    <w:rsid w:val="003209C6"/>
    <w:rsid w:val="00485140"/>
    <w:rsid w:val="004C5CC2"/>
    <w:rsid w:val="00515A85"/>
    <w:rsid w:val="0055581F"/>
    <w:rsid w:val="005F7DE0"/>
    <w:rsid w:val="00640346"/>
    <w:rsid w:val="00660385"/>
    <w:rsid w:val="007202A8"/>
    <w:rsid w:val="007616C6"/>
    <w:rsid w:val="007B029A"/>
    <w:rsid w:val="007C4F2D"/>
    <w:rsid w:val="008B1774"/>
    <w:rsid w:val="008F588A"/>
    <w:rsid w:val="00902D2D"/>
    <w:rsid w:val="009269CE"/>
    <w:rsid w:val="009E5FB7"/>
    <w:rsid w:val="00A85F06"/>
    <w:rsid w:val="00BC559C"/>
    <w:rsid w:val="00C736E8"/>
    <w:rsid w:val="00CB3585"/>
    <w:rsid w:val="00CB40E1"/>
    <w:rsid w:val="00CF6DB6"/>
    <w:rsid w:val="00D134CA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rsid w:val="00A85F06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A85F0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rsid w:val="00A85F06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A85F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6</cp:revision>
  <cp:lastPrinted>2016-04-20T06:27:00Z</cp:lastPrinted>
  <dcterms:created xsi:type="dcterms:W3CDTF">2016-06-30T03:19:00Z</dcterms:created>
  <dcterms:modified xsi:type="dcterms:W3CDTF">2016-06-30T06:49:00Z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