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2B425C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Standing Up for Small Business</w:t>
            </w:r>
            <w:r w:rsidR="00876F08">
              <w:rPr>
                <w:sz w:val="22"/>
              </w:rPr>
              <w:t>: Loss Carry-back and GST Threshold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76F08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2B425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2B425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June 2016, Senator Nick McKim</w:t>
            </w:r>
          </w:p>
          <w:p w:rsidR="002B425C" w:rsidRDefault="001455D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9" w:history="1">
              <w:r w:rsidR="002B425C" w:rsidRPr="003442AD">
                <w:rPr>
                  <w:rStyle w:val="Hyperlink"/>
                  <w:sz w:val="22"/>
                </w:rPr>
                <w:t>http://greens.org.au/small-business</w:t>
              </w:r>
            </w:hyperlink>
          </w:p>
          <w:p w:rsidR="002B425C" w:rsidRPr="00CB40E1" w:rsidRDefault="002B425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76F08" w:rsidRPr="00876F08" w:rsidRDefault="00876F08" w:rsidP="00474BE6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6F08">
              <w:rPr>
                <w:b/>
                <w:sz w:val="22"/>
              </w:rPr>
              <w:t>Component 1</w:t>
            </w:r>
          </w:p>
          <w:p w:rsidR="00640346" w:rsidRDefault="00474BE6" w:rsidP="00474BE6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Reinstate loss carry-back to allow small businesses to claim up to $1 million of current financial year losses against profits made in previous financial years.</w:t>
            </w:r>
          </w:p>
          <w:p w:rsidR="00876F08" w:rsidRDefault="00876F08" w:rsidP="00474BE6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876F08" w:rsidRPr="00876F08" w:rsidRDefault="00876F08" w:rsidP="00474BE6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6F08">
              <w:rPr>
                <w:b/>
                <w:sz w:val="22"/>
              </w:rPr>
              <w:t>Component 2</w:t>
            </w:r>
          </w:p>
          <w:p w:rsidR="00876F08" w:rsidRPr="00876F08" w:rsidRDefault="00876F08" w:rsidP="00876F0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</w:t>
            </w:r>
            <w:r w:rsidRPr="00876F08">
              <w:rPr>
                <w:sz w:val="22"/>
              </w:rPr>
              <w:t>ncrease the registration threshold for the Goods and Services Tax (GST) from $75,000 to $150,000 or more for businesses, and from $150,000 to $300,000 or more for not-for-profit organisations, with the thresholds to be indexed annually by the Consumer Price Index (CPI).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A64E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Assist small businesses that are viable over the long-term manage ‘lumpy’ cash flows</w:t>
            </w:r>
            <w:r w:rsidR="00876F08">
              <w:rPr>
                <w:sz w:val="22"/>
              </w:rPr>
              <w:t xml:space="preserve"> and help reduce GST paperwork for small businesses</w:t>
            </w:r>
            <w:r>
              <w:rPr>
                <w:sz w:val="22"/>
              </w:rPr>
              <w:t>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2B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64EA0" w:rsidP="00A64EA0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Demand driven. 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2B425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474BE6" w:rsidRDefault="00474BE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Yes.</w:t>
            </w:r>
          </w:p>
          <w:p w:rsidR="00640346" w:rsidRPr="00CB40E1" w:rsidRDefault="00474BE6" w:rsidP="00474BE6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 Expenses to the Australian Taxation Office of $9.7 millio</w:t>
            </w:r>
            <w:r w:rsidR="00876F08">
              <w:rPr>
                <w:sz w:val="22"/>
              </w:rPr>
              <w:t>n over the    forward estimates for Loss Carry Back and $250 million for lifting GST threshold.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Does the policy relate to a previous bud</w:t>
            </w:r>
            <w:bookmarkStart w:id="0" w:name="_GoBack"/>
            <w:bookmarkEnd w:id="0"/>
            <w:r w:rsidRPr="00CB40E1">
              <w:rPr>
                <w:sz w:val="22"/>
              </w:rPr>
              <w:t xml:space="preserve">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CC259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 w:rsidR="00CC259D" w:rsidRDefault="00CC259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CC259D" w:rsidRPr="00CB40E1" w:rsidRDefault="00CC259D" w:rsidP="00CC259D">
            <w:pPr>
              <w:pStyle w:val="TableTextCentred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Tax loss carry-back measure – 2012-13 Budget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76F0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74BE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C259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-7.7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76F0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-406.0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97C59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-301.4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97C59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-465.1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C259D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-7.7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876F08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-40</w:t>
            </w:r>
            <w:r w:rsidR="00CC259D">
              <w:rPr>
                <w:sz w:val="22"/>
              </w:rPr>
              <w:t>6.0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97C59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-301.4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297C59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-465.1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CC259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Eligible taxpayers are assumed the claim the full amount as soon as it is available.</w:t>
            </w:r>
          </w:p>
          <w:p w:rsidR="00CC259D" w:rsidRPr="00CB40E1" w:rsidRDefault="00CC259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proportion of prior year loss deductions able to be utilised was assumed to be equal to historical average.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76F0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A64E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Provides relief to small businesses to manage downturns in trading and provides liquidity to meet liabilities.</w:t>
            </w:r>
          </w:p>
          <w:p w:rsidR="00A64EA0" w:rsidRDefault="00A64E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Over 100 000 small businesses</w:t>
            </w:r>
          </w:p>
          <w:p w:rsidR="00A64EA0" w:rsidRDefault="00A64E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A64EA0" w:rsidRDefault="00A64E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High</w:t>
            </w:r>
          </w:p>
          <w:p w:rsidR="00A64EA0" w:rsidRPr="00CB40E1" w:rsidRDefault="00A64EA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Uptake of measure before it was repealed.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B425C" w:rsidP="00297C59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Australian </w:t>
            </w:r>
            <w:r w:rsidR="00297C59">
              <w:rPr>
                <w:sz w:val="22"/>
              </w:rPr>
              <w:t>Taxation Office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74BE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Additional processing by the Australian Taxation Office.</w:t>
            </w:r>
            <w:r w:rsidR="00876F08">
              <w:rPr>
                <w:sz w:val="22"/>
              </w:rPr>
              <w:t xml:space="preserve"> While the reduced revenue from lifting GST thresholds goes to the states, the administrative responsibility of changing administrative arrangements will be borne by the Federal Government.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  <w:r w:rsidR="00876F08">
              <w:rPr>
                <w:sz w:val="22"/>
              </w:rPr>
              <w:t xml:space="preserve"> for Loss-Carry Back and 1 July 2017 for GST threshold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74BE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30 June 2020</w:t>
            </w:r>
            <w:r w:rsidR="00297C59">
              <w:rPr>
                <w:sz w:val="22"/>
              </w:rPr>
              <w:t xml:space="preserve"> 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97C59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297C59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2012-13 Budget</w:t>
            </w:r>
          </w:p>
          <w:p w:rsidR="00297C59" w:rsidRDefault="00297C59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2013-14 Pre-election Fiscal Outlook</w:t>
            </w:r>
          </w:p>
          <w:p w:rsidR="00297C59" w:rsidRDefault="00297C59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2013-14 Budget</w:t>
            </w:r>
          </w:p>
          <w:p w:rsidR="00297C59" w:rsidRPr="00CB40E1" w:rsidRDefault="00297C59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2015-16 Mid-year Economic and Fiscal Outlook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97C59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2F" w:rsidRDefault="00ED1B2F" w:rsidP="008F588A">
      <w:pPr>
        <w:spacing w:line="240" w:lineRule="auto"/>
      </w:pPr>
      <w:r>
        <w:separator/>
      </w:r>
    </w:p>
  </w:endnote>
  <w:endnote w:type="continuationSeparator" w:id="0">
    <w:p w:rsidR="00ED1B2F" w:rsidRDefault="00ED1B2F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8B448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455D2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455D2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8B448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455D2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455D2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2F" w:rsidRDefault="00ED1B2F" w:rsidP="008F588A">
      <w:pPr>
        <w:spacing w:line="240" w:lineRule="auto"/>
      </w:pPr>
      <w:r>
        <w:separator/>
      </w:r>
    </w:p>
  </w:footnote>
  <w:footnote w:type="continuationSeparator" w:id="0">
    <w:p w:rsidR="00ED1B2F" w:rsidRDefault="00ED1B2F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1455D2"/>
    <w:rsid w:val="00297C59"/>
    <w:rsid w:val="002B425C"/>
    <w:rsid w:val="00474BE6"/>
    <w:rsid w:val="004C5CC2"/>
    <w:rsid w:val="00515A85"/>
    <w:rsid w:val="0055581F"/>
    <w:rsid w:val="005F7DE0"/>
    <w:rsid w:val="00640346"/>
    <w:rsid w:val="00660385"/>
    <w:rsid w:val="007202A8"/>
    <w:rsid w:val="007616C6"/>
    <w:rsid w:val="007B029A"/>
    <w:rsid w:val="007C4F2D"/>
    <w:rsid w:val="00876F08"/>
    <w:rsid w:val="008B1774"/>
    <w:rsid w:val="008B4484"/>
    <w:rsid w:val="008F588A"/>
    <w:rsid w:val="00902D2D"/>
    <w:rsid w:val="009E5FB7"/>
    <w:rsid w:val="00A64EA0"/>
    <w:rsid w:val="00BC559C"/>
    <w:rsid w:val="00CB40E1"/>
    <w:rsid w:val="00CC259D"/>
    <w:rsid w:val="00CF6DB6"/>
    <w:rsid w:val="00D134CA"/>
    <w:rsid w:val="00E15AAE"/>
    <w:rsid w:val="00ED1B2F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eens.org.au/small-busines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88C22B9-592F-4BDD-B601-388E927A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2016-06-28T06:22:00Z</dcterms:created>
  <dcterms:modified xsi:type="dcterms:W3CDTF">2016-06-28T21:29:00Z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