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8A" w:rsidRPr="00BC559C" w:rsidRDefault="008F588A" w:rsidP="00BC559C">
      <w:pPr>
        <w:pStyle w:val="Heading1"/>
      </w:pPr>
      <w:r w:rsidRPr="00BC559C">
        <w:t>Policy costing request—during the caretaker period for a general election</w:t>
      </w:r>
    </w:p>
    <w:tbl>
      <w:tblPr>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CellMar>
          <w:left w:w="0" w:type="dxa"/>
          <w:right w:w="0" w:type="dxa"/>
        </w:tblCellMar>
        <w:tblLook w:val="04A0" w:firstRow="1" w:lastRow="0" w:firstColumn="1" w:lastColumn="0" w:noHBand="0" w:noVBand="1"/>
      </w:tblPr>
      <w:tblGrid>
        <w:gridCol w:w="3128"/>
        <w:gridCol w:w="656"/>
        <w:gridCol w:w="1180"/>
        <w:gridCol w:w="1837"/>
        <w:gridCol w:w="1835"/>
        <w:gridCol w:w="1840"/>
      </w:tblGrid>
      <w:tr w:rsidR="008F588A"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D7DDE9"/>
          </w:tcPr>
          <w:p w:rsidR="008F588A" w:rsidRPr="0021706F" w:rsidRDefault="008F588A" w:rsidP="003157D3">
            <w:pPr>
              <w:pStyle w:val="TableHeading"/>
              <w:rPr>
                <w:rFonts w:eastAsia="Times New Roman"/>
                <w:color w:val="auto"/>
                <w:sz w:val="22"/>
                <w:lang w:eastAsia="en-AU"/>
              </w:rPr>
            </w:pPr>
            <w:r w:rsidRPr="0021706F">
              <w:rPr>
                <w:rFonts w:eastAsia="Times New Roman"/>
                <w:color w:val="auto"/>
                <w:sz w:val="22"/>
                <w:lang w:eastAsia="en-AU"/>
              </w:rPr>
              <w:t>Name of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D7DDE9"/>
          </w:tcPr>
          <w:p w:rsidR="008F588A" w:rsidRPr="0021706F" w:rsidRDefault="00726F2A" w:rsidP="001A4628">
            <w:pPr>
              <w:spacing w:before="70" w:after="70"/>
              <w:ind w:left="113" w:right="113"/>
              <w:rPr>
                <w:lang w:eastAsia="en-AU"/>
              </w:rPr>
            </w:pPr>
            <w:r>
              <w:rPr>
                <w:lang w:eastAsia="en-AU"/>
              </w:rPr>
              <w:t>Stopping another stolen generation: Reducing the number of Aboriginal</w:t>
            </w:r>
            <w:r w:rsidR="001A4628">
              <w:rPr>
                <w:b/>
                <w:lang w:eastAsia="en-AU"/>
              </w:rPr>
              <w:t xml:space="preserve"> </w:t>
            </w:r>
            <w:r w:rsidR="001A4628" w:rsidRPr="001A4628">
              <w:t>and Torres Strait Islander children</w:t>
            </w:r>
            <w:r>
              <w:rPr>
                <w:lang w:eastAsia="en-AU"/>
              </w:rPr>
              <w:t xml:space="preserve"> in out of home care</w:t>
            </w:r>
            <w:bookmarkStart w:id="0" w:name="_GoBack"/>
            <w:bookmarkEnd w:id="0"/>
          </w:p>
        </w:tc>
      </w:tr>
      <w:tr w:rsidR="008F588A"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8F588A" w:rsidRPr="0021706F" w:rsidRDefault="008F588A" w:rsidP="003157D3">
            <w:pPr>
              <w:pStyle w:val="TableText"/>
              <w:rPr>
                <w:rFonts w:eastAsia="Times New Roman"/>
                <w:sz w:val="22"/>
                <w:lang w:eastAsia="en-AU"/>
              </w:rPr>
            </w:pPr>
            <w:r w:rsidRPr="0021706F">
              <w:rPr>
                <w:rFonts w:eastAsia="Times New Roman"/>
                <w:sz w:val="22"/>
                <w:lang w:eastAsia="en-AU"/>
              </w:rPr>
              <w:t>Person requesting costing:</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8F588A" w:rsidRPr="0021706F" w:rsidRDefault="00B17A51" w:rsidP="0021706F">
            <w:pPr>
              <w:pStyle w:val="TableTextCentred"/>
              <w:jc w:val="left"/>
              <w:rPr>
                <w:sz w:val="22"/>
              </w:rPr>
            </w:pPr>
            <w:r>
              <w:rPr>
                <w:sz w:val="22"/>
              </w:rPr>
              <w:t>Senator Richard D</w:t>
            </w:r>
            <w:r w:rsidR="00726F2A">
              <w:rPr>
                <w:sz w:val="22"/>
              </w:rPr>
              <w:t>i Natale</w:t>
            </w:r>
          </w:p>
        </w:tc>
      </w:tr>
      <w:tr w:rsidR="00F954CF"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F954CF" w:rsidRPr="0021706F" w:rsidRDefault="00F954CF" w:rsidP="003157D3">
            <w:pPr>
              <w:pStyle w:val="TableText"/>
              <w:rPr>
                <w:rFonts w:eastAsia="Times New Roman"/>
                <w:sz w:val="22"/>
                <w:lang w:eastAsia="en-AU"/>
              </w:rPr>
            </w:pPr>
            <w:r w:rsidRPr="0021706F">
              <w:rPr>
                <w:rFonts w:eastAsia="Times New Roman"/>
                <w:sz w:val="22"/>
                <w:lang w:eastAsia="en-AU"/>
              </w:rPr>
              <w:t>P</w:t>
            </w:r>
            <w:r w:rsidR="00515A85" w:rsidRPr="0021706F">
              <w:rPr>
                <w:rFonts w:eastAsia="Times New Roman"/>
                <w:sz w:val="22"/>
                <w:lang w:eastAsia="en-AU"/>
              </w:rPr>
              <w:t>arliamentary p</w:t>
            </w:r>
            <w:r w:rsidRPr="0021706F">
              <w:rPr>
                <w:rFonts w:eastAsia="Times New Roman"/>
                <w:sz w:val="22"/>
                <w:lang w:eastAsia="en-AU"/>
              </w:rPr>
              <w:t>arty</w:t>
            </w:r>
            <w:r w:rsidR="00515A85" w:rsidRPr="0021706F">
              <w:rPr>
                <w:rFonts w:eastAsia="Times New Roman"/>
                <w:sz w:val="22"/>
                <w:lang w:eastAsia="en-AU"/>
              </w:rPr>
              <w:t>:</w:t>
            </w:r>
            <w:r w:rsidRPr="0021706F">
              <w:rPr>
                <w:rFonts w:eastAsia="Times New Roman"/>
                <w:sz w:val="22"/>
                <w:lang w:eastAsia="en-AU"/>
              </w:rPr>
              <w:t xml:space="preserve"> </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F954CF" w:rsidRPr="0021706F" w:rsidRDefault="0021706F" w:rsidP="0021706F">
            <w:pPr>
              <w:pStyle w:val="TableTextCentred"/>
              <w:jc w:val="left"/>
              <w:rPr>
                <w:sz w:val="22"/>
              </w:rPr>
            </w:pPr>
            <w:r w:rsidRPr="0021706F">
              <w:rPr>
                <w:sz w:val="22"/>
              </w:rPr>
              <w:t>Australian Greens</w:t>
            </w:r>
          </w:p>
        </w:tc>
      </w:tr>
      <w:tr w:rsidR="008F588A"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8F588A" w:rsidRPr="0021706F" w:rsidRDefault="008F588A" w:rsidP="003157D3">
            <w:pPr>
              <w:pStyle w:val="TableText"/>
              <w:rPr>
                <w:rFonts w:eastAsia="Times New Roman"/>
                <w:sz w:val="22"/>
                <w:lang w:eastAsia="en-AU"/>
              </w:rPr>
            </w:pPr>
            <w:r w:rsidRPr="0021706F">
              <w:rPr>
                <w:rFonts w:eastAsia="Times New Roman"/>
                <w:sz w:val="22"/>
                <w:lang w:eastAsia="en-AU"/>
              </w:rPr>
              <w:t>Date of request to cost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8F588A" w:rsidRPr="0021706F" w:rsidRDefault="00B17A51" w:rsidP="0021706F">
            <w:pPr>
              <w:pStyle w:val="TableTextCentred"/>
              <w:jc w:val="left"/>
              <w:rPr>
                <w:sz w:val="22"/>
              </w:rPr>
            </w:pPr>
            <w:r>
              <w:rPr>
                <w:sz w:val="22"/>
              </w:rPr>
              <w:t>28 June 2016</w:t>
            </w:r>
          </w:p>
        </w:tc>
      </w:tr>
      <w:tr w:rsidR="008F588A" w:rsidRPr="0021706F" w:rsidTr="0021706F">
        <w:trPr>
          <w:cantSplit/>
        </w:trPr>
        <w:tc>
          <w:tcPr>
            <w:tcW w:w="5000" w:type="pct"/>
            <w:gridSpan w:val="6"/>
            <w:tcBorders>
              <w:top w:val="single" w:sz="4" w:space="0" w:color="788184"/>
              <w:left w:val="single" w:sz="4" w:space="0" w:color="788184"/>
              <w:bottom w:val="single" w:sz="4" w:space="0" w:color="788184"/>
              <w:right w:val="single" w:sz="4" w:space="0" w:color="788184"/>
            </w:tcBorders>
            <w:shd w:val="clear" w:color="auto" w:fill="auto"/>
          </w:tcPr>
          <w:p w:rsidR="008F588A" w:rsidRPr="0021706F" w:rsidRDefault="008F588A" w:rsidP="0021706F">
            <w:pPr>
              <w:pStyle w:val="TableTextCentred"/>
              <w:jc w:val="left"/>
              <w:rPr>
                <w:i/>
                <w:sz w:val="22"/>
              </w:rPr>
            </w:pPr>
            <w:r w:rsidRPr="0021706F">
              <w:rPr>
                <w:i/>
                <w:sz w:val="22"/>
              </w:rPr>
              <w:t>Note:  This policy costing request and the response to this request will be made publicly available.</w:t>
            </w:r>
          </w:p>
        </w:tc>
      </w:tr>
      <w:tr w:rsidR="008F588A"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8F588A" w:rsidRPr="0021706F" w:rsidRDefault="00640346" w:rsidP="003157D3">
            <w:pPr>
              <w:pStyle w:val="TableText"/>
              <w:rPr>
                <w:rFonts w:eastAsia="Times New Roman"/>
                <w:sz w:val="22"/>
                <w:lang w:eastAsia="en-AU"/>
              </w:rPr>
            </w:pPr>
            <w:r w:rsidRPr="0021706F">
              <w:rPr>
                <w:rFonts w:eastAsia="Times New Roman"/>
                <w:sz w:val="22"/>
                <w:lang w:eastAsia="en-AU"/>
              </w:rPr>
              <w:t>Has a costing of this policy been requested under Section 29 of the Charter of Budget Honesty (</w:t>
            </w:r>
            <w:proofErr w:type="spellStart"/>
            <w:r w:rsidRPr="0021706F">
              <w:rPr>
                <w:rFonts w:eastAsia="Times New Roman"/>
                <w:sz w:val="22"/>
                <w:lang w:eastAsia="en-AU"/>
              </w:rPr>
              <w:t>ie</w:t>
            </w:r>
            <w:proofErr w:type="spellEnd"/>
            <w:r w:rsidRPr="0021706F">
              <w:rPr>
                <w:rFonts w:eastAsia="Times New Roman"/>
                <w:sz w:val="22"/>
                <w:lang w:eastAsia="en-AU"/>
              </w:rPr>
              <w:t xml:space="preserve"> from the Treasury or the Department of Finance)?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8F588A" w:rsidRPr="0021706F" w:rsidRDefault="0021706F" w:rsidP="0021706F">
            <w:pPr>
              <w:pStyle w:val="TableTextCentred"/>
              <w:jc w:val="left"/>
              <w:rPr>
                <w:sz w:val="22"/>
              </w:rPr>
            </w:pPr>
            <w:r w:rsidRPr="0021706F">
              <w:rPr>
                <w:sz w:val="22"/>
              </w:rPr>
              <w:t>No</w:t>
            </w:r>
          </w:p>
        </w:tc>
      </w:tr>
      <w:tr w:rsidR="00640346"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640346" w:rsidP="003157D3">
            <w:pPr>
              <w:pStyle w:val="TableText"/>
              <w:rPr>
                <w:rFonts w:eastAsia="Times New Roman"/>
                <w:sz w:val="22"/>
                <w:lang w:eastAsia="en-AU"/>
              </w:rPr>
            </w:pPr>
            <w:r w:rsidRPr="0021706F">
              <w:rPr>
                <w:rFonts w:eastAsia="Times New Roman"/>
                <w:sz w:val="22"/>
                <w:lang w:eastAsia="en-AU"/>
              </w:rPr>
              <w:t>Details of the public release of this policy (Date, by whom and a reference to that release):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9D7399" w:rsidP="0021706F">
            <w:pPr>
              <w:pStyle w:val="TableTextCentred"/>
              <w:jc w:val="left"/>
              <w:rPr>
                <w:sz w:val="22"/>
              </w:rPr>
            </w:pPr>
            <w:r>
              <w:rPr>
                <w:sz w:val="22"/>
              </w:rPr>
              <w:t xml:space="preserve">Announced by Senator Rachel </w:t>
            </w:r>
            <w:proofErr w:type="spellStart"/>
            <w:r>
              <w:rPr>
                <w:sz w:val="22"/>
              </w:rPr>
              <w:t>Siewert</w:t>
            </w:r>
            <w:proofErr w:type="spellEnd"/>
            <w:r>
              <w:rPr>
                <w:sz w:val="22"/>
              </w:rPr>
              <w:t xml:space="preserve"> 26 May 2016: </w:t>
            </w:r>
            <w:hyperlink r:id="rId8" w:history="1">
              <w:r w:rsidR="00726F2A" w:rsidRPr="00474DB1">
                <w:rPr>
                  <w:rStyle w:val="Hyperlink"/>
                  <w:sz w:val="22"/>
                </w:rPr>
                <w:t>http://greens.org.au/stolen-generation</w:t>
              </w:r>
            </w:hyperlink>
            <w:r>
              <w:rPr>
                <w:sz w:val="22"/>
              </w:rPr>
              <w:t xml:space="preserve">; </w:t>
            </w:r>
            <w:hyperlink r:id="rId9" w:history="1">
              <w:r w:rsidRPr="00757646">
                <w:rPr>
                  <w:rStyle w:val="Hyperlink"/>
                  <w:sz w:val="22"/>
                </w:rPr>
                <w:t>http://rachel-siewert.greensmps.org.au/content/media-releases/greens-launch-package-stop-another-stolen-generation</w:t>
              </w:r>
            </w:hyperlink>
            <w:r>
              <w:rPr>
                <w:sz w:val="22"/>
              </w:rPr>
              <w:t xml:space="preserve">. </w:t>
            </w:r>
          </w:p>
        </w:tc>
      </w:tr>
      <w:tr w:rsidR="008F588A" w:rsidRPr="0021706F" w:rsidTr="0021706F">
        <w:trPr>
          <w:cantSplit/>
        </w:trPr>
        <w:tc>
          <w:tcPr>
            <w:tcW w:w="5000" w:type="pct"/>
            <w:gridSpan w:val="6"/>
            <w:tcBorders>
              <w:top w:val="single" w:sz="4" w:space="0" w:color="788184"/>
              <w:left w:val="single" w:sz="4" w:space="0" w:color="788184"/>
              <w:bottom w:val="single" w:sz="4" w:space="0" w:color="788184"/>
              <w:right w:val="single" w:sz="4" w:space="0" w:color="788184"/>
            </w:tcBorders>
            <w:shd w:val="clear" w:color="auto" w:fill="D7DDE9"/>
          </w:tcPr>
          <w:p w:rsidR="008F588A" w:rsidRPr="0021706F" w:rsidRDefault="008F588A" w:rsidP="0019517F">
            <w:pPr>
              <w:pStyle w:val="TableTextCentred"/>
              <w:keepNext/>
              <w:jc w:val="left"/>
              <w:rPr>
                <w:sz w:val="22"/>
              </w:rPr>
            </w:pPr>
            <w:r w:rsidRPr="0021706F">
              <w:rPr>
                <w:b/>
                <w:sz w:val="22"/>
              </w:rPr>
              <w:lastRenderedPageBreak/>
              <w:t>Description of policy</w:t>
            </w:r>
          </w:p>
        </w:tc>
      </w:tr>
      <w:tr w:rsidR="00640346"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640346" w:rsidP="003157D3">
            <w:pPr>
              <w:pStyle w:val="TableText"/>
              <w:rPr>
                <w:rFonts w:eastAsia="Times New Roman"/>
                <w:sz w:val="22"/>
                <w:lang w:eastAsia="en-AU"/>
              </w:rPr>
            </w:pPr>
            <w:r w:rsidRPr="0021706F">
              <w:rPr>
                <w:rFonts w:eastAsia="Times New Roman"/>
                <w:sz w:val="22"/>
                <w:lang w:eastAsia="en-AU"/>
              </w:rPr>
              <w:t>Summary of policy (as applicable, please attach copies of relevant policy documents):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726F2A" w:rsidRDefault="00726F2A" w:rsidP="00726F2A">
            <w:pPr>
              <w:spacing w:before="120" w:after="120"/>
              <w:ind w:left="57" w:right="57"/>
            </w:pPr>
            <w:r>
              <w:t xml:space="preserve">Capped funding of $20m over four years (not including departmental costs) for projects to reduce the number of children entering out of home care. </w:t>
            </w:r>
          </w:p>
          <w:p w:rsidR="00726F2A" w:rsidRDefault="00726F2A" w:rsidP="00726F2A">
            <w:pPr>
              <w:spacing w:before="120" w:after="120"/>
              <w:ind w:left="57" w:right="57"/>
            </w:pPr>
            <w:r>
              <w:t xml:space="preserve">Improved support for children in out of home care by implementing the following recommendations of the </w:t>
            </w:r>
            <w:hyperlink r:id="rId10" w:history="1">
              <w:r w:rsidRPr="00550676">
                <w:rPr>
                  <w:rStyle w:val="Hyperlink"/>
                </w:rPr>
                <w:t>Senate Community Affairs inquiry into out of home care</w:t>
              </w:r>
            </w:hyperlink>
            <w:r>
              <w:t xml:space="preserve">: </w:t>
            </w:r>
          </w:p>
          <w:p w:rsidR="00726F2A" w:rsidRDefault="00726F2A" w:rsidP="00726F2A">
            <w:pPr>
              <w:pStyle w:val="ListParagraph"/>
              <w:numPr>
                <w:ilvl w:val="0"/>
                <w:numId w:val="6"/>
              </w:numPr>
              <w:spacing w:before="120" w:after="120"/>
              <w:ind w:right="57"/>
              <w:rPr>
                <w:lang w:val="en-AU"/>
              </w:rPr>
            </w:pPr>
            <w:r>
              <w:rPr>
                <w:lang w:val="en-AU"/>
              </w:rPr>
              <w:t xml:space="preserve">Working through the Council of Australian Governments to achieve agreement to fund and implement recommendations 1, 4-7, 9-13, 15, 17, 20, 23-28, 31-32, 34-39 – these are expected to involve some additional work for COAG support units in the Commonwealth public services. The Department of Social Services will also receive capped funding of $10m over four years (2016-17 to 2019-20) to support projects in these recommendations. </w:t>
            </w:r>
          </w:p>
          <w:p w:rsidR="00726F2A" w:rsidRDefault="00726F2A" w:rsidP="00726F2A">
            <w:pPr>
              <w:pStyle w:val="ListParagraph"/>
              <w:numPr>
                <w:ilvl w:val="0"/>
                <w:numId w:val="6"/>
              </w:numPr>
              <w:spacing w:before="120" w:after="120"/>
              <w:ind w:right="57"/>
              <w:rPr>
                <w:lang w:val="en-AU"/>
              </w:rPr>
            </w:pPr>
            <w:r>
              <w:rPr>
                <w:lang w:val="en-AU"/>
              </w:rPr>
              <w:t xml:space="preserve">$1.5m in additional funding for four years (2016-17 to 2019-20) for the Australian Institute of Health and Welfare to improve data collection (Recommendations 2-3, 19). </w:t>
            </w:r>
          </w:p>
          <w:p w:rsidR="00726F2A" w:rsidRDefault="00726F2A" w:rsidP="00726F2A">
            <w:pPr>
              <w:pStyle w:val="ListParagraph"/>
              <w:numPr>
                <w:ilvl w:val="0"/>
                <w:numId w:val="6"/>
              </w:numPr>
              <w:spacing w:before="120" w:after="120"/>
              <w:ind w:right="57"/>
              <w:rPr>
                <w:lang w:val="en-AU"/>
              </w:rPr>
            </w:pPr>
            <w:r>
              <w:rPr>
                <w:lang w:val="en-AU"/>
              </w:rPr>
              <w:t xml:space="preserve">The Department of Social Services, Department of Human Services and Department of Immigration and Border Protection to review parental consent requirements for identity documents – this is expected to involve some additional workload for relevant areas, but not significant additional resourcing. </w:t>
            </w:r>
          </w:p>
          <w:p w:rsidR="00726F2A" w:rsidRDefault="00726F2A" w:rsidP="00726F2A">
            <w:pPr>
              <w:pStyle w:val="ListParagraph"/>
              <w:numPr>
                <w:ilvl w:val="0"/>
                <w:numId w:val="6"/>
              </w:numPr>
              <w:spacing w:before="120" w:after="120"/>
              <w:ind w:right="57"/>
              <w:rPr>
                <w:lang w:val="en-AU"/>
              </w:rPr>
            </w:pPr>
            <w:r>
              <w:rPr>
                <w:lang w:val="en-AU"/>
              </w:rPr>
              <w:t xml:space="preserve">Increase to the Transition to Independent Living Allowance from $1,500 to $3,000 per individual. </w:t>
            </w:r>
          </w:p>
          <w:p w:rsidR="00640346" w:rsidRPr="00726F2A" w:rsidRDefault="00726F2A" w:rsidP="00726F2A">
            <w:pPr>
              <w:pStyle w:val="ListParagraph"/>
              <w:numPr>
                <w:ilvl w:val="0"/>
                <w:numId w:val="6"/>
              </w:numPr>
              <w:spacing w:before="120" w:after="120"/>
              <w:ind w:right="57"/>
              <w:rPr>
                <w:lang w:val="en-AU"/>
              </w:rPr>
            </w:pPr>
            <w:r>
              <w:rPr>
                <w:lang w:val="en-AU"/>
              </w:rPr>
              <w:t>The NDIA to review supports available as per Recommendation 33</w:t>
            </w:r>
          </w:p>
        </w:tc>
      </w:tr>
      <w:tr w:rsidR="00640346"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FFFFFF"/>
          </w:tcPr>
          <w:p w:rsidR="00640346" w:rsidRPr="0021706F" w:rsidRDefault="00640346" w:rsidP="003157D3">
            <w:pPr>
              <w:pStyle w:val="TableText"/>
              <w:rPr>
                <w:rFonts w:eastAsia="Times New Roman"/>
                <w:sz w:val="22"/>
                <w:lang w:eastAsia="en-AU"/>
              </w:rPr>
            </w:pPr>
            <w:r w:rsidRPr="0021706F">
              <w:rPr>
                <w:rFonts w:eastAsia="Times New Roman"/>
                <w:sz w:val="22"/>
                <w:lang w:eastAsia="en-AU"/>
              </w:rPr>
              <w:t>What is the purpose or intention of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FFFFFF"/>
          </w:tcPr>
          <w:p w:rsidR="00640346" w:rsidRPr="0021706F" w:rsidRDefault="00726F2A" w:rsidP="0021706F">
            <w:pPr>
              <w:pStyle w:val="TableTextCentred"/>
              <w:jc w:val="left"/>
              <w:rPr>
                <w:sz w:val="22"/>
              </w:rPr>
            </w:pPr>
            <w:r>
              <w:rPr>
                <w:sz w:val="22"/>
              </w:rPr>
              <w:t>To reduce the number of children entering out of home care, including the disproportionate number of Aboriginal and Torres Strait Islander children, and to improve support available to children in and transitioning from out of home care.</w:t>
            </w:r>
          </w:p>
        </w:tc>
      </w:tr>
      <w:tr w:rsidR="008F588A" w:rsidRPr="0021706F" w:rsidTr="0021706F">
        <w:trPr>
          <w:cantSplit/>
        </w:trPr>
        <w:tc>
          <w:tcPr>
            <w:tcW w:w="5000" w:type="pct"/>
            <w:gridSpan w:val="6"/>
            <w:tcBorders>
              <w:top w:val="single" w:sz="4" w:space="0" w:color="788184"/>
              <w:left w:val="single" w:sz="4" w:space="0" w:color="788184"/>
              <w:bottom w:val="single" w:sz="4" w:space="0" w:color="788184"/>
              <w:right w:val="single" w:sz="4" w:space="0" w:color="788184"/>
            </w:tcBorders>
            <w:shd w:val="clear" w:color="auto" w:fill="D7DDE9"/>
          </w:tcPr>
          <w:p w:rsidR="008F588A" w:rsidRPr="0021706F" w:rsidRDefault="00640346" w:rsidP="0021706F">
            <w:pPr>
              <w:pStyle w:val="TableTextCentred"/>
              <w:jc w:val="left"/>
              <w:rPr>
                <w:sz w:val="22"/>
              </w:rPr>
            </w:pPr>
            <w:r w:rsidRPr="0021706F">
              <w:rPr>
                <w:b/>
                <w:sz w:val="22"/>
              </w:rPr>
              <w:t>What are the key assumptions that have been made in the policy, including:</w:t>
            </w:r>
          </w:p>
        </w:tc>
      </w:tr>
      <w:tr w:rsidR="00640346"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FFFFFF"/>
          </w:tcPr>
          <w:p w:rsidR="00640346" w:rsidRPr="0021706F" w:rsidRDefault="00640346" w:rsidP="00640346">
            <w:pPr>
              <w:pStyle w:val="TableText"/>
              <w:rPr>
                <w:rFonts w:eastAsia="Times New Roman"/>
                <w:sz w:val="22"/>
                <w:lang w:eastAsia="en-AU"/>
              </w:rPr>
            </w:pPr>
            <w:r w:rsidRPr="0021706F">
              <w:rPr>
                <w:rFonts w:eastAsia="Times New Roman"/>
                <w:sz w:val="22"/>
                <w:lang w:eastAsia="en-AU"/>
              </w:rPr>
              <w:t>Is the policy part of a package?</w:t>
            </w:r>
          </w:p>
          <w:p w:rsidR="00640346" w:rsidRPr="0021706F" w:rsidRDefault="00640346" w:rsidP="00640346">
            <w:pPr>
              <w:pStyle w:val="TableText"/>
              <w:rPr>
                <w:rFonts w:eastAsia="Times New Roman"/>
                <w:sz w:val="22"/>
                <w:lang w:eastAsia="en-AU"/>
              </w:rPr>
            </w:pPr>
            <w:r w:rsidRPr="0021706F">
              <w:rPr>
                <w:rFonts w:eastAsia="Times New Roman"/>
                <w:sz w:val="22"/>
                <w:lang w:eastAsia="en-AU"/>
              </w:rPr>
              <w:t>If yes, list the components and interactions with proposed or existing policies.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FFFFFF"/>
          </w:tcPr>
          <w:p w:rsidR="00640346" w:rsidRPr="0021706F" w:rsidRDefault="00726F2A" w:rsidP="0021706F">
            <w:pPr>
              <w:pStyle w:val="TableTextCentred"/>
              <w:jc w:val="left"/>
              <w:rPr>
                <w:sz w:val="22"/>
              </w:rPr>
            </w:pPr>
            <w:r>
              <w:rPr>
                <w:sz w:val="22"/>
              </w:rPr>
              <w:t>-</w:t>
            </w:r>
          </w:p>
        </w:tc>
      </w:tr>
      <w:tr w:rsidR="00640346"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640346" w:rsidP="003157D3">
            <w:pPr>
              <w:pStyle w:val="TableText"/>
              <w:rPr>
                <w:rFonts w:eastAsia="Times New Roman"/>
                <w:sz w:val="22"/>
                <w:lang w:eastAsia="en-AU"/>
              </w:rPr>
            </w:pPr>
            <w:r w:rsidRPr="0021706F">
              <w:rPr>
                <w:rFonts w:eastAsia="Times New Roman"/>
                <w:sz w:val="22"/>
                <w:lang w:eastAsia="en-AU"/>
              </w:rPr>
              <w:lastRenderedPageBreak/>
              <w:t>Where relevant, is funding for the policy to be demand driven or a capped amount? If a capped amount, are the costs of administering the policy to be included within the capped amount or additional to the capped amount?</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Default="004B106B" w:rsidP="0021706F">
            <w:pPr>
              <w:pStyle w:val="TableTextCentred"/>
              <w:jc w:val="left"/>
              <w:rPr>
                <w:sz w:val="22"/>
              </w:rPr>
            </w:pPr>
            <w:r>
              <w:rPr>
                <w:sz w:val="22"/>
              </w:rPr>
              <w:t>$20m in capped funding, not including departmental costs, for projects to reduce the number of children entering out of home care.</w:t>
            </w:r>
          </w:p>
          <w:p w:rsidR="004B106B" w:rsidRDefault="004B106B" w:rsidP="004B106B">
            <w:pPr>
              <w:pStyle w:val="TableTextCentred"/>
              <w:jc w:val="left"/>
              <w:rPr>
                <w:sz w:val="22"/>
              </w:rPr>
            </w:pPr>
            <w:r>
              <w:rPr>
                <w:sz w:val="22"/>
              </w:rPr>
              <w:t>Other funding amounts are:</w:t>
            </w:r>
          </w:p>
          <w:p w:rsidR="004B106B" w:rsidRDefault="004B106B" w:rsidP="004B106B">
            <w:pPr>
              <w:pStyle w:val="ListParagraph"/>
              <w:numPr>
                <w:ilvl w:val="0"/>
                <w:numId w:val="7"/>
              </w:numPr>
              <w:spacing w:before="120" w:after="120"/>
              <w:ind w:right="57"/>
              <w:rPr>
                <w:lang w:val="en-AU"/>
              </w:rPr>
            </w:pPr>
            <w:r>
              <w:rPr>
                <w:lang w:val="en-AU"/>
              </w:rPr>
              <w:t xml:space="preserve">Additional APS funding as needed, and capped funding for DSS. </w:t>
            </w:r>
          </w:p>
          <w:p w:rsidR="004B106B" w:rsidRDefault="004B106B" w:rsidP="004B106B">
            <w:pPr>
              <w:pStyle w:val="ListParagraph"/>
              <w:numPr>
                <w:ilvl w:val="0"/>
                <w:numId w:val="7"/>
              </w:numPr>
              <w:spacing w:before="120" w:after="120"/>
              <w:ind w:right="57"/>
              <w:rPr>
                <w:lang w:val="en-AU"/>
              </w:rPr>
            </w:pPr>
            <w:r>
              <w:rPr>
                <w:lang w:val="en-AU"/>
              </w:rPr>
              <w:t xml:space="preserve">Capped AIHW funding. </w:t>
            </w:r>
          </w:p>
          <w:p w:rsidR="004B106B" w:rsidRDefault="004B106B" w:rsidP="004B106B">
            <w:pPr>
              <w:pStyle w:val="ListParagraph"/>
              <w:numPr>
                <w:ilvl w:val="0"/>
                <w:numId w:val="7"/>
              </w:numPr>
              <w:spacing w:before="120" w:after="120"/>
              <w:ind w:right="57"/>
              <w:rPr>
                <w:lang w:val="en-AU"/>
              </w:rPr>
            </w:pPr>
            <w:r>
              <w:rPr>
                <w:lang w:val="en-AU"/>
              </w:rPr>
              <w:t xml:space="preserve">Funding as needed. </w:t>
            </w:r>
          </w:p>
          <w:p w:rsidR="004B106B" w:rsidRDefault="004B106B" w:rsidP="004B106B">
            <w:pPr>
              <w:pStyle w:val="ListParagraph"/>
              <w:numPr>
                <w:ilvl w:val="0"/>
                <w:numId w:val="7"/>
              </w:numPr>
              <w:spacing w:before="120" w:after="120"/>
              <w:ind w:right="57"/>
              <w:rPr>
                <w:lang w:val="en-AU"/>
              </w:rPr>
            </w:pPr>
            <w:r>
              <w:rPr>
                <w:lang w:val="en-AU"/>
              </w:rPr>
              <w:t xml:space="preserve">Demand driven. </w:t>
            </w:r>
          </w:p>
          <w:p w:rsidR="004B106B" w:rsidRPr="004B106B" w:rsidRDefault="004B106B" w:rsidP="004B106B">
            <w:pPr>
              <w:pStyle w:val="ListParagraph"/>
              <w:numPr>
                <w:ilvl w:val="0"/>
                <w:numId w:val="7"/>
              </w:numPr>
              <w:spacing w:before="120" w:after="120"/>
              <w:ind w:right="57"/>
              <w:rPr>
                <w:lang w:val="en-AU"/>
              </w:rPr>
            </w:pPr>
            <w:r>
              <w:rPr>
                <w:lang w:val="en-AU"/>
              </w:rPr>
              <w:t xml:space="preserve">Funding as needed. </w:t>
            </w:r>
            <w:r w:rsidRPr="004B106B">
              <w:t xml:space="preserve"> </w:t>
            </w:r>
          </w:p>
        </w:tc>
      </w:tr>
      <w:tr w:rsidR="00640346"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FFFFFF"/>
          </w:tcPr>
          <w:p w:rsidR="00640346" w:rsidRPr="0021706F" w:rsidRDefault="00640346" w:rsidP="00640346">
            <w:pPr>
              <w:pStyle w:val="TableText"/>
              <w:rPr>
                <w:rFonts w:eastAsia="Times New Roman"/>
                <w:sz w:val="22"/>
                <w:lang w:eastAsia="en-AU"/>
              </w:rPr>
            </w:pPr>
            <w:r w:rsidRPr="0021706F">
              <w:rPr>
                <w:rFonts w:eastAsia="Times New Roman"/>
                <w:sz w:val="22"/>
                <w:lang w:eastAsia="en-AU"/>
              </w:rPr>
              <w:t>Will third parties (for instance the States/Territories) have a role in funding or delivering the policy?</w:t>
            </w:r>
          </w:p>
          <w:p w:rsidR="00640346" w:rsidRPr="0021706F" w:rsidRDefault="00640346" w:rsidP="00640346">
            <w:pPr>
              <w:pStyle w:val="TableText"/>
              <w:rPr>
                <w:rFonts w:eastAsia="Times New Roman"/>
                <w:sz w:val="22"/>
                <w:lang w:eastAsia="en-AU"/>
              </w:rPr>
            </w:pPr>
            <w:r w:rsidRPr="0021706F">
              <w:rPr>
                <w:rFonts w:eastAsia="Times New Roman"/>
                <w:sz w:val="22"/>
                <w:lang w:eastAsia="en-AU"/>
              </w:rPr>
              <w:t>If yes, is the Australian Government contribution capped, with additional costs to be met by third parties, or is another funding formula envisaged?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FFFFFF"/>
          </w:tcPr>
          <w:p w:rsidR="00640346" w:rsidRPr="00B17A51" w:rsidRDefault="004B106B" w:rsidP="0021706F">
            <w:pPr>
              <w:pStyle w:val="TableTextCentred"/>
              <w:jc w:val="left"/>
              <w:rPr>
                <w:sz w:val="22"/>
              </w:rPr>
            </w:pPr>
            <w:r w:rsidRPr="00B17A51">
              <w:rPr>
                <w:sz w:val="22"/>
              </w:rPr>
              <w:t>Commonwealth to work with States and Territories to address recommendations through COAG where appropriate (#1 above), but other responsibilities with Commonwealth, particularly DSS.</w:t>
            </w:r>
          </w:p>
        </w:tc>
      </w:tr>
      <w:tr w:rsidR="00640346"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640346" w:rsidP="00640346">
            <w:pPr>
              <w:pStyle w:val="TableText"/>
              <w:rPr>
                <w:rFonts w:eastAsia="Times New Roman"/>
                <w:sz w:val="22"/>
                <w:lang w:eastAsia="en-AU"/>
              </w:rPr>
            </w:pPr>
            <w:r w:rsidRPr="0021706F">
              <w:rPr>
                <w:rFonts w:eastAsia="Times New Roman"/>
                <w:sz w:val="22"/>
                <w:lang w:eastAsia="en-AU"/>
              </w:rPr>
              <w:t>Are there associated savings, offsets or expenses?</w:t>
            </w:r>
          </w:p>
          <w:p w:rsidR="00640346" w:rsidRPr="0021706F" w:rsidRDefault="00640346" w:rsidP="00640346">
            <w:pPr>
              <w:pStyle w:val="TableText"/>
              <w:rPr>
                <w:rFonts w:eastAsia="Times New Roman"/>
                <w:sz w:val="22"/>
                <w:lang w:eastAsia="en-AU"/>
              </w:rPr>
            </w:pPr>
            <w:r w:rsidRPr="0021706F">
              <w:rPr>
                <w:rFonts w:eastAsia="Times New Roman"/>
                <w:sz w:val="22"/>
                <w:lang w:eastAsia="en-AU"/>
              </w:rPr>
              <w:t>If yes, please provide details.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4B106B" w:rsidP="0021706F">
            <w:pPr>
              <w:pStyle w:val="TableTextCentred"/>
              <w:jc w:val="left"/>
              <w:rPr>
                <w:sz w:val="22"/>
              </w:rPr>
            </w:pPr>
            <w:r>
              <w:rPr>
                <w:sz w:val="22"/>
              </w:rPr>
              <w:t>-</w:t>
            </w:r>
          </w:p>
        </w:tc>
      </w:tr>
      <w:tr w:rsidR="00640346"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640346" w:rsidP="00640346">
            <w:pPr>
              <w:pStyle w:val="TableText"/>
              <w:rPr>
                <w:rFonts w:eastAsia="Times New Roman"/>
                <w:sz w:val="22"/>
                <w:lang w:eastAsia="en-AU"/>
              </w:rPr>
            </w:pPr>
            <w:r w:rsidRPr="0021706F">
              <w:rPr>
                <w:rFonts w:eastAsia="Times New Roman"/>
                <w:sz w:val="22"/>
                <w:lang w:eastAsia="en-AU"/>
              </w:rPr>
              <w:t xml:space="preserve">Does the policy relate to a previous budget measure? </w:t>
            </w:r>
          </w:p>
          <w:p w:rsidR="00640346" w:rsidRPr="0021706F" w:rsidRDefault="00640346" w:rsidP="00640346">
            <w:pPr>
              <w:pStyle w:val="TableText"/>
              <w:rPr>
                <w:rFonts w:eastAsia="Times New Roman"/>
                <w:sz w:val="22"/>
                <w:lang w:eastAsia="en-AU"/>
              </w:rPr>
            </w:pPr>
            <w:r w:rsidRPr="0021706F">
              <w:rPr>
                <w:rFonts w:eastAsia="Times New Roman"/>
                <w:sz w:val="22"/>
                <w:lang w:eastAsia="en-AU"/>
              </w:rPr>
              <w:t>If yes, which measure?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4B106B" w:rsidP="0021706F">
            <w:pPr>
              <w:pStyle w:val="TableTextCentred"/>
              <w:jc w:val="left"/>
              <w:rPr>
                <w:sz w:val="22"/>
              </w:rPr>
            </w:pPr>
            <w:r>
              <w:rPr>
                <w:sz w:val="22"/>
              </w:rPr>
              <w:t>-</w:t>
            </w:r>
          </w:p>
        </w:tc>
      </w:tr>
      <w:tr w:rsidR="00640346"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640346" w:rsidP="003157D3">
            <w:pPr>
              <w:pStyle w:val="TableText"/>
              <w:rPr>
                <w:rFonts w:eastAsia="Times New Roman"/>
                <w:sz w:val="22"/>
                <w:lang w:eastAsia="en-AU"/>
              </w:rPr>
            </w:pPr>
            <w:r w:rsidRPr="0021706F">
              <w:rPr>
                <w:rFonts w:eastAsia="Times New Roman"/>
                <w:sz w:val="22"/>
                <w:lang w:eastAsia="en-AU"/>
              </w:rPr>
              <w:t>If the proposal would change an existing measure, are savings expected from the departmental costs of implementing the program?</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4B106B" w:rsidP="0021706F">
            <w:pPr>
              <w:pStyle w:val="TableTextCentred"/>
              <w:jc w:val="left"/>
              <w:rPr>
                <w:sz w:val="22"/>
              </w:rPr>
            </w:pPr>
            <w:r>
              <w:rPr>
                <w:sz w:val="22"/>
              </w:rPr>
              <w:t>-</w:t>
            </w:r>
          </w:p>
        </w:tc>
      </w:tr>
      <w:tr w:rsidR="00640346"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640346" w:rsidP="00640346">
            <w:pPr>
              <w:pStyle w:val="TableText"/>
              <w:rPr>
                <w:rFonts w:eastAsia="Times New Roman"/>
                <w:sz w:val="22"/>
                <w:lang w:eastAsia="en-AU"/>
              </w:rPr>
            </w:pPr>
            <w:r w:rsidRPr="0021706F">
              <w:rPr>
                <w:rFonts w:eastAsia="Times New Roman"/>
                <w:sz w:val="22"/>
                <w:lang w:eastAsia="en-AU"/>
              </w:rPr>
              <w:t>Will the funding/program cost require indexation?</w:t>
            </w:r>
          </w:p>
          <w:p w:rsidR="00640346" w:rsidRPr="0021706F" w:rsidRDefault="00640346" w:rsidP="00640346">
            <w:pPr>
              <w:pStyle w:val="TableText"/>
              <w:rPr>
                <w:rFonts w:eastAsia="Times New Roman"/>
                <w:sz w:val="22"/>
                <w:lang w:eastAsia="en-AU"/>
              </w:rPr>
            </w:pPr>
            <w:r w:rsidRPr="0021706F">
              <w:rPr>
                <w:rFonts w:eastAsia="Times New Roman"/>
                <w:sz w:val="22"/>
                <w:lang w:eastAsia="en-AU"/>
              </w:rPr>
              <w:t>If yes, list factors to be used.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4B106B" w:rsidP="0021706F">
            <w:pPr>
              <w:pStyle w:val="TableTextCentred"/>
              <w:jc w:val="left"/>
              <w:rPr>
                <w:sz w:val="22"/>
              </w:rPr>
            </w:pPr>
            <w:r>
              <w:rPr>
                <w:sz w:val="22"/>
              </w:rPr>
              <w:t>-</w:t>
            </w:r>
          </w:p>
        </w:tc>
      </w:tr>
      <w:tr w:rsidR="008F588A" w:rsidRPr="0021706F" w:rsidTr="0021706F">
        <w:trPr>
          <w:cantSplit/>
        </w:trPr>
        <w:tc>
          <w:tcPr>
            <w:tcW w:w="5000" w:type="pct"/>
            <w:gridSpan w:val="6"/>
            <w:tcBorders>
              <w:top w:val="single" w:sz="4" w:space="0" w:color="788184"/>
              <w:left w:val="single" w:sz="4" w:space="0" w:color="788184"/>
              <w:bottom w:val="single" w:sz="4" w:space="0" w:color="788184"/>
              <w:right w:val="single" w:sz="4" w:space="0" w:color="788184"/>
            </w:tcBorders>
            <w:shd w:val="clear" w:color="auto" w:fill="D7DDE9"/>
          </w:tcPr>
          <w:p w:rsidR="008F588A" w:rsidRPr="0021706F" w:rsidRDefault="008F588A" w:rsidP="0021706F">
            <w:pPr>
              <w:pStyle w:val="TableTextCentred"/>
              <w:keepNext/>
              <w:keepLines/>
              <w:jc w:val="left"/>
              <w:rPr>
                <w:sz w:val="22"/>
              </w:rPr>
            </w:pPr>
            <w:r w:rsidRPr="0021706F">
              <w:rPr>
                <w:b/>
                <w:sz w:val="22"/>
              </w:rPr>
              <w:lastRenderedPageBreak/>
              <w:t>Expected impacts of the proposal</w:t>
            </w:r>
          </w:p>
        </w:tc>
      </w:tr>
      <w:tr w:rsidR="008F588A" w:rsidRPr="0021706F" w:rsidTr="0021706F">
        <w:trPr>
          <w:cantSplit/>
        </w:trPr>
        <w:tc>
          <w:tcPr>
            <w:tcW w:w="5000" w:type="pct"/>
            <w:gridSpan w:val="6"/>
            <w:tcBorders>
              <w:top w:val="single" w:sz="4" w:space="0" w:color="788184"/>
              <w:left w:val="single" w:sz="4" w:space="0" w:color="788184"/>
              <w:bottom w:val="single" w:sz="4" w:space="0" w:color="788184"/>
              <w:right w:val="single" w:sz="4" w:space="0" w:color="788184"/>
            </w:tcBorders>
            <w:shd w:val="clear" w:color="auto" w:fill="auto"/>
          </w:tcPr>
          <w:p w:rsidR="008F588A" w:rsidRPr="0021706F" w:rsidRDefault="00640346" w:rsidP="0021706F">
            <w:pPr>
              <w:pStyle w:val="TableTextCentred"/>
              <w:keepNext/>
              <w:keepLines/>
              <w:jc w:val="left"/>
              <w:rPr>
                <w:sz w:val="22"/>
              </w:rPr>
            </w:pPr>
            <w:r w:rsidRPr="0021706F">
              <w:rPr>
                <w:sz w:val="22"/>
              </w:rPr>
              <w:t>If applicable, what are the estimated costs each year? If available, please provide details in the table below.  Are these provided on an underlying cash balance or fiscal balance basis?</w:t>
            </w:r>
          </w:p>
        </w:tc>
      </w:tr>
      <w:tr w:rsidR="00640346" w:rsidRPr="0021706F" w:rsidTr="0021706F">
        <w:trPr>
          <w:cantSplit/>
        </w:trPr>
        <w:tc>
          <w:tcPr>
            <w:tcW w:w="5000" w:type="pct"/>
            <w:gridSpan w:val="6"/>
            <w:tcBorders>
              <w:top w:val="single" w:sz="4" w:space="0" w:color="788184"/>
              <w:left w:val="single" w:sz="4" w:space="0" w:color="788184"/>
              <w:bottom w:val="single" w:sz="4" w:space="0" w:color="788184"/>
              <w:right w:val="single" w:sz="4" w:space="0" w:color="788184"/>
            </w:tcBorders>
            <w:shd w:val="clear" w:color="auto" w:fill="auto"/>
          </w:tcPr>
          <w:p w:rsidR="008F588A" w:rsidRPr="0021706F" w:rsidRDefault="008F588A" w:rsidP="0021706F">
            <w:pPr>
              <w:pStyle w:val="TableTextCentred"/>
              <w:keepNext/>
              <w:keepLines/>
              <w:jc w:val="left"/>
              <w:rPr>
                <w:b/>
                <w:sz w:val="22"/>
                <w:vertAlign w:val="superscript"/>
              </w:rPr>
            </w:pPr>
            <w:r w:rsidRPr="0021706F">
              <w:rPr>
                <w:b/>
                <w:sz w:val="22"/>
              </w:rPr>
              <w:t>Estimated financial implications (outturn prices)</w:t>
            </w:r>
            <w:r w:rsidRPr="0021706F">
              <w:rPr>
                <w:b/>
                <w:sz w:val="22"/>
                <w:vertAlign w:val="superscript"/>
              </w:rPr>
              <w:t>(a)</w:t>
            </w:r>
          </w:p>
        </w:tc>
      </w:tr>
      <w:tr w:rsidR="00640346" w:rsidRPr="0021706F" w:rsidTr="0021706F">
        <w:trPr>
          <w:cantSplit/>
        </w:trPr>
        <w:tc>
          <w:tcPr>
            <w:tcW w:w="1493"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640346" w:rsidRPr="0021706F" w:rsidRDefault="00640346" w:rsidP="0021706F">
            <w:pPr>
              <w:pStyle w:val="TableText"/>
              <w:keepNext/>
              <w:keepLines/>
              <w:rPr>
                <w:rFonts w:eastAsia="Times New Roman"/>
                <w:sz w:val="22"/>
                <w:lang w:eastAsia="en-AU"/>
              </w:rPr>
            </w:pP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D7DDE9"/>
          </w:tcPr>
          <w:p w:rsidR="00640346" w:rsidRPr="0021706F" w:rsidRDefault="00640346" w:rsidP="0021706F">
            <w:pPr>
              <w:keepNext/>
              <w:keepLines/>
              <w:spacing w:before="70" w:after="70"/>
              <w:ind w:left="113" w:right="113"/>
              <w:jc w:val="right"/>
              <w:rPr>
                <w:rFonts w:eastAsia="Times New Roman"/>
                <w:lang w:eastAsia="en-AU"/>
              </w:rPr>
            </w:pPr>
            <w:r w:rsidRPr="0021706F">
              <w:rPr>
                <w:rFonts w:eastAsia="Times New Roman"/>
                <w:lang w:eastAsia="en-AU"/>
              </w:rPr>
              <w:t>2016–17</w:t>
            </w:r>
          </w:p>
        </w:tc>
        <w:tc>
          <w:tcPr>
            <w:tcW w:w="877" w:type="pct"/>
            <w:tcBorders>
              <w:top w:val="single" w:sz="4" w:space="0" w:color="788184"/>
              <w:left w:val="single" w:sz="4" w:space="0" w:color="788184"/>
              <w:bottom w:val="single" w:sz="4" w:space="0" w:color="788184"/>
              <w:right w:val="single" w:sz="4" w:space="0" w:color="788184"/>
            </w:tcBorders>
            <w:shd w:val="clear" w:color="auto" w:fill="D7DDE9"/>
          </w:tcPr>
          <w:p w:rsidR="00640346" w:rsidRPr="0021706F" w:rsidRDefault="00640346" w:rsidP="0021706F">
            <w:pPr>
              <w:keepNext/>
              <w:keepLines/>
              <w:spacing w:before="70" w:after="70"/>
              <w:ind w:left="113" w:right="113"/>
              <w:jc w:val="right"/>
              <w:rPr>
                <w:rFonts w:eastAsia="Times New Roman"/>
                <w:lang w:eastAsia="en-AU"/>
              </w:rPr>
            </w:pPr>
            <w:r w:rsidRPr="0021706F">
              <w:rPr>
                <w:rFonts w:eastAsia="Times New Roman"/>
                <w:lang w:eastAsia="en-AU"/>
              </w:rPr>
              <w:t>2017–18</w:t>
            </w:r>
          </w:p>
        </w:tc>
        <w:tc>
          <w:tcPr>
            <w:tcW w:w="876" w:type="pct"/>
            <w:tcBorders>
              <w:top w:val="single" w:sz="4" w:space="0" w:color="788184"/>
              <w:left w:val="single" w:sz="4" w:space="0" w:color="788184"/>
              <w:bottom w:val="single" w:sz="4" w:space="0" w:color="788184"/>
              <w:right w:val="single" w:sz="4" w:space="0" w:color="788184"/>
            </w:tcBorders>
            <w:shd w:val="clear" w:color="auto" w:fill="D7DDE9"/>
          </w:tcPr>
          <w:p w:rsidR="00640346" w:rsidRPr="0021706F" w:rsidRDefault="00640346" w:rsidP="0021706F">
            <w:pPr>
              <w:keepNext/>
              <w:keepLines/>
              <w:spacing w:before="70" w:after="70"/>
              <w:ind w:left="113" w:right="113"/>
              <w:jc w:val="right"/>
              <w:rPr>
                <w:rFonts w:eastAsia="Times New Roman"/>
                <w:lang w:eastAsia="en-AU"/>
              </w:rPr>
            </w:pPr>
            <w:r w:rsidRPr="0021706F">
              <w:rPr>
                <w:rFonts w:eastAsia="Times New Roman"/>
                <w:lang w:eastAsia="en-AU"/>
              </w:rPr>
              <w:t>2018–19</w:t>
            </w:r>
          </w:p>
        </w:tc>
        <w:tc>
          <w:tcPr>
            <w:tcW w:w="878" w:type="pct"/>
            <w:tcBorders>
              <w:top w:val="single" w:sz="4" w:space="0" w:color="788184"/>
              <w:left w:val="single" w:sz="4" w:space="0" w:color="788184"/>
              <w:bottom w:val="single" w:sz="4" w:space="0" w:color="788184"/>
              <w:right w:val="single" w:sz="4" w:space="0" w:color="788184"/>
            </w:tcBorders>
            <w:shd w:val="clear" w:color="auto" w:fill="D7DDE9"/>
          </w:tcPr>
          <w:p w:rsidR="00640346" w:rsidRPr="0021706F" w:rsidRDefault="00640346" w:rsidP="0021706F">
            <w:pPr>
              <w:keepNext/>
              <w:keepLines/>
              <w:spacing w:before="70" w:after="70"/>
              <w:ind w:left="113" w:right="113"/>
              <w:jc w:val="right"/>
              <w:rPr>
                <w:rFonts w:eastAsia="Times New Roman"/>
                <w:lang w:eastAsia="en-AU"/>
              </w:rPr>
            </w:pPr>
            <w:r w:rsidRPr="0021706F">
              <w:rPr>
                <w:rFonts w:eastAsia="Times New Roman"/>
                <w:lang w:eastAsia="en-AU"/>
              </w:rPr>
              <w:t>2019–20</w:t>
            </w:r>
          </w:p>
        </w:tc>
      </w:tr>
      <w:tr w:rsidR="004B106B" w:rsidRPr="0021706F" w:rsidTr="0021706F">
        <w:trPr>
          <w:cantSplit/>
        </w:trPr>
        <w:tc>
          <w:tcPr>
            <w:tcW w:w="1493" w:type="pct"/>
            <w:tcBorders>
              <w:top w:val="single" w:sz="4" w:space="0" w:color="788184"/>
              <w:left w:val="single" w:sz="4" w:space="0" w:color="788184"/>
              <w:bottom w:val="single" w:sz="4" w:space="0" w:color="788184"/>
              <w:right w:val="single" w:sz="4" w:space="0" w:color="788184"/>
            </w:tcBorders>
            <w:shd w:val="clear" w:color="auto" w:fill="auto"/>
            <w:vAlign w:val="center"/>
          </w:tcPr>
          <w:p w:rsidR="004B106B" w:rsidRPr="0021706F" w:rsidRDefault="004B106B" w:rsidP="0021706F">
            <w:pPr>
              <w:pStyle w:val="TableTextCentred"/>
              <w:keepNext/>
              <w:keepLines/>
              <w:jc w:val="left"/>
              <w:rPr>
                <w:sz w:val="22"/>
              </w:rPr>
            </w:pPr>
            <w:r w:rsidRPr="0021706F">
              <w:rPr>
                <w:sz w:val="22"/>
              </w:rPr>
              <w:t>Underlying cash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4B106B" w:rsidRPr="0021706F" w:rsidRDefault="004B106B" w:rsidP="0021706F">
            <w:pPr>
              <w:pStyle w:val="TableTextCentred"/>
              <w:keepNext/>
              <w:keepLines/>
              <w:jc w:val="right"/>
              <w:rPr>
                <w:sz w:val="22"/>
              </w:rPr>
            </w:pPr>
            <w:r>
              <w:rPr>
                <w:sz w:val="22"/>
              </w:rPr>
              <w:t>-10</w:t>
            </w:r>
          </w:p>
        </w:tc>
        <w:tc>
          <w:tcPr>
            <w:tcW w:w="877" w:type="pct"/>
            <w:tcBorders>
              <w:top w:val="single" w:sz="4" w:space="0" w:color="788184"/>
              <w:left w:val="single" w:sz="4" w:space="0" w:color="788184"/>
              <w:bottom w:val="single" w:sz="4" w:space="0" w:color="788184"/>
              <w:right w:val="single" w:sz="4" w:space="0" w:color="788184"/>
            </w:tcBorders>
            <w:shd w:val="clear" w:color="auto" w:fill="auto"/>
            <w:vAlign w:val="center"/>
          </w:tcPr>
          <w:p w:rsidR="004B106B" w:rsidRPr="0021706F" w:rsidRDefault="004B106B" w:rsidP="0021706F">
            <w:pPr>
              <w:pStyle w:val="TableTextCentred"/>
              <w:keepNext/>
              <w:keepLines/>
              <w:jc w:val="right"/>
              <w:rPr>
                <w:sz w:val="22"/>
              </w:rPr>
            </w:pPr>
            <w:r>
              <w:rPr>
                <w:sz w:val="22"/>
              </w:rPr>
              <w:t>-9.3</w:t>
            </w:r>
          </w:p>
        </w:tc>
        <w:tc>
          <w:tcPr>
            <w:tcW w:w="876" w:type="pct"/>
            <w:tcBorders>
              <w:top w:val="single" w:sz="4" w:space="0" w:color="788184"/>
              <w:left w:val="single" w:sz="4" w:space="0" w:color="788184"/>
              <w:bottom w:val="single" w:sz="4" w:space="0" w:color="788184"/>
              <w:right w:val="single" w:sz="4" w:space="0" w:color="788184"/>
            </w:tcBorders>
            <w:shd w:val="clear" w:color="auto" w:fill="auto"/>
            <w:vAlign w:val="center"/>
          </w:tcPr>
          <w:p w:rsidR="004B106B" w:rsidRPr="0021706F" w:rsidRDefault="004B106B" w:rsidP="00B230B9">
            <w:pPr>
              <w:pStyle w:val="TableTextCentred"/>
              <w:keepNext/>
              <w:keepLines/>
              <w:jc w:val="right"/>
              <w:rPr>
                <w:sz w:val="22"/>
              </w:rPr>
            </w:pPr>
            <w:r>
              <w:rPr>
                <w:sz w:val="22"/>
              </w:rPr>
              <w:t>-9.3</w:t>
            </w:r>
          </w:p>
        </w:tc>
        <w:tc>
          <w:tcPr>
            <w:tcW w:w="878" w:type="pct"/>
            <w:tcBorders>
              <w:top w:val="single" w:sz="4" w:space="0" w:color="788184"/>
              <w:left w:val="single" w:sz="4" w:space="0" w:color="788184"/>
              <w:bottom w:val="single" w:sz="4" w:space="0" w:color="788184"/>
              <w:right w:val="single" w:sz="4" w:space="0" w:color="788184"/>
            </w:tcBorders>
            <w:shd w:val="clear" w:color="auto" w:fill="auto"/>
            <w:vAlign w:val="center"/>
          </w:tcPr>
          <w:p w:rsidR="004B106B" w:rsidRPr="0021706F" w:rsidRDefault="004B106B" w:rsidP="00B230B9">
            <w:pPr>
              <w:pStyle w:val="TableTextCentred"/>
              <w:keepNext/>
              <w:keepLines/>
              <w:jc w:val="right"/>
              <w:rPr>
                <w:sz w:val="22"/>
              </w:rPr>
            </w:pPr>
            <w:r>
              <w:rPr>
                <w:sz w:val="22"/>
              </w:rPr>
              <w:t>-9.3</w:t>
            </w:r>
          </w:p>
        </w:tc>
      </w:tr>
      <w:tr w:rsidR="004B106B" w:rsidRPr="0021706F" w:rsidTr="0021706F">
        <w:trPr>
          <w:cantSplit/>
        </w:trPr>
        <w:tc>
          <w:tcPr>
            <w:tcW w:w="1493" w:type="pct"/>
            <w:tcBorders>
              <w:top w:val="single" w:sz="4" w:space="0" w:color="788184"/>
              <w:left w:val="single" w:sz="4" w:space="0" w:color="788184"/>
              <w:bottom w:val="single" w:sz="4" w:space="0" w:color="788184"/>
              <w:right w:val="single" w:sz="4" w:space="0" w:color="788184"/>
            </w:tcBorders>
            <w:shd w:val="clear" w:color="auto" w:fill="auto"/>
            <w:vAlign w:val="center"/>
          </w:tcPr>
          <w:p w:rsidR="004B106B" w:rsidRPr="0021706F" w:rsidRDefault="004B106B" w:rsidP="0021706F">
            <w:pPr>
              <w:pStyle w:val="TableTextCentred"/>
              <w:keepNext/>
              <w:keepLines/>
              <w:jc w:val="left"/>
              <w:rPr>
                <w:sz w:val="22"/>
              </w:rPr>
            </w:pPr>
            <w:r w:rsidRPr="0021706F">
              <w:rPr>
                <w:sz w:val="22"/>
              </w:rPr>
              <w:t>Fiscal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4B106B" w:rsidRPr="0021706F" w:rsidRDefault="004B106B" w:rsidP="0021706F">
            <w:pPr>
              <w:pStyle w:val="TableTextCentred"/>
              <w:keepNext/>
              <w:keepLines/>
              <w:jc w:val="right"/>
              <w:rPr>
                <w:sz w:val="22"/>
              </w:rPr>
            </w:pPr>
            <w:r>
              <w:rPr>
                <w:sz w:val="22"/>
              </w:rPr>
              <w:t>-10</w:t>
            </w:r>
          </w:p>
        </w:tc>
        <w:tc>
          <w:tcPr>
            <w:tcW w:w="877" w:type="pct"/>
            <w:tcBorders>
              <w:top w:val="single" w:sz="4" w:space="0" w:color="788184"/>
              <w:left w:val="single" w:sz="4" w:space="0" w:color="788184"/>
              <w:bottom w:val="single" w:sz="4" w:space="0" w:color="788184"/>
              <w:right w:val="single" w:sz="4" w:space="0" w:color="788184"/>
            </w:tcBorders>
            <w:shd w:val="clear" w:color="auto" w:fill="auto"/>
            <w:vAlign w:val="center"/>
          </w:tcPr>
          <w:p w:rsidR="004B106B" w:rsidRPr="0021706F" w:rsidRDefault="004B106B" w:rsidP="0021706F">
            <w:pPr>
              <w:pStyle w:val="TableTextCentred"/>
              <w:keepNext/>
              <w:keepLines/>
              <w:jc w:val="right"/>
              <w:rPr>
                <w:sz w:val="22"/>
              </w:rPr>
            </w:pPr>
            <w:r>
              <w:rPr>
                <w:sz w:val="22"/>
              </w:rPr>
              <w:t>-9.3</w:t>
            </w:r>
          </w:p>
        </w:tc>
        <w:tc>
          <w:tcPr>
            <w:tcW w:w="876" w:type="pct"/>
            <w:tcBorders>
              <w:top w:val="single" w:sz="4" w:space="0" w:color="788184"/>
              <w:left w:val="single" w:sz="4" w:space="0" w:color="788184"/>
              <w:bottom w:val="single" w:sz="4" w:space="0" w:color="788184"/>
              <w:right w:val="single" w:sz="4" w:space="0" w:color="788184"/>
            </w:tcBorders>
            <w:shd w:val="clear" w:color="auto" w:fill="auto"/>
            <w:vAlign w:val="center"/>
          </w:tcPr>
          <w:p w:rsidR="004B106B" w:rsidRPr="0021706F" w:rsidRDefault="004B106B" w:rsidP="00B230B9">
            <w:pPr>
              <w:pStyle w:val="TableTextCentred"/>
              <w:keepNext/>
              <w:keepLines/>
              <w:jc w:val="right"/>
              <w:rPr>
                <w:sz w:val="22"/>
              </w:rPr>
            </w:pPr>
            <w:r>
              <w:rPr>
                <w:sz w:val="22"/>
              </w:rPr>
              <w:t>-9.3</w:t>
            </w:r>
          </w:p>
        </w:tc>
        <w:tc>
          <w:tcPr>
            <w:tcW w:w="878" w:type="pct"/>
            <w:tcBorders>
              <w:top w:val="single" w:sz="4" w:space="0" w:color="788184"/>
              <w:left w:val="single" w:sz="4" w:space="0" w:color="788184"/>
              <w:bottom w:val="single" w:sz="4" w:space="0" w:color="788184"/>
              <w:right w:val="single" w:sz="4" w:space="0" w:color="788184"/>
            </w:tcBorders>
            <w:shd w:val="clear" w:color="auto" w:fill="auto"/>
            <w:vAlign w:val="center"/>
          </w:tcPr>
          <w:p w:rsidR="004B106B" w:rsidRPr="0021706F" w:rsidRDefault="004B106B" w:rsidP="00B230B9">
            <w:pPr>
              <w:pStyle w:val="TableTextCentred"/>
              <w:keepNext/>
              <w:keepLines/>
              <w:jc w:val="right"/>
              <w:rPr>
                <w:sz w:val="22"/>
              </w:rPr>
            </w:pPr>
            <w:r>
              <w:rPr>
                <w:sz w:val="22"/>
              </w:rPr>
              <w:t>-9.3</w:t>
            </w:r>
          </w:p>
        </w:tc>
      </w:tr>
      <w:tr w:rsidR="00CF6DB6" w:rsidRPr="0021706F" w:rsidTr="0021706F">
        <w:trPr>
          <w:cantSplit/>
        </w:trPr>
        <w:tc>
          <w:tcPr>
            <w:tcW w:w="5000" w:type="pct"/>
            <w:gridSpan w:val="6"/>
            <w:tcBorders>
              <w:top w:val="single" w:sz="4" w:space="0" w:color="788184"/>
              <w:left w:val="single" w:sz="4" w:space="0" w:color="788184"/>
              <w:bottom w:val="single" w:sz="4" w:space="0" w:color="788184"/>
              <w:right w:val="single" w:sz="4" w:space="0" w:color="788184"/>
            </w:tcBorders>
            <w:shd w:val="clear" w:color="auto" w:fill="auto"/>
          </w:tcPr>
          <w:p w:rsidR="00CF6DB6" w:rsidRPr="0021706F" w:rsidRDefault="007202A8" w:rsidP="0021706F">
            <w:pPr>
              <w:pStyle w:val="TableTextCentred"/>
              <w:keepNext/>
              <w:keepLines/>
              <w:numPr>
                <w:ilvl w:val="0"/>
                <w:numId w:val="4"/>
              </w:numPr>
              <w:ind w:left="284" w:hanging="284"/>
              <w:jc w:val="left"/>
              <w:rPr>
                <w:sz w:val="22"/>
              </w:rPr>
            </w:pPr>
            <w:r w:rsidRPr="0021706F">
              <w:rPr>
                <w:sz w:val="22"/>
              </w:rPr>
              <w:t>A positive number for the fiscal balance indicates an increase in revenue or a decrease in expenses or net capital investment in accrual terms.  A positive number in the underlying cash balance indicates an increase in revenue or a decrease in expenses or net capital investment in cash terms.</w:t>
            </w:r>
          </w:p>
        </w:tc>
      </w:tr>
      <w:tr w:rsidR="00640346"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E15AAE" w:rsidP="003157D3">
            <w:pPr>
              <w:pStyle w:val="TableText"/>
              <w:rPr>
                <w:rFonts w:eastAsia="Times New Roman"/>
                <w:sz w:val="22"/>
                <w:lang w:eastAsia="en-AU"/>
              </w:rPr>
            </w:pPr>
            <w:r w:rsidRPr="0021706F">
              <w:rPr>
                <w:rFonts w:eastAsia="Times New Roman"/>
                <w:sz w:val="22"/>
                <w:lang w:eastAsia="en-AU"/>
              </w:rPr>
              <w:t>What assumptions have been made in deriving the expected financial impact in the party costing (please provide information on the data sources used to develop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9D7399" w:rsidP="0021706F">
            <w:pPr>
              <w:pStyle w:val="TableTextCentred"/>
              <w:jc w:val="left"/>
              <w:rPr>
                <w:sz w:val="22"/>
              </w:rPr>
            </w:pPr>
            <w:r>
              <w:rPr>
                <w:sz w:val="22"/>
              </w:rPr>
              <w:t>-</w:t>
            </w:r>
          </w:p>
        </w:tc>
      </w:tr>
      <w:tr w:rsidR="00640346"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E15AAE" w:rsidRPr="0021706F" w:rsidRDefault="00E15AAE" w:rsidP="00E15AAE">
            <w:pPr>
              <w:pStyle w:val="TableText"/>
              <w:rPr>
                <w:rFonts w:eastAsia="Times New Roman"/>
                <w:sz w:val="22"/>
                <w:lang w:eastAsia="en-AU"/>
              </w:rPr>
            </w:pPr>
            <w:r w:rsidRPr="0021706F">
              <w:rPr>
                <w:rFonts w:eastAsia="Times New Roman"/>
                <w:sz w:val="22"/>
                <w:lang w:eastAsia="en-AU"/>
              </w:rPr>
              <w:t>Has the policy been costed by a third party?</w:t>
            </w:r>
          </w:p>
          <w:p w:rsidR="00640346" w:rsidRPr="0021706F" w:rsidRDefault="00E15AAE" w:rsidP="00E15AAE">
            <w:pPr>
              <w:pStyle w:val="TableText"/>
              <w:rPr>
                <w:rFonts w:eastAsia="Times New Roman"/>
                <w:sz w:val="22"/>
                <w:lang w:eastAsia="en-AU"/>
              </w:rPr>
            </w:pPr>
            <w:r w:rsidRPr="0021706F">
              <w:rPr>
                <w:rFonts w:eastAsia="Times New Roman"/>
                <w:sz w:val="22"/>
                <w:lang w:eastAsia="en-AU"/>
              </w:rPr>
              <w:t>If yes, can you provide a copy of this costing and its 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640346" w:rsidP="004B106B">
            <w:pPr>
              <w:pStyle w:val="TableTextCentred"/>
              <w:ind w:left="0"/>
              <w:jc w:val="left"/>
              <w:rPr>
                <w:sz w:val="22"/>
              </w:rPr>
            </w:pPr>
          </w:p>
        </w:tc>
      </w:tr>
      <w:tr w:rsidR="00640346"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E15AAE" w:rsidRPr="0021706F" w:rsidRDefault="00E15AAE" w:rsidP="00E15AAE">
            <w:pPr>
              <w:pStyle w:val="TableText"/>
              <w:rPr>
                <w:rFonts w:eastAsia="Times New Roman"/>
                <w:sz w:val="22"/>
                <w:lang w:eastAsia="en-AU"/>
              </w:rPr>
            </w:pPr>
            <w:r w:rsidRPr="0021706F">
              <w:rPr>
                <w:rFonts w:eastAsia="Times New Roman"/>
                <w:sz w:val="22"/>
                <w:lang w:eastAsia="en-AU"/>
              </w:rPr>
              <w:t>What is the expected community impact of the policy?</w:t>
            </w:r>
          </w:p>
          <w:p w:rsidR="00E15AAE" w:rsidRPr="0021706F" w:rsidRDefault="00E15AAE" w:rsidP="00E15AAE">
            <w:pPr>
              <w:pStyle w:val="TableText"/>
              <w:rPr>
                <w:rFonts w:eastAsia="Times New Roman"/>
                <w:sz w:val="22"/>
                <w:lang w:eastAsia="en-AU"/>
              </w:rPr>
            </w:pPr>
            <w:r w:rsidRPr="0021706F">
              <w:rPr>
                <w:rFonts w:eastAsia="Times New Roman"/>
                <w:sz w:val="22"/>
                <w:lang w:eastAsia="en-AU"/>
              </w:rPr>
              <w:t>How many people will be affected by the policy?</w:t>
            </w:r>
          </w:p>
          <w:p w:rsidR="00E15AAE" w:rsidRPr="0021706F" w:rsidRDefault="00E15AAE" w:rsidP="00E15AAE">
            <w:pPr>
              <w:pStyle w:val="TableText"/>
              <w:rPr>
                <w:rFonts w:eastAsia="Times New Roman"/>
                <w:sz w:val="22"/>
                <w:lang w:eastAsia="en-AU"/>
              </w:rPr>
            </w:pPr>
            <w:r w:rsidRPr="0021706F">
              <w:rPr>
                <w:rFonts w:eastAsia="Times New Roman"/>
                <w:sz w:val="22"/>
                <w:lang w:eastAsia="en-AU"/>
              </w:rPr>
              <w:t>What is the likely take up?</w:t>
            </w:r>
          </w:p>
          <w:p w:rsidR="00640346" w:rsidRPr="0021706F" w:rsidRDefault="00E15AAE" w:rsidP="00E15AAE">
            <w:pPr>
              <w:pStyle w:val="TableText"/>
              <w:rPr>
                <w:rFonts w:eastAsia="Times New Roman"/>
                <w:sz w:val="22"/>
                <w:lang w:eastAsia="en-AU"/>
              </w:rPr>
            </w:pPr>
            <w:r w:rsidRPr="0021706F">
              <w:rPr>
                <w:rFonts w:eastAsia="Times New Roman"/>
                <w:sz w:val="22"/>
                <w:lang w:eastAsia="en-AU"/>
              </w:rPr>
              <w:t>What is the basis for these impact assessments/assumptions?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4B106B" w:rsidP="004B106B">
            <w:pPr>
              <w:pStyle w:val="TableTextCentred"/>
              <w:jc w:val="left"/>
              <w:rPr>
                <w:sz w:val="22"/>
              </w:rPr>
            </w:pPr>
            <w:r>
              <w:rPr>
                <w:sz w:val="22"/>
              </w:rPr>
              <w:t>Improved support for communities, reduced number of children forced to enter out of home care, and improved</w:t>
            </w:r>
            <w:r w:rsidRPr="004B106B">
              <w:rPr>
                <w:sz w:val="22"/>
              </w:rPr>
              <w:t xml:space="preserve"> support for people in or transitioning from out of home care.</w:t>
            </w:r>
          </w:p>
        </w:tc>
      </w:tr>
      <w:tr w:rsidR="00CF6DB6" w:rsidRPr="0021706F" w:rsidTr="0021706F">
        <w:trPr>
          <w:cantSplit/>
        </w:trPr>
        <w:tc>
          <w:tcPr>
            <w:tcW w:w="5000" w:type="pct"/>
            <w:gridSpan w:val="6"/>
            <w:tcBorders>
              <w:top w:val="single" w:sz="4" w:space="0" w:color="788184"/>
              <w:left w:val="single" w:sz="4" w:space="0" w:color="788184"/>
              <w:bottom w:val="single" w:sz="4" w:space="0" w:color="788184"/>
              <w:right w:val="single" w:sz="4" w:space="0" w:color="788184"/>
            </w:tcBorders>
            <w:shd w:val="clear" w:color="auto" w:fill="D7DDE9"/>
          </w:tcPr>
          <w:p w:rsidR="00CF6DB6" w:rsidRPr="0021706F" w:rsidRDefault="00CF6DB6" w:rsidP="0021706F">
            <w:pPr>
              <w:pStyle w:val="TableTextCentred"/>
              <w:keepNext/>
              <w:keepLines/>
              <w:jc w:val="left"/>
              <w:rPr>
                <w:sz w:val="22"/>
              </w:rPr>
            </w:pPr>
            <w:r w:rsidRPr="0021706F">
              <w:rPr>
                <w:b/>
                <w:sz w:val="22"/>
              </w:rPr>
              <w:t>Administration of policy:</w:t>
            </w:r>
          </w:p>
        </w:tc>
      </w:tr>
      <w:tr w:rsidR="00640346"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CB40E1" w:rsidP="0021706F">
            <w:pPr>
              <w:pStyle w:val="TableText"/>
              <w:keepNext/>
              <w:keepLines/>
              <w:rPr>
                <w:rFonts w:eastAsia="Times New Roman"/>
                <w:sz w:val="22"/>
                <w:lang w:eastAsia="en-AU"/>
              </w:rPr>
            </w:pPr>
            <w:r w:rsidRPr="0021706F">
              <w:rPr>
                <w:rFonts w:eastAsia="Times New Roman"/>
                <w:sz w:val="22"/>
                <w:lang w:eastAsia="en-AU"/>
              </w:rPr>
              <w:t>Who will administer the policy (for example, Australian Government entity, the States, non</w:t>
            </w:r>
            <w:r w:rsidRPr="0021706F">
              <w:rPr>
                <w:rFonts w:eastAsia="Times New Roman"/>
                <w:sz w:val="22"/>
                <w:lang w:eastAsia="en-AU"/>
              </w:rPr>
              <w:noBreakHyphen/>
              <w:t xml:space="preserve">government organisation, </w:t>
            </w:r>
            <w:proofErr w:type="spellStart"/>
            <w:r w:rsidRPr="0021706F">
              <w:rPr>
                <w:rFonts w:eastAsia="Times New Roman"/>
                <w:sz w:val="22"/>
                <w:lang w:eastAsia="en-AU"/>
              </w:rPr>
              <w:t>etc</w:t>
            </w:r>
            <w:proofErr w:type="spellEnd"/>
            <w:r w:rsidRPr="0021706F">
              <w:rPr>
                <w:rFonts w:eastAsia="Times New Roman"/>
                <w:sz w:val="22"/>
                <w:lang w:eastAsia="en-AU"/>
              </w:rPr>
              <w:t>)?</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4B106B" w:rsidP="0021706F">
            <w:pPr>
              <w:pStyle w:val="TableTextCentred"/>
              <w:keepNext/>
              <w:keepLines/>
              <w:jc w:val="left"/>
              <w:rPr>
                <w:sz w:val="22"/>
              </w:rPr>
            </w:pPr>
            <w:r>
              <w:rPr>
                <w:sz w:val="22"/>
              </w:rPr>
              <w:t>DSS</w:t>
            </w:r>
          </w:p>
        </w:tc>
      </w:tr>
      <w:tr w:rsidR="00640346"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CB40E1" w:rsidP="0021706F">
            <w:pPr>
              <w:pStyle w:val="TableText"/>
              <w:keepNext/>
              <w:keepLines/>
              <w:rPr>
                <w:rFonts w:eastAsia="Times New Roman"/>
                <w:sz w:val="22"/>
                <w:lang w:eastAsia="en-AU"/>
              </w:rPr>
            </w:pPr>
            <w:r w:rsidRPr="0021706F">
              <w:rPr>
                <w:rFonts w:eastAsia="Times New Roman"/>
                <w:sz w:val="22"/>
                <w:lang w:eastAsia="en-AU"/>
              </w:rPr>
              <w:t>Please specify whether any special administrative arrangements are proposed for the policy and whether these are expected to involve additional transactions/processing (by service delivery agencies).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4B106B" w:rsidP="0021706F">
            <w:pPr>
              <w:pStyle w:val="TableTextCentred"/>
              <w:keepNext/>
              <w:keepLines/>
              <w:jc w:val="left"/>
              <w:rPr>
                <w:sz w:val="22"/>
              </w:rPr>
            </w:pPr>
            <w:r>
              <w:t>Transition to Independent Living Allowance eligibility impacts #4 above.</w:t>
            </w:r>
          </w:p>
        </w:tc>
      </w:tr>
      <w:tr w:rsidR="004B106B"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4B106B" w:rsidRPr="0021706F" w:rsidRDefault="004B106B" w:rsidP="00660385">
            <w:pPr>
              <w:pStyle w:val="TableText"/>
              <w:rPr>
                <w:rFonts w:eastAsia="Times New Roman"/>
                <w:sz w:val="22"/>
                <w:lang w:eastAsia="en-AU"/>
              </w:rPr>
            </w:pPr>
            <w:r w:rsidRPr="0021706F">
              <w:rPr>
                <w:rFonts w:eastAsia="Times New Roman"/>
                <w:sz w:val="22"/>
                <w:lang w:eastAsia="en-AU"/>
              </w:rPr>
              <w:t>Intended date of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4B106B" w:rsidRPr="00E955B2" w:rsidRDefault="004B106B" w:rsidP="00B17A51">
            <w:pPr>
              <w:spacing w:before="120" w:after="120"/>
              <w:ind w:left="57" w:right="57"/>
            </w:pPr>
            <w:r>
              <w:t xml:space="preserve">1 </w:t>
            </w:r>
            <w:r w:rsidR="00B17A51">
              <w:t>September</w:t>
            </w:r>
            <w:r>
              <w:t xml:space="preserve"> 2016.</w:t>
            </w:r>
          </w:p>
        </w:tc>
      </w:tr>
      <w:tr w:rsidR="004B106B"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4B106B" w:rsidRPr="0021706F" w:rsidRDefault="004B106B" w:rsidP="00660385">
            <w:pPr>
              <w:pStyle w:val="TableText"/>
              <w:rPr>
                <w:rFonts w:eastAsia="Times New Roman"/>
                <w:sz w:val="22"/>
                <w:lang w:eastAsia="en-AU"/>
              </w:rPr>
            </w:pPr>
            <w:r w:rsidRPr="0021706F">
              <w:rPr>
                <w:rFonts w:eastAsia="Times New Roman"/>
                <w:sz w:val="22"/>
                <w:lang w:eastAsia="en-AU"/>
              </w:rPr>
              <w:t>Intended duration of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4B106B" w:rsidRPr="00E955B2" w:rsidRDefault="004B106B" w:rsidP="00B230B9">
            <w:pPr>
              <w:spacing w:before="120" w:after="120"/>
              <w:ind w:left="57" w:right="57"/>
            </w:pPr>
            <w:r>
              <w:t xml:space="preserve">Capped amounts over the forwards, increased TILA to be ongoing. </w:t>
            </w:r>
          </w:p>
        </w:tc>
      </w:tr>
      <w:tr w:rsidR="00640346"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CB40E1" w:rsidP="00660385">
            <w:pPr>
              <w:pStyle w:val="TableText"/>
              <w:rPr>
                <w:rFonts w:eastAsia="Times New Roman"/>
                <w:sz w:val="22"/>
                <w:lang w:eastAsia="en-AU"/>
              </w:rPr>
            </w:pPr>
            <w:r w:rsidRPr="0021706F">
              <w:rPr>
                <w:rFonts w:eastAsia="Times New Roman"/>
                <w:sz w:val="22"/>
                <w:lang w:eastAsia="en-AU"/>
              </w:rPr>
              <w:lastRenderedPageBreak/>
              <w:t>Are there transitional arrangements associated with policy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4B106B" w:rsidP="0021706F">
            <w:pPr>
              <w:pStyle w:val="TableTextCentred"/>
              <w:jc w:val="left"/>
              <w:rPr>
                <w:sz w:val="22"/>
              </w:rPr>
            </w:pPr>
            <w:r>
              <w:rPr>
                <w:sz w:val="22"/>
              </w:rPr>
              <w:t>-</w:t>
            </w:r>
          </w:p>
        </w:tc>
      </w:tr>
      <w:tr w:rsidR="00640346"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CB40E1" w:rsidP="00660385">
            <w:pPr>
              <w:pStyle w:val="TableText"/>
              <w:rPr>
                <w:rFonts w:eastAsia="Times New Roman"/>
                <w:sz w:val="22"/>
                <w:lang w:eastAsia="en-AU"/>
              </w:rPr>
            </w:pPr>
            <w:r w:rsidRPr="0021706F">
              <w:rPr>
                <w:rFonts w:eastAsia="Times New Roman"/>
                <w:sz w:val="22"/>
                <w:lang w:eastAsia="en-AU"/>
              </w:rPr>
              <w:t>List major data sources utilised to develop policy (for example, ABS catalogue number 3201.0).</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E50B82" w:rsidP="0021706F">
            <w:pPr>
              <w:pStyle w:val="TableTextCentred"/>
              <w:jc w:val="left"/>
              <w:rPr>
                <w:sz w:val="22"/>
              </w:rPr>
            </w:pPr>
            <w:hyperlink r:id="rId11" w:history="1">
              <w:r w:rsidR="004B106B" w:rsidRPr="004B106B">
                <w:rPr>
                  <w:rStyle w:val="Hyperlink"/>
                  <w:sz w:val="22"/>
                </w:rPr>
                <w:t>Senate Community Affairs report</w:t>
              </w:r>
            </w:hyperlink>
          </w:p>
        </w:tc>
      </w:tr>
      <w:tr w:rsidR="00640346" w:rsidRPr="0021706F" w:rsidTr="0021706F">
        <w:trPr>
          <w:cantSplit/>
        </w:trPr>
        <w:tc>
          <w:tcPr>
            <w:tcW w:w="1806"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CB40E1" w:rsidP="00660385">
            <w:pPr>
              <w:pStyle w:val="TableText"/>
              <w:rPr>
                <w:rFonts w:eastAsia="Times New Roman"/>
                <w:sz w:val="22"/>
                <w:lang w:eastAsia="en-AU"/>
              </w:rPr>
            </w:pPr>
            <w:r w:rsidRPr="0021706F">
              <w:rPr>
                <w:rFonts w:eastAsia="Times New Roman"/>
                <w:sz w:val="22"/>
                <w:lang w:eastAsia="en-AU"/>
              </w:rPr>
              <w:t>Are there any other assumptions that need to be considered?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4B106B" w:rsidP="0021706F">
            <w:pPr>
              <w:pStyle w:val="TableTextCentred"/>
              <w:jc w:val="left"/>
              <w:rPr>
                <w:sz w:val="22"/>
              </w:rPr>
            </w:pPr>
            <w:r>
              <w:rPr>
                <w:sz w:val="22"/>
              </w:rPr>
              <w:t>-</w:t>
            </w:r>
          </w:p>
        </w:tc>
      </w:tr>
      <w:tr w:rsidR="00640346" w:rsidRPr="0021706F" w:rsidTr="0021706F">
        <w:trPr>
          <w:cantSplit/>
        </w:trPr>
        <w:tc>
          <w:tcPr>
            <w:tcW w:w="5000" w:type="pct"/>
            <w:gridSpan w:val="6"/>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640346" w:rsidP="0021706F">
            <w:pPr>
              <w:pStyle w:val="TableTextCentred"/>
              <w:jc w:val="left"/>
              <w:rPr>
                <w:b/>
                <w:sz w:val="22"/>
              </w:rPr>
            </w:pPr>
            <w:r w:rsidRPr="0021706F">
              <w:rPr>
                <w:b/>
                <w:sz w:val="22"/>
              </w:rPr>
              <w:t>NOTE:</w:t>
            </w:r>
          </w:p>
          <w:p w:rsidR="00640346" w:rsidRPr="0021706F" w:rsidRDefault="00640346" w:rsidP="0021706F">
            <w:pPr>
              <w:pStyle w:val="TableTextCentred"/>
              <w:jc w:val="left"/>
              <w:rPr>
                <w:i/>
                <w:sz w:val="22"/>
              </w:rPr>
            </w:pPr>
            <w:r w:rsidRPr="0021706F">
              <w:rPr>
                <w:i/>
                <w:sz w:val="22"/>
              </w:rPr>
              <w:t>Please note that:</w:t>
            </w:r>
          </w:p>
          <w:p w:rsidR="00CB40E1" w:rsidRPr="0021706F" w:rsidRDefault="00CB40E1" w:rsidP="0021706F">
            <w:pPr>
              <w:pStyle w:val="TableTextBullet1"/>
              <w:numPr>
                <w:ilvl w:val="0"/>
                <w:numId w:val="0"/>
              </w:numPr>
              <w:spacing w:before="70" w:after="70" w:line="260" w:lineRule="atLeast"/>
              <w:ind w:left="113" w:right="113"/>
              <w:rPr>
                <w:i/>
                <w:sz w:val="22"/>
              </w:rPr>
            </w:pPr>
            <w:r w:rsidRPr="0021706F">
              <w:rPr>
                <w:i/>
                <w:sz w:val="22"/>
              </w:rPr>
              <w:t>The costing will be on the basis of information provided in this costing request.</w:t>
            </w:r>
          </w:p>
          <w:p w:rsidR="00640346" w:rsidRPr="0021706F" w:rsidRDefault="00CB40E1" w:rsidP="0021706F">
            <w:pPr>
              <w:pStyle w:val="TableTextBullet1"/>
              <w:numPr>
                <w:ilvl w:val="0"/>
                <w:numId w:val="0"/>
              </w:numPr>
              <w:spacing w:before="70" w:after="70" w:line="260" w:lineRule="atLeast"/>
              <w:ind w:left="113" w:right="113"/>
              <w:rPr>
                <w:sz w:val="22"/>
              </w:rPr>
            </w:pPr>
            <w:r w:rsidRPr="0021706F">
              <w:rPr>
                <w:i/>
                <w:sz w:val="22"/>
              </w:rPr>
              <w:t>The PBO is not bound to accept the assumptions provided by the requestor.  If there is a material difference in the assumptions used by the PBO, the PBO will consult with the requestor in advance of the costing being completed.</w:t>
            </w:r>
          </w:p>
        </w:tc>
      </w:tr>
    </w:tbl>
    <w:p w:rsidR="0055581F" w:rsidRDefault="0055581F"/>
    <w:sectPr w:rsidR="0055581F" w:rsidSect="00BC559C">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E20" w:rsidRDefault="005B1E20" w:rsidP="008F588A">
      <w:pPr>
        <w:spacing w:line="240" w:lineRule="auto"/>
      </w:pPr>
      <w:r>
        <w:separator/>
      </w:r>
    </w:p>
  </w:endnote>
  <w:endnote w:type="continuationSeparator" w:id="0">
    <w:p w:rsidR="005B1E20" w:rsidRDefault="005B1E20" w:rsidP="008F5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7D" w:rsidRDefault="000B2C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CellMar>
        <w:left w:w="0" w:type="dxa"/>
        <w:right w:w="0" w:type="dxa"/>
      </w:tblCellMar>
      <w:tblLook w:val="04A0" w:firstRow="1" w:lastRow="0" w:firstColumn="1" w:lastColumn="0" w:noHBand="0" w:noVBand="1"/>
    </w:tblPr>
    <w:tblGrid>
      <w:gridCol w:w="8080"/>
      <w:gridCol w:w="2410"/>
    </w:tblGrid>
    <w:tr w:rsidR="008F588A" w:rsidRPr="0021706F" w:rsidTr="0021706F">
      <w:tc>
        <w:tcPr>
          <w:tcW w:w="8080" w:type="dxa"/>
          <w:shd w:val="clear" w:color="auto" w:fill="auto"/>
        </w:tcPr>
        <w:p w:rsidR="008F588A" w:rsidRPr="0021706F" w:rsidRDefault="008F588A" w:rsidP="0021706F">
          <w:pPr>
            <w:pStyle w:val="Footer"/>
            <w:spacing w:before="180" w:after="60"/>
            <w:rPr>
              <w:rFonts w:eastAsia="Times New Roman"/>
              <w:b/>
              <w:sz w:val="20"/>
              <w:lang w:eastAsia="en-AU"/>
            </w:rPr>
          </w:pPr>
        </w:p>
      </w:tc>
      <w:tc>
        <w:tcPr>
          <w:tcW w:w="2410" w:type="dxa"/>
          <w:shd w:val="clear" w:color="auto" w:fill="auto"/>
        </w:tcPr>
        <w:p w:rsidR="008F588A" w:rsidRPr="0021706F" w:rsidRDefault="008F588A" w:rsidP="0021706F">
          <w:pPr>
            <w:pStyle w:val="Footer"/>
            <w:spacing w:before="180" w:after="60"/>
            <w:jc w:val="right"/>
            <w:rPr>
              <w:rFonts w:eastAsia="Times New Roman"/>
              <w:b/>
              <w:color w:val="788184"/>
              <w:sz w:val="20"/>
              <w:lang w:eastAsia="en-AU"/>
            </w:rPr>
          </w:pPr>
          <w:r w:rsidRPr="0021706F">
            <w:rPr>
              <w:rFonts w:eastAsia="Times New Roman"/>
              <w:b/>
              <w:color w:val="788184"/>
              <w:sz w:val="20"/>
              <w:szCs w:val="20"/>
              <w:lang w:eastAsia="en-AU"/>
            </w:rPr>
            <w:t xml:space="preserve">Page </w:t>
          </w:r>
          <w:r w:rsidRPr="0021706F">
            <w:rPr>
              <w:rFonts w:eastAsia="Times New Roman"/>
              <w:b/>
              <w:color w:val="788184"/>
              <w:sz w:val="20"/>
              <w:szCs w:val="20"/>
              <w:lang w:eastAsia="en-AU"/>
            </w:rPr>
            <w:fldChar w:fldCharType="begin"/>
          </w:r>
          <w:r w:rsidRPr="0021706F">
            <w:rPr>
              <w:rFonts w:eastAsia="Times New Roman"/>
              <w:b/>
              <w:color w:val="788184"/>
              <w:sz w:val="20"/>
              <w:szCs w:val="20"/>
              <w:lang w:eastAsia="en-AU"/>
            </w:rPr>
            <w:instrText xml:space="preserve"> PAGE  \* Arabic  \* MERGEFORMAT </w:instrText>
          </w:r>
          <w:r w:rsidRPr="0021706F">
            <w:rPr>
              <w:rFonts w:eastAsia="Times New Roman"/>
              <w:b/>
              <w:color w:val="788184"/>
              <w:sz w:val="20"/>
              <w:szCs w:val="20"/>
              <w:lang w:eastAsia="en-AU"/>
            </w:rPr>
            <w:fldChar w:fldCharType="separate"/>
          </w:r>
          <w:r w:rsidR="00E50B82">
            <w:rPr>
              <w:rFonts w:eastAsia="Times New Roman"/>
              <w:b/>
              <w:noProof/>
              <w:color w:val="788184"/>
              <w:sz w:val="20"/>
              <w:szCs w:val="20"/>
              <w:lang w:eastAsia="en-AU"/>
            </w:rPr>
            <w:t>4</w:t>
          </w:r>
          <w:r w:rsidRPr="0021706F">
            <w:rPr>
              <w:rFonts w:eastAsia="Times New Roman"/>
              <w:b/>
              <w:color w:val="788184"/>
              <w:sz w:val="20"/>
              <w:szCs w:val="20"/>
              <w:lang w:eastAsia="en-AU"/>
            </w:rPr>
            <w:fldChar w:fldCharType="end"/>
          </w:r>
          <w:r w:rsidRPr="0021706F">
            <w:rPr>
              <w:rFonts w:eastAsia="Times New Roman"/>
              <w:b/>
              <w:color w:val="788184"/>
              <w:sz w:val="20"/>
              <w:szCs w:val="20"/>
              <w:lang w:eastAsia="en-AU"/>
            </w:rPr>
            <w:t xml:space="preserve"> of </w:t>
          </w:r>
          <w:r w:rsidRPr="0021706F">
            <w:rPr>
              <w:rFonts w:eastAsia="Times New Roman"/>
              <w:b/>
              <w:color w:val="788184"/>
              <w:sz w:val="20"/>
              <w:szCs w:val="20"/>
              <w:lang w:eastAsia="en-AU"/>
            </w:rPr>
            <w:fldChar w:fldCharType="begin"/>
          </w:r>
          <w:r w:rsidRPr="0021706F">
            <w:rPr>
              <w:rFonts w:eastAsia="Times New Roman"/>
              <w:b/>
              <w:color w:val="788184"/>
              <w:sz w:val="20"/>
              <w:szCs w:val="20"/>
              <w:lang w:eastAsia="en-AU"/>
            </w:rPr>
            <w:instrText xml:space="preserve"> NUMPAGES  \* Arabic  \* MERGEFORMAT </w:instrText>
          </w:r>
          <w:r w:rsidRPr="0021706F">
            <w:rPr>
              <w:rFonts w:eastAsia="Times New Roman"/>
              <w:b/>
              <w:color w:val="788184"/>
              <w:sz w:val="20"/>
              <w:szCs w:val="20"/>
              <w:lang w:eastAsia="en-AU"/>
            </w:rPr>
            <w:fldChar w:fldCharType="separate"/>
          </w:r>
          <w:r w:rsidR="00E50B82">
            <w:rPr>
              <w:rFonts w:eastAsia="Times New Roman"/>
              <w:b/>
              <w:noProof/>
              <w:color w:val="788184"/>
              <w:sz w:val="20"/>
              <w:szCs w:val="20"/>
              <w:lang w:eastAsia="en-AU"/>
            </w:rPr>
            <w:t>5</w:t>
          </w:r>
          <w:r w:rsidRPr="0021706F">
            <w:rPr>
              <w:rFonts w:eastAsia="Times New Roman"/>
              <w:b/>
              <w:color w:val="788184"/>
              <w:sz w:val="20"/>
              <w:szCs w:val="20"/>
              <w:lang w:eastAsia="en-AU"/>
            </w:rPr>
            <w:fldChar w:fldCharType="end"/>
          </w:r>
        </w:p>
      </w:tc>
    </w:tr>
  </w:tbl>
  <w:p w:rsidR="008F588A" w:rsidRPr="00CB40E1" w:rsidRDefault="008F588A" w:rsidP="008F588A">
    <w:pPr>
      <w:pStyle w:val="Foote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CellMar>
        <w:left w:w="0" w:type="dxa"/>
        <w:right w:w="0" w:type="dxa"/>
      </w:tblCellMar>
      <w:tblLook w:val="04A0" w:firstRow="1" w:lastRow="0" w:firstColumn="1" w:lastColumn="0" w:noHBand="0" w:noVBand="1"/>
    </w:tblPr>
    <w:tblGrid>
      <w:gridCol w:w="8080"/>
      <w:gridCol w:w="2410"/>
    </w:tblGrid>
    <w:tr w:rsidR="008F588A" w:rsidRPr="0021706F" w:rsidTr="0021706F">
      <w:tc>
        <w:tcPr>
          <w:tcW w:w="8080" w:type="dxa"/>
          <w:shd w:val="clear" w:color="auto" w:fill="auto"/>
        </w:tcPr>
        <w:p w:rsidR="008F588A" w:rsidRPr="0021706F" w:rsidRDefault="00CF6DB6" w:rsidP="0021706F">
          <w:pPr>
            <w:pStyle w:val="Footer"/>
            <w:spacing w:before="180" w:after="60"/>
            <w:rPr>
              <w:rFonts w:eastAsia="Times New Roman"/>
              <w:b/>
              <w:sz w:val="20"/>
              <w:lang w:eastAsia="en-AU"/>
            </w:rPr>
          </w:pPr>
          <w:r w:rsidRPr="0021706F">
            <w:rPr>
              <w:rFonts w:eastAsia="Times New Roman"/>
              <w:b/>
              <w:color w:val="788184"/>
              <w:sz w:val="20"/>
              <w:szCs w:val="20"/>
              <w:lang w:eastAsia="en-AU"/>
            </w:rPr>
            <w:t xml:space="preserve">Parliamentary Budget Office   </w:t>
          </w:r>
          <w:r w:rsidR="008F588A" w:rsidRPr="0021706F">
            <w:rPr>
              <w:rFonts w:eastAsia="Times New Roman"/>
              <w:b/>
              <w:color w:val="788184"/>
              <w:sz w:val="20"/>
              <w:szCs w:val="20"/>
              <w:lang w:eastAsia="en-AU"/>
            </w:rPr>
            <w:t>PO Box 6010</w:t>
          </w:r>
          <w:r w:rsidRPr="0021706F">
            <w:rPr>
              <w:rFonts w:eastAsia="Times New Roman"/>
              <w:b/>
              <w:color w:val="788184"/>
              <w:sz w:val="20"/>
              <w:szCs w:val="20"/>
              <w:lang w:eastAsia="en-AU"/>
            </w:rPr>
            <w:t xml:space="preserve"> </w:t>
          </w:r>
          <w:r w:rsidR="008F588A" w:rsidRPr="0021706F">
            <w:rPr>
              <w:rFonts w:eastAsia="Times New Roman"/>
              <w:b/>
              <w:color w:val="788184"/>
              <w:sz w:val="20"/>
              <w:szCs w:val="20"/>
              <w:lang w:eastAsia="en-AU"/>
            </w:rPr>
            <w:t xml:space="preserve">  Parliament House </w:t>
          </w:r>
          <w:r w:rsidRPr="0021706F">
            <w:rPr>
              <w:rFonts w:eastAsia="Times New Roman"/>
              <w:b/>
              <w:color w:val="788184"/>
              <w:sz w:val="20"/>
              <w:szCs w:val="20"/>
              <w:lang w:eastAsia="en-AU"/>
            </w:rPr>
            <w:t xml:space="preserve"> </w:t>
          </w:r>
          <w:r w:rsidR="008F588A" w:rsidRPr="0021706F">
            <w:rPr>
              <w:rFonts w:eastAsia="Times New Roman"/>
              <w:b/>
              <w:color w:val="788184"/>
              <w:sz w:val="20"/>
              <w:szCs w:val="20"/>
              <w:lang w:eastAsia="en-AU"/>
            </w:rPr>
            <w:t xml:space="preserve"> Canberra ACT 2600</w:t>
          </w:r>
          <w:r w:rsidRPr="0021706F">
            <w:rPr>
              <w:rFonts w:eastAsia="Times New Roman"/>
              <w:b/>
              <w:color w:val="788184"/>
              <w:sz w:val="20"/>
              <w:szCs w:val="20"/>
              <w:lang w:eastAsia="en-AU"/>
            </w:rPr>
            <w:br/>
            <w:t xml:space="preserve">Tel: 02 6277 9500   Email: pbo@pbo.gov.au   </w:t>
          </w:r>
          <w:r w:rsidR="008F588A" w:rsidRPr="0021706F">
            <w:rPr>
              <w:rFonts w:eastAsia="Times New Roman"/>
              <w:b/>
              <w:color w:val="788184"/>
              <w:sz w:val="20"/>
              <w:szCs w:val="20"/>
              <w:lang w:eastAsia="en-AU"/>
            </w:rPr>
            <w:t>Web: www.pbo.gov.au</w:t>
          </w:r>
        </w:p>
      </w:tc>
      <w:tc>
        <w:tcPr>
          <w:tcW w:w="2410" w:type="dxa"/>
          <w:shd w:val="clear" w:color="auto" w:fill="auto"/>
          <w:vAlign w:val="center"/>
        </w:tcPr>
        <w:p w:rsidR="008F588A" w:rsidRPr="0021706F" w:rsidRDefault="008F588A" w:rsidP="0021706F">
          <w:pPr>
            <w:pStyle w:val="Footer"/>
            <w:spacing w:before="180" w:after="60"/>
            <w:jc w:val="right"/>
            <w:rPr>
              <w:rFonts w:eastAsia="Times New Roman"/>
              <w:b/>
              <w:color w:val="788184"/>
              <w:sz w:val="20"/>
              <w:lang w:eastAsia="en-AU"/>
            </w:rPr>
          </w:pPr>
          <w:r w:rsidRPr="0021706F">
            <w:rPr>
              <w:rFonts w:eastAsia="Times New Roman"/>
              <w:b/>
              <w:color w:val="788184"/>
              <w:sz w:val="20"/>
              <w:szCs w:val="20"/>
              <w:lang w:eastAsia="en-AU"/>
            </w:rPr>
            <w:t xml:space="preserve">Page </w:t>
          </w:r>
          <w:r w:rsidRPr="0021706F">
            <w:rPr>
              <w:rFonts w:eastAsia="Times New Roman"/>
              <w:b/>
              <w:color w:val="788184"/>
              <w:sz w:val="20"/>
              <w:szCs w:val="20"/>
              <w:lang w:eastAsia="en-AU"/>
            </w:rPr>
            <w:fldChar w:fldCharType="begin"/>
          </w:r>
          <w:r w:rsidRPr="0021706F">
            <w:rPr>
              <w:rFonts w:eastAsia="Times New Roman"/>
              <w:b/>
              <w:color w:val="788184"/>
              <w:sz w:val="20"/>
              <w:szCs w:val="20"/>
              <w:lang w:eastAsia="en-AU"/>
            </w:rPr>
            <w:instrText xml:space="preserve"> PAGE  \* Arabic  \* MERGEFORMAT </w:instrText>
          </w:r>
          <w:r w:rsidRPr="0021706F">
            <w:rPr>
              <w:rFonts w:eastAsia="Times New Roman"/>
              <w:b/>
              <w:color w:val="788184"/>
              <w:sz w:val="20"/>
              <w:szCs w:val="20"/>
              <w:lang w:eastAsia="en-AU"/>
            </w:rPr>
            <w:fldChar w:fldCharType="separate"/>
          </w:r>
          <w:r w:rsidR="00B36D49">
            <w:rPr>
              <w:rFonts w:eastAsia="Times New Roman"/>
              <w:b/>
              <w:noProof/>
              <w:color w:val="788184"/>
              <w:sz w:val="20"/>
              <w:szCs w:val="20"/>
              <w:lang w:eastAsia="en-AU"/>
            </w:rPr>
            <w:t>1</w:t>
          </w:r>
          <w:r w:rsidRPr="0021706F">
            <w:rPr>
              <w:rFonts w:eastAsia="Times New Roman"/>
              <w:b/>
              <w:color w:val="788184"/>
              <w:sz w:val="20"/>
              <w:szCs w:val="20"/>
              <w:lang w:eastAsia="en-AU"/>
            </w:rPr>
            <w:fldChar w:fldCharType="end"/>
          </w:r>
          <w:r w:rsidRPr="0021706F">
            <w:rPr>
              <w:rFonts w:eastAsia="Times New Roman"/>
              <w:b/>
              <w:color w:val="788184"/>
              <w:sz w:val="20"/>
              <w:szCs w:val="20"/>
              <w:lang w:eastAsia="en-AU"/>
            </w:rPr>
            <w:t xml:space="preserve"> of </w:t>
          </w:r>
          <w:r w:rsidRPr="0021706F">
            <w:rPr>
              <w:rFonts w:eastAsia="Times New Roman"/>
              <w:b/>
              <w:color w:val="788184"/>
              <w:sz w:val="20"/>
              <w:szCs w:val="20"/>
              <w:lang w:eastAsia="en-AU"/>
            </w:rPr>
            <w:fldChar w:fldCharType="begin"/>
          </w:r>
          <w:r w:rsidRPr="0021706F">
            <w:rPr>
              <w:rFonts w:eastAsia="Times New Roman"/>
              <w:b/>
              <w:color w:val="788184"/>
              <w:sz w:val="20"/>
              <w:szCs w:val="20"/>
              <w:lang w:eastAsia="en-AU"/>
            </w:rPr>
            <w:instrText xml:space="preserve"> NUMPAGES  \* Arabic  \* MERGEFORMAT </w:instrText>
          </w:r>
          <w:r w:rsidRPr="0021706F">
            <w:rPr>
              <w:rFonts w:eastAsia="Times New Roman"/>
              <w:b/>
              <w:color w:val="788184"/>
              <w:sz w:val="20"/>
              <w:szCs w:val="20"/>
              <w:lang w:eastAsia="en-AU"/>
            </w:rPr>
            <w:fldChar w:fldCharType="separate"/>
          </w:r>
          <w:r w:rsidR="00B36D49">
            <w:rPr>
              <w:rFonts w:eastAsia="Times New Roman"/>
              <w:b/>
              <w:noProof/>
              <w:color w:val="788184"/>
              <w:sz w:val="20"/>
              <w:szCs w:val="20"/>
              <w:lang w:eastAsia="en-AU"/>
            </w:rPr>
            <w:t>5</w:t>
          </w:r>
          <w:r w:rsidRPr="0021706F">
            <w:rPr>
              <w:rFonts w:eastAsia="Times New Roman"/>
              <w:b/>
              <w:color w:val="788184"/>
              <w:sz w:val="20"/>
              <w:szCs w:val="20"/>
              <w:lang w:eastAsia="en-AU"/>
            </w:rPr>
            <w:fldChar w:fldCharType="end"/>
          </w:r>
        </w:p>
      </w:tc>
    </w:tr>
  </w:tbl>
  <w:p w:rsidR="008F588A" w:rsidRPr="00CB40E1" w:rsidRDefault="008F588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E20" w:rsidRDefault="005B1E20" w:rsidP="008F588A">
      <w:pPr>
        <w:spacing w:line="240" w:lineRule="auto"/>
      </w:pPr>
      <w:r>
        <w:separator/>
      </w:r>
    </w:p>
  </w:footnote>
  <w:footnote w:type="continuationSeparator" w:id="0">
    <w:p w:rsidR="005B1E20" w:rsidRDefault="005B1E20" w:rsidP="008F58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7D" w:rsidRDefault="000B2C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Pr="008F588A" w:rsidRDefault="008F588A" w:rsidP="00CB40E1">
    <w:pPr>
      <w:pStyle w:val="Header"/>
      <w:spacing w:before="360" w:after="280"/>
      <w:rPr>
        <w:color w:val="788184"/>
      </w:rPr>
    </w:pPr>
    <w:r w:rsidRPr="008F588A">
      <w:rPr>
        <w:b/>
        <w:color w:val="788184"/>
        <w:sz w:val="20"/>
        <w:szCs w:val="20"/>
      </w:rPr>
      <w:t>PBO Policy costing request—during the caretaker period for a general election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Default="0019517F" w:rsidP="00CB40E1">
    <w:pPr>
      <w:pStyle w:val="Header"/>
    </w:pPr>
    <w:r>
      <w:rPr>
        <w:noProof/>
        <w:lang w:eastAsia="en-AU"/>
      </w:rPr>
      <w:drawing>
        <wp:inline distT="0" distB="0" distL="0" distR="0">
          <wp:extent cx="2696845" cy="567055"/>
          <wp:effectExtent l="0" t="0" r="8255" b="4445"/>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6845" cy="5670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448"/>
    <w:multiLevelType w:val="multilevel"/>
    <w:tmpl w:val="30D6E9B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1">
    <w:nsid w:val="0DD848D4"/>
    <w:multiLevelType w:val="hybridMultilevel"/>
    <w:tmpl w:val="F4445AF2"/>
    <w:lvl w:ilvl="0" w:tplc="0E0E9886">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3">
    <w:nsid w:val="19DE2101"/>
    <w:multiLevelType w:val="hybridMultilevel"/>
    <w:tmpl w:val="C518DC58"/>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4">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5">
    <w:nsid w:val="5DBC43B2"/>
    <w:multiLevelType w:val="hybridMultilevel"/>
    <w:tmpl w:val="CC1C0DBE"/>
    <w:lvl w:ilvl="0" w:tplc="0C09000F">
      <w:start w:val="1"/>
      <w:numFmt w:val="decimal"/>
      <w:lvlText w:val="%1."/>
      <w:lvlJc w:val="left"/>
      <w:pPr>
        <w:ind w:left="777" w:hanging="360"/>
      </w:pPr>
      <w:rPr>
        <w:rFonts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
    <w:nsid w:val="71CE2F93"/>
    <w:multiLevelType w:val="multilevel"/>
    <w:tmpl w:val="9A7284A0"/>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num w:numId="1">
    <w:abstractNumId w:val="0"/>
  </w:num>
  <w:num w:numId="2">
    <w:abstractNumId w:val="4"/>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attachedTemplate r:id="rId1"/>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C7D"/>
    <w:rsid w:val="000B2C7D"/>
    <w:rsid w:val="0014239B"/>
    <w:rsid w:val="0019517F"/>
    <w:rsid w:val="001A4628"/>
    <w:rsid w:val="001E6E37"/>
    <w:rsid w:val="0021706F"/>
    <w:rsid w:val="003157D3"/>
    <w:rsid w:val="004B106B"/>
    <w:rsid w:val="00515A85"/>
    <w:rsid w:val="0055581F"/>
    <w:rsid w:val="005B1E20"/>
    <w:rsid w:val="005F7DE0"/>
    <w:rsid w:val="00640346"/>
    <w:rsid w:val="00660385"/>
    <w:rsid w:val="007202A8"/>
    <w:rsid w:val="00726F2A"/>
    <w:rsid w:val="007B029A"/>
    <w:rsid w:val="008F588A"/>
    <w:rsid w:val="00902D2D"/>
    <w:rsid w:val="009D7399"/>
    <w:rsid w:val="00B17A51"/>
    <w:rsid w:val="00B230B9"/>
    <w:rsid w:val="00B36D49"/>
    <w:rsid w:val="00BC559C"/>
    <w:rsid w:val="00CB40E1"/>
    <w:rsid w:val="00CD512E"/>
    <w:rsid w:val="00CF6DB6"/>
    <w:rsid w:val="00D134CA"/>
    <w:rsid w:val="00E15AAE"/>
    <w:rsid w:val="00E50B82"/>
    <w:rsid w:val="00F95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line="300" w:lineRule="atLeast"/>
    </w:pPr>
    <w:rPr>
      <w:sz w:val="22"/>
      <w:szCs w:val="22"/>
      <w:lang w:eastAsia="en-US"/>
    </w:r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Cambria" w:hAnsi="Cambria"/>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559C"/>
    <w:rPr>
      <w:rFonts w:ascii="Georgia" w:hAnsi="Georgia"/>
      <w:bCs/>
      <w:color w:val="2B3B5F"/>
      <w:spacing w:val="-6"/>
      <w:kern w:val="32"/>
      <w:sz w:val="32"/>
      <w:szCs w:val="32"/>
    </w:rPr>
  </w:style>
  <w:style w:type="character" w:customStyle="1" w:styleId="Heading2Char">
    <w:name w:val="Heading 2 Char"/>
    <w:link w:val="Heading2"/>
    <w:rsid w:val="00CF6DB6"/>
    <w:rPr>
      <w:rFonts w:ascii="Cambria" w:hAnsi="Cambria"/>
      <w:bCs/>
      <w:iCs/>
      <w:color w:val="2B3B5F"/>
      <w:kern w:val="20"/>
      <w:sz w:val="32"/>
      <w:szCs w:val="28"/>
    </w:rPr>
  </w:style>
  <w:style w:type="character" w:customStyle="1" w:styleId="Heading3Char">
    <w:name w:val="Heading 3 Char"/>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rPr>
    <w:tblPr>
      <w:tblStyleRowBandSize w:val="1"/>
      <w:tblStyleColBandSize w:val="1"/>
      <w:tblCellMar>
        <w:left w:w="0" w:type="dxa"/>
        <w:right w:w="0" w:type="dxa"/>
      </w:tblCellMar>
    </w:tblPr>
    <w:tcPr>
      <w:shd w:val="clear" w:color="auto" w:fill="FFFFFF"/>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uiPriority w:val="99"/>
    <w:unhideWhenUsed/>
    <w:rsid w:val="00CF6DB6"/>
    <w:rPr>
      <w:color w:val="0000FF"/>
      <w:u w:val="single"/>
    </w:rPr>
  </w:style>
  <w:style w:type="paragraph" w:customStyle="1" w:styleId="TableTextBullet1">
    <w:name w:val="Table Text Bullet 1"/>
    <w:qFormat/>
    <w:rsid w:val="0014239B"/>
    <w:pPr>
      <w:numPr>
        <w:ilvl w:val="2"/>
        <w:numId w:val="5"/>
      </w:numPr>
      <w:spacing w:after="200"/>
      <w:ind w:left="283"/>
    </w:pPr>
    <w:rPr>
      <w:rFonts w:eastAsia="Times New Roman"/>
      <w:szCs w:val="22"/>
    </w:rPr>
  </w:style>
  <w:style w:type="table" w:customStyle="1" w:styleId="Style1">
    <w:name w:val="Style1"/>
    <w:basedOn w:val="TableNormal"/>
    <w:uiPriority w:val="99"/>
    <w:rsid w:val="00515A85"/>
    <w:tblPr/>
  </w:style>
  <w:style w:type="paragraph" w:styleId="ListParagraph">
    <w:name w:val="List Paragraph"/>
    <w:basedOn w:val="Normal"/>
    <w:uiPriority w:val="1"/>
    <w:rsid w:val="00726F2A"/>
    <w:pPr>
      <w:widowControl w:val="0"/>
      <w:spacing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line="300" w:lineRule="atLeast"/>
    </w:pPr>
    <w:rPr>
      <w:sz w:val="22"/>
      <w:szCs w:val="22"/>
      <w:lang w:eastAsia="en-US"/>
    </w:r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Cambria" w:hAnsi="Cambria"/>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559C"/>
    <w:rPr>
      <w:rFonts w:ascii="Georgia" w:hAnsi="Georgia"/>
      <w:bCs/>
      <w:color w:val="2B3B5F"/>
      <w:spacing w:val="-6"/>
      <w:kern w:val="32"/>
      <w:sz w:val="32"/>
      <w:szCs w:val="32"/>
    </w:rPr>
  </w:style>
  <w:style w:type="character" w:customStyle="1" w:styleId="Heading2Char">
    <w:name w:val="Heading 2 Char"/>
    <w:link w:val="Heading2"/>
    <w:rsid w:val="00CF6DB6"/>
    <w:rPr>
      <w:rFonts w:ascii="Cambria" w:hAnsi="Cambria"/>
      <w:bCs/>
      <w:iCs/>
      <w:color w:val="2B3B5F"/>
      <w:kern w:val="20"/>
      <w:sz w:val="32"/>
      <w:szCs w:val="28"/>
    </w:rPr>
  </w:style>
  <w:style w:type="character" w:customStyle="1" w:styleId="Heading3Char">
    <w:name w:val="Heading 3 Char"/>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rPr>
    <w:tblPr>
      <w:tblStyleRowBandSize w:val="1"/>
      <w:tblStyleColBandSize w:val="1"/>
      <w:tblCellMar>
        <w:left w:w="0" w:type="dxa"/>
        <w:right w:w="0" w:type="dxa"/>
      </w:tblCellMar>
    </w:tblPr>
    <w:tcPr>
      <w:shd w:val="clear" w:color="auto" w:fill="FFFFFF"/>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uiPriority w:val="99"/>
    <w:unhideWhenUsed/>
    <w:rsid w:val="00CF6DB6"/>
    <w:rPr>
      <w:color w:val="0000FF"/>
      <w:u w:val="single"/>
    </w:rPr>
  </w:style>
  <w:style w:type="paragraph" w:customStyle="1" w:styleId="TableTextBullet1">
    <w:name w:val="Table Text Bullet 1"/>
    <w:qFormat/>
    <w:rsid w:val="0014239B"/>
    <w:pPr>
      <w:numPr>
        <w:ilvl w:val="2"/>
        <w:numId w:val="5"/>
      </w:numPr>
      <w:spacing w:after="200"/>
      <w:ind w:left="283"/>
    </w:pPr>
    <w:rPr>
      <w:rFonts w:eastAsia="Times New Roman"/>
      <w:szCs w:val="22"/>
    </w:rPr>
  </w:style>
  <w:style w:type="table" w:customStyle="1" w:styleId="Style1">
    <w:name w:val="Style1"/>
    <w:basedOn w:val="TableNormal"/>
    <w:uiPriority w:val="99"/>
    <w:rsid w:val="00515A85"/>
    <w:tblPr/>
  </w:style>
  <w:style w:type="paragraph" w:styleId="ListParagraph">
    <w:name w:val="List Paragraph"/>
    <w:basedOn w:val="Normal"/>
    <w:uiPriority w:val="1"/>
    <w:rsid w:val="00726F2A"/>
    <w:pPr>
      <w:widowControl w:val="0"/>
      <w:spacing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org.au/stolen-generation"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ph.gov.au/Parliamentary_Business/Committees/Senate/Community_Affairs/Out_of_home_care/Repor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ph.gov.au/Parliamentary_Business/Committees/Senate/Community_Affairs/Out_of_home_care/Repo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achel-siewert.greensmps.org.au/content/media-releases/greens-launch-package-stop-another-stolen-generation"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iganl\AppData\Local\Microsoft\Windows\Temporary%20Internet%20Files\Content.IE5\0VP2DY1G\Policy%20costing%20request%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costing request - caretaker.dotm</Template>
  <TotalTime>4</TotalTime>
  <Pages>5</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Policy costing request—during the caretaker period for a general election</vt:lpstr>
    </vt:vector>
  </TitlesOfParts>
  <Company>Parliament of Australia</Company>
  <LinksUpToDate>false</LinksUpToDate>
  <CharactersWithSpaces>7155</CharactersWithSpaces>
  <SharedDoc>false</SharedDoc>
  <HLinks>
    <vt:vector size="24" baseType="variant">
      <vt:variant>
        <vt:i4>524336</vt:i4>
      </vt:variant>
      <vt:variant>
        <vt:i4>9</vt:i4>
      </vt:variant>
      <vt:variant>
        <vt:i4>0</vt:i4>
      </vt:variant>
      <vt:variant>
        <vt:i4>5</vt:i4>
      </vt:variant>
      <vt:variant>
        <vt:lpwstr>http://www.aph.gov.au/Parliamentary_Business/Committees/Senate/Community_Affairs/Out_of_home_care/Report</vt:lpwstr>
      </vt:variant>
      <vt:variant>
        <vt:lpwstr/>
      </vt:variant>
      <vt:variant>
        <vt:i4>524336</vt:i4>
      </vt:variant>
      <vt:variant>
        <vt:i4>6</vt:i4>
      </vt:variant>
      <vt:variant>
        <vt:i4>0</vt:i4>
      </vt:variant>
      <vt:variant>
        <vt:i4>5</vt:i4>
      </vt:variant>
      <vt:variant>
        <vt:lpwstr>http://www.aph.gov.au/Parliamentary_Business/Committees/Senate/Community_Affairs/Out_of_home_care/Report</vt:lpwstr>
      </vt:variant>
      <vt:variant>
        <vt:lpwstr/>
      </vt:variant>
      <vt:variant>
        <vt:i4>3342432</vt:i4>
      </vt:variant>
      <vt:variant>
        <vt:i4>3</vt:i4>
      </vt:variant>
      <vt:variant>
        <vt:i4>0</vt:i4>
      </vt:variant>
      <vt:variant>
        <vt:i4>5</vt:i4>
      </vt:variant>
      <vt:variant>
        <vt:lpwstr>http://rachel-siewert.greensmps.org.au/content/media-releases/greens-launch-package-stop-another-stolen-generation</vt:lpwstr>
      </vt:variant>
      <vt:variant>
        <vt:lpwstr/>
      </vt:variant>
      <vt:variant>
        <vt:i4>7471165</vt:i4>
      </vt:variant>
      <vt:variant>
        <vt:i4>0</vt:i4>
      </vt:variant>
      <vt:variant>
        <vt:i4>0</vt:i4>
      </vt:variant>
      <vt:variant>
        <vt:i4>5</vt:i4>
      </vt:variant>
      <vt:variant>
        <vt:lpwstr>http://greens.org.au/stolen-generation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costing request—during the caretaker period for a general election</dc:title>
  <dc:creator>Australian Greens</dc:creator>
  <cp:lastModifiedBy>Milligan, Louise (PBO)</cp:lastModifiedBy>
  <cp:revision>6</cp:revision>
  <cp:lastPrinted>2016-04-20T04:27:00Z</cp:lastPrinted>
  <dcterms:created xsi:type="dcterms:W3CDTF">2016-06-28T05:53:00Z</dcterms:created>
  <dcterms:modified xsi:type="dcterms:W3CDTF">2016-06-28T06:50:00Z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