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1956"/>
        <w:gridCol w:w="411"/>
        <w:gridCol w:w="1632"/>
        <w:gridCol w:w="2160"/>
        <w:gridCol w:w="2156"/>
        <w:gridCol w:w="2161"/>
      </w:tblGrid>
      <w:tr w:rsidR="008F588A" w:rsidRPr="00515A85" w:rsidTr="00AA5F6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870" w:type="pct"/>
            <w:gridSpan w:val="4"/>
            <w:tcBorders>
              <w:top w:val="single" w:sz="4" w:space="0" w:color="788184"/>
              <w:left w:val="single" w:sz="4" w:space="0" w:color="788184"/>
              <w:bottom w:val="single" w:sz="4" w:space="0" w:color="788184"/>
              <w:right w:val="single" w:sz="4" w:space="0" w:color="788184"/>
            </w:tcBorders>
          </w:tcPr>
          <w:p w:rsidR="008F588A" w:rsidRPr="00515A85" w:rsidRDefault="00BF3DC2"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Better Schools: Full Gonski and Disability Funding</w:t>
            </w:r>
          </w:p>
        </w:tc>
      </w:tr>
      <w:tr w:rsidR="008F588A"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F15C22"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28</w:t>
            </w:r>
            <w:r w:rsidR="00BF3DC2">
              <w:rPr>
                <w:sz w:val="22"/>
              </w:rPr>
              <w:t xml:space="preserve">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EA0CD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BF3DC2" w:rsidRPr="00B767E6">
                <w:rPr>
                  <w:rStyle w:val="Hyperlink"/>
                  <w:sz w:val="22"/>
                </w:rPr>
                <w:t>http://greens.org.au/sites/greens.org.au/files/Higher%20Funding%20for%20Higher%20Needs.pdf</w:t>
              </w:r>
            </w:hyperlink>
            <w:r w:rsidR="00BF3DC2">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BF3DC2" w:rsidRDefault="008F588A" w:rsidP="0014239B">
            <w:pPr>
              <w:pStyle w:val="TableTextCentred"/>
              <w:jc w:val="left"/>
              <w:rPr>
                <w:sz w:val="22"/>
              </w:rPr>
            </w:pPr>
            <w:r w:rsidRPr="00BF3DC2">
              <w:rPr>
                <w:b/>
                <w:sz w:val="22"/>
              </w:rPr>
              <w:t>Description of policy</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Summary of policy (as applicable, please attach copies of relevant policy documents):</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BF3DC2">
              <w:rPr>
                <w:b/>
                <w:sz w:val="22"/>
              </w:rPr>
              <w:t>Component 1</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The proposal would increase funding to government and</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non-government schools to match the funding allocated in</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i/>
                <w:iCs/>
                <w:sz w:val="22"/>
              </w:rPr>
            </w:pPr>
            <w:r w:rsidRPr="00BF3DC2">
              <w:rPr>
                <w:sz w:val="22"/>
              </w:rPr>
              <w:t xml:space="preserve">the 2013-14 budget for the </w:t>
            </w:r>
            <w:r w:rsidRPr="00BF3DC2">
              <w:rPr>
                <w:i/>
                <w:iCs/>
                <w:sz w:val="22"/>
              </w:rPr>
              <w:t>Better Schools – National Plan</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i/>
                <w:iCs/>
                <w:sz w:val="22"/>
              </w:rPr>
              <w:t xml:space="preserve">for School Improvement </w:t>
            </w:r>
            <w:r w:rsidRPr="00BF3DC2">
              <w:rPr>
                <w:sz w:val="22"/>
              </w:rPr>
              <w:t>(NPSI) for the financial years of</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2017-18, 2018-19 and 2019-20, and school (calendar) years</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2018 and 2019.</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Under the policy no school would be worse off when</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compared to current government estimates and</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Commonwealth schools funding in the 2020 calendar year</w:t>
            </w:r>
          </w:p>
          <w:p w:rsidR="00BF3DC2" w:rsidRPr="00BF3DC2" w:rsidRDefault="00BF3DC2" w:rsidP="00BF3DC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BF3DC2">
              <w:rPr>
                <w:sz w:val="22"/>
              </w:rPr>
              <w:t>would be at a level to maintain schools on their 2019</w:t>
            </w:r>
          </w:p>
          <w:p w:rsidR="00640346" w:rsidRPr="00BF3DC2" w:rsidRDefault="00BF3DC2" w:rsidP="00BF3DC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F3DC2">
              <w:rPr>
                <w:sz w:val="22"/>
              </w:rPr>
              <w:t>percentages of SRS.</w:t>
            </w:r>
          </w:p>
          <w:p w:rsidR="00BF3DC2" w:rsidRPr="00BF3DC2" w:rsidRDefault="00BF3DC2" w:rsidP="00BF3DC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BF3DC2" w:rsidRPr="00BF3DC2" w:rsidRDefault="00BF3DC2" w:rsidP="00BF3DC2">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r w:rsidRPr="00BF3DC2">
              <w:rPr>
                <w:b/>
                <w:sz w:val="22"/>
              </w:rPr>
              <w:t>Component 2</w:t>
            </w:r>
          </w:p>
          <w:p w:rsidR="00BF3DC2" w:rsidRPr="00BF3DC2" w:rsidRDefault="00BF3DC2" w:rsidP="00BF3DC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F3DC2">
              <w:rPr>
                <w:sz w:val="22"/>
              </w:rPr>
              <w:t>While disability loadings based on Nationally Consistent Collection of Data held by State governments is not publicly available, the Greens allocate the current funding based on their own calculations for the following financial years:</w:t>
            </w:r>
          </w:p>
          <w:p w:rsidR="00BF3DC2" w:rsidRPr="00BF3DC2" w:rsidRDefault="00BF3DC2" w:rsidP="00BF3DC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bl>
            <w:tblPr>
              <w:tblW w:w="4800" w:type="dxa"/>
              <w:tblLook w:val="04A0" w:firstRow="1" w:lastRow="0" w:firstColumn="1" w:lastColumn="0" w:noHBand="0" w:noVBand="1"/>
            </w:tblPr>
            <w:tblGrid>
              <w:gridCol w:w="960"/>
              <w:gridCol w:w="960"/>
              <w:gridCol w:w="960"/>
              <w:gridCol w:w="960"/>
              <w:gridCol w:w="960"/>
            </w:tblGrid>
            <w:tr w:rsidR="00BF3DC2" w:rsidRPr="00BF3DC2" w:rsidTr="00BF3DC2">
              <w:trPr>
                <w:trHeight w:val="300"/>
              </w:trPr>
              <w:tc>
                <w:tcPr>
                  <w:tcW w:w="960" w:type="dxa"/>
                  <w:tcBorders>
                    <w:top w:val="nil"/>
                    <w:left w:val="nil"/>
                    <w:bottom w:val="nil"/>
                    <w:right w:val="nil"/>
                  </w:tcBorders>
                  <w:shd w:val="clear" w:color="000000" w:fill="C4D79B"/>
                  <w:noWrap/>
                  <w:vAlign w:val="bottom"/>
                  <w:hideMark/>
                </w:tcPr>
                <w:p w:rsidR="00BF3DC2" w:rsidRPr="00BF3DC2" w:rsidRDefault="00BF3DC2" w:rsidP="00BF3DC2">
                  <w:pPr>
                    <w:spacing w:line="240" w:lineRule="auto"/>
                    <w:jc w:val="center"/>
                    <w:rPr>
                      <w:rFonts w:eastAsia="Times New Roman" w:cs="Times New Roman"/>
                      <w:b/>
                      <w:bCs/>
                      <w:color w:val="000000"/>
                      <w:lang w:eastAsia="en-AU"/>
                    </w:rPr>
                  </w:pPr>
                  <w:r w:rsidRPr="00BF3DC2">
                    <w:rPr>
                      <w:rFonts w:eastAsia="Times New Roman" w:cs="Times New Roman"/>
                      <w:b/>
                      <w:bCs/>
                      <w:color w:val="000000"/>
                      <w:lang w:eastAsia="en-AU"/>
                    </w:rPr>
                    <w:t>2016-17</w:t>
                  </w:r>
                </w:p>
              </w:tc>
              <w:tc>
                <w:tcPr>
                  <w:tcW w:w="960" w:type="dxa"/>
                  <w:tcBorders>
                    <w:top w:val="nil"/>
                    <w:left w:val="nil"/>
                    <w:bottom w:val="nil"/>
                    <w:right w:val="nil"/>
                  </w:tcBorders>
                  <w:shd w:val="clear" w:color="000000" w:fill="C4D79B"/>
                  <w:noWrap/>
                  <w:vAlign w:val="bottom"/>
                  <w:hideMark/>
                </w:tcPr>
                <w:p w:rsidR="00BF3DC2" w:rsidRPr="00BF3DC2" w:rsidRDefault="00BF3DC2" w:rsidP="00BF3DC2">
                  <w:pPr>
                    <w:spacing w:line="240" w:lineRule="auto"/>
                    <w:rPr>
                      <w:rFonts w:eastAsia="Times New Roman" w:cs="Times New Roman"/>
                      <w:b/>
                      <w:bCs/>
                      <w:color w:val="000000"/>
                      <w:lang w:eastAsia="en-AU"/>
                    </w:rPr>
                  </w:pPr>
                  <w:r w:rsidRPr="00BF3DC2">
                    <w:rPr>
                      <w:rFonts w:eastAsia="Times New Roman" w:cs="Times New Roman"/>
                      <w:b/>
                      <w:bCs/>
                      <w:color w:val="000000"/>
                      <w:lang w:eastAsia="en-AU"/>
                    </w:rPr>
                    <w:t>2017-18</w:t>
                  </w:r>
                </w:p>
              </w:tc>
              <w:tc>
                <w:tcPr>
                  <w:tcW w:w="960" w:type="dxa"/>
                  <w:tcBorders>
                    <w:top w:val="nil"/>
                    <w:left w:val="nil"/>
                    <w:bottom w:val="nil"/>
                    <w:right w:val="nil"/>
                  </w:tcBorders>
                  <w:shd w:val="clear" w:color="000000" w:fill="C4D79B"/>
                  <w:noWrap/>
                  <w:vAlign w:val="bottom"/>
                  <w:hideMark/>
                </w:tcPr>
                <w:p w:rsidR="00BF3DC2" w:rsidRPr="00BF3DC2" w:rsidRDefault="00BF3DC2" w:rsidP="00BF3DC2">
                  <w:pPr>
                    <w:spacing w:line="240" w:lineRule="auto"/>
                    <w:rPr>
                      <w:rFonts w:eastAsia="Times New Roman" w:cs="Times New Roman"/>
                      <w:b/>
                      <w:bCs/>
                      <w:color w:val="000000"/>
                      <w:lang w:eastAsia="en-AU"/>
                    </w:rPr>
                  </w:pPr>
                  <w:r w:rsidRPr="00BF3DC2">
                    <w:rPr>
                      <w:rFonts w:eastAsia="Times New Roman" w:cs="Times New Roman"/>
                      <w:b/>
                      <w:bCs/>
                      <w:color w:val="000000"/>
                      <w:lang w:eastAsia="en-AU"/>
                    </w:rPr>
                    <w:t>2018-19</w:t>
                  </w:r>
                </w:p>
              </w:tc>
              <w:tc>
                <w:tcPr>
                  <w:tcW w:w="960" w:type="dxa"/>
                  <w:tcBorders>
                    <w:top w:val="nil"/>
                    <w:left w:val="nil"/>
                    <w:bottom w:val="nil"/>
                    <w:right w:val="nil"/>
                  </w:tcBorders>
                  <w:shd w:val="clear" w:color="000000" w:fill="C4D79B"/>
                  <w:noWrap/>
                  <w:vAlign w:val="bottom"/>
                  <w:hideMark/>
                </w:tcPr>
                <w:p w:rsidR="00BF3DC2" w:rsidRPr="00BF3DC2" w:rsidRDefault="00BF3DC2" w:rsidP="00BF3DC2">
                  <w:pPr>
                    <w:spacing w:line="240" w:lineRule="auto"/>
                    <w:rPr>
                      <w:rFonts w:eastAsia="Times New Roman" w:cs="Times New Roman"/>
                      <w:b/>
                      <w:bCs/>
                      <w:color w:val="000000"/>
                      <w:lang w:eastAsia="en-AU"/>
                    </w:rPr>
                  </w:pPr>
                  <w:r w:rsidRPr="00BF3DC2">
                    <w:rPr>
                      <w:rFonts w:eastAsia="Times New Roman" w:cs="Times New Roman"/>
                      <w:b/>
                      <w:bCs/>
                      <w:color w:val="000000"/>
                      <w:lang w:eastAsia="en-AU"/>
                    </w:rPr>
                    <w:t>2019-20</w:t>
                  </w:r>
                </w:p>
              </w:tc>
              <w:tc>
                <w:tcPr>
                  <w:tcW w:w="960" w:type="dxa"/>
                  <w:tcBorders>
                    <w:top w:val="nil"/>
                    <w:left w:val="nil"/>
                    <w:bottom w:val="nil"/>
                    <w:right w:val="nil"/>
                  </w:tcBorders>
                  <w:shd w:val="clear" w:color="000000" w:fill="C4D79B"/>
                  <w:noWrap/>
                  <w:vAlign w:val="bottom"/>
                  <w:hideMark/>
                </w:tcPr>
                <w:p w:rsidR="00BF3DC2" w:rsidRPr="00BF3DC2" w:rsidRDefault="00BF3DC2" w:rsidP="00BF3DC2">
                  <w:pPr>
                    <w:spacing w:line="240" w:lineRule="auto"/>
                    <w:rPr>
                      <w:rFonts w:eastAsia="Times New Roman" w:cs="Times New Roman"/>
                      <w:b/>
                      <w:bCs/>
                      <w:color w:val="000000"/>
                      <w:lang w:eastAsia="en-AU"/>
                    </w:rPr>
                  </w:pPr>
                  <w:r w:rsidRPr="00BF3DC2">
                    <w:rPr>
                      <w:rFonts w:eastAsia="Times New Roman" w:cs="Times New Roman"/>
                      <w:b/>
                      <w:bCs/>
                      <w:color w:val="000000"/>
                      <w:lang w:eastAsia="en-AU"/>
                    </w:rPr>
                    <w:t>Total</w:t>
                  </w:r>
                </w:p>
              </w:tc>
            </w:tr>
            <w:tr w:rsidR="00BF3DC2" w:rsidRPr="00BF3DC2" w:rsidTr="00BF3DC2">
              <w:trPr>
                <w:trHeight w:val="300"/>
              </w:trPr>
              <w:tc>
                <w:tcPr>
                  <w:tcW w:w="960" w:type="dxa"/>
                  <w:tcBorders>
                    <w:top w:val="nil"/>
                    <w:left w:val="nil"/>
                    <w:bottom w:val="nil"/>
                    <w:right w:val="nil"/>
                  </w:tcBorders>
                  <w:shd w:val="clear" w:color="auto" w:fill="auto"/>
                  <w:noWrap/>
                  <w:vAlign w:val="bottom"/>
                  <w:hideMark/>
                </w:tcPr>
                <w:p w:rsidR="00BF3DC2" w:rsidRPr="00BF3DC2" w:rsidRDefault="00BF3DC2">
                  <w:pPr>
                    <w:jc w:val="right"/>
                    <w:rPr>
                      <w:color w:val="000000"/>
                    </w:rPr>
                  </w:pPr>
                  <w:r w:rsidRPr="00BF3DC2">
                    <w:rPr>
                      <w:color w:val="000000"/>
                    </w:rPr>
                    <w:t>-1111</w:t>
                  </w:r>
                </w:p>
              </w:tc>
              <w:tc>
                <w:tcPr>
                  <w:tcW w:w="960" w:type="dxa"/>
                  <w:tcBorders>
                    <w:top w:val="nil"/>
                    <w:left w:val="nil"/>
                    <w:bottom w:val="nil"/>
                    <w:right w:val="nil"/>
                  </w:tcBorders>
                  <w:shd w:val="clear" w:color="auto" w:fill="auto"/>
                  <w:noWrap/>
                  <w:vAlign w:val="bottom"/>
                  <w:hideMark/>
                </w:tcPr>
                <w:p w:rsidR="00BF3DC2" w:rsidRPr="00BF3DC2" w:rsidRDefault="00BF3DC2">
                  <w:pPr>
                    <w:jc w:val="right"/>
                    <w:rPr>
                      <w:color w:val="000000"/>
                    </w:rPr>
                  </w:pPr>
                  <w:r w:rsidRPr="00BF3DC2">
                    <w:rPr>
                      <w:color w:val="000000"/>
                    </w:rPr>
                    <w:t>-1164</w:t>
                  </w:r>
                </w:p>
              </w:tc>
              <w:tc>
                <w:tcPr>
                  <w:tcW w:w="960" w:type="dxa"/>
                  <w:tcBorders>
                    <w:top w:val="nil"/>
                    <w:left w:val="nil"/>
                    <w:bottom w:val="nil"/>
                    <w:right w:val="nil"/>
                  </w:tcBorders>
                  <w:shd w:val="clear" w:color="auto" w:fill="auto"/>
                  <w:noWrap/>
                  <w:vAlign w:val="bottom"/>
                  <w:hideMark/>
                </w:tcPr>
                <w:p w:rsidR="00BF3DC2" w:rsidRPr="00BF3DC2" w:rsidRDefault="00BF3DC2">
                  <w:pPr>
                    <w:jc w:val="right"/>
                    <w:rPr>
                      <w:color w:val="000000"/>
                    </w:rPr>
                  </w:pPr>
                  <w:r w:rsidRPr="00BF3DC2">
                    <w:rPr>
                      <w:color w:val="000000"/>
                    </w:rPr>
                    <w:t>-1218</w:t>
                  </w:r>
                </w:p>
              </w:tc>
              <w:tc>
                <w:tcPr>
                  <w:tcW w:w="960" w:type="dxa"/>
                  <w:tcBorders>
                    <w:top w:val="nil"/>
                    <w:left w:val="nil"/>
                    <w:bottom w:val="nil"/>
                    <w:right w:val="nil"/>
                  </w:tcBorders>
                  <w:shd w:val="clear" w:color="auto" w:fill="auto"/>
                  <w:noWrap/>
                  <w:vAlign w:val="bottom"/>
                  <w:hideMark/>
                </w:tcPr>
                <w:p w:rsidR="00BF3DC2" w:rsidRPr="00BF3DC2" w:rsidRDefault="00BF3DC2">
                  <w:pPr>
                    <w:jc w:val="right"/>
                    <w:rPr>
                      <w:color w:val="000000"/>
                    </w:rPr>
                  </w:pPr>
                  <w:r w:rsidRPr="00BF3DC2">
                    <w:rPr>
                      <w:color w:val="000000"/>
                    </w:rPr>
                    <w:t>-1276</w:t>
                  </w:r>
                </w:p>
              </w:tc>
              <w:tc>
                <w:tcPr>
                  <w:tcW w:w="960" w:type="dxa"/>
                  <w:tcBorders>
                    <w:top w:val="nil"/>
                    <w:left w:val="nil"/>
                    <w:bottom w:val="nil"/>
                    <w:right w:val="nil"/>
                  </w:tcBorders>
                  <w:shd w:val="clear" w:color="auto" w:fill="auto"/>
                  <w:noWrap/>
                  <w:vAlign w:val="bottom"/>
                  <w:hideMark/>
                </w:tcPr>
                <w:p w:rsidR="00BF3DC2" w:rsidRPr="00BF3DC2" w:rsidRDefault="00BF3DC2">
                  <w:pPr>
                    <w:jc w:val="right"/>
                    <w:rPr>
                      <w:color w:val="000000"/>
                    </w:rPr>
                  </w:pPr>
                  <w:r w:rsidRPr="00BF3DC2">
                    <w:rPr>
                      <w:color w:val="000000"/>
                    </w:rPr>
                    <w:t>-4769</w:t>
                  </w:r>
                </w:p>
              </w:tc>
            </w:tr>
            <w:tr w:rsidR="00BF3DC2" w:rsidRPr="00BF3DC2" w:rsidTr="00BF3DC2">
              <w:trPr>
                <w:trHeight w:val="300"/>
              </w:trPr>
              <w:tc>
                <w:tcPr>
                  <w:tcW w:w="960" w:type="dxa"/>
                  <w:tcBorders>
                    <w:top w:val="nil"/>
                    <w:left w:val="nil"/>
                    <w:bottom w:val="nil"/>
                    <w:right w:val="nil"/>
                  </w:tcBorders>
                  <w:shd w:val="clear" w:color="auto" w:fill="auto"/>
                  <w:noWrap/>
                  <w:vAlign w:val="bottom"/>
                </w:tcPr>
                <w:p w:rsidR="00BF3DC2" w:rsidRPr="00BF3DC2" w:rsidRDefault="00BF3DC2">
                  <w:pPr>
                    <w:jc w:val="right"/>
                    <w:rPr>
                      <w:color w:val="000000"/>
                    </w:rPr>
                  </w:pPr>
                </w:p>
              </w:tc>
              <w:tc>
                <w:tcPr>
                  <w:tcW w:w="960" w:type="dxa"/>
                  <w:tcBorders>
                    <w:top w:val="nil"/>
                    <w:left w:val="nil"/>
                    <w:bottom w:val="nil"/>
                    <w:right w:val="nil"/>
                  </w:tcBorders>
                  <w:shd w:val="clear" w:color="auto" w:fill="auto"/>
                  <w:noWrap/>
                  <w:vAlign w:val="bottom"/>
                </w:tcPr>
                <w:p w:rsidR="00BF3DC2" w:rsidRPr="00BF3DC2" w:rsidRDefault="00BF3DC2">
                  <w:pPr>
                    <w:jc w:val="right"/>
                    <w:rPr>
                      <w:color w:val="000000"/>
                    </w:rPr>
                  </w:pPr>
                </w:p>
              </w:tc>
              <w:tc>
                <w:tcPr>
                  <w:tcW w:w="960" w:type="dxa"/>
                  <w:tcBorders>
                    <w:top w:val="nil"/>
                    <w:left w:val="nil"/>
                    <w:bottom w:val="nil"/>
                    <w:right w:val="nil"/>
                  </w:tcBorders>
                  <w:shd w:val="clear" w:color="auto" w:fill="auto"/>
                  <w:noWrap/>
                  <w:vAlign w:val="bottom"/>
                </w:tcPr>
                <w:p w:rsidR="00BF3DC2" w:rsidRPr="00BF3DC2" w:rsidRDefault="00BF3DC2">
                  <w:pPr>
                    <w:jc w:val="right"/>
                    <w:rPr>
                      <w:color w:val="000000"/>
                    </w:rPr>
                  </w:pPr>
                </w:p>
              </w:tc>
              <w:tc>
                <w:tcPr>
                  <w:tcW w:w="960" w:type="dxa"/>
                  <w:tcBorders>
                    <w:top w:val="nil"/>
                    <w:left w:val="nil"/>
                    <w:bottom w:val="nil"/>
                    <w:right w:val="nil"/>
                  </w:tcBorders>
                  <w:shd w:val="clear" w:color="auto" w:fill="auto"/>
                  <w:noWrap/>
                  <w:vAlign w:val="bottom"/>
                </w:tcPr>
                <w:p w:rsidR="00BF3DC2" w:rsidRPr="00BF3DC2" w:rsidRDefault="00BF3DC2">
                  <w:pPr>
                    <w:jc w:val="right"/>
                    <w:rPr>
                      <w:color w:val="000000"/>
                    </w:rPr>
                  </w:pPr>
                </w:p>
              </w:tc>
              <w:tc>
                <w:tcPr>
                  <w:tcW w:w="960" w:type="dxa"/>
                  <w:tcBorders>
                    <w:top w:val="nil"/>
                    <w:left w:val="nil"/>
                    <w:bottom w:val="nil"/>
                    <w:right w:val="nil"/>
                  </w:tcBorders>
                  <w:shd w:val="clear" w:color="auto" w:fill="auto"/>
                  <w:noWrap/>
                  <w:vAlign w:val="bottom"/>
                </w:tcPr>
                <w:p w:rsidR="00BF3DC2" w:rsidRPr="00BF3DC2" w:rsidRDefault="00BF3DC2">
                  <w:pPr>
                    <w:jc w:val="right"/>
                    <w:rPr>
                      <w:color w:val="000000"/>
                    </w:rPr>
                  </w:pPr>
                </w:p>
              </w:tc>
            </w:tr>
          </w:tbl>
          <w:p w:rsidR="00BF3DC2" w:rsidRPr="00BF3DC2" w:rsidRDefault="00BF3DC2" w:rsidP="00BF3DC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870" w:type="pct"/>
            <w:gridSpan w:val="4"/>
            <w:tcBorders>
              <w:top w:val="single" w:sz="4" w:space="0" w:color="788184"/>
              <w:left w:val="single" w:sz="4" w:space="0" w:color="788184"/>
              <w:bottom w:val="single" w:sz="4" w:space="0" w:color="788184"/>
              <w:right w:val="single" w:sz="4" w:space="0" w:color="788184"/>
            </w:tcBorders>
            <w:vAlign w:val="top"/>
          </w:tcPr>
          <w:p w:rsidR="00640346" w:rsidRPr="00BF3DC2" w:rsidRDefault="00BF3DC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F3DC2">
              <w:rPr>
                <w:sz w:val="22"/>
              </w:rPr>
              <w:t>To ensure that needs based funding is delivered to ensure the greatest future potential of all Australians, irrespective of their background or circumstance.</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BF3DC2" w:rsidRDefault="00640346" w:rsidP="0014239B">
            <w:pPr>
              <w:pStyle w:val="TableTextCentred"/>
              <w:jc w:val="left"/>
              <w:rPr>
                <w:sz w:val="22"/>
              </w:rPr>
            </w:pPr>
            <w:r w:rsidRPr="00BF3DC2">
              <w:rPr>
                <w:b/>
                <w:sz w:val="22"/>
              </w:rPr>
              <w:t>What are the key assumptions that have been made in the policy, including:</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870" w:type="pct"/>
            <w:gridSpan w:val="4"/>
            <w:tcBorders>
              <w:top w:val="single" w:sz="4" w:space="0" w:color="788184"/>
              <w:left w:val="single" w:sz="4" w:space="0" w:color="788184"/>
              <w:bottom w:val="single" w:sz="4" w:space="0" w:color="788184"/>
              <w:right w:val="single" w:sz="4" w:space="0" w:color="788184"/>
            </w:tcBorders>
            <w:vAlign w:val="top"/>
          </w:tcPr>
          <w:p w:rsidR="00640346" w:rsidRPr="00BF3DC2" w:rsidRDefault="00BF3DC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F3DC2">
              <w:rPr>
                <w:sz w:val="22"/>
              </w:rPr>
              <w:t>No</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BF3DC2" w:rsidRDefault="00BF3DC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F3DC2">
              <w:rPr>
                <w:sz w:val="22"/>
              </w:rPr>
              <w:t>N/A</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870" w:type="pct"/>
            <w:gridSpan w:val="4"/>
            <w:tcBorders>
              <w:top w:val="single" w:sz="4" w:space="0" w:color="788184"/>
              <w:left w:val="single" w:sz="4" w:space="0" w:color="788184"/>
              <w:bottom w:val="single" w:sz="4" w:space="0" w:color="788184"/>
              <w:right w:val="single" w:sz="4" w:space="0" w:color="788184"/>
            </w:tcBorders>
            <w:vAlign w:val="top"/>
          </w:tcPr>
          <w:p w:rsidR="00640346" w:rsidRPr="00BF3DC2" w:rsidRDefault="00BF3DC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F3DC2">
              <w:rPr>
                <w:sz w:val="22"/>
              </w:rPr>
              <w:t>Yes – state governments and non-government school authorities administer the funding for schools.</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BF3DC2" w:rsidRDefault="00BF3DC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F3DC2">
              <w:rPr>
                <w:sz w:val="22"/>
              </w:rPr>
              <w:t>No</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BF3DC2" w:rsidRPr="00BF3DC2" w:rsidRDefault="00BF3DC2" w:rsidP="00BF3DC2">
            <w:pPr>
              <w:cnfStyle w:val="000000100000" w:firstRow="0" w:lastRow="0" w:firstColumn="0" w:lastColumn="0" w:oddVBand="0" w:evenVBand="0" w:oddHBand="1" w:evenHBand="0" w:firstRowFirstColumn="0" w:firstRowLastColumn="0" w:lastRowFirstColumn="0" w:lastRowLastColumn="0"/>
              <w:rPr>
                <w:sz w:val="22"/>
              </w:rPr>
            </w:pPr>
            <w:r w:rsidRPr="00BF3DC2">
              <w:rPr>
                <w:sz w:val="22"/>
              </w:rPr>
              <w:t>Yes. See 2012/13 Budget, Budget Paper No.2 - Better Schools – New schools funding model, and related budget information, which allocated the initial funding.</w:t>
            </w:r>
          </w:p>
          <w:p w:rsidR="00BF3DC2" w:rsidRDefault="00BF3DC2" w:rsidP="00BF3DC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BF3DC2" w:rsidRPr="00BF3DC2" w:rsidRDefault="00BF3DC2" w:rsidP="00BF3DC2">
            <w:pPr>
              <w:cnfStyle w:val="000000100000" w:firstRow="0" w:lastRow="0" w:firstColumn="0" w:lastColumn="0" w:oddVBand="0" w:evenVBand="0" w:oddHBand="1" w:evenHBand="0" w:firstRowFirstColumn="0" w:firstRowLastColumn="0" w:lastRowFirstColumn="0" w:lastRowLastColumn="0"/>
              <w:rPr>
                <w:sz w:val="22"/>
              </w:rPr>
            </w:pPr>
            <w:r w:rsidRPr="00BF3DC2">
              <w:rPr>
                <w:sz w:val="22"/>
              </w:rPr>
              <w:t>See 2014/15 Budget, Budget Paper No 2 – Students first - indexation of school funding from 2018 and Budget Paper No. 3 which shows the reduction in funding over time to states for schools.</w:t>
            </w:r>
          </w:p>
          <w:p w:rsidR="00BF3DC2" w:rsidRPr="00BF3DC2" w:rsidRDefault="00BF3DC2" w:rsidP="00BF3DC2">
            <w:pPr>
              <w:cnfStyle w:val="000000100000" w:firstRow="0" w:lastRow="0" w:firstColumn="0" w:lastColumn="0" w:oddVBand="0" w:evenVBand="0" w:oddHBand="1" w:evenHBand="0" w:firstRowFirstColumn="0" w:firstRowLastColumn="0" w:lastRowFirstColumn="0" w:lastRowLastColumn="0"/>
              <w:rPr>
                <w:sz w:val="22"/>
              </w:rPr>
            </w:pPr>
          </w:p>
          <w:p w:rsidR="00640346" w:rsidRPr="00BF3DC2" w:rsidRDefault="00BF3DC2" w:rsidP="00BF3DC2">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F3DC2">
              <w:rPr>
                <w:sz w:val="22"/>
              </w:rPr>
              <w:t>See chart on page 7 of 2014-15 Budget Overview comparing Schools’ ‘new spending arrangement’ with ‘old spending arrangement’.</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F3DC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BF3DC2" w:rsidRPr="00BF3DC2" w:rsidRDefault="00BF3DC2" w:rsidP="00BF3DC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sz w:val="22"/>
              </w:rPr>
            </w:pPr>
            <w:r w:rsidRPr="00BF3DC2">
              <w:rPr>
                <w:sz w:val="22"/>
              </w:rPr>
              <w:t>Include proportional Schooling Resource Standard (SRS) funding for those above years, 4.7 per cent indexation, plus all loadings that would have been identified and funded under NPSI (disability, Aboriginality, SES, English proficiency, school size and schoo; remoteness), and using latest enrolment data.</w:t>
            </w: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927"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4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45"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4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AA5F6B">
        <w:trPr>
          <w:cantSplit/>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927"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5F6B"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-1111</w:t>
            </w:r>
          </w:p>
        </w:tc>
        <w:tc>
          <w:tcPr>
            <w:tcW w:w="104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5F6B"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-1634</w:t>
            </w:r>
          </w:p>
        </w:tc>
        <w:tc>
          <w:tcPr>
            <w:tcW w:w="1045"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5F6B"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-3118</w:t>
            </w:r>
          </w:p>
        </w:tc>
        <w:tc>
          <w:tcPr>
            <w:tcW w:w="104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5F6B"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-4296</w:t>
            </w:r>
          </w:p>
        </w:tc>
      </w:tr>
      <w:tr w:rsidR="00AA5F6B"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788184"/>
              <w:left w:val="single" w:sz="4" w:space="0" w:color="788184"/>
              <w:bottom w:val="single" w:sz="4" w:space="0" w:color="788184"/>
              <w:right w:val="single" w:sz="4" w:space="0" w:color="788184"/>
            </w:tcBorders>
            <w:shd w:val="clear" w:color="auto" w:fill="auto"/>
          </w:tcPr>
          <w:p w:rsidR="00AA5F6B" w:rsidRPr="00CB40E1" w:rsidRDefault="00AA5F6B" w:rsidP="00660385">
            <w:pPr>
              <w:pStyle w:val="TableTextCentred"/>
              <w:keepNext/>
              <w:keepLines/>
              <w:jc w:val="left"/>
              <w:rPr>
                <w:sz w:val="22"/>
              </w:rPr>
            </w:pPr>
            <w:r w:rsidRPr="00CB40E1">
              <w:rPr>
                <w:sz w:val="22"/>
              </w:rPr>
              <w:t>Fiscal balance ($m)</w:t>
            </w:r>
          </w:p>
        </w:tc>
        <w:tc>
          <w:tcPr>
            <w:tcW w:w="927" w:type="pct"/>
            <w:gridSpan w:val="2"/>
            <w:tcBorders>
              <w:top w:val="single" w:sz="4" w:space="0" w:color="788184"/>
              <w:left w:val="single" w:sz="4" w:space="0" w:color="788184"/>
              <w:bottom w:val="single" w:sz="4" w:space="0" w:color="788184"/>
              <w:right w:val="single" w:sz="4" w:space="0" w:color="788184"/>
            </w:tcBorders>
            <w:shd w:val="clear" w:color="auto" w:fill="auto"/>
          </w:tcPr>
          <w:p w:rsidR="00AA5F6B" w:rsidRPr="00CB40E1" w:rsidRDefault="00AA5F6B"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-1111</w:t>
            </w:r>
          </w:p>
        </w:tc>
        <w:tc>
          <w:tcPr>
            <w:tcW w:w="1047" w:type="pct"/>
            <w:tcBorders>
              <w:top w:val="single" w:sz="4" w:space="0" w:color="788184"/>
              <w:left w:val="single" w:sz="4" w:space="0" w:color="788184"/>
              <w:bottom w:val="single" w:sz="4" w:space="0" w:color="788184"/>
              <w:right w:val="single" w:sz="4" w:space="0" w:color="788184"/>
            </w:tcBorders>
            <w:shd w:val="clear" w:color="auto" w:fill="auto"/>
          </w:tcPr>
          <w:p w:rsidR="00AA5F6B" w:rsidRPr="00CB40E1" w:rsidRDefault="00AA5F6B"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-1634</w:t>
            </w:r>
          </w:p>
        </w:tc>
        <w:tc>
          <w:tcPr>
            <w:tcW w:w="1045" w:type="pct"/>
            <w:tcBorders>
              <w:top w:val="single" w:sz="4" w:space="0" w:color="788184"/>
              <w:left w:val="single" w:sz="4" w:space="0" w:color="788184"/>
              <w:bottom w:val="single" w:sz="4" w:space="0" w:color="788184"/>
              <w:right w:val="single" w:sz="4" w:space="0" w:color="788184"/>
            </w:tcBorders>
            <w:shd w:val="clear" w:color="auto" w:fill="auto"/>
          </w:tcPr>
          <w:p w:rsidR="00AA5F6B" w:rsidRPr="00CB40E1" w:rsidRDefault="00AA5F6B"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-3118</w:t>
            </w:r>
          </w:p>
        </w:tc>
        <w:tc>
          <w:tcPr>
            <w:tcW w:w="1048" w:type="pct"/>
            <w:tcBorders>
              <w:top w:val="single" w:sz="4" w:space="0" w:color="788184"/>
              <w:left w:val="single" w:sz="4" w:space="0" w:color="788184"/>
              <w:bottom w:val="single" w:sz="4" w:space="0" w:color="788184"/>
              <w:right w:val="single" w:sz="4" w:space="0" w:color="788184"/>
            </w:tcBorders>
            <w:shd w:val="clear" w:color="auto" w:fill="auto"/>
          </w:tcPr>
          <w:p w:rsidR="00AA5F6B" w:rsidRPr="00CB40E1" w:rsidRDefault="00AA5F6B"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-4296</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F3DC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Greater productivity in the future, reduced inequality and better schools.</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BF3DC2" w:rsidRDefault="00BF3DC2"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sidRPr="00BF3DC2">
              <w:rPr>
                <w:sz w:val="22"/>
              </w:rPr>
              <w:t>Australian government provides the funding to the states and non-government schools to administer.</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F3DC2"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Continue current administrative structure.</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AA5F6B">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1 </w:t>
            </w:r>
            <w:r w:rsidR="00AA5F6B">
              <w:rPr>
                <w:sz w:val="22"/>
              </w:rPr>
              <w:t>September</w:t>
            </w:r>
            <w:r>
              <w:rPr>
                <w:sz w:val="22"/>
              </w:rPr>
              <w:t xml:space="preserve"> 2016</w:t>
            </w:r>
            <w:r w:rsidR="00AA5F6B">
              <w:rPr>
                <w:sz w:val="22"/>
              </w:rPr>
              <w:t xml:space="preserve"> for disability loadings and 1 January 2017 for general school funding</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5F6B"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31 December 2019</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5F6B"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AA5F6B">
        <w:trPr>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5F6B"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As above</w:t>
            </w:r>
          </w:p>
        </w:tc>
      </w:tr>
      <w:tr w:rsidR="00640346" w:rsidTr="00AA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87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5F6B"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142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EA0CD6">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EA0CD6">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142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EA0CD6">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EA0CD6">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142633"/>
    <w:rsid w:val="004C5CC2"/>
    <w:rsid w:val="00515A85"/>
    <w:rsid w:val="0055581F"/>
    <w:rsid w:val="005F7DE0"/>
    <w:rsid w:val="00640346"/>
    <w:rsid w:val="00660385"/>
    <w:rsid w:val="007202A8"/>
    <w:rsid w:val="007616C6"/>
    <w:rsid w:val="007B029A"/>
    <w:rsid w:val="007C4F2D"/>
    <w:rsid w:val="008B1774"/>
    <w:rsid w:val="008F588A"/>
    <w:rsid w:val="00902D2D"/>
    <w:rsid w:val="009E5FB7"/>
    <w:rsid w:val="00AA5F6B"/>
    <w:rsid w:val="00BC559C"/>
    <w:rsid w:val="00BF3DC2"/>
    <w:rsid w:val="00CB40E1"/>
    <w:rsid w:val="00CF6DB6"/>
    <w:rsid w:val="00D134CA"/>
    <w:rsid w:val="00E15AAE"/>
    <w:rsid w:val="00EA0CD6"/>
    <w:rsid w:val="00F15C22"/>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uiPriority w:val="59"/>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uiPriority w:val="59"/>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Higher%20Funding%20for%20Higher%20Need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2016-06-27T08:22:00Z</dcterms:created>
  <dcterms:modified xsi:type="dcterms:W3CDTF">2016-06-28T03:05:00Z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