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bookmarkStart w:id="0" w:name="_GoBack"/>
      <w:bookmarkEnd w:id="0"/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039"/>
        <w:gridCol w:w="570"/>
        <w:gridCol w:w="1211"/>
        <w:gridCol w:w="1886"/>
        <w:gridCol w:w="1884"/>
        <w:gridCol w:w="1886"/>
      </w:tblGrid>
      <w:tr w:rsidR="008F588A" w:rsidRPr="00515A85" w:rsidTr="00A01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2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27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A01068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>No new coal or gas mines</w:t>
            </w:r>
          </w:p>
        </w:tc>
      </w:tr>
      <w:tr w:rsidR="008F588A" w:rsidTr="00A0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27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Di Natale</w:t>
            </w:r>
          </w:p>
        </w:tc>
      </w:tr>
      <w:tr w:rsidR="00F954CF" w:rsidTr="00A0106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27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7C4F2D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A0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27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A01068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27 June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A0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27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A0106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27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A350D8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A01068" w:rsidRPr="00B767E6">
                <w:rPr>
                  <w:rStyle w:val="Hyperlink"/>
                  <w:sz w:val="22"/>
                </w:rPr>
                <w:t>http://greens.org.au/sites/greens.org.au/files/20160428_Living%20Reefs-Dying%20Coal.pdf</w:t>
              </w:r>
            </w:hyperlink>
            <w:r w:rsidR="00A01068">
              <w:rPr>
                <w:sz w:val="22"/>
              </w:rPr>
              <w:t xml:space="preserve"> </w:t>
            </w:r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A0106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27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A01068" w:rsidRPr="00A01068" w:rsidRDefault="00A01068" w:rsidP="00A01068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01068">
              <w:rPr>
                <w:sz w:val="22"/>
              </w:rPr>
              <w:t>a) prohibit the extraction of thermal coal for export from:</w:t>
            </w:r>
          </w:p>
          <w:p w:rsidR="00A01068" w:rsidRPr="00A01068" w:rsidRDefault="00A01068" w:rsidP="00A01068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01068">
              <w:rPr>
                <w:rFonts w:cs="SymbolMT"/>
                <w:sz w:val="22"/>
              </w:rPr>
              <w:t xml:space="preserve">• </w:t>
            </w:r>
            <w:r w:rsidRPr="00A01068">
              <w:rPr>
                <w:sz w:val="22"/>
              </w:rPr>
              <w:t>new mines</w:t>
            </w:r>
          </w:p>
          <w:p w:rsidR="00A01068" w:rsidRDefault="00A01068" w:rsidP="00A01068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01068">
              <w:rPr>
                <w:rFonts w:cs="SymbolMT"/>
                <w:sz w:val="22"/>
              </w:rPr>
              <w:t xml:space="preserve">• </w:t>
            </w:r>
            <w:r w:rsidRPr="00A01068">
              <w:rPr>
                <w:sz w:val="22"/>
              </w:rPr>
              <w:t>the expansion of existing mines</w:t>
            </w:r>
          </w:p>
          <w:p w:rsidR="00A01068" w:rsidRPr="00A01068" w:rsidRDefault="00A01068" w:rsidP="00A01068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A01068" w:rsidRPr="00A01068" w:rsidRDefault="00A01068" w:rsidP="00A01068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01068">
              <w:rPr>
                <w:sz w:val="22"/>
              </w:rPr>
              <w:t>b) prohibit the extraction of onshore coal seam gas, tight gas</w:t>
            </w:r>
          </w:p>
          <w:p w:rsidR="00A01068" w:rsidRPr="00A01068" w:rsidRDefault="00A01068" w:rsidP="00A01068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01068">
              <w:rPr>
                <w:sz w:val="22"/>
              </w:rPr>
              <w:t>and shale gas from:</w:t>
            </w:r>
          </w:p>
          <w:p w:rsidR="00A01068" w:rsidRPr="00A01068" w:rsidRDefault="00A01068" w:rsidP="00A01068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01068">
              <w:rPr>
                <w:rFonts w:cs="SymbolMT"/>
                <w:sz w:val="22"/>
              </w:rPr>
              <w:t xml:space="preserve">• </w:t>
            </w:r>
            <w:r w:rsidRPr="00A01068">
              <w:rPr>
                <w:sz w:val="22"/>
              </w:rPr>
              <w:t>wells that are not already operating or in construction</w:t>
            </w:r>
          </w:p>
          <w:p w:rsidR="00A01068" w:rsidRPr="00A01068" w:rsidRDefault="00A01068" w:rsidP="00A01068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01068">
              <w:rPr>
                <w:rFonts w:cs="SymbolMT"/>
                <w:sz w:val="22"/>
              </w:rPr>
              <w:t xml:space="preserve">• </w:t>
            </w:r>
            <w:proofErr w:type="gramStart"/>
            <w:r w:rsidRPr="00A01068">
              <w:rPr>
                <w:sz w:val="22"/>
              </w:rPr>
              <w:t>any</w:t>
            </w:r>
            <w:proofErr w:type="gramEnd"/>
            <w:r w:rsidRPr="00A01068">
              <w:rPr>
                <w:sz w:val="22"/>
              </w:rPr>
              <w:t xml:space="preserve"> expansion of existing gas projects.</w:t>
            </w:r>
          </w:p>
          <w:p w:rsidR="00A01068" w:rsidRPr="00A01068" w:rsidRDefault="00A01068" w:rsidP="00A01068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A01068" w:rsidRPr="00A01068" w:rsidRDefault="00A01068" w:rsidP="00A01068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01068">
              <w:rPr>
                <w:sz w:val="22"/>
              </w:rPr>
              <w:t>Currently operating permits to mine coal and extract coal</w:t>
            </w:r>
          </w:p>
          <w:p w:rsidR="00A01068" w:rsidRPr="00A01068" w:rsidRDefault="00A01068" w:rsidP="00A01068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01068">
              <w:rPr>
                <w:sz w:val="22"/>
              </w:rPr>
              <w:t>seam gas (CSG) will continue, however contractual options</w:t>
            </w:r>
          </w:p>
          <w:p w:rsidR="00A01068" w:rsidRPr="00A01068" w:rsidRDefault="00A01068" w:rsidP="00A01068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01068">
              <w:rPr>
                <w:sz w:val="22"/>
              </w:rPr>
              <w:t>to expand coal mining and CSG extraction into new areas or</w:t>
            </w:r>
          </w:p>
          <w:p w:rsidR="00A01068" w:rsidRPr="00A01068" w:rsidRDefault="00A01068" w:rsidP="00A01068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gramStart"/>
            <w:r w:rsidRPr="00A01068">
              <w:rPr>
                <w:sz w:val="22"/>
              </w:rPr>
              <w:t>greater</w:t>
            </w:r>
            <w:proofErr w:type="gramEnd"/>
            <w:r w:rsidRPr="00A01068">
              <w:rPr>
                <w:sz w:val="22"/>
              </w:rPr>
              <w:t xml:space="preserve"> depths will not be able to be utilised. The proposal</w:t>
            </w:r>
          </w:p>
          <w:p w:rsidR="00640346" w:rsidRPr="00CB40E1" w:rsidRDefault="00A01068" w:rsidP="00A01068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gramStart"/>
            <w:r w:rsidRPr="00A01068">
              <w:rPr>
                <w:sz w:val="22"/>
              </w:rPr>
              <w:t>would</w:t>
            </w:r>
            <w:proofErr w:type="gramEnd"/>
            <w:r w:rsidRPr="00A01068">
              <w:rPr>
                <w:sz w:val="22"/>
              </w:rPr>
              <w:t xml:space="preserve"> have effect from 1 July 2016.</w:t>
            </w:r>
          </w:p>
        </w:tc>
      </w:tr>
      <w:tr w:rsidR="00640346" w:rsidTr="00A0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27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A01068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To secure a safe climate, prepare for the future and diversify the Australian economy.</w:t>
            </w: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A0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27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A01068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A0106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27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A01068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A0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27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A01068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A0106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27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A01068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A0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27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A01068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A0106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27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A01068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A0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27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A01068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8F588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A0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50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90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99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90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A01068" w:rsidTr="00A0106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A01068" w:rsidRPr="00CB40E1" w:rsidRDefault="00A01068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50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A01068" w:rsidRPr="00CB40E1" w:rsidRDefault="00A01068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0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A01068" w:rsidRPr="00CB40E1" w:rsidRDefault="00A01068" w:rsidP="00875C3D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-50</w:t>
            </w:r>
          </w:p>
        </w:tc>
        <w:tc>
          <w:tcPr>
            <w:tcW w:w="899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A01068" w:rsidRPr="00CB40E1" w:rsidRDefault="00A01068" w:rsidP="00875C3D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-150</w:t>
            </w:r>
          </w:p>
        </w:tc>
        <w:tc>
          <w:tcPr>
            <w:tcW w:w="90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A01068" w:rsidRPr="00CB40E1" w:rsidRDefault="00A01068" w:rsidP="00875C3D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-180</w:t>
            </w:r>
          </w:p>
        </w:tc>
      </w:tr>
      <w:tr w:rsidR="00A01068" w:rsidTr="00A0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A01068" w:rsidRPr="00CB40E1" w:rsidRDefault="00A01068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50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A01068" w:rsidRPr="00CB40E1" w:rsidRDefault="00A01068" w:rsidP="00875C3D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0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A01068" w:rsidRPr="00CB40E1" w:rsidRDefault="00A01068" w:rsidP="00875C3D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-50</w:t>
            </w:r>
          </w:p>
        </w:tc>
        <w:tc>
          <w:tcPr>
            <w:tcW w:w="899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A01068" w:rsidRPr="00CB40E1" w:rsidRDefault="00A01068" w:rsidP="00875C3D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-150</w:t>
            </w:r>
          </w:p>
        </w:tc>
        <w:tc>
          <w:tcPr>
            <w:tcW w:w="90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A01068" w:rsidRPr="00CB40E1" w:rsidRDefault="00A01068" w:rsidP="00875C3D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-180</w:t>
            </w:r>
          </w:p>
        </w:tc>
      </w:tr>
      <w:tr w:rsidR="00A0106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A01068" w:rsidRPr="00CB40E1" w:rsidRDefault="00A0106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A01068" w:rsidTr="00A0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A01068" w:rsidRPr="00CB40E1" w:rsidRDefault="00A01068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27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A01068" w:rsidRPr="00CB40E1" w:rsidRDefault="00A01068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Expected resource demand from new coal mines or gas wells</w:t>
            </w:r>
          </w:p>
        </w:tc>
      </w:tr>
      <w:tr w:rsidR="00A01068" w:rsidTr="00A0106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A01068" w:rsidRPr="00CB40E1" w:rsidRDefault="00A01068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Has the policy been costed by a third party?</w:t>
            </w:r>
          </w:p>
          <w:p w:rsidR="00A01068" w:rsidRPr="00CB40E1" w:rsidRDefault="00A01068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27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A01068" w:rsidRPr="00CB40E1" w:rsidRDefault="00A01068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A01068" w:rsidTr="00A0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A01068" w:rsidRPr="00CB40E1" w:rsidRDefault="00A01068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expected community impact of the policy?</w:t>
            </w:r>
          </w:p>
          <w:p w:rsidR="00A01068" w:rsidRPr="00CB40E1" w:rsidRDefault="00A01068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A01068" w:rsidRPr="00CB40E1" w:rsidRDefault="00A01068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A01068" w:rsidRPr="00CB40E1" w:rsidRDefault="00A01068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27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A01068" w:rsidRPr="00CB40E1" w:rsidRDefault="00A01068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Farmers land will be protected from further coal and gas exploitation</w:t>
            </w:r>
          </w:p>
        </w:tc>
      </w:tr>
      <w:tr w:rsidR="00A0106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A01068" w:rsidRPr="00CB40E1" w:rsidRDefault="00A01068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Administration of policy:</w:t>
            </w:r>
          </w:p>
        </w:tc>
      </w:tr>
      <w:tr w:rsidR="00A01068" w:rsidTr="00A0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A01068" w:rsidRPr="00CB40E1" w:rsidRDefault="00A01068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27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A01068" w:rsidRPr="00CB40E1" w:rsidRDefault="00A01068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Department of Industry</w:t>
            </w:r>
          </w:p>
        </w:tc>
      </w:tr>
      <w:tr w:rsidR="00A01068" w:rsidTr="00A0106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A01068" w:rsidRPr="00CB40E1" w:rsidRDefault="00A01068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27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A01068" w:rsidRPr="00CB40E1" w:rsidRDefault="00A01068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01068" w:rsidTr="00A0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A01068" w:rsidRPr="00CB40E1" w:rsidRDefault="00A01068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27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A01068" w:rsidRPr="00CB40E1" w:rsidRDefault="00A01068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September 2016</w:t>
            </w:r>
          </w:p>
        </w:tc>
      </w:tr>
      <w:tr w:rsidR="00A01068" w:rsidTr="00A0106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A01068" w:rsidRPr="00CB40E1" w:rsidRDefault="00A01068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27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A01068" w:rsidRPr="00CB40E1" w:rsidRDefault="00A01068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 w:rsidR="00A01068" w:rsidTr="00A0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A01068" w:rsidRPr="00CB40E1" w:rsidRDefault="00A01068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27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A01068" w:rsidRPr="00CB40E1" w:rsidRDefault="00A01068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A01068" w:rsidTr="00A0106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A01068" w:rsidRPr="00CB40E1" w:rsidRDefault="00A01068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27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A01068" w:rsidRPr="00CB40E1" w:rsidRDefault="00A01068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ABARES</w:t>
            </w:r>
          </w:p>
        </w:tc>
      </w:tr>
      <w:tr w:rsidR="00A01068" w:rsidTr="00A0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A01068" w:rsidRPr="00CB40E1" w:rsidRDefault="00A01068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277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A01068" w:rsidRPr="00CB40E1" w:rsidRDefault="00A01068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A01068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A01068" w:rsidRPr="00CB40E1" w:rsidRDefault="00A01068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A01068" w:rsidRPr="00CB40E1" w:rsidRDefault="00A01068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A01068" w:rsidRPr="00CB40E1" w:rsidRDefault="00A01068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A01068" w:rsidRPr="00CB40E1" w:rsidRDefault="00A01068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6C6" w:rsidRDefault="007616C6" w:rsidP="008F588A">
      <w:pPr>
        <w:spacing w:line="240" w:lineRule="auto"/>
      </w:pPr>
      <w:r>
        <w:separator/>
      </w:r>
    </w:p>
  </w:endnote>
  <w:endnote w:type="continuationSeparator" w:id="0">
    <w:p w:rsidR="007616C6" w:rsidRDefault="007616C6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0B56E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A350D8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A350D8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0B56E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A350D8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A350D8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6C6" w:rsidRDefault="007616C6" w:rsidP="008F588A">
      <w:pPr>
        <w:spacing w:line="240" w:lineRule="auto"/>
      </w:pPr>
      <w:r>
        <w:separator/>
      </w:r>
    </w:p>
  </w:footnote>
  <w:footnote w:type="continuationSeparator" w:id="0">
    <w:p w:rsidR="007616C6" w:rsidRDefault="007616C6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0B16B1"/>
    <w:rsid w:val="000B56ED"/>
    <w:rsid w:val="0014239B"/>
    <w:rsid w:val="004C5CC2"/>
    <w:rsid w:val="00515A85"/>
    <w:rsid w:val="0055581F"/>
    <w:rsid w:val="005F7DE0"/>
    <w:rsid w:val="00640346"/>
    <w:rsid w:val="00660385"/>
    <w:rsid w:val="007202A8"/>
    <w:rsid w:val="007616C6"/>
    <w:rsid w:val="007B029A"/>
    <w:rsid w:val="007C4F2D"/>
    <w:rsid w:val="008B1774"/>
    <w:rsid w:val="008F588A"/>
    <w:rsid w:val="00902D2D"/>
    <w:rsid w:val="009E5FB7"/>
    <w:rsid w:val="00A01068"/>
    <w:rsid w:val="00A350D8"/>
    <w:rsid w:val="00BC559C"/>
    <w:rsid w:val="00CB40E1"/>
    <w:rsid w:val="00CF6DB6"/>
    <w:rsid w:val="00D134CA"/>
    <w:rsid w:val="00E15AAE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s.org.au/sites/greens.org.au/files/20160428_Living%20Reefs-Dying%20Coal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costing request—during the caretaker period for a general election</dc:title>
  <dc:creator>Australian Greens</dc:creator>
  <cp:lastModifiedBy>Milligan, Louise (PBO)</cp:lastModifiedBy>
  <cp:revision>4</cp:revision>
  <cp:lastPrinted>2016-04-20T06:27:00Z</cp:lastPrinted>
  <dcterms:created xsi:type="dcterms:W3CDTF">2016-06-27T07:12:00Z</dcterms:created>
  <dcterms:modified xsi:type="dcterms:W3CDTF">2016-06-27T22:15:00Z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