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275"/>
        <w:gridCol w:w="463"/>
        <w:gridCol w:w="1364"/>
        <w:gridCol w:w="2125"/>
        <w:gridCol w:w="2120"/>
        <w:gridCol w:w="2129"/>
      </w:tblGrid>
      <w:tr w:rsidR="008F588A" w:rsidRPr="00515A85" w:rsidTr="00C80A7A">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693" w:type="pct"/>
            <w:gridSpan w:val="4"/>
            <w:tcBorders>
              <w:top w:val="single" w:sz="4" w:space="0" w:color="788184"/>
              <w:left w:val="single" w:sz="4" w:space="0" w:color="788184"/>
              <w:bottom w:val="single" w:sz="4" w:space="0" w:color="788184"/>
              <w:right w:val="single" w:sz="4" w:space="0" w:color="788184"/>
            </w:tcBorders>
          </w:tcPr>
          <w:p w:rsidR="008F588A" w:rsidRPr="00515A85" w:rsidRDefault="00C80A7A" w:rsidP="00640346">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Accelerating the Electric Vehicle Revolution</w:t>
            </w:r>
          </w:p>
        </w:tc>
      </w:tr>
      <w:tr w:rsidR="008F588A"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C80A7A">
        <w:trPr>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C80A7A"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24 June</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C80A7A">
        <w:trPr>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205EF"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C80A7A" w:rsidRPr="005C738C">
                <w:rPr>
                  <w:rStyle w:val="Hyperlink"/>
                  <w:sz w:val="22"/>
                </w:rPr>
                <w:t>http://greens.org.au/sites/greens.org.au/files/20160518_Electric%20vehicles_0.pdf</w:t>
              </w:r>
            </w:hyperlink>
            <w:r w:rsidR="00C80A7A">
              <w:rPr>
                <w:sz w:val="22"/>
              </w:rPr>
              <w:t xml:space="preserve"> </w:t>
            </w: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C80A7A">
        <w:trPr>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80A7A" w:rsidRDefault="00C80A7A" w:rsidP="004F75B5">
            <w:pPr>
              <w:pStyle w:val="TableTextCentred"/>
              <w:jc w:val="left"/>
              <w:cnfStyle w:val="000000000000" w:firstRow="0" w:lastRow="0" w:firstColumn="0" w:lastColumn="0" w:oddVBand="0" w:evenVBand="0" w:oddHBand="0" w:evenHBand="0" w:firstRowFirstColumn="0" w:firstRowLastColumn="0" w:lastRowFirstColumn="0" w:lastRowLastColumn="0"/>
              <w:rPr>
                <w:b/>
                <w:sz w:val="22"/>
              </w:rPr>
            </w:pPr>
            <w:r w:rsidRPr="00C80A7A">
              <w:rPr>
                <w:b/>
                <w:sz w:val="22"/>
              </w:rPr>
              <w:t>Component 1: Free electric vehicle registration</w:t>
            </w:r>
          </w:p>
          <w:p w:rsidR="00C80A7A" w:rsidRPr="00C80A7A" w:rsidRDefault="00C80A7A" w:rsidP="00C80A7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r w:rsidRPr="00C80A7A">
              <w:rPr>
                <w:sz w:val="22"/>
              </w:rPr>
              <w:t>The Commonwealth would pay state registration fees for five years when someone purchases a new electric vehicle.</w:t>
            </w:r>
          </w:p>
          <w:p w:rsidR="00C80A7A" w:rsidRPr="00C80A7A" w:rsidRDefault="00C80A7A" w:rsidP="00C80A7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p>
          <w:p w:rsidR="00C80A7A" w:rsidRPr="00C80A7A" w:rsidRDefault="00C80A7A" w:rsidP="00C80A7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b/>
                <w:sz w:val="22"/>
              </w:rPr>
            </w:pPr>
            <w:r w:rsidRPr="00C80A7A">
              <w:rPr>
                <w:b/>
                <w:sz w:val="22"/>
              </w:rPr>
              <w:t>Component 2: Building EV Charging Infrastructure</w:t>
            </w:r>
          </w:p>
          <w:p w:rsidR="00C80A7A" w:rsidRPr="00C80A7A" w:rsidRDefault="00C80A7A" w:rsidP="00C80A7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r w:rsidRPr="00C80A7A">
              <w:rPr>
                <w:rFonts w:cs="SymbolMT"/>
                <w:sz w:val="22"/>
              </w:rPr>
              <w:t xml:space="preserve">• </w:t>
            </w:r>
            <w:r w:rsidRPr="00C80A7A">
              <w:rPr>
                <w:sz w:val="22"/>
              </w:rPr>
              <w:t>A $150 million grants program over the 2016-17 Budget forward estimates for the installation of electric vehicle (EV) charging infrastructure for local governments (pools, sporting ovals, parks, libraries, council buildings), private companies managing publically accessible parking (shopping centres) and state governments for public car parks (railway carparks). This program will subsidise the purchase and installation costs for a fast charge roadside station, up to a cap of $45,000 per station.</w:t>
            </w:r>
          </w:p>
          <w:p w:rsidR="00C80A7A" w:rsidRPr="00C80A7A" w:rsidRDefault="00C80A7A" w:rsidP="00C80A7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r w:rsidRPr="00C80A7A">
              <w:rPr>
                <w:rFonts w:cs="SymbolMT"/>
                <w:sz w:val="22"/>
              </w:rPr>
              <w:t xml:space="preserve">• </w:t>
            </w:r>
            <w:r w:rsidRPr="00C80A7A">
              <w:rPr>
                <w:sz w:val="22"/>
              </w:rPr>
              <w:t>A $50 million grants program over the 2016-17 Budget forward estimates for a non-government organisation (NGO) fleet ‘gap’ subsidy (e.g. home care nurses, Red Cross) to upgrade their passenger vehicle fleet to electric cars.</w:t>
            </w:r>
          </w:p>
          <w:p w:rsidR="00C80A7A" w:rsidRPr="00CB40E1" w:rsidRDefault="00C80A7A" w:rsidP="00C80A7A">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693"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175004" w:rsidP="00C80A7A">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Establish a targeted five year program to </w:t>
            </w:r>
            <w:r w:rsidR="00C80A7A">
              <w:rPr>
                <w:sz w:val="22"/>
              </w:rPr>
              <w:t>drive down technology costs, encourage the uptake of pollution-free electric vehicles on Australia’s roads and create incentives for consumers.</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FE12CD">
            <w:pPr>
              <w:pStyle w:val="TableTextCentred"/>
              <w:keepNext/>
              <w:keepLines/>
              <w:jc w:val="left"/>
              <w:rPr>
                <w:sz w:val="22"/>
              </w:rPr>
            </w:pPr>
            <w:r w:rsidRPr="00CB40E1">
              <w:rPr>
                <w:b/>
                <w:sz w:val="22"/>
              </w:rPr>
              <w:lastRenderedPageBreak/>
              <w:t>What are the key assumptions that have been made in the policy, including:</w:t>
            </w: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693"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C80A7A"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C80A7A">
        <w:trPr>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C80A7A"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Component 1 is demand driven, component 2 is capped.</w:t>
            </w: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693"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C80A7A" w:rsidP="00C80A7A">
            <w:pPr>
              <w:pStyle w:val="TableTextCentred"/>
              <w:ind w:left="0"/>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 Yes, they will receive payments from the federal government.</w:t>
            </w:r>
          </w:p>
        </w:tc>
      </w:tr>
      <w:tr w:rsidR="00640346" w:rsidTr="00C80A7A">
        <w:trPr>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C80A7A"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C80A7A"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C80A7A">
        <w:trPr>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C80A7A"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lastRenderedPageBreak/>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C80A7A"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6"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2"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1014"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1012"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1015"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80A7A" w:rsidTr="00C80A7A">
        <w:trPr>
          <w:cantSplit/>
        </w:trPr>
        <w:tc>
          <w:tcPr>
            <w:cnfStyle w:val="001000000000" w:firstRow="0" w:lastRow="0" w:firstColumn="1" w:lastColumn="0" w:oddVBand="0" w:evenVBand="0" w:oddHBand="0" w:evenHBand="0" w:firstRowFirstColumn="0" w:firstRowLastColumn="0" w:lastRowFirstColumn="0" w:lastRowLastColumn="0"/>
            <w:tcW w:w="1086" w:type="pct"/>
            <w:tcBorders>
              <w:top w:val="single" w:sz="4" w:space="0" w:color="788184"/>
              <w:left w:val="single" w:sz="4" w:space="0" w:color="788184"/>
              <w:bottom w:val="single" w:sz="4" w:space="0" w:color="788184"/>
              <w:right w:val="single" w:sz="4" w:space="0" w:color="788184"/>
            </w:tcBorders>
            <w:shd w:val="clear" w:color="auto" w:fill="auto"/>
          </w:tcPr>
          <w:p w:rsidR="00C80A7A" w:rsidRPr="00CB40E1" w:rsidRDefault="00C80A7A" w:rsidP="00660385">
            <w:pPr>
              <w:pStyle w:val="TableTextCentred"/>
              <w:keepNext/>
              <w:keepLines/>
              <w:jc w:val="left"/>
              <w:rPr>
                <w:sz w:val="22"/>
              </w:rPr>
            </w:pPr>
            <w:r w:rsidRPr="00CB40E1">
              <w:rPr>
                <w:sz w:val="22"/>
              </w:rPr>
              <w:t>Underlying cash balance ($m)</w:t>
            </w:r>
          </w:p>
        </w:tc>
        <w:tc>
          <w:tcPr>
            <w:tcW w:w="872" w:type="pct"/>
            <w:gridSpan w:val="2"/>
            <w:tcBorders>
              <w:top w:val="single" w:sz="4" w:space="0" w:color="788184"/>
              <w:left w:val="single" w:sz="4" w:space="0" w:color="788184"/>
              <w:bottom w:val="single" w:sz="4" w:space="0" w:color="788184"/>
              <w:right w:val="single" w:sz="4" w:space="0" w:color="788184"/>
            </w:tcBorders>
            <w:shd w:val="clear" w:color="auto" w:fill="auto"/>
            <w:vAlign w:val="bottom"/>
          </w:tcPr>
          <w:p w:rsidR="00C80A7A" w:rsidRDefault="00C80A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-50.6</w:t>
            </w:r>
          </w:p>
        </w:tc>
        <w:tc>
          <w:tcPr>
            <w:tcW w:w="1014" w:type="pct"/>
            <w:tcBorders>
              <w:top w:val="single" w:sz="4" w:space="0" w:color="788184"/>
              <w:left w:val="single" w:sz="4" w:space="0" w:color="788184"/>
              <w:bottom w:val="single" w:sz="4" w:space="0" w:color="788184"/>
              <w:right w:val="single" w:sz="4" w:space="0" w:color="788184"/>
            </w:tcBorders>
            <w:shd w:val="clear" w:color="auto" w:fill="auto"/>
            <w:vAlign w:val="bottom"/>
          </w:tcPr>
          <w:p w:rsidR="00C80A7A" w:rsidRDefault="008C2CF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-52.6</w:t>
            </w:r>
          </w:p>
        </w:tc>
        <w:tc>
          <w:tcPr>
            <w:tcW w:w="1012" w:type="pct"/>
            <w:tcBorders>
              <w:top w:val="single" w:sz="4" w:space="0" w:color="788184"/>
              <w:left w:val="single" w:sz="4" w:space="0" w:color="788184"/>
              <w:bottom w:val="single" w:sz="4" w:space="0" w:color="788184"/>
              <w:right w:val="single" w:sz="4" w:space="0" w:color="788184"/>
            </w:tcBorders>
            <w:shd w:val="clear" w:color="auto" w:fill="auto"/>
            <w:vAlign w:val="bottom"/>
          </w:tcPr>
          <w:p w:rsidR="00C80A7A" w:rsidRDefault="008C2CF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-54.4</w:t>
            </w:r>
          </w:p>
        </w:tc>
        <w:tc>
          <w:tcPr>
            <w:tcW w:w="1015" w:type="pct"/>
            <w:tcBorders>
              <w:top w:val="single" w:sz="4" w:space="0" w:color="788184"/>
              <w:left w:val="single" w:sz="4" w:space="0" w:color="788184"/>
              <w:bottom w:val="single" w:sz="4" w:space="0" w:color="788184"/>
              <w:right w:val="single" w:sz="4" w:space="0" w:color="788184"/>
            </w:tcBorders>
            <w:shd w:val="clear" w:color="auto" w:fill="auto"/>
            <w:vAlign w:val="bottom"/>
          </w:tcPr>
          <w:p w:rsidR="00C80A7A" w:rsidRDefault="008C2CF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-56.6</w:t>
            </w:r>
          </w:p>
        </w:tc>
      </w:tr>
      <w:tr w:rsidR="00C80A7A"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6" w:type="pct"/>
            <w:tcBorders>
              <w:top w:val="single" w:sz="4" w:space="0" w:color="788184"/>
              <w:left w:val="single" w:sz="4" w:space="0" w:color="788184"/>
              <w:bottom w:val="single" w:sz="4" w:space="0" w:color="788184"/>
              <w:right w:val="single" w:sz="4" w:space="0" w:color="788184"/>
            </w:tcBorders>
            <w:shd w:val="clear" w:color="auto" w:fill="auto"/>
          </w:tcPr>
          <w:p w:rsidR="00C80A7A" w:rsidRPr="00CB40E1" w:rsidRDefault="00C80A7A" w:rsidP="00660385">
            <w:pPr>
              <w:pStyle w:val="TableTextCentred"/>
              <w:keepNext/>
              <w:keepLines/>
              <w:jc w:val="left"/>
              <w:rPr>
                <w:sz w:val="22"/>
              </w:rPr>
            </w:pPr>
            <w:r w:rsidRPr="00CB40E1">
              <w:rPr>
                <w:sz w:val="22"/>
              </w:rPr>
              <w:t>Fiscal balance ($m)</w:t>
            </w:r>
          </w:p>
        </w:tc>
        <w:tc>
          <w:tcPr>
            <w:tcW w:w="872" w:type="pct"/>
            <w:gridSpan w:val="2"/>
            <w:tcBorders>
              <w:top w:val="single" w:sz="4" w:space="0" w:color="788184"/>
              <w:left w:val="single" w:sz="4" w:space="0" w:color="788184"/>
              <w:bottom w:val="single" w:sz="4" w:space="0" w:color="788184"/>
              <w:right w:val="single" w:sz="4" w:space="0" w:color="788184"/>
            </w:tcBorders>
            <w:shd w:val="clear" w:color="auto" w:fill="auto"/>
            <w:vAlign w:val="bottom"/>
          </w:tcPr>
          <w:p w:rsidR="00C80A7A" w:rsidRDefault="00C80A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-51.1</w:t>
            </w:r>
          </w:p>
        </w:tc>
        <w:tc>
          <w:tcPr>
            <w:tcW w:w="1014" w:type="pct"/>
            <w:tcBorders>
              <w:top w:val="single" w:sz="4" w:space="0" w:color="788184"/>
              <w:left w:val="single" w:sz="4" w:space="0" w:color="788184"/>
              <w:bottom w:val="single" w:sz="4" w:space="0" w:color="788184"/>
              <w:right w:val="single" w:sz="4" w:space="0" w:color="788184"/>
            </w:tcBorders>
            <w:shd w:val="clear" w:color="auto" w:fill="auto"/>
            <w:vAlign w:val="bottom"/>
          </w:tcPr>
          <w:p w:rsidR="00C80A7A" w:rsidRDefault="00C80A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-53.1</w:t>
            </w:r>
          </w:p>
        </w:tc>
        <w:tc>
          <w:tcPr>
            <w:tcW w:w="1012" w:type="pct"/>
            <w:tcBorders>
              <w:top w:val="single" w:sz="4" w:space="0" w:color="788184"/>
              <w:left w:val="single" w:sz="4" w:space="0" w:color="788184"/>
              <w:bottom w:val="single" w:sz="4" w:space="0" w:color="788184"/>
              <w:right w:val="single" w:sz="4" w:space="0" w:color="788184"/>
            </w:tcBorders>
            <w:shd w:val="clear" w:color="auto" w:fill="auto"/>
            <w:vAlign w:val="bottom"/>
          </w:tcPr>
          <w:p w:rsidR="00C80A7A" w:rsidRDefault="00C80A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-54.9</w:t>
            </w:r>
          </w:p>
        </w:tc>
        <w:tc>
          <w:tcPr>
            <w:tcW w:w="1015" w:type="pct"/>
            <w:tcBorders>
              <w:top w:val="single" w:sz="4" w:space="0" w:color="788184"/>
              <w:left w:val="single" w:sz="4" w:space="0" w:color="788184"/>
              <w:bottom w:val="single" w:sz="4" w:space="0" w:color="788184"/>
              <w:right w:val="single" w:sz="4" w:space="0" w:color="788184"/>
            </w:tcBorders>
            <w:shd w:val="clear" w:color="auto" w:fill="auto"/>
            <w:vAlign w:val="bottom"/>
          </w:tcPr>
          <w:p w:rsidR="00C80A7A" w:rsidRDefault="00C80A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-57.1</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75004"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Based on expected uptake and additional demand that these policies would provide.</w:t>
            </w:r>
          </w:p>
        </w:tc>
      </w:tr>
      <w:tr w:rsidR="00640346" w:rsidTr="00C80A7A">
        <w:trPr>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75004"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Investing in charging infrastructure and reducing registration costs would reduce barriers for people who might otherwise not purchase an electric vehicle.</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lastRenderedPageBreak/>
              <w:t>Administration of policy:</w:t>
            </w: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75004"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Department of Finance</w:t>
            </w:r>
          </w:p>
        </w:tc>
      </w:tr>
      <w:tr w:rsidR="00640346" w:rsidTr="00C80A7A">
        <w:trPr>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75004"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rPr>
                <w:sz w:val="22"/>
              </w:rPr>
              <w:t>None</w:t>
            </w: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175004">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1 </w:t>
            </w:r>
            <w:r w:rsidR="00175004">
              <w:rPr>
                <w:sz w:val="22"/>
              </w:rPr>
              <w:t>January 2017</w:t>
            </w:r>
          </w:p>
        </w:tc>
      </w:tr>
      <w:tr w:rsidR="00640346" w:rsidTr="00C80A7A">
        <w:trPr>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75004"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 xml:space="preserve">30 June 2021 </w:t>
            </w: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75004"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C80A7A">
        <w:trPr>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C80A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69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75004"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FE12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0205EF">
            <w:rPr>
              <w:noProof/>
              <w:color w:val="788184"/>
              <w:szCs w:val="20"/>
            </w:rPr>
            <w:t>4</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0205EF">
            <w:rPr>
              <w:noProof/>
              <w:color w:val="788184"/>
              <w:szCs w:val="20"/>
            </w:rPr>
            <w:t>4</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FE12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0205EF">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0205EF">
            <w:rPr>
              <w:noProof/>
              <w:color w:val="788184"/>
              <w:szCs w:val="20"/>
            </w:rPr>
            <w:t>4</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205EF"/>
    <w:rsid w:val="000B16B1"/>
    <w:rsid w:val="0014239B"/>
    <w:rsid w:val="00175004"/>
    <w:rsid w:val="004C5CC2"/>
    <w:rsid w:val="00515A85"/>
    <w:rsid w:val="0055581F"/>
    <w:rsid w:val="005F7DE0"/>
    <w:rsid w:val="00640346"/>
    <w:rsid w:val="00660385"/>
    <w:rsid w:val="007202A8"/>
    <w:rsid w:val="007616C6"/>
    <w:rsid w:val="007B029A"/>
    <w:rsid w:val="007C4F2D"/>
    <w:rsid w:val="008B1774"/>
    <w:rsid w:val="008C2CF6"/>
    <w:rsid w:val="008F588A"/>
    <w:rsid w:val="009025B3"/>
    <w:rsid w:val="00902D2D"/>
    <w:rsid w:val="009E5FB7"/>
    <w:rsid w:val="00BC559C"/>
    <w:rsid w:val="00C80A7A"/>
    <w:rsid w:val="00CB40E1"/>
    <w:rsid w:val="00CF6DB6"/>
    <w:rsid w:val="00D134CA"/>
    <w:rsid w:val="00E15AAE"/>
    <w:rsid w:val="00F954CF"/>
    <w:rsid w:val="00FE1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sites/greens.org.au/files/20160518_Electric%20vehicles_0.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6</cp:revision>
  <cp:lastPrinted>2016-04-20T06:27:00Z</cp:lastPrinted>
  <dcterms:created xsi:type="dcterms:W3CDTF">2016-06-24T05:01:00Z</dcterms:created>
  <dcterms:modified xsi:type="dcterms:W3CDTF">2016-06-24T07:50:00Z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